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147D9A">
      <w:pPr>
        <w:tabs>
          <w:tab w:val="left" w:pos="315"/>
          <w:tab w:val="left" w:pos="8820"/>
        </w:tabs>
        <w:spacing w:beforeLines="100" w:afterLines="50" w:line="500" w:lineRule="exact"/>
        <w:ind w:right="267" w:rightChars="127"/>
        <w:jc w:val="center"/>
        <w:rPr>
          <w:rFonts w:ascii="宋体" w:hAnsi="宋体" w:eastAsia="宋体"/>
          <w:b/>
          <w:bCs/>
          <w:color w:val="auto"/>
          <w:sz w:val="52"/>
          <w:szCs w:val="52"/>
          <w:highlight w:val="none"/>
        </w:rPr>
      </w:pPr>
    </w:p>
    <w:p w14:paraId="14E24BA6">
      <w:pPr>
        <w:tabs>
          <w:tab w:val="left" w:pos="315"/>
          <w:tab w:val="left" w:pos="8820"/>
        </w:tabs>
        <w:spacing w:beforeLines="100" w:afterLines="50" w:line="500" w:lineRule="exact"/>
        <w:ind w:right="267" w:rightChars="127"/>
        <w:jc w:val="center"/>
        <w:rPr>
          <w:rFonts w:ascii="宋体" w:hAnsi="宋体" w:eastAsia="宋体"/>
          <w:b/>
          <w:bCs/>
          <w:color w:val="auto"/>
          <w:sz w:val="52"/>
          <w:szCs w:val="52"/>
          <w:highlight w:val="none"/>
        </w:rPr>
      </w:pPr>
    </w:p>
    <w:p w14:paraId="26EEBDFD">
      <w:pPr>
        <w:pStyle w:val="10"/>
        <w:rPr>
          <w:rFonts w:ascii="宋体" w:hAnsi="宋体" w:eastAsia="宋体"/>
          <w:b/>
          <w:bCs/>
          <w:color w:val="auto"/>
          <w:sz w:val="52"/>
          <w:szCs w:val="52"/>
          <w:highlight w:val="none"/>
        </w:rPr>
      </w:pPr>
    </w:p>
    <w:p w14:paraId="44F8A0EB">
      <w:pPr>
        <w:tabs>
          <w:tab w:val="left" w:pos="315"/>
          <w:tab w:val="left" w:pos="8820"/>
        </w:tabs>
        <w:spacing w:beforeLines="100" w:afterLines="50" w:line="500" w:lineRule="exact"/>
        <w:ind w:right="267" w:rightChars="127"/>
        <w:jc w:val="center"/>
        <w:rPr>
          <w:rFonts w:ascii="宋体" w:hAnsi="宋体" w:eastAsia="宋体"/>
          <w:b/>
          <w:bCs/>
          <w:color w:val="auto"/>
          <w:sz w:val="52"/>
          <w:szCs w:val="52"/>
          <w:highlight w:val="none"/>
        </w:rPr>
      </w:pPr>
      <w:bookmarkStart w:id="0" w:name="_Hlk9544796"/>
      <w:r>
        <w:rPr>
          <w:rFonts w:hint="eastAsia" w:ascii="宋体" w:hAnsi="宋体" w:eastAsia="宋体"/>
          <w:b/>
          <w:bCs/>
          <w:color w:val="auto"/>
          <w:sz w:val="52"/>
          <w:szCs w:val="52"/>
          <w:highlight w:val="none"/>
        </w:rPr>
        <w:t>安徽省政府采购项目</w:t>
      </w:r>
    </w:p>
    <w:p w14:paraId="038FD5AB">
      <w:pPr>
        <w:tabs>
          <w:tab w:val="left" w:pos="315"/>
          <w:tab w:val="left" w:pos="8820"/>
        </w:tabs>
        <w:spacing w:beforeLines="100" w:afterLines="50" w:line="500" w:lineRule="exact"/>
        <w:ind w:right="267" w:rightChars="127"/>
        <w:jc w:val="center"/>
        <w:rPr>
          <w:rFonts w:ascii="宋体" w:hAnsi="宋体" w:eastAsia="宋体"/>
          <w:b/>
          <w:bCs/>
          <w:color w:val="auto"/>
          <w:sz w:val="52"/>
          <w:szCs w:val="52"/>
          <w:highlight w:val="none"/>
        </w:rPr>
      </w:pPr>
      <w:r>
        <w:rPr>
          <w:rFonts w:hint="eastAsia" w:ascii="宋体" w:hAnsi="宋体" w:eastAsia="宋体"/>
          <w:b/>
          <w:bCs/>
          <w:color w:val="auto"/>
          <w:sz w:val="52"/>
          <w:szCs w:val="52"/>
          <w:highlight w:val="none"/>
        </w:rPr>
        <w:t>竞争性磋商文件示范文本（服务类）</w:t>
      </w:r>
    </w:p>
    <w:bookmarkEnd w:id="0"/>
    <w:p w14:paraId="03E9729E">
      <w:pPr>
        <w:tabs>
          <w:tab w:val="left" w:pos="315"/>
          <w:tab w:val="left" w:pos="8820"/>
        </w:tabs>
        <w:spacing w:beforeLines="100" w:afterLines="50" w:line="500" w:lineRule="exact"/>
        <w:ind w:right="267" w:rightChars="127"/>
        <w:jc w:val="center"/>
        <w:rPr>
          <w:rFonts w:ascii="宋体" w:hAnsi="宋体" w:eastAsia="宋体"/>
          <w:bCs/>
          <w:color w:val="auto"/>
          <w:sz w:val="44"/>
          <w:szCs w:val="44"/>
          <w:highlight w:val="none"/>
        </w:rPr>
      </w:pPr>
      <w:r>
        <w:rPr>
          <w:rFonts w:hint="eastAsia" w:ascii="宋体" w:hAnsi="宋体" w:eastAsia="宋体"/>
          <w:b/>
          <w:bCs/>
          <w:color w:val="auto"/>
          <w:sz w:val="52"/>
          <w:szCs w:val="52"/>
          <w:highlight w:val="none"/>
        </w:rPr>
        <w:t>（2026版）</w:t>
      </w:r>
    </w:p>
    <w:p w14:paraId="0A9BFF5A">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38B32174">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7AE3B966">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551BDB92">
      <w:pPr>
        <w:pStyle w:val="10"/>
        <w:rPr>
          <w:rFonts w:ascii="宋体" w:hAnsi="宋体" w:eastAsia="宋体"/>
          <w:b/>
          <w:bCs/>
          <w:color w:val="auto"/>
          <w:sz w:val="44"/>
          <w:szCs w:val="44"/>
          <w:highlight w:val="none"/>
        </w:rPr>
      </w:pPr>
    </w:p>
    <w:p w14:paraId="1F3AFB20">
      <w:pPr>
        <w:tabs>
          <w:tab w:val="left" w:pos="315"/>
          <w:tab w:val="left" w:pos="8820"/>
        </w:tabs>
        <w:spacing w:beforeLines="100" w:afterLines="50" w:line="500" w:lineRule="exact"/>
        <w:ind w:right="267" w:rightChars="127"/>
        <w:jc w:val="both"/>
        <w:rPr>
          <w:rFonts w:ascii="宋体" w:hAnsi="宋体" w:eastAsia="宋体"/>
          <w:b/>
          <w:bCs/>
          <w:color w:val="auto"/>
          <w:sz w:val="44"/>
          <w:szCs w:val="44"/>
          <w:highlight w:val="none"/>
        </w:rPr>
      </w:pPr>
    </w:p>
    <w:p w14:paraId="2BA832B3">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5EE4A8B2">
      <w:pPr>
        <w:tabs>
          <w:tab w:val="left" w:pos="2410"/>
        </w:tabs>
        <w:autoSpaceDE w:val="0"/>
        <w:autoSpaceDN w:val="0"/>
        <w:adjustRightInd w:val="0"/>
        <w:snapToGrid w:val="0"/>
        <w:spacing w:line="360" w:lineRule="auto"/>
        <w:ind w:left="2244" w:leftChars="304" w:hanging="1606" w:hangingChars="500"/>
        <w:rPr>
          <w:rFonts w:hint="eastAsia" w:ascii="宋体" w:hAnsi="宋体" w:eastAsia="宋体" w:cs="宋体"/>
          <w:b/>
          <w:color w:val="auto"/>
          <w:kern w:val="0"/>
          <w:sz w:val="32"/>
          <w:szCs w:val="32"/>
          <w:highlight w:val="none"/>
          <w:lang w:eastAsia="zh-CN"/>
        </w:rPr>
      </w:pPr>
      <w:r>
        <w:rPr>
          <w:rFonts w:hint="eastAsia" w:ascii="宋体" w:hAnsi="宋体" w:eastAsia="宋体" w:cs="宋体"/>
          <w:b/>
          <w:color w:val="auto"/>
          <w:kern w:val="0"/>
          <w:sz w:val="32"/>
          <w:szCs w:val="32"/>
          <w:highlight w:val="none"/>
        </w:rPr>
        <w:t>项目名称：</w:t>
      </w:r>
      <w:r>
        <w:rPr>
          <w:rFonts w:hint="eastAsia" w:ascii="宋体" w:hAnsi="宋体" w:eastAsia="宋体" w:cs="宋体"/>
          <w:b/>
          <w:color w:val="auto"/>
          <w:kern w:val="0"/>
          <w:sz w:val="32"/>
          <w:szCs w:val="32"/>
          <w:highlight w:val="none"/>
          <w:u w:val="single"/>
          <w:lang w:eastAsia="zh-CN"/>
        </w:rPr>
        <w:t>2026-2027年滁州市城市阅读空间与城市书柜运营服务采购项目</w:t>
      </w:r>
    </w:p>
    <w:p w14:paraId="5BAB736B">
      <w:pPr>
        <w:tabs>
          <w:tab w:val="left" w:pos="2410"/>
        </w:tabs>
        <w:autoSpaceDE w:val="0"/>
        <w:autoSpaceDN w:val="0"/>
        <w:adjustRightInd w:val="0"/>
        <w:snapToGrid w:val="0"/>
        <w:spacing w:line="360" w:lineRule="auto"/>
        <w:ind w:firstLine="643" w:firstLineChars="200"/>
        <w:rPr>
          <w:rFonts w:hint="eastAsia" w:ascii="宋体" w:hAnsi="宋体" w:eastAsia="宋体" w:cs="宋体"/>
          <w:b/>
          <w:color w:val="auto"/>
          <w:spacing w:val="-6"/>
          <w:kern w:val="0"/>
          <w:sz w:val="32"/>
          <w:szCs w:val="32"/>
          <w:highlight w:val="none"/>
          <w:u w:val="single"/>
          <w:lang w:eastAsia="zh-CN"/>
        </w:rPr>
      </w:pPr>
      <w:r>
        <w:rPr>
          <w:rFonts w:hint="eastAsia" w:ascii="宋体" w:hAnsi="宋体" w:eastAsia="宋体" w:cs="宋体"/>
          <w:b/>
          <w:color w:val="auto"/>
          <w:kern w:val="0"/>
          <w:sz w:val="32"/>
          <w:szCs w:val="32"/>
          <w:highlight w:val="none"/>
        </w:rPr>
        <w:t>项目编号：</w:t>
      </w:r>
      <w:r>
        <w:rPr>
          <w:rFonts w:hint="default" w:ascii="宋体" w:hAnsi="宋体" w:eastAsia="宋体" w:cs="宋体"/>
          <w:b/>
          <w:color w:val="auto"/>
          <w:spacing w:val="-6"/>
          <w:kern w:val="0"/>
          <w:sz w:val="32"/>
          <w:szCs w:val="32"/>
          <w:highlight w:val="none"/>
          <w:u w:val="single"/>
          <w:lang w:eastAsia="zh-CN"/>
        </w:rPr>
        <w:t>czsjcg202605-002</w:t>
      </w:r>
    </w:p>
    <w:p w14:paraId="4538C7DE">
      <w:pPr>
        <w:tabs>
          <w:tab w:val="left" w:pos="2410"/>
        </w:tabs>
        <w:autoSpaceDE w:val="0"/>
        <w:autoSpaceDN w:val="0"/>
        <w:adjustRightInd w:val="0"/>
        <w:snapToGrid w:val="0"/>
        <w:spacing w:line="360" w:lineRule="auto"/>
        <w:ind w:firstLine="643" w:firstLineChars="200"/>
        <w:rPr>
          <w:rFonts w:hint="eastAsia" w:ascii="宋体" w:hAnsi="宋体" w:eastAsia="宋体" w:cs="宋体"/>
          <w:b/>
          <w:color w:val="auto"/>
          <w:kern w:val="0"/>
          <w:sz w:val="32"/>
          <w:szCs w:val="32"/>
          <w:highlight w:val="none"/>
          <w:lang w:eastAsia="zh-CN"/>
        </w:rPr>
      </w:pPr>
      <w:r>
        <w:rPr>
          <w:rFonts w:hint="eastAsia" w:ascii="宋体" w:hAnsi="宋体" w:eastAsia="宋体" w:cs="宋体"/>
          <w:b/>
          <w:color w:val="auto"/>
          <w:kern w:val="0"/>
          <w:sz w:val="32"/>
          <w:szCs w:val="32"/>
          <w:highlight w:val="none"/>
        </w:rPr>
        <w:t>采购人：</w:t>
      </w:r>
      <w:r>
        <w:rPr>
          <w:rFonts w:hint="eastAsia" w:ascii="宋体" w:hAnsi="宋体" w:eastAsia="宋体" w:cs="宋体"/>
          <w:b/>
          <w:color w:val="auto"/>
          <w:spacing w:val="-6"/>
          <w:kern w:val="0"/>
          <w:sz w:val="32"/>
          <w:szCs w:val="32"/>
          <w:highlight w:val="none"/>
          <w:u w:val="single"/>
          <w:lang w:eastAsia="zh-CN"/>
        </w:rPr>
        <w:t>滁州市文化和旅游局</w:t>
      </w:r>
    </w:p>
    <w:p w14:paraId="470DF800">
      <w:pPr>
        <w:tabs>
          <w:tab w:val="left" w:pos="2410"/>
        </w:tabs>
        <w:autoSpaceDE w:val="0"/>
        <w:autoSpaceDN w:val="0"/>
        <w:adjustRightInd w:val="0"/>
        <w:snapToGrid w:val="0"/>
        <w:spacing w:line="360" w:lineRule="auto"/>
        <w:ind w:firstLine="643" w:firstLineChars="200"/>
        <w:rPr>
          <w:rFonts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采购代理机构：</w:t>
      </w:r>
      <w:r>
        <w:rPr>
          <w:rFonts w:hint="eastAsia" w:ascii="宋体" w:hAnsi="宋体" w:eastAsia="宋体" w:cs="宋体"/>
          <w:b/>
          <w:color w:val="auto"/>
          <w:kern w:val="0"/>
          <w:sz w:val="32"/>
          <w:szCs w:val="32"/>
          <w:highlight w:val="none"/>
          <w:u w:val="single"/>
        </w:rPr>
        <w:t>滁州市城投工程咨询管理有限公司</w:t>
      </w:r>
    </w:p>
    <w:p w14:paraId="472A026C">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4EA4673A">
      <w:pPr>
        <w:tabs>
          <w:tab w:val="left" w:pos="2410"/>
        </w:tabs>
        <w:autoSpaceDE w:val="0"/>
        <w:autoSpaceDN w:val="0"/>
        <w:adjustRightInd w:val="0"/>
        <w:snapToGrid w:val="0"/>
        <w:spacing w:line="360" w:lineRule="auto"/>
        <w:jc w:val="center"/>
        <w:rPr>
          <w:rFonts w:ascii="宋体" w:hAnsi="宋体" w:eastAsia="宋体" w:cs="宋体"/>
          <w:b/>
          <w:color w:val="auto"/>
          <w:sz w:val="36"/>
          <w:highlight w:val="none"/>
        </w:rPr>
      </w:pPr>
      <w:r>
        <w:rPr>
          <w:rFonts w:hint="eastAsia" w:ascii="宋体" w:hAnsi="宋体" w:eastAsia="宋体" w:cs="宋体"/>
          <w:b/>
          <w:color w:val="auto"/>
          <w:sz w:val="36"/>
          <w:highlight w:val="none"/>
          <w:u w:val="single"/>
        </w:rPr>
        <w:t xml:space="preserve"> 2026 </w:t>
      </w:r>
      <w:r>
        <w:rPr>
          <w:rFonts w:hint="eastAsia" w:ascii="宋体" w:hAnsi="宋体" w:eastAsia="宋体" w:cs="宋体"/>
          <w:b/>
          <w:color w:val="auto"/>
          <w:sz w:val="36"/>
          <w:highlight w:val="none"/>
        </w:rPr>
        <w:t>年</w:t>
      </w:r>
      <w:r>
        <w:rPr>
          <w:rFonts w:hint="eastAsia" w:ascii="宋体" w:hAnsi="宋体" w:eastAsia="宋体" w:cs="宋体"/>
          <w:b/>
          <w:color w:val="auto"/>
          <w:sz w:val="36"/>
          <w:highlight w:val="none"/>
          <w:u w:val="single"/>
        </w:rPr>
        <w:t xml:space="preserve"> </w:t>
      </w:r>
      <w:r>
        <w:rPr>
          <w:rFonts w:hint="eastAsia" w:ascii="宋体" w:hAnsi="宋体" w:eastAsia="宋体" w:cs="宋体"/>
          <w:b/>
          <w:color w:val="auto"/>
          <w:sz w:val="36"/>
          <w:highlight w:val="none"/>
          <w:u w:val="single"/>
          <w:lang w:val="en-US" w:eastAsia="zh-CN"/>
        </w:rPr>
        <w:t>5</w:t>
      </w:r>
      <w:r>
        <w:rPr>
          <w:rFonts w:hint="eastAsia" w:ascii="宋体" w:hAnsi="宋体" w:eastAsia="宋体" w:cs="宋体"/>
          <w:b/>
          <w:color w:val="auto"/>
          <w:sz w:val="36"/>
          <w:highlight w:val="none"/>
          <w:u w:val="single"/>
        </w:rPr>
        <w:t xml:space="preserve"> </w:t>
      </w:r>
      <w:r>
        <w:rPr>
          <w:rFonts w:hint="eastAsia" w:ascii="宋体" w:hAnsi="宋体" w:eastAsia="宋体" w:cs="宋体"/>
          <w:b/>
          <w:color w:val="auto"/>
          <w:sz w:val="36"/>
          <w:highlight w:val="none"/>
        </w:rPr>
        <w:t>月</w:t>
      </w:r>
    </w:p>
    <w:p w14:paraId="719323A2">
      <w:pPr>
        <w:tabs>
          <w:tab w:val="left" w:pos="2410"/>
        </w:tabs>
        <w:autoSpaceDE w:val="0"/>
        <w:autoSpaceDN w:val="0"/>
        <w:adjustRightInd w:val="0"/>
        <w:snapToGrid w:val="0"/>
        <w:spacing w:line="360" w:lineRule="auto"/>
        <w:jc w:val="center"/>
        <w:rPr>
          <w:rFonts w:ascii="宋体" w:hAnsi="宋体" w:eastAsia="宋体"/>
          <w:b/>
          <w:color w:val="auto"/>
          <w:sz w:val="36"/>
          <w:highlight w:val="none"/>
        </w:rPr>
      </w:pPr>
      <w:r>
        <w:rPr>
          <w:rFonts w:ascii="宋体" w:hAnsi="宋体" w:eastAsia="宋体"/>
          <w:b/>
          <w:color w:val="auto"/>
          <w:sz w:val="36"/>
          <w:highlight w:val="none"/>
        </w:rPr>
        <w:br w:type="page"/>
      </w:r>
    </w:p>
    <w:p w14:paraId="47923830">
      <w:pPr>
        <w:tabs>
          <w:tab w:val="left" w:pos="2410"/>
        </w:tabs>
        <w:autoSpaceDE w:val="0"/>
        <w:autoSpaceDN w:val="0"/>
        <w:adjustRightInd w:val="0"/>
        <w:snapToGrid w:val="0"/>
        <w:spacing w:line="360" w:lineRule="auto"/>
        <w:jc w:val="center"/>
        <w:rPr>
          <w:rFonts w:ascii="宋体" w:hAnsi="宋体" w:eastAsia="宋体"/>
          <w:b/>
          <w:color w:val="auto"/>
          <w:sz w:val="28"/>
          <w:highlight w:val="none"/>
        </w:rPr>
      </w:pPr>
      <w:r>
        <w:rPr>
          <w:rFonts w:hint="eastAsia" w:ascii="宋体" w:hAnsi="宋体" w:eastAsia="宋体"/>
          <w:b/>
          <w:color w:val="auto"/>
          <w:sz w:val="28"/>
          <w:highlight w:val="none"/>
        </w:rPr>
        <w:t>目  录</w:t>
      </w:r>
    </w:p>
    <w:p w14:paraId="3DDABA00">
      <w:pPr>
        <w:tabs>
          <w:tab w:val="left" w:pos="2410"/>
        </w:tabs>
        <w:autoSpaceDE w:val="0"/>
        <w:autoSpaceDN w:val="0"/>
        <w:adjustRightInd w:val="0"/>
        <w:snapToGrid w:val="0"/>
        <w:spacing w:line="360" w:lineRule="auto"/>
        <w:jc w:val="center"/>
        <w:rPr>
          <w:rFonts w:ascii="宋体" w:hAnsi="宋体" w:eastAsia="宋体"/>
          <w:b/>
          <w:color w:val="auto"/>
          <w:sz w:val="28"/>
          <w:highlight w:val="none"/>
        </w:rPr>
      </w:pPr>
    </w:p>
    <w:p w14:paraId="4F171447">
      <w:pPr>
        <w:pStyle w:val="19"/>
        <w:tabs>
          <w:tab w:val="right" w:leader="dot" w:pos="8279"/>
        </w:tabs>
        <w:rPr>
          <w:color w:val="auto"/>
          <w:highlight w:val="none"/>
        </w:rPr>
      </w:pPr>
      <w:r>
        <w:rPr>
          <w:rFonts w:asciiTheme="minorEastAsia" w:hAnsiTheme="minorEastAsia"/>
          <w:b/>
          <w:bCs/>
          <w:color w:val="auto"/>
          <w:sz w:val="24"/>
          <w:szCs w:val="24"/>
          <w:highlight w:val="none"/>
        </w:rPr>
        <w:fldChar w:fldCharType="begin"/>
      </w:r>
      <w:r>
        <w:rPr>
          <w:rFonts w:asciiTheme="minorEastAsia" w:hAnsiTheme="minorEastAsia"/>
          <w:b/>
          <w:bCs/>
          <w:color w:val="auto"/>
          <w:sz w:val="24"/>
          <w:szCs w:val="24"/>
          <w:highlight w:val="none"/>
        </w:rPr>
        <w:instrText xml:space="preserve"> </w:instrText>
      </w:r>
      <w:r>
        <w:rPr>
          <w:rFonts w:hint="eastAsia" w:asciiTheme="minorEastAsia" w:hAnsiTheme="minorEastAsia"/>
          <w:b/>
          <w:bCs/>
          <w:color w:val="auto"/>
          <w:sz w:val="24"/>
          <w:szCs w:val="24"/>
          <w:highlight w:val="none"/>
        </w:rPr>
        <w:instrText xml:space="preserve">TOC \o "1-2" \h \z \u</w:instrText>
      </w:r>
      <w:r>
        <w:rPr>
          <w:rFonts w:asciiTheme="minorEastAsia" w:hAnsiTheme="minorEastAsia"/>
          <w:b/>
          <w:bCs/>
          <w:color w:val="auto"/>
          <w:sz w:val="24"/>
          <w:szCs w:val="24"/>
          <w:highlight w:val="none"/>
        </w:rPr>
        <w:instrText xml:space="preserve"> </w:instrText>
      </w:r>
      <w:r>
        <w:rPr>
          <w:rFonts w:asciiTheme="minorEastAsia" w:hAnsiTheme="minorEastAsia"/>
          <w:b/>
          <w:bCs/>
          <w:color w:val="auto"/>
          <w:sz w:val="24"/>
          <w:szCs w:val="24"/>
          <w:highlight w:val="none"/>
        </w:rPr>
        <w:fldChar w:fldCharType="separate"/>
      </w:r>
      <w:r>
        <w:rPr>
          <w:color w:val="auto"/>
          <w:highlight w:val="none"/>
        </w:rPr>
        <w:fldChar w:fldCharType="begin"/>
      </w:r>
      <w:r>
        <w:rPr>
          <w:color w:val="auto"/>
          <w:highlight w:val="none"/>
        </w:rPr>
        <w:instrText xml:space="preserve"> HYPERLINK \l "_Toc19988" </w:instrText>
      </w:r>
      <w:r>
        <w:rPr>
          <w:color w:val="auto"/>
          <w:highlight w:val="none"/>
        </w:rPr>
        <w:fldChar w:fldCharType="separate"/>
      </w:r>
      <w:r>
        <w:rPr>
          <w:rFonts w:hint="eastAsia" w:asciiTheme="minorEastAsia" w:hAnsiTheme="minorEastAsia"/>
          <w:color w:val="auto"/>
          <w:highlight w:val="none"/>
        </w:rPr>
        <w:t xml:space="preserve">第一章 </w:t>
      </w:r>
      <w:r>
        <w:rPr>
          <w:rFonts w:asciiTheme="minorEastAsia" w:hAnsiTheme="minorEastAsia"/>
          <w:color w:val="auto"/>
          <w:highlight w:val="none"/>
        </w:rPr>
        <w:t xml:space="preserve"> </w:t>
      </w:r>
      <w:r>
        <w:rPr>
          <w:rFonts w:hint="eastAsia" w:asciiTheme="minorEastAsia" w:hAnsiTheme="minorEastAsia"/>
          <w:color w:val="auto"/>
          <w:highlight w:val="none"/>
        </w:rPr>
        <w:t>磋商邀请</w:t>
      </w:r>
      <w:r>
        <w:rPr>
          <w:color w:val="auto"/>
          <w:highlight w:val="none"/>
        </w:rPr>
        <w:tab/>
      </w:r>
      <w:r>
        <w:rPr>
          <w:rFonts w:hint="eastAsia"/>
          <w:color w:val="auto"/>
          <w:highlight w:val="none"/>
          <w:lang w:val="en-US" w:eastAsia="zh-CN"/>
        </w:rPr>
        <w:t>1</w:t>
      </w:r>
      <w:r>
        <w:rPr>
          <w:color w:val="auto"/>
          <w:highlight w:val="none"/>
        </w:rPr>
        <w:fldChar w:fldCharType="end"/>
      </w:r>
    </w:p>
    <w:p w14:paraId="20740A9A">
      <w:pPr>
        <w:pStyle w:val="19"/>
        <w:tabs>
          <w:tab w:val="right" w:leader="dot" w:pos="8279"/>
        </w:tabs>
        <w:rPr>
          <w:color w:val="auto"/>
          <w:highlight w:val="none"/>
        </w:rPr>
      </w:pPr>
      <w:r>
        <w:rPr>
          <w:color w:val="auto"/>
          <w:highlight w:val="none"/>
        </w:rPr>
        <w:fldChar w:fldCharType="begin"/>
      </w:r>
      <w:r>
        <w:rPr>
          <w:color w:val="auto"/>
          <w:highlight w:val="none"/>
        </w:rPr>
        <w:instrText xml:space="preserve"> HYPERLINK \l "_Toc7162" </w:instrText>
      </w:r>
      <w:r>
        <w:rPr>
          <w:color w:val="auto"/>
          <w:highlight w:val="none"/>
        </w:rPr>
        <w:fldChar w:fldCharType="separate"/>
      </w:r>
      <w:r>
        <w:rPr>
          <w:rFonts w:hint="eastAsia" w:asciiTheme="minorEastAsia" w:hAnsiTheme="minorEastAsia"/>
          <w:color w:val="auto"/>
          <w:highlight w:val="none"/>
        </w:rPr>
        <w:t>第二章</w:t>
      </w:r>
      <w:r>
        <w:rPr>
          <w:rFonts w:asciiTheme="minorEastAsia" w:hAnsiTheme="minorEastAsia"/>
          <w:color w:val="auto"/>
          <w:highlight w:val="none"/>
        </w:rPr>
        <w:t xml:space="preserve"> </w:t>
      </w:r>
      <w:r>
        <w:rPr>
          <w:rFonts w:hint="eastAsia" w:asciiTheme="minorEastAsia" w:hAnsiTheme="minorEastAsia"/>
          <w:color w:val="auto"/>
          <w:highlight w:val="none"/>
        </w:rPr>
        <w:t xml:space="preserve"> 供应商</w:t>
      </w:r>
      <w:r>
        <w:rPr>
          <w:rFonts w:asciiTheme="minorEastAsia" w:hAnsiTheme="minorEastAsia"/>
          <w:color w:val="auto"/>
          <w:highlight w:val="none"/>
        </w:rPr>
        <w:t>须知</w:t>
      </w:r>
      <w:r>
        <w:rPr>
          <w:color w:val="auto"/>
          <w:highlight w:val="none"/>
        </w:rPr>
        <w:tab/>
      </w:r>
      <w:r>
        <w:rPr>
          <w:rFonts w:hint="eastAsia"/>
          <w:color w:val="auto"/>
          <w:highlight w:val="none"/>
          <w:lang w:val="en-US" w:eastAsia="zh-CN"/>
        </w:rPr>
        <w:t>5</w:t>
      </w:r>
      <w:r>
        <w:rPr>
          <w:color w:val="auto"/>
          <w:highlight w:val="none"/>
        </w:rPr>
        <w:fldChar w:fldCharType="end"/>
      </w:r>
    </w:p>
    <w:p w14:paraId="3A71BF3D">
      <w:pPr>
        <w:pStyle w:val="19"/>
        <w:tabs>
          <w:tab w:val="right" w:leader="dot" w:pos="8279"/>
        </w:tabs>
        <w:rPr>
          <w:color w:val="auto"/>
          <w:highlight w:val="none"/>
        </w:rPr>
      </w:pPr>
      <w:r>
        <w:rPr>
          <w:color w:val="auto"/>
          <w:highlight w:val="none"/>
        </w:rPr>
        <w:fldChar w:fldCharType="begin"/>
      </w:r>
      <w:r>
        <w:rPr>
          <w:color w:val="auto"/>
          <w:highlight w:val="none"/>
        </w:rPr>
        <w:instrText xml:space="preserve"> HYPERLINK \l "_Toc19440" </w:instrText>
      </w:r>
      <w:r>
        <w:rPr>
          <w:color w:val="auto"/>
          <w:highlight w:val="none"/>
        </w:rPr>
        <w:fldChar w:fldCharType="separate"/>
      </w:r>
      <w:r>
        <w:rPr>
          <w:rFonts w:hint="eastAsia" w:asciiTheme="minorEastAsia" w:hAnsiTheme="minorEastAsia"/>
          <w:color w:val="auto"/>
          <w:highlight w:val="none"/>
        </w:rPr>
        <w:t>第三章  采购需求</w:t>
      </w:r>
      <w:r>
        <w:rPr>
          <w:color w:val="auto"/>
          <w:highlight w:val="none"/>
        </w:rPr>
        <w:tab/>
      </w:r>
      <w:r>
        <w:rPr>
          <w:color w:val="auto"/>
          <w:highlight w:val="none"/>
        </w:rPr>
        <w:fldChar w:fldCharType="begin"/>
      </w:r>
      <w:r>
        <w:rPr>
          <w:color w:val="auto"/>
          <w:highlight w:val="none"/>
        </w:rPr>
        <w:instrText xml:space="preserve"> PAGEREF _Toc19440 \h </w:instrText>
      </w:r>
      <w:r>
        <w:rPr>
          <w:color w:val="auto"/>
          <w:highlight w:val="none"/>
        </w:rPr>
        <w:fldChar w:fldCharType="separate"/>
      </w:r>
      <w:r>
        <w:rPr>
          <w:color w:val="auto"/>
          <w:highlight w:val="none"/>
        </w:rPr>
        <w:t>2</w:t>
      </w:r>
      <w:r>
        <w:rPr>
          <w:rFonts w:hint="eastAsia"/>
          <w:color w:val="auto"/>
          <w:highlight w:val="none"/>
          <w:lang w:val="en-US" w:eastAsia="zh-CN"/>
        </w:rPr>
        <w:t>5</w:t>
      </w:r>
      <w:r>
        <w:rPr>
          <w:color w:val="auto"/>
          <w:highlight w:val="none"/>
        </w:rPr>
        <w:fldChar w:fldCharType="end"/>
      </w:r>
      <w:r>
        <w:rPr>
          <w:color w:val="auto"/>
          <w:highlight w:val="none"/>
        </w:rPr>
        <w:fldChar w:fldCharType="end"/>
      </w:r>
    </w:p>
    <w:p w14:paraId="4BCAC46E">
      <w:pPr>
        <w:pStyle w:val="19"/>
        <w:tabs>
          <w:tab w:val="right" w:leader="dot" w:pos="8279"/>
        </w:tabs>
        <w:rPr>
          <w:rFonts w:hint="eastAsia"/>
          <w:color w:val="auto"/>
          <w:highlight w:val="none"/>
          <w:lang w:val="en-US" w:eastAsia="zh-CN"/>
        </w:rPr>
      </w:pPr>
      <w:r>
        <w:rPr>
          <w:color w:val="auto"/>
          <w:highlight w:val="none"/>
        </w:rPr>
        <w:fldChar w:fldCharType="begin"/>
      </w:r>
      <w:r>
        <w:rPr>
          <w:color w:val="auto"/>
          <w:highlight w:val="none"/>
        </w:rPr>
        <w:instrText xml:space="preserve"> HYPERLINK \l "_Toc8668" </w:instrText>
      </w:r>
      <w:r>
        <w:rPr>
          <w:color w:val="auto"/>
          <w:highlight w:val="none"/>
        </w:rPr>
        <w:fldChar w:fldCharType="separate"/>
      </w:r>
      <w:r>
        <w:rPr>
          <w:rFonts w:hint="eastAsia"/>
          <w:color w:val="auto"/>
          <w:highlight w:val="none"/>
        </w:rPr>
        <w:t>第四章  评审方法和标准</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0</w:t>
      </w:r>
    </w:p>
    <w:p w14:paraId="4E7EAA67">
      <w:pPr>
        <w:pStyle w:val="19"/>
        <w:tabs>
          <w:tab w:val="right" w:leader="dot" w:pos="8279"/>
        </w:tabs>
        <w:rPr>
          <w:rFonts w:hint="eastAsia" w:eastAsiaTheme="minorEastAsia"/>
          <w:color w:val="auto"/>
          <w:highlight w:val="none"/>
          <w:lang w:eastAsia="zh-CN"/>
        </w:rPr>
      </w:pPr>
      <w:r>
        <w:rPr>
          <w:color w:val="auto"/>
          <w:highlight w:val="none"/>
        </w:rPr>
        <w:fldChar w:fldCharType="begin"/>
      </w:r>
      <w:r>
        <w:rPr>
          <w:color w:val="auto"/>
          <w:highlight w:val="none"/>
        </w:rPr>
        <w:instrText xml:space="preserve"> HYPERLINK \l "_Toc17167" </w:instrText>
      </w:r>
      <w:r>
        <w:rPr>
          <w:color w:val="auto"/>
          <w:highlight w:val="none"/>
        </w:rPr>
        <w:fldChar w:fldCharType="separate"/>
      </w:r>
      <w:r>
        <w:rPr>
          <w:rFonts w:hint="eastAsia" w:asciiTheme="minorEastAsia" w:hAnsiTheme="minorEastAsia"/>
          <w:color w:val="auto"/>
          <w:highlight w:val="none"/>
        </w:rPr>
        <w:t xml:space="preserve">第五章  </w:t>
      </w:r>
      <w:r>
        <w:rPr>
          <w:rFonts w:asciiTheme="minorEastAsia" w:hAnsiTheme="minorEastAsia"/>
          <w:color w:val="auto"/>
          <w:highlight w:val="none"/>
        </w:rPr>
        <w:t>政府采购合同</w:t>
      </w:r>
      <w:r>
        <w:rPr>
          <w:color w:val="auto"/>
          <w:highlight w:val="none"/>
        </w:rPr>
        <w:tab/>
      </w:r>
      <w:r>
        <w:rPr>
          <w:rFonts w:hint="eastAsia"/>
          <w:color w:val="auto"/>
          <w:highlight w:val="none"/>
          <w:lang w:val="en-US" w:eastAsia="zh-CN"/>
        </w:rPr>
        <w:t>5</w:t>
      </w:r>
      <w:r>
        <w:rPr>
          <w:rFonts w:hint="eastAsia"/>
          <w:color w:val="auto"/>
          <w:highlight w:val="none"/>
        </w:rPr>
        <w:fldChar w:fldCharType="end"/>
      </w:r>
      <w:r>
        <w:rPr>
          <w:rFonts w:hint="eastAsia"/>
          <w:color w:val="auto"/>
          <w:highlight w:val="none"/>
          <w:lang w:val="en-US" w:eastAsia="zh-CN"/>
        </w:rPr>
        <w:t>6</w:t>
      </w:r>
    </w:p>
    <w:p w14:paraId="5E82B305">
      <w:pPr>
        <w:pStyle w:val="19"/>
        <w:tabs>
          <w:tab w:val="right" w:leader="dot" w:pos="8279"/>
        </w:tabs>
        <w:rPr>
          <w:rFonts w:hint="eastAsia" w:eastAsiaTheme="minorEastAsia"/>
          <w:color w:val="auto"/>
          <w:highlight w:val="none"/>
          <w:lang w:val="en-US" w:eastAsia="zh-CN"/>
        </w:rPr>
      </w:pPr>
      <w:r>
        <w:rPr>
          <w:color w:val="auto"/>
          <w:highlight w:val="none"/>
        </w:rPr>
        <w:fldChar w:fldCharType="begin"/>
      </w:r>
      <w:r>
        <w:rPr>
          <w:color w:val="auto"/>
          <w:highlight w:val="none"/>
        </w:rPr>
        <w:instrText xml:space="preserve"> HYPERLINK \l "_Toc25148" </w:instrText>
      </w:r>
      <w:r>
        <w:rPr>
          <w:color w:val="auto"/>
          <w:highlight w:val="none"/>
        </w:rPr>
        <w:fldChar w:fldCharType="separate"/>
      </w:r>
      <w:r>
        <w:rPr>
          <w:rFonts w:hint="eastAsia" w:asciiTheme="minorEastAsia" w:hAnsiTheme="minorEastAsia"/>
          <w:color w:val="auto"/>
          <w:highlight w:val="none"/>
        </w:rPr>
        <w:t>第六章  响应文件格式</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6</w:t>
      </w:r>
    </w:p>
    <w:p w14:paraId="0429C87E">
      <w:pPr>
        <w:pStyle w:val="19"/>
        <w:tabs>
          <w:tab w:val="right" w:leader="dot" w:pos="8279"/>
        </w:tabs>
        <w:rPr>
          <w:rFonts w:hint="eastAsia" w:eastAsiaTheme="minorEastAsia"/>
          <w:color w:val="auto"/>
          <w:highlight w:val="none"/>
          <w:lang w:val="en-US" w:eastAsia="zh-CN"/>
        </w:rPr>
      </w:pPr>
      <w:r>
        <w:rPr>
          <w:color w:val="auto"/>
          <w:highlight w:val="none"/>
        </w:rPr>
        <w:fldChar w:fldCharType="begin"/>
      </w:r>
      <w:r>
        <w:rPr>
          <w:color w:val="auto"/>
          <w:highlight w:val="none"/>
        </w:rPr>
        <w:instrText xml:space="preserve"> HYPERLINK \l "_Toc19418" </w:instrText>
      </w:r>
      <w:r>
        <w:rPr>
          <w:color w:val="auto"/>
          <w:highlight w:val="none"/>
        </w:rPr>
        <w:fldChar w:fldCharType="separate"/>
      </w:r>
      <w:r>
        <w:rPr>
          <w:rFonts w:hint="eastAsia" w:ascii="宋体" w:hAnsi="宋体" w:eastAsia="宋体"/>
          <w:bCs/>
          <w:color w:val="auto"/>
          <w:highlight w:val="none"/>
        </w:rPr>
        <w:t>第七章  政府采购</w:t>
      </w:r>
      <w:r>
        <w:rPr>
          <w:rFonts w:hint="eastAsia" w:asciiTheme="minorEastAsia" w:hAnsiTheme="minorEastAsia"/>
          <w:color w:val="auto"/>
          <w:highlight w:val="none"/>
        </w:rPr>
        <w:t>供应</w:t>
      </w:r>
      <w:r>
        <w:rPr>
          <w:rFonts w:hint="eastAsia" w:ascii="宋体" w:hAnsi="宋体" w:eastAsia="宋体"/>
          <w:bCs/>
          <w:color w:val="auto"/>
          <w:highlight w:val="none"/>
        </w:rPr>
        <w:t>商询问函和质疑函范本</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9</w:t>
      </w:r>
    </w:p>
    <w:p w14:paraId="0D2F3BEE">
      <w:pPr>
        <w:pStyle w:val="21"/>
        <w:tabs>
          <w:tab w:val="right" w:leader="dot" w:pos="8296"/>
        </w:tabs>
        <w:rPr>
          <w:rFonts w:asciiTheme="minorEastAsia" w:hAnsiTheme="minorEastAsia"/>
          <w:b/>
          <w:color w:val="auto"/>
          <w:sz w:val="32"/>
          <w:highlight w:val="none"/>
        </w:rPr>
      </w:pPr>
      <w:r>
        <w:rPr>
          <w:rFonts w:asciiTheme="minorEastAsia" w:hAnsiTheme="minorEastAsia"/>
          <w:bCs/>
          <w:color w:val="auto"/>
          <w:szCs w:val="24"/>
          <w:highlight w:val="none"/>
        </w:rPr>
        <w:fldChar w:fldCharType="end"/>
      </w:r>
    </w:p>
    <w:p w14:paraId="07BDC853">
      <w:pPr>
        <w:spacing w:line="360" w:lineRule="auto"/>
        <w:jc w:val="center"/>
        <w:outlineLvl w:val="1"/>
        <w:rPr>
          <w:rFonts w:asciiTheme="minorEastAsia" w:hAnsiTheme="minorEastAsia" w:eastAsiaTheme="minorEastAsia"/>
          <w:b/>
          <w:color w:val="auto"/>
          <w:sz w:val="28"/>
          <w:highlight w:val="none"/>
        </w:rPr>
        <w:sectPr>
          <w:headerReference r:id="rId3" w:type="default"/>
          <w:footerReference r:id="rId4" w:type="default"/>
          <w:pgSz w:w="11907" w:h="16840"/>
          <w:pgMar w:top="1474" w:right="1814" w:bottom="1474" w:left="1814" w:header="851" w:footer="992" w:gutter="0"/>
          <w:cols w:space="720" w:num="1"/>
          <w:docGrid w:linePitch="462" w:charSpace="0"/>
        </w:sectPr>
      </w:pPr>
    </w:p>
    <w:p w14:paraId="09734234">
      <w:pPr>
        <w:spacing w:line="360" w:lineRule="auto"/>
        <w:jc w:val="center"/>
        <w:outlineLvl w:val="0"/>
        <w:rPr>
          <w:rFonts w:asciiTheme="minorEastAsia" w:hAnsiTheme="minorEastAsia" w:eastAsiaTheme="minorEastAsia"/>
          <w:b/>
          <w:color w:val="auto"/>
          <w:sz w:val="28"/>
          <w:highlight w:val="none"/>
        </w:rPr>
      </w:pPr>
      <w:bookmarkStart w:id="1" w:name="_Toc501"/>
      <w:bookmarkStart w:id="2" w:name="_Toc19988"/>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磋商邀请</w:t>
      </w:r>
      <w:bookmarkEnd w:id="1"/>
      <w:bookmarkEnd w:id="2"/>
    </w:p>
    <w:p w14:paraId="65CFC92C">
      <w:pPr>
        <w:autoSpaceDE w:val="0"/>
        <w:autoSpaceDN w:val="0"/>
        <w:adjustRightInd w:val="0"/>
        <w:spacing w:line="480" w:lineRule="exact"/>
        <w:ind w:firstLine="436" w:firstLineChars="182"/>
        <w:jc w:val="left"/>
        <w:rPr>
          <w:rFonts w:ascii="宋体" w:hAnsi="宋体" w:eastAsia="宋体" w:cs="宋体"/>
          <w:color w:val="auto"/>
          <w:sz w:val="24"/>
          <w:szCs w:val="24"/>
          <w:highlight w:val="none"/>
        </w:rPr>
      </w:pPr>
      <w:bookmarkStart w:id="3" w:name="_Toc7162"/>
      <w:r>
        <w:rPr>
          <w:rFonts w:hint="eastAsia" w:ascii="宋体" w:hAnsi="宋体" w:eastAsia="宋体" w:cs="宋体"/>
          <w:color w:val="auto"/>
          <w:sz w:val="24"/>
          <w:szCs w:val="24"/>
          <w:highlight w:val="none"/>
        </w:rPr>
        <w:t>项目概况</w:t>
      </w:r>
    </w:p>
    <w:p w14:paraId="648EA412">
      <w:pPr>
        <w:autoSpaceDE w:val="0"/>
        <w:autoSpaceDN w:val="0"/>
        <w:adjustRightInd w:val="0"/>
        <w:spacing w:line="480" w:lineRule="exact"/>
        <w:ind w:firstLine="436" w:firstLineChars="182"/>
        <w:jc w:val="left"/>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eastAsia="zh-CN"/>
        </w:rPr>
        <w:t>2026-2027年滁州市城市阅读空间与城市书柜运营服务采购项目</w:t>
      </w:r>
      <w:r>
        <w:rPr>
          <w:rFonts w:hint="eastAsia" w:ascii="宋体" w:hAnsi="宋体" w:eastAsia="宋体" w:cs="宋体"/>
          <w:color w:val="auto"/>
          <w:sz w:val="24"/>
          <w:szCs w:val="24"/>
          <w:highlight w:val="none"/>
        </w:rPr>
        <w:t>的潜在供应商应在滁州市公共资源交易中心网（http://ggzy.chuzhou.gov.cn/）获取采购文件，并于2026年</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点</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分（北京时间）前递交响应文件。</w:t>
      </w:r>
    </w:p>
    <w:p w14:paraId="4AE71D09">
      <w:pPr>
        <w:spacing w:line="480" w:lineRule="exact"/>
        <w:ind w:firstLine="435"/>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一、项目名称及内容</w:t>
      </w:r>
    </w:p>
    <w:p w14:paraId="482D04C9">
      <w:pPr>
        <w:autoSpaceDE w:val="0"/>
        <w:autoSpaceDN w:val="0"/>
        <w:adjustRightInd w:val="0"/>
        <w:spacing w:line="480" w:lineRule="exact"/>
        <w:ind w:firstLine="436" w:firstLineChars="18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r>
        <w:rPr>
          <w:rFonts w:hint="default" w:ascii="宋体" w:hAnsi="宋体" w:eastAsia="宋体" w:cs="宋体"/>
          <w:color w:val="auto"/>
          <w:sz w:val="24"/>
          <w:szCs w:val="24"/>
          <w:highlight w:val="none"/>
        </w:rPr>
        <w:t>czsjcg202605-002</w:t>
      </w:r>
    </w:p>
    <w:p w14:paraId="58733C5A">
      <w:pPr>
        <w:autoSpaceDE w:val="0"/>
        <w:autoSpaceDN w:val="0"/>
        <w:adjustRightInd w:val="0"/>
        <w:spacing w:line="480" w:lineRule="exact"/>
        <w:ind w:firstLine="436" w:firstLineChars="182"/>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eastAsia="zh-CN"/>
        </w:rPr>
        <w:t>2026-2027年滁州市城市阅读空间与城市书柜运营服务采购项目</w:t>
      </w:r>
    </w:p>
    <w:p w14:paraId="54489BFF">
      <w:pPr>
        <w:autoSpaceDE w:val="0"/>
        <w:autoSpaceDN w:val="0"/>
        <w:adjustRightInd w:val="0"/>
        <w:spacing w:line="480" w:lineRule="exact"/>
        <w:ind w:firstLine="436" w:firstLineChars="18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采购方式：竞争性磋商</w:t>
      </w:r>
    </w:p>
    <w:p w14:paraId="22AF92DB">
      <w:pPr>
        <w:autoSpaceDE w:val="0"/>
        <w:autoSpaceDN w:val="0"/>
        <w:adjustRightInd w:val="0"/>
        <w:spacing w:line="480" w:lineRule="exact"/>
        <w:ind w:firstLine="436" w:firstLineChars="182"/>
        <w:jc w:val="left"/>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预算金额：</w:t>
      </w:r>
      <w:r>
        <w:rPr>
          <w:rFonts w:hint="eastAsia" w:ascii="宋体" w:hAnsi="宋体" w:eastAsia="宋体" w:cs="宋体"/>
          <w:color w:val="auto"/>
          <w:sz w:val="24"/>
          <w:szCs w:val="24"/>
          <w:highlight w:val="none"/>
          <w:lang w:val="en-US" w:eastAsia="zh-CN"/>
        </w:rPr>
        <w:t xml:space="preserve">1314000元 </w:t>
      </w:r>
    </w:p>
    <w:p w14:paraId="125030FC">
      <w:pPr>
        <w:autoSpaceDE w:val="0"/>
        <w:autoSpaceDN w:val="0"/>
        <w:adjustRightInd w:val="0"/>
        <w:spacing w:line="480" w:lineRule="exact"/>
        <w:ind w:firstLine="436" w:firstLineChars="182"/>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最高限价：1314000元。响应报价不得超过最高限价，否则按无效响应处理。</w:t>
      </w:r>
    </w:p>
    <w:p w14:paraId="56BF59FA">
      <w:pPr>
        <w:autoSpaceDE w:val="0"/>
        <w:autoSpaceDN w:val="0"/>
        <w:adjustRightInd w:val="0"/>
        <w:spacing w:line="480" w:lineRule="exact"/>
        <w:ind w:firstLine="436" w:firstLineChars="18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采购需求：</w:t>
      </w:r>
      <w:r>
        <w:rPr>
          <w:rFonts w:hint="eastAsia" w:ascii="宋体" w:hAnsi="宋体" w:eastAsia="宋体" w:cs="宋体"/>
          <w:color w:val="auto"/>
          <w:sz w:val="24"/>
          <w:szCs w:val="24"/>
          <w:highlight w:val="none"/>
          <w:lang w:val="en-US" w:eastAsia="zh-CN"/>
        </w:rPr>
        <w:t>滁州市城区已建成并向公众免费开放的遵阳书苑、梧桐书苑两个城市阅读空间及38个城市书柜的运营服务。</w:t>
      </w:r>
    </w:p>
    <w:p w14:paraId="61FCFB8E">
      <w:pPr>
        <w:autoSpaceDE w:val="0"/>
        <w:autoSpaceDN w:val="0"/>
        <w:adjustRightInd w:val="0"/>
        <w:spacing w:line="480" w:lineRule="exact"/>
        <w:ind w:firstLine="436" w:firstLineChars="182"/>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合同履行期限：</w:t>
      </w:r>
      <w:r>
        <w:rPr>
          <w:rFonts w:hint="eastAsia" w:ascii="宋体" w:hAnsi="宋体" w:eastAsia="宋体" w:cs="宋体"/>
          <w:color w:val="auto"/>
          <w:sz w:val="24"/>
          <w:szCs w:val="24"/>
          <w:highlight w:val="none"/>
          <w:lang w:val="en-US" w:eastAsia="zh-CN"/>
        </w:rPr>
        <w:t>自合同签订之日20.5个月。</w:t>
      </w:r>
    </w:p>
    <w:p w14:paraId="0A4AA876">
      <w:pPr>
        <w:autoSpaceDE w:val="0"/>
        <w:autoSpaceDN w:val="0"/>
        <w:adjustRightInd w:val="0"/>
        <w:spacing w:line="480" w:lineRule="exact"/>
        <w:ind w:firstLine="436" w:firstLineChars="18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w:t>
      </w:r>
    </w:p>
    <w:p w14:paraId="563073A3">
      <w:pPr>
        <w:spacing w:line="480" w:lineRule="exact"/>
        <w:ind w:firstLine="435"/>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rPr>
        <w:t>申请人的资格要求</w:t>
      </w:r>
    </w:p>
    <w:p w14:paraId="3E6C11C2">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404B104D">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按照财政部、工业和信息化部制定的《政府采购促进中小企业发展管理办法》，本项目为专门面向中小企业采购项目。企业划型标准按照《关于印发中小企业划型标准规定的通知》（工信部联企业〔2011〕300号）规定执行；</w:t>
      </w:r>
    </w:p>
    <w:p w14:paraId="1F54A757">
      <w:pPr>
        <w:spacing w:line="360" w:lineRule="auto"/>
        <w:ind w:firstLine="435"/>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3.本项目的特定资格要求：</w:t>
      </w:r>
      <w:r>
        <w:rPr>
          <w:rFonts w:hint="eastAsia" w:ascii="宋体" w:hAnsi="宋体" w:eastAsia="宋体" w:cs="宋体"/>
          <w:color w:val="auto"/>
          <w:sz w:val="24"/>
          <w:szCs w:val="24"/>
          <w:highlight w:val="none"/>
          <w:lang w:val="en-US" w:eastAsia="zh-CN"/>
        </w:rPr>
        <w:t>/；</w:t>
      </w:r>
    </w:p>
    <w:p w14:paraId="44C417BC">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4.信誉要求：供应商不得存在以下情形：</w:t>
      </w:r>
    </w:p>
    <w:p w14:paraId="2DE2ACED">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①被列入“信用中国”网站“失信被执行人”的；</w:t>
      </w:r>
    </w:p>
    <w:p w14:paraId="4BA029FD">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②被列入“信用中国”网站“重大税收违法失信主体”的；</w:t>
      </w:r>
    </w:p>
    <w:p w14:paraId="5DA545B5">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③被列入“信用中国”网站“严重失信主体名单”的；</w:t>
      </w:r>
    </w:p>
    <w:p w14:paraId="1A4C3EB7">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④在“信用中国”网站上披露的仍在公示期的严重失信行为(具体行为类别及判定依据见“信用中国”查询的严重失信行为类别及判定依据)的。</w:t>
      </w:r>
    </w:p>
    <w:p w14:paraId="657293C1">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⑤被列入国家企业信用信息公示系统网站“经营异常名录”或者“严重违法失信名单”的。</w:t>
      </w:r>
    </w:p>
    <w:p w14:paraId="1600E783">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⑥被列入中国政府采购网站“政府采购严重违法失信行为信息记录”的。</w:t>
      </w:r>
    </w:p>
    <w:p w14:paraId="55A62AC3">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⑦前三年有行贿犯罪行为的单位和个人。</w:t>
      </w:r>
    </w:p>
    <w:p w14:paraId="553CCC3C">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5.供应商所属分公司、办事处等分支机构存在第4条信誉要求①-</w:t>
      </w:r>
      <w:r>
        <w:rPr>
          <w:rFonts w:hint="eastAsia" w:ascii="宋体" w:hAnsi="宋体" w:eastAsia="宋体" w:cs="宋体"/>
          <w:color w:val="auto"/>
          <w:sz w:val="24"/>
          <w:szCs w:val="24"/>
          <w:highlight w:val="none"/>
          <w:lang w:val="en-US" w:eastAsia="zh-CN"/>
        </w:rPr>
        <w:t>⑦</w:t>
      </w:r>
      <w:r>
        <w:rPr>
          <w:rFonts w:hint="eastAsia" w:ascii="宋体" w:hAnsi="宋体" w:eastAsia="宋体" w:cs="宋体"/>
          <w:color w:val="auto"/>
          <w:sz w:val="24"/>
          <w:szCs w:val="24"/>
          <w:highlight w:val="none"/>
        </w:rPr>
        <w:t>项情形之一的，接受供应商参加本项目；</w:t>
      </w:r>
    </w:p>
    <w:p w14:paraId="187D4E71">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备注：第4、5条按照“关于联合惩戒失信行为加强信用查询管理的通知”查询或承诺。</w:t>
      </w:r>
    </w:p>
    <w:p w14:paraId="7E48817D">
      <w:pPr>
        <w:spacing w:line="480" w:lineRule="exact"/>
        <w:ind w:firstLine="435"/>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w:t>
      </w:r>
      <w:r>
        <w:rPr>
          <w:rFonts w:hint="eastAsia" w:ascii="宋体" w:hAnsi="宋体" w:eastAsia="宋体" w:cs="宋体"/>
          <w:b/>
          <w:color w:val="auto"/>
          <w:sz w:val="24"/>
          <w:szCs w:val="24"/>
          <w:highlight w:val="none"/>
        </w:rPr>
        <w:t>、获取采购文件</w:t>
      </w:r>
    </w:p>
    <w:p w14:paraId="4A114082">
      <w:pPr>
        <w:adjustRightInd w:val="0"/>
        <w:snapToGrid w:val="0"/>
        <w:spacing w:line="48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2026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6</w:t>
      </w:r>
      <w:r>
        <w:rPr>
          <w:rFonts w:hint="eastAsia" w:ascii="宋体" w:hAnsi="宋体" w:eastAsia="宋体" w:cs="宋体"/>
          <w:color w:val="auto"/>
          <w:sz w:val="24"/>
          <w:szCs w:val="24"/>
          <w:highlight w:val="none"/>
        </w:rPr>
        <w:t>日至</w:t>
      </w:r>
      <w:r>
        <w:rPr>
          <w:rFonts w:hint="eastAsia" w:ascii="宋体" w:hAnsi="宋体" w:eastAsia="宋体" w:cs="宋体"/>
          <w:color w:val="auto"/>
          <w:sz w:val="24"/>
          <w:szCs w:val="24"/>
          <w:highlight w:val="none"/>
          <w:u w:val="single"/>
        </w:rPr>
        <w:t>2026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18</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日（磋商文件的发售期限自开始之日起不得少于5个工作日）</w:t>
      </w:r>
    </w:p>
    <w:p w14:paraId="369C1945">
      <w:pPr>
        <w:adjustRightInd w:val="0"/>
        <w:snapToGrid w:val="0"/>
        <w:spacing w:line="480" w:lineRule="exact"/>
        <w:ind w:firstLine="480" w:firstLineChars="2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滁州市公共资源交易中心网</w:t>
      </w:r>
    </w:p>
    <w:p w14:paraId="2F67AA7F">
      <w:pPr>
        <w:autoSpaceDE w:val="0"/>
        <w:spacing w:line="480" w:lineRule="exact"/>
        <w:ind w:firstLine="480" w:firstLineChars="2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u w:val="single"/>
        </w:rPr>
        <w:t>网上下载</w:t>
      </w:r>
    </w:p>
    <w:p w14:paraId="412CCB49">
      <w:pPr>
        <w:autoSpaceDE w:val="0"/>
        <w:spacing w:line="480" w:lineRule="exact"/>
        <w:ind w:firstLine="480" w:firstLineChars="2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售价：</w:t>
      </w:r>
      <w:r>
        <w:rPr>
          <w:rFonts w:hint="eastAsia" w:ascii="宋体" w:hAnsi="宋体" w:eastAsia="宋体" w:cs="宋体"/>
          <w:color w:val="auto"/>
          <w:sz w:val="24"/>
          <w:szCs w:val="24"/>
          <w:highlight w:val="none"/>
          <w:u w:val="single"/>
        </w:rPr>
        <w:t>0元</w:t>
      </w:r>
    </w:p>
    <w:p w14:paraId="4F922194">
      <w:pPr>
        <w:spacing w:line="480" w:lineRule="exact"/>
        <w:ind w:firstLine="435"/>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rPr>
        <w:t>响应文件提交</w:t>
      </w:r>
    </w:p>
    <w:p w14:paraId="7D57F4D7">
      <w:pPr>
        <w:spacing w:line="48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截止时间：</w:t>
      </w:r>
      <w:r>
        <w:rPr>
          <w:rFonts w:hint="eastAsia" w:ascii="宋体" w:hAnsi="宋体" w:eastAsia="宋体" w:cs="宋体"/>
          <w:bCs/>
          <w:color w:val="auto"/>
          <w:sz w:val="24"/>
          <w:szCs w:val="24"/>
          <w:highlight w:val="none"/>
          <w:u w:val="single"/>
        </w:rPr>
        <w:t>2026</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5</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18</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r>
        <w:rPr>
          <w:rFonts w:hint="eastAsia" w:ascii="宋体" w:hAnsi="宋体" w:eastAsia="宋体" w:cs="宋体"/>
          <w:bCs/>
          <w:color w:val="auto"/>
          <w:sz w:val="24"/>
          <w:szCs w:val="24"/>
          <w:highlight w:val="none"/>
          <w:u w:val="single"/>
          <w:lang w:val="en-US" w:eastAsia="zh-CN"/>
        </w:rPr>
        <w:t xml:space="preserve"> 8 </w:t>
      </w:r>
      <w:r>
        <w:rPr>
          <w:rFonts w:hint="eastAsia" w:ascii="宋体" w:hAnsi="宋体" w:eastAsia="宋体" w:cs="宋体"/>
          <w:bCs/>
          <w:color w:val="auto"/>
          <w:sz w:val="24"/>
          <w:szCs w:val="24"/>
          <w:highlight w:val="none"/>
        </w:rPr>
        <w:t>点</w:t>
      </w:r>
      <w:r>
        <w:rPr>
          <w:rFonts w:hint="eastAsia" w:ascii="宋体" w:hAnsi="宋体" w:eastAsia="宋体" w:cs="宋体"/>
          <w:bCs/>
          <w:color w:val="auto"/>
          <w:sz w:val="24"/>
          <w:szCs w:val="24"/>
          <w:highlight w:val="none"/>
          <w:u w:val="single"/>
          <w:lang w:val="en-US" w:eastAsia="zh-CN"/>
        </w:rPr>
        <w:t xml:space="preserve"> 50 </w:t>
      </w:r>
      <w:r>
        <w:rPr>
          <w:rFonts w:hint="eastAsia" w:ascii="宋体" w:hAnsi="宋体" w:eastAsia="宋体" w:cs="宋体"/>
          <w:bCs/>
          <w:color w:val="auto"/>
          <w:sz w:val="24"/>
          <w:szCs w:val="24"/>
          <w:highlight w:val="none"/>
        </w:rPr>
        <w:t>分（北京时间）（从磋商文件开始发出之日起至供应商提交首次响应文件截止之日止不得少于10日）</w:t>
      </w:r>
    </w:p>
    <w:p w14:paraId="7598B083">
      <w:pPr>
        <w:spacing w:line="480" w:lineRule="exact"/>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地点：滁州市公共资源交易平台电子交易系统</w:t>
      </w:r>
    </w:p>
    <w:p w14:paraId="37729193">
      <w:pPr>
        <w:spacing w:line="480" w:lineRule="exact"/>
        <w:ind w:firstLine="435"/>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rPr>
        <w:t>开启</w:t>
      </w:r>
    </w:p>
    <w:p w14:paraId="7AB04FE1">
      <w:pPr>
        <w:adjustRightInd w:val="0"/>
        <w:snapToGrid w:val="0"/>
        <w:spacing w:line="48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时间：</w:t>
      </w:r>
      <w:r>
        <w:rPr>
          <w:rFonts w:hint="eastAsia" w:ascii="宋体" w:hAnsi="宋体" w:eastAsia="宋体" w:cs="宋体"/>
          <w:bCs/>
          <w:color w:val="auto"/>
          <w:sz w:val="24"/>
          <w:szCs w:val="24"/>
          <w:highlight w:val="none"/>
          <w:u w:val="single"/>
        </w:rPr>
        <w:t>2026</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5</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18</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r>
        <w:rPr>
          <w:rFonts w:hint="eastAsia" w:ascii="宋体" w:hAnsi="宋体" w:eastAsia="宋体" w:cs="宋体"/>
          <w:bCs/>
          <w:color w:val="auto"/>
          <w:sz w:val="24"/>
          <w:szCs w:val="24"/>
          <w:highlight w:val="none"/>
          <w:u w:val="single"/>
          <w:lang w:val="en-US" w:eastAsia="zh-CN"/>
        </w:rPr>
        <w:t xml:space="preserve"> 8 </w:t>
      </w:r>
      <w:r>
        <w:rPr>
          <w:rFonts w:hint="eastAsia" w:ascii="宋体" w:hAnsi="宋体" w:eastAsia="宋体" w:cs="宋体"/>
          <w:bCs/>
          <w:color w:val="auto"/>
          <w:sz w:val="24"/>
          <w:szCs w:val="24"/>
          <w:highlight w:val="none"/>
        </w:rPr>
        <w:t>点</w:t>
      </w:r>
      <w:r>
        <w:rPr>
          <w:rFonts w:hint="eastAsia" w:ascii="宋体" w:hAnsi="宋体" w:eastAsia="宋体" w:cs="宋体"/>
          <w:bCs/>
          <w:color w:val="auto"/>
          <w:sz w:val="24"/>
          <w:szCs w:val="24"/>
          <w:highlight w:val="none"/>
          <w:u w:val="single"/>
          <w:lang w:val="en-US" w:eastAsia="zh-CN"/>
        </w:rPr>
        <w:t xml:space="preserve"> 50</w:t>
      </w:r>
      <w:r>
        <w:rPr>
          <w:rFonts w:hint="eastAsia" w:ascii="宋体" w:hAnsi="宋体" w:eastAsia="宋体" w:cs="宋体"/>
          <w:bCs/>
          <w:color w:val="auto"/>
          <w:sz w:val="24"/>
          <w:szCs w:val="24"/>
          <w:highlight w:val="none"/>
        </w:rPr>
        <w:t>分（北京时间）</w:t>
      </w:r>
    </w:p>
    <w:p w14:paraId="33F88DF8">
      <w:pPr>
        <w:adjustRightInd w:val="0"/>
        <w:snapToGrid w:val="0"/>
        <w:spacing w:line="48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地点：滁州市公共资源交易平台电子交易系统</w:t>
      </w:r>
    </w:p>
    <w:p w14:paraId="1E53E748">
      <w:pPr>
        <w:spacing w:line="480" w:lineRule="exact"/>
        <w:ind w:firstLine="435"/>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六、公告期限</w:t>
      </w:r>
    </w:p>
    <w:p w14:paraId="408AB06D">
      <w:pPr>
        <w:adjustRightInd w:val="0"/>
        <w:snapToGrid w:val="0"/>
        <w:spacing w:line="480" w:lineRule="exact"/>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自本公告发布之日起3个工作日。</w:t>
      </w:r>
    </w:p>
    <w:p w14:paraId="129AF461">
      <w:pPr>
        <w:spacing w:line="480" w:lineRule="exact"/>
        <w:ind w:firstLine="435"/>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七、其他补充事宜</w:t>
      </w:r>
    </w:p>
    <w:p w14:paraId="03D49B27">
      <w:pPr>
        <w:wordWrap w:val="0"/>
        <w:autoSpaceDE w:val="0"/>
        <w:spacing w:line="48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只接受在安徽省公共资源交易市场主体库（http://ggzy.ah.gov.cn/ahggfwpt-zhutiku/dengludenglu）登记并进行信息确认提交的供应商参与，未登记的供应商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；2.CA数字证书有关问题：安徽CA客服</w:t>
      </w:r>
      <w:r>
        <w:rPr>
          <w:rFonts w:hint="eastAsia" w:ascii="宋体" w:hAnsi="宋体" w:eastAsia="宋体" w:cs="宋体"/>
          <w:color w:val="auto"/>
          <w:sz w:val="24"/>
          <w:szCs w:val="24"/>
          <w:highlight w:val="none"/>
          <w:lang w:eastAsia="zh-CN"/>
        </w:rPr>
        <w:t>400-615-8899</w:t>
      </w:r>
      <w:r>
        <w:rPr>
          <w:rFonts w:hint="eastAsia" w:ascii="宋体" w:hAnsi="宋体" w:eastAsia="宋体" w:cs="宋体"/>
          <w:color w:val="auto"/>
          <w:sz w:val="24"/>
          <w:szCs w:val="24"/>
          <w:highlight w:val="none"/>
        </w:rPr>
        <w:t>、0550-3019013（工作日），CFCA客服025-66085508 、0550-3801669（工作日）；3.市场主体招标环节和投标环节系统使用问题：</w:t>
      </w:r>
      <w:r>
        <w:rPr>
          <w:rFonts w:hint="eastAsia" w:ascii="宋体" w:hAnsi="宋体" w:eastAsia="宋体" w:cs="宋体"/>
          <w:color w:val="auto"/>
          <w:sz w:val="24"/>
          <w:szCs w:val="24"/>
          <w:highlight w:val="none"/>
          <w:lang w:eastAsia="zh-CN"/>
        </w:rPr>
        <w:t>0512-58188516</w:t>
      </w:r>
      <w:r>
        <w:rPr>
          <w:rFonts w:hint="eastAsia" w:ascii="宋体" w:hAnsi="宋体" w:eastAsia="宋体" w:cs="宋体"/>
          <w:color w:val="auto"/>
          <w:sz w:val="24"/>
          <w:szCs w:val="24"/>
          <w:highlight w:val="none"/>
        </w:rPr>
        <w:t>（8：00-21：00）、0550-3801701（工作日）。因未及时通过CA数字证书登录省主体库对相关信息进行补充完善并确认提交，导致无法参与本项目的，责任自负。为保证系统使用过程中产生的问题能够及时得到解决，请各主体进行主体信息登记、更新、响应文件制作等相关操作。</w:t>
      </w:r>
    </w:p>
    <w:p w14:paraId="62A9DA4E">
      <w:pPr>
        <w:wordWrap w:val="0"/>
        <w:autoSpaceDE w:val="0"/>
        <w:spacing w:line="48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2.请供应商登录滁州市公共资源交易中心网站查看参加本项目的程序。（具体操作步骤和程序请参见服务指南&gt;交易须知&gt;投标人填写投标信息、下载文件及网上提问操作手册）。</w:t>
      </w:r>
    </w:p>
    <w:p w14:paraId="10B59280">
      <w:pPr>
        <w:wordWrap w:val="0"/>
        <w:autoSpaceDE w:val="0"/>
        <w:spacing w:line="48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采用不见面（远程解密)方式，开启时供应商无须至现场进行解密，采取远程解密方式解密响应文件，解密方式为：供应商在开启时间前使用CA数字证书登录滁州市“不见面开标系统”，网址为https://ggzy.chuzhou.gov.cn/BidOpening,等待开启并按系统提示进行相应的供应商解密等事项，无需到现场。采用本方式可以观看开启现场音视频直播并进行互动交流。具体操作方法见中心网站&gt;服务指南&gt;交易须知中的《滁州市不见面开标系统操作手册》。</w:t>
      </w:r>
    </w:p>
    <w:p w14:paraId="677F3327">
      <w:pPr>
        <w:wordWrap w:val="0"/>
        <w:autoSpaceDE w:val="0"/>
        <w:spacing w:line="480" w:lineRule="exact"/>
        <w:ind w:firstLine="480" w:firstLineChars="2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供应商接到远程解密指令后，须在规定时间内解密。因供应商自身原因导致响应文件在规定时间内未能解密、解密失败或解密超时，响应文件无效；因采购代理机构原因或网上平台发生故障，导致无法按时完成响应文件解密的，经采购代理机构申请后可延迟解密时间。</w:t>
      </w:r>
    </w:p>
    <w:p w14:paraId="27668B59">
      <w:pPr>
        <w:spacing w:line="360" w:lineRule="auto"/>
        <w:ind w:firstLine="435"/>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rPr>
        <w:t>凡对本次采购提出询问，请按以下方式联系</w:t>
      </w:r>
    </w:p>
    <w:p w14:paraId="2ECFB497">
      <w:pPr>
        <w:spacing w:line="360" w:lineRule="auto"/>
        <w:ind w:firstLine="437"/>
        <w:outlineLvl w:val="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4DDDFC55">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lang w:eastAsia="zh-CN"/>
        </w:rPr>
        <w:t>滁州市文化和旅游局</w:t>
      </w:r>
    </w:p>
    <w:p w14:paraId="7AFC25AA">
      <w:pPr>
        <w:spacing w:line="360" w:lineRule="auto"/>
        <w:ind w:firstLine="435"/>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lang w:eastAsia="zh-CN"/>
        </w:rPr>
        <w:t>滁州市会峰路555号会峰大厦1</w:t>
      </w:r>
      <w:r>
        <w:rPr>
          <w:rFonts w:hint="eastAsia" w:ascii="宋体" w:hAnsi="宋体" w:eastAsia="宋体"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lang w:eastAsia="zh-CN"/>
        </w:rPr>
        <w:t>楼</w:t>
      </w:r>
    </w:p>
    <w:p w14:paraId="5634A82C">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刘春雷</w:t>
      </w:r>
    </w:p>
    <w:p w14:paraId="758B71D6">
      <w:pPr>
        <w:spacing w:line="360" w:lineRule="auto"/>
        <w:ind w:firstLine="437"/>
        <w:outlineLvl w:val="2"/>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lang w:eastAsia="zh-CN"/>
        </w:rPr>
        <w:t>0550-3</w:t>
      </w:r>
      <w:r>
        <w:rPr>
          <w:rFonts w:hint="eastAsia" w:ascii="宋体" w:hAnsi="宋体" w:eastAsia="宋体" w:cs="宋体"/>
          <w:color w:val="auto"/>
          <w:sz w:val="24"/>
          <w:szCs w:val="24"/>
          <w:highlight w:val="none"/>
          <w:u w:val="single"/>
          <w:lang w:val="en-US" w:eastAsia="zh-CN"/>
        </w:rPr>
        <w:t>216119</w:t>
      </w:r>
    </w:p>
    <w:p w14:paraId="66838953">
      <w:pPr>
        <w:spacing w:line="360" w:lineRule="auto"/>
        <w:ind w:firstLine="437"/>
        <w:outlineLvl w:val="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14:paraId="507D4E62">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滁州市城投工程咨询管理有限公司</w:t>
      </w:r>
    </w:p>
    <w:p w14:paraId="71F00B7D">
      <w:pPr>
        <w:spacing w:line="360" w:lineRule="auto"/>
        <w:ind w:firstLine="435"/>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滁州市龙蟠大道109号房产商务大厦6楼</w:t>
      </w:r>
    </w:p>
    <w:p w14:paraId="585D535A">
      <w:pPr>
        <w:spacing w:line="360" w:lineRule="auto"/>
        <w:ind w:firstLine="435"/>
        <w:rPr>
          <w:rFonts w:hint="eastAsia" w:ascii="宋体" w:hAnsi="宋体" w:eastAsia="宋体" w:cs="宋体"/>
          <w:color w:val="auto"/>
          <w:szCs w:val="21"/>
          <w:highlight w:val="none"/>
          <w:lang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eastAsia="zh-CN"/>
        </w:rPr>
        <w:t>周蓓蕾</w:t>
      </w:r>
    </w:p>
    <w:p w14:paraId="6AE6A654">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lang w:eastAsia="zh-CN"/>
        </w:rPr>
        <w:t>0550-3519519</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18005505728</w:t>
      </w:r>
    </w:p>
    <w:p w14:paraId="4153D2A8">
      <w:pPr>
        <w:spacing w:line="360" w:lineRule="auto"/>
        <w:ind w:firstLine="437"/>
        <w:outlineLvl w:val="2"/>
        <w:rPr>
          <w:rFonts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政府采购监督管理部门信息</w:t>
      </w:r>
    </w:p>
    <w:p w14:paraId="39D85075">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滁州市公共资源交易监督管理局</w:t>
      </w:r>
    </w:p>
    <w:p w14:paraId="385F7037">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滁州市龙蟠大道109号房产大厦三楼</w:t>
      </w:r>
    </w:p>
    <w:p w14:paraId="36398658">
      <w:pPr>
        <w:spacing w:line="360" w:lineRule="auto"/>
        <w:ind w:firstLine="435"/>
        <w:rPr>
          <w:rFonts w:ascii="宋体" w:hAnsi="宋体" w:eastAsia="宋体" w:cs="宋体"/>
          <w:color w:val="auto"/>
          <w:highlight w:val="none"/>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rPr>
        <w:t>0550-3801656</w:t>
      </w:r>
    </w:p>
    <w:p w14:paraId="465F2B34">
      <w:pPr>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br w:type="page"/>
      </w:r>
    </w:p>
    <w:p w14:paraId="3162F7FE">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供应商</w:t>
      </w:r>
      <w:r>
        <w:rPr>
          <w:rFonts w:asciiTheme="minorEastAsia" w:hAnsiTheme="minorEastAsia" w:eastAsiaTheme="minorEastAsia"/>
          <w:b/>
          <w:color w:val="auto"/>
          <w:sz w:val="28"/>
          <w:highlight w:val="none"/>
        </w:rPr>
        <w:t>须知</w:t>
      </w:r>
      <w:bookmarkEnd w:id="3"/>
    </w:p>
    <w:p w14:paraId="19AC5941">
      <w:pPr>
        <w:spacing w:line="360" w:lineRule="auto"/>
        <w:jc w:val="center"/>
        <w:outlineLvl w:val="1"/>
        <w:rPr>
          <w:rFonts w:asciiTheme="minorEastAsia" w:hAnsiTheme="minorEastAsia" w:eastAsiaTheme="minorEastAsia"/>
          <w:b/>
          <w:color w:val="auto"/>
          <w:sz w:val="24"/>
          <w:highlight w:val="none"/>
        </w:rPr>
      </w:pPr>
      <w:bookmarkStart w:id="4" w:name="_Toc11383"/>
      <w:bookmarkStart w:id="5" w:name="_Toc11709"/>
      <w:r>
        <w:rPr>
          <w:rFonts w:hint="eastAsia" w:asciiTheme="minorEastAsia" w:hAnsiTheme="minorEastAsia" w:eastAsiaTheme="minorEastAsia"/>
          <w:b/>
          <w:color w:val="auto"/>
          <w:sz w:val="24"/>
          <w:highlight w:val="none"/>
        </w:rPr>
        <w:t>一、供应商</w:t>
      </w:r>
      <w:r>
        <w:rPr>
          <w:rFonts w:asciiTheme="minorEastAsia" w:hAnsiTheme="minorEastAsia" w:eastAsiaTheme="minorEastAsia"/>
          <w:b/>
          <w:color w:val="auto"/>
          <w:sz w:val="24"/>
          <w:highlight w:val="none"/>
        </w:rPr>
        <w:t>须知前附表</w:t>
      </w:r>
      <w:bookmarkEnd w:id="4"/>
      <w:bookmarkEnd w:id="5"/>
    </w:p>
    <w:p w14:paraId="500EE0D3">
      <w:pPr>
        <w:spacing w:line="360" w:lineRule="auto"/>
        <w:ind w:firstLine="435"/>
        <w:rPr>
          <w:rFonts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本表是本项目的具体要求，是对供应商须知的具体补充和修改，如有不一致，以本表为准。</w:t>
      </w:r>
    </w:p>
    <w:tbl>
      <w:tblPr>
        <w:tblStyle w:val="26"/>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2031"/>
        <w:gridCol w:w="5722"/>
      </w:tblGrid>
      <w:tr w14:paraId="0357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3E46B72F">
            <w:pPr>
              <w:pStyle w:val="43"/>
              <w:widowControl w:val="0"/>
              <w:spacing w:before="0" w:beforeAutospacing="0" w:after="0" w:afterAutospacing="0" w:line="360" w:lineRule="auto"/>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条款号</w:t>
            </w:r>
          </w:p>
        </w:tc>
        <w:tc>
          <w:tcPr>
            <w:tcW w:w="1160" w:type="pct"/>
            <w:vAlign w:val="center"/>
          </w:tcPr>
          <w:p w14:paraId="158038D3">
            <w:pPr>
              <w:pStyle w:val="43"/>
              <w:widowControl w:val="0"/>
              <w:spacing w:before="0" w:beforeAutospacing="0" w:after="0" w:afterAutospacing="0" w:line="360" w:lineRule="auto"/>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条款名称</w:t>
            </w:r>
          </w:p>
        </w:tc>
        <w:tc>
          <w:tcPr>
            <w:tcW w:w="3267" w:type="pct"/>
            <w:vAlign w:val="center"/>
          </w:tcPr>
          <w:p w14:paraId="79195AFE">
            <w:pPr>
              <w:pStyle w:val="43"/>
              <w:widowControl w:val="0"/>
              <w:spacing w:before="0" w:beforeAutospacing="0" w:after="0" w:afterAutospacing="0" w:line="360" w:lineRule="auto"/>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内容、说明与要求</w:t>
            </w:r>
          </w:p>
        </w:tc>
      </w:tr>
      <w:tr w14:paraId="428C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1F085B59">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5</w:t>
            </w:r>
            <w:r>
              <w:rPr>
                <w:rFonts w:ascii="宋体" w:hAnsi="宋体" w:eastAsia="宋体"/>
                <w:bCs/>
                <w:color w:val="auto"/>
                <w:kern w:val="2"/>
                <w:highlight w:val="none"/>
              </w:rPr>
              <w:t>.</w:t>
            </w:r>
            <w:r>
              <w:rPr>
                <w:rFonts w:hint="eastAsia" w:ascii="宋体" w:hAnsi="宋体" w:eastAsia="宋体"/>
                <w:bCs/>
                <w:color w:val="auto"/>
                <w:kern w:val="2"/>
                <w:highlight w:val="none"/>
              </w:rPr>
              <w:t>2</w:t>
            </w:r>
          </w:p>
        </w:tc>
        <w:tc>
          <w:tcPr>
            <w:tcW w:w="2227" w:type="dxa"/>
            <w:vAlign w:val="center"/>
          </w:tcPr>
          <w:p w14:paraId="326BA86C">
            <w:pPr>
              <w:pStyle w:val="43"/>
              <w:widowControl w:val="0"/>
              <w:spacing w:before="0" w:beforeAutospacing="0" w:after="0" w:afterAutospacing="0" w:line="360" w:lineRule="auto"/>
              <w:jc w:val="left"/>
              <w:rPr>
                <w:rFonts w:ascii="宋体" w:hAnsi="宋体" w:eastAsia="宋体"/>
                <w:b w:val="0"/>
                <w:color w:val="auto"/>
                <w:sz w:val="24"/>
                <w:highlight w:val="none"/>
              </w:rPr>
            </w:pPr>
            <w:r>
              <w:rPr>
                <w:rFonts w:hint="eastAsia" w:ascii="宋体" w:hAnsi="宋体" w:eastAsia="宋体" w:cs="宋体"/>
                <w:b w:val="0"/>
                <w:color w:val="auto"/>
                <w:kern w:val="2"/>
                <w:sz w:val="24"/>
                <w:szCs w:val="22"/>
                <w:highlight w:val="none"/>
              </w:rPr>
              <w:t>现场考察或标前答疑会</w:t>
            </w:r>
          </w:p>
        </w:tc>
        <w:tc>
          <w:tcPr>
            <w:tcW w:w="6274" w:type="dxa"/>
            <w:vAlign w:val="center"/>
          </w:tcPr>
          <w:p w14:paraId="651DE3E8">
            <w:pPr>
              <w:spacing w:line="360" w:lineRule="auto"/>
              <w:rPr>
                <w:rFonts w:ascii="宋体" w:hAnsi="宋体" w:eastAsia="宋体" w:cs="宋体"/>
                <w:bCs/>
                <w:color w:val="auto"/>
                <w:sz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color w:val="auto"/>
                <w:sz w:val="24"/>
                <w:highlight w:val="none"/>
              </w:rPr>
              <w:t>不组织或不召开</w:t>
            </w:r>
          </w:p>
          <w:p w14:paraId="50AC5CDF">
            <w:pPr>
              <w:spacing w:line="360" w:lineRule="auto"/>
              <w:rPr>
                <w:rFonts w:ascii="宋体" w:hAnsi="宋体" w:eastAsia="宋体" w:cs="宋体"/>
                <w:bCs/>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统一组织</w:t>
            </w:r>
          </w:p>
          <w:p w14:paraId="4D6F8317">
            <w:pPr>
              <w:spacing w:line="360" w:lineRule="auto"/>
              <w:rPr>
                <w:rFonts w:ascii="宋体" w:hAnsi="宋体" w:eastAsia="宋体" w:cs="宋体"/>
                <w:bCs/>
                <w:color w:val="auto"/>
                <w:sz w:val="24"/>
                <w:highlight w:val="none"/>
                <w:u w:val="single"/>
              </w:rPr>
            </w:pPr>
            <w:r>
              <w:rPr>
                <w:rFonts w:hint="eastAsia" w:ascii="宋体" w:hAnsi="宋体" w:eastAsia="宋体" w:cs="宋体"/>
                <w:bCs/>
                <w:color w:val="auto"/>
                <w:sz w:val="24"/>
                <w:highlight w:val="none"/>
              </w:rPr>
              <w:t>时间：</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日</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时</w:t>
            </w:r>
            <w:r>
              <w:rPr>
                <w:rFonts w:hint="eastAsia" w:ascii="宋体" w:hAnsi="宋体" w:eastAsia="宋体" w:cs="宋体"/>
                <w:bCs/>
                <w:color w:val="auto"/>
                <w:sz w:val="24"/>
                <w:highlight w:val="none"/>
                <w:u w:val="single"/>
              </w:rPr>
              <w:t xml:space="preserve"> /  </w:t>
            </w:r>
            <w:r>
              <w:rPr>
                <w:rFonts w:hint="eastAsia" w:ascii="宋体" w:hAnsi="宋体" w:eastAsia="宋体" w:cs="宋体"/>
                <w:bCs/>
                <w:color w:val="auto"/>
                <w:sz w:val="24"/>
                <w:highlight w:val="none"/>
              </w:rPr>
              <w:t>分</w:t>
            </w:r>
          </w:p>
          <w:p w14:paraId="22AA1763">
            <w:pPr>
              <w:spacing w:line="360" w:lineRule="auto"/>
              <w:rPr>
                <w:rFonts w:ascii="宋体" w:hAnsi="宋体" w:eastAsia="宋体" w:cs="宋体"/>
                <w:bCs/>
                <w:color w:val="auto"/>
                <w:sz w:val="24"/>
                <w:highlight w:val="none"/>
                <w:u w:val="single"/>
              </w:rPr>
            </w:pPr>
            <w:r>
              <w:rPr>
                <w:rFonts w:hint="eastAsia" w:ascii="宋体" w:hAnsi="宋体" w:eastAsia="宋体" w:cs="宋体"/>
                <w:bCs/>
                <w:color w:val="auto"/>
                <w:sz w:val="24"/>
                <w:highlight w:val="none"/>
              </w:rPr>
              <w:t>地点：</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u w:val="single"/>
                <w:lang w:val="en-US" w:eastAsia="zh-CN"/>
              </w:rPr>
              <w:t>/</w:t>
            </w:r>
            <w:r>
              <w:rPr>
                <w:rFonts w:hint="eastAsia" w:ascii="宋体" w:hAnsi="宋体" w:eastAsia="宋体" w:cs="宋体"/>
                <w:bCs/>
                <w:color w:val="auto"/>
                <w:sz w:val="24"/>
                <w:highlight w:val="none"/>
                <w:u w:val="single"/>
              </w:rPr>
              <w:t xml:space="preserve">    </w:t>
            </w:r>
          </w:p>
          <w:p w14:paraId="501CC87E">
            <w:pPr>
              <w:spacing w:line="360" w:lineRule="auto"/>
              <w:rPr>
                <w:rFonts w:hint="default"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联系人及联系电话：</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u w:val="single"/>
                <w:lang w:val="en-US" w:eastAsia="zh-CN"/>
              </w:rPr>
              <w:t xml:space="preserve">/ </w:t>
            </w:r>
          </w:p>
          <w:p w14:paraId="7CCF13F5">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Cs w:val="0"/>
                <w:color w:val="auto"/>
                <w:sz w:val="24"/>
                <w:highlight w:val="none"/>
              </w:rPr>
              <w:t>注：如供应商未参加采购人统一组织的现场考察或采购人统一召开的标前答疑会，视同放弃现场考察或标前答疑会，由此引起的一切责任由供应商自行承担。</w:t>
            </w:r>
          </w:p>
        </w:tc>
      </w:tr>
      <w:tr w14:paraId="4D88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791EB4E2">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6</w:t>
            </w:r>
            <w:r>
              <w:rPr>
                <w:rFonts w:ascii="宋体" w:hAnsi="宋体" w:eastAsia="宋体"/>
                <w:bCs/>
                <w:color w:val="auto"/>
                <w:kern w:val="2"/>
                <w:highlight w:val="none"/>
              </w:rPr>
              <w:t>.1</w:t>
            </w:r>
          </w:p>
        </w:tc>
        <w:tc>
          <w:tcPr>
            <w:tcW w:w="2227" w:type="dxa"/>
            <w:vAlign w:val="center"/>
          </w:tcPr>
          <w:p w14:paraId="7821C6A4">
            <w:pPr>
              <w:pStyle w:val="43"/>
              <w:widowControl w:val="0"/>
              <w:spacing w:before="0" w:beforeAutospacing="0" w:after="0" w:afterAutospacing="0" w:line="360" w:lineRule="auto"/>
              <w:jc w:val="left"/>
              <w:rPr>
                <w:rFonts w:ascii="宋体" w:hAnsi="宋体" w:eastAsia="宋体"/>
                <w:b w:val="0"/>
                <w:color w:val="auto"/>
                <w:sz w:val="24"/>
                <w:highlight w:val="none"/>
              </w:rPr>
            </w:pPr>
            <w:r>
              <w:rPr>
                <w:rFonts w:hint="eastAsia" w:ascii="宋体" w:hAnsi="宋体" w:eastAsia="宋体" w:cs="宋体"/>
                <w:b w:val="0"/>
                <w:color w:val="auto"/>
                <w:sz w:val="24"/>
                <w:highlight w:val="none"/>
              </w:rPr>
              <w:t>网上询问截止时间</w:t>
            </w:r>
          </w:p>
        </w:tc>
        <w:tc>
          <w:tcPr>
            <w:tcW w:w="6274" w:type="dxa"/>
            <w:vAlign w:val="center"/>
          </w:tcPr>
          <w:p w14:paraId="1FD31837">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u w:val="single"/>
              </w:rPr>
              <w:t xml:space="preserve"> 2026 </w:t>
            </w:r>
            <w:r>
              <w:rPr>
                <w:rFonts w:hint="eastAsia" w:ascii="宋体" w:hAnsi="宋体" w:eastAsia="宋体" w:cs="宋体"/>
                <w:b w:val="0"/>
                <w:color w:val="auto"/>
                <w:sz w:val="24"/>
                <w:highlight w:val="none"/>
              </w:rPr>
              <w:t>年</w:t>
            </w:r>
            <w:r>
              <w:rPr>
                <w:rFonts w:hint="eastAsia" w:ascii="宋体" w:hAnsi="宋体" w:eastAsia="宋体" w:cs="宋体"/>
                <w:b w:val="0"/>
                <w:color w:val="auto"/>
                <w:sz w:val="24"/>
                <w:highlight w:val="none"/>
                <w:u w:val="single"/>
              </w:rPr>
              <w:t xml:space="preserve"> </w:t>
            </w:r>
            <w:r>
              <w:rPr>
                <w:rFonts w:hint="eastAsia" w:ascii="宋体" w:hAnsi="宋体" w:eastAsia="宋体" w:cs="宋体"/>
                <w:b w:val="0"/>
                <w:color w:val="auto"/>
                <w:sz w:val="24"/>
                <w:highlight w:val="none"/>
                <w:u w:val="single"/>
                <w:lang w:val="en-US" w:eastAsia="zh-CN"/>
              </w:rPr>
              <w:t>5</w:t>
            </w:r>
            <w:r>
              <w:rPr>
                <w:rFonts w:hint="eastAsia" w:ascii="宋体" w:hAnsi="宋体" w:eastAsia="宋体" w:cs="宋体"/>
                <w:b w:val="0"/>
                <w:color w:val="auto"/>
                <w:sz w:val="24"/>
                <w:highlight w:val="none"/>
              </w:rPr>
              <w:t>月</w:t>
            </w:r>
            <w:r>
              <w:rPr>
                <w:rFonts w:hint="eastAsia" w:ascii="宋体" w:hAnsi="宋体" w:eastAsia="宋体" w:cs="宋体"/>
                <w:b w:val="0"/>
                <w:color w:val="auto"/>
                <w:sz w:val="24"/>
                <w:highlight w:val="none"/>
                <w:u w:val="single"/>
              </w:rPr>
              <w:t xml:space="preserve"> </w:t>
            </w:r>
            <w:r>
              <w:rPr>
                <w:rFonts w:hint="eastAsia" w:ascii="宋体" w:hAnsi="宋体" w:eastAsia="宋体" w:cs="宋体"/>
                <w:b w:val="0"/>
                <w:color w:val="auto"/>
                <w:sz w:val="24"/>
                <w:highlight w:val="none"/>
                <w:u w:val="single"/>
                <w:lang w:val="en-US" w:eastAsia="zh-CN"/>
              </w:rPr>
              <w:t xml:space="preserve"> 9</w:t>
            </w:r>
            <w:r>
              <w:rPr>
                <w:rFonts w:hint="eastAsia" w:ascii="宋体" w:hAnsi="宋体" w:eastAsia="宋体" w:cs="宋体"/>
                <w:b w:val="0"/>
                <w:color w:val="auto"/>
                <w:sz w:val="24"/>
                <w:highlight w:val="none"/>
                <w:u w:val="single"/>
              </w:rPr>
              <w:t xml:space="preserve">  </w:t>
            </w:r>
            <w:r>
              <w:rPr>
                <w:rFonts w:hint="eastAsia" w:ascii="宋体" w:hAnsi="宋体" w:eastAsia="宋体" w:cs="宋体"/>
                <w:b w:val="0"/>
                <w:color w:val="auto"/>
                <w:sz w:val="24"/>
                <w:highlight w:val="none"/>
              </w:rPr>
              <w:t>日</w:t>
            </w:r>
            <w:r>
              <w:rPr>
                <w:rFonts w:hint="eastAsia" w:ascii="宋体" w:hAnsi="宋体" w:eastAsia="宋体" w:cs="宋体"/>
                <w:b w:val="0"/>
                <w:color w:val="auto"/>
                <w:sz w:val="24"/>
                <w:highlight w:val="none"/>
                <w:u w:val="single"/>
              </w:rPr>
              <w:t xml:space="preserve"> 17 </w:t>
            </w:r>
            <w:r>
              <w:rPr>
                <w:rFonts w:hint="eastAsia" w:ascii="宋体" w:hAnsi="宋体" w:eastAsia="宋体" w:cs="宋体"/>
                <w:b w:val="0"/>
                <w:color w:val="auto"/>
                <w:sz w:val="24"/>
                <w:highlight w:val="none"/>
              </w:rPr>
              <w:t>时</w:t>
            </w:r>
            <w:r>
              <w:rPr>
                <w:rFonts w:hint="eastAsia" w:ascii="宋体" w:hAnsi="宋体" w:eastAsia="宋体" w:cs="宋体"/>
                <w:b w:val="0"/>
                <w:color w:val="auto"/>
                <w:sz w:val="24"/>
                <w:highlight w:val="none"/>
                <w:u w:val="single"/>
              </w:rPr>
              <w:t xml:space="preserve"> 30 </w:t>
            </w:r>
            <w:r>
              <w:rPr>
                <w:rFonts w:hint="eastAsia" w:ascii="宋体" w:hAnsi="宋体" w:eastAsia="宋体" w:cs="宋体"/>
                <w:b w:val="0"/>
                <w:color w:val="auto"/>
                <w:sz w:val="24"/>
                <w:highlight w:val="none"/>
              </w:rPr>
              <w:t>分</w:t>
            </w:r>
          </w:p>
        </w:tc>
      </w:tr>
      <w:tr w14:paraId="6680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002" w:type="dxa"/>
            <w:vAlign w:val="center"/>
          </w:tcPr>
          <w:p w14:paraId="15A6C1BD">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7.1</w:t>
            </w:r>
          </w:p>
        </w:tc>
        <w:tc>
          <w:tcPr>
            <w:tcW w:w="1160" w:type="pct"/>
            <w:vAlign w:val="center"/>
          </w:tcPr>
          <w:p w14:paraId="1FB19F8B">
            <w:pPr>
              <w:pStyle w:val="43"/>
              <w:widowControl w:val="0"/>
              <w:spacing w:before="0" w:beforeAutospacing="0" w:after="0" w:afterAutospacing="0" w:line="360" w:lineRule="auto"/>
              <w:jc w:val="left"/>
              <w:rPr>
                <w:rFonts w:ascii="宋体" w:hAnsi="宋体" w:eastAsia="宋体"/>
                <w:b w:val="0"/>
                <w:color w:val="auto"/>
                <w:sz w:val="24"/>
                <w:highlight w:val="none"/>
              </w:rPr>
            </w:pPr>
            <w:r>
              <w:rPr>
                <w:rFonts w:hint="eastAsia" w:ascii="宋体" w:hAnsi="宋体" w:eastAsia="宋体"/>
                <w:b w:val="0"/>
                <w:color w:val="auto"/>
                <w:sz w:val="24"/>
                <w:highlight w:val="none"/>
              </w:rPr>
              <w:t>包别划分</w:t>
            </w:r>
          </w:p>
        </w:tc>
        <w:tc>
          <w:tcPr>
            <w:tcW w:w="3267" w:type="pct"/>
            <w:vAlign w:val="center"/>
          </w:tcPr>
          <w:p w14:paraId="20D8148D">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rPr>
              <w:t>☑</w:t>
            </w:r>
            <w:r>
              <w:rPr>
                <w:rFonts w:ascii="宋体" w:hAnsi="宋体" w:eastAsia="宋体"/>
                <w:b w:val="0"/>
                <w:color w:val="auto"/>
                <w:sz w:val="24"/>
                <w:highlight w:val="none"/>
              </w:rPr>
              <w:t>不分包     □分为  个包</w:t>
            </w:r>
          </w:p>
          <w:p w14:paraId="7E174869">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rPr>
              <w:t>供应商参加多个包磋商的成交</w:t>
            </w:r>
            <w:r>
              <w:rPr>
                <w:rFonts w:ascii="宋体" w:hAnsi="宋体" w:eastAsia="宋体"/>
                <w:b w:val="0"/>
                <w:bCs w:val="0"/>
                <w:color w:val="auto"/>
                <w:sz w:val="24"/>
                <w:szCs w:val="24"/>
                <w:highlight w:val="none"/>
              </w:rPr>
              <w:t>包</w:t>
            </w:r>
            <w:r>
              <w:rPr>
                <w:rFonts w:hint="eastAsia" w:ascii="宋体" w:hAnsi="宋体" w:eastAsia="宋体"/>
                <w:b w:val="0"/>
                <w:bCs w:val="0"/>
                <w:color w:val="auto"/>
                <w:sz w:val="24"/>
                <w:szCs w:val="24"/>
                <w:highlight w:val="none"/>
              </w:rPr>
              <w:t>数规定：</w:t>
            </w:r>
            <w:r>
              <w:rPr>
                <w:rFonts w:hint="eastAsia" w:ascii="宋体" w:hAnsi="宋体" w:eastAsia="宋体"/>
                <w:b w:val="0"/>
                <w:bCs w:val="0"/>
                <w:color w:val="auto"/>
                <w:sz w:val="24"/>
                <w:szCs w:val="18"/>
                <w:highlight w:val="none"/>
                <w:u w:val="single"/>
              </w:rPr>
              <w:t xml:space="preserve"> </w:t>
            </w:r>
            <w:r>
              <w:rPr>
                <w:rFonts w:ascii="宋体" w:hAnsi="宋体" w:eastAsia="宋体"/>
                <w:b w:val="0"/>
                <w:bCs w:val="0"/>
                <w:color w:val="auto"/>
                <w:sz w:val="24"/>
                <w:szCs w:val="18"/>
                <w:highlight w:val="none"/>
                <w:u w:val="single"/>
              </w:rPr>
              <w:t xml:space="preserve">  </w:t>
            </w:r>
            <w:r>
              <w:rPr>
                <w:rFonts w:hint="eastAsia" w:ascii="宋体" w:hAnsi="宋体" w:eastAsia="宋体"/>
                <w:b w:val="0"/>
                <w:bCs w:val="0"/>
                <w:color w:val="auto"/>
                <w:sz w:val="24"/>
                <w:szCs w:val="18"/>
                <w:highlight w:val="none"/>
                <w:u w:val="single"/>
              </w:rPr>
              <w:t>/</w:t>
            </w:r>
            <w:r>
              <w:rPr>
                <w:rFonts w:ascii="宋体" w:hAnsi="宋体" w:eastAsia="宋体"/>
                <w:b w:val="0"/>
                <w:bCs w:val="0"/>
                <w:color w:val="auto"/>
                <w:sz w:val="24"/>
                <w:szCs w:val="18"/>
                <w:highlight w:val="none"/>
                <w:u w:val="single"/>
              </w:rPr>
              <w:t xml:space="preserve">    </w:t>
            </w:r>
          </w:p>
        </w:tc>
      </w:tr>
      <w:tr w14:paraId="2E51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02" w:type="dxa"/>
            <w:vAlign w:val="center"/>
          </w:tcPr>
          <w:p w14:paraId="5B7793B7">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10.1</w:t>
            </w:r>
          </w:p>
        </w:tc>
        <w:tc>
          <w:tcPr>
            <w:tcW w:w="1160" w:type="pct"/>
            <w:vAlign w:val="center"/>
          </w:tcPr>
          <w:p w14:paraId="2320995D">
            <w:pPr>
              <w:pStyle w:val="43"/>
              <w:widowControl w:val="0"/>
              <w:spacing w:before="0" w:beforeAutospacing="0" w:after="0" w:afterAutospacing="0" w:line="360" w:lineRule="auto"/>
              <w:jc w:val="left"/>
              <w:rPr>
                <w:rFonts w:ascii="宋体" w:hAnsi="宋体" w:eastAsia="宋体"/>
                <w:b w:val="0"/>
                <w:color w:val="auto"/>
                <w:sz w:val="24"/>
                <w:highlight w:val="none"/>
              </w:rPr>
            </w:pPr>
            <w:r>
              <w:rPr>
                <w:rFonts w:hint="eastAsia" w:ascii="宋体" w:hAnsi="宋体" w:eastAsia="宋体"/>
                <w:b w:val="0"/>
                <w:color w:val="auto"/>
                <w:sz w:val="24"/>
                <w:highlight w:val="none"/>
              </w:rPr>
              <w:t>磋商保证金</w:t>
            </w:r>
          </w:p>
        </w:tc>
        <w:tc>
          <w:tcPr>
            <w:tcW w:w="3267" w:type="pct"/>
            <w:vAlign w:val="center"/>
          </w:tcPr>
          <w:p w14:paraId="2773E891">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不收取</w:t>
            </w:r>
          </w:p>
        </w:tc>
      </w:tr>
      <w:tr w14:paraId="0847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7367EC1F">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11</w:t>
            </w:r>
            <w:r>
              <w:rPr>
                <w:rFonts w:ascii="宋体" w:hAnsi="宋体" w:eastAsia="宋体"/>
                <w:bCs/>
                <w:color w:val="auto"/>
                <w:kern w:val="2"/>
                <w:highlight w:val="none"/>
              </w:rPr>
              <w:t>.1</w:t>
            </w:r>
          </w:p>
        </w:tc>
        <w:tc>
          <w:tcPr>
            <w:tcW w:w="2227" w:type="dxa"/>
            <w:vAlign w:val="center"/>
          </w:tcPr>
          <w:p w14:paraId="7822E934">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磋商有效期</w:t>
            </w:r>
          </w:p>
        </w:tc>
        <w:tc>
          <w:tcPr>
            <w:tcW w:w="6274" w:type="dxa"/>
            <w:vAlign w:val="center"/>
          </w:tcPr>
          <w:p w14:paraId="6FDFE9DF">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u w:val="single"/>
              </w:rPr>
              <w:t xml:space="preserve"> 90 </w:t>
            </w:r>
            <w:r>
              <w:rPr>
                <w:rFonts w:hint="eastAsia" w:ascii="宋体" w:hAnsi="宋体" w:eastAsia="宋体" w:cs="宋体"/>
                <w:b w:val="0"/>
                <w:color w:val="auto"/>
                <w:sz w:val="24"/>
                <w:highlight w:val="none"/>
              </w:rPr>
              <w:t>日历日</w:t>
            </w:r>
          </w:p>
        </w:tc>
      </w:tr>
      <w:tr w14:paraId="6B66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740A7BD8">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12</w:t>
            </w:r>
            <w:r>
              <w:rPr>
                <w:rFonts w:ascii="宋体" w:hAnsi="宋体" w:eastAsia="宋体"/>
                <w:bCs/>
                <w:color w:val="auto"/>
                <w:kern w:val="2"/>
                <w:highlight w:val="none"/>
              </w:rPr>
              <w:t>.</w:t>
            </w:r>
            <w:r>
              <w:rPr>
                <w:rFonts w:hint="eastAsia" w:ascii="宋体" w:hAnsi="宋体" w:eastAsia="宋体"/>
                <w:bCs/>
                <w:color w:val="auto"/>
                <w:kern w:val="2"/>
                <w:highlight w:val="none"/>
              </w:rPr>
              <w:t>3</w:t>
            </w:r>
          </w:p>
        </w:tc>
        <w:tc>
          <w:tcPr>
            <w:tcW w:w="2227" w:type="dxa"/>
            <w:vAlign w:val="center"/>
          </w:tcPr>
          <w:p w14:paraId="53DC1395">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响应文件解密时间</w:t>
            </w:r>
          </w:p>
        </w:tc>
        <w:tc>
          <w:tcPr>
            <w:tcW w:w="6274" w:type="dxa"/>
            <w:vAlign w:val="center"/>
          </w:tcPr>
          <w:p w14:paraId="325DE702">
            <w:pPr>
              <w:pStyle w:val="43"/>
              <w:widowControl w:val="0"/>
              <w:spacing w:before="0" w:beforeAutospacing="0" w:after="0" w:afterAutospacing="0" w:line="360" w:lineRule="auto"/>
              <w:jc w:val="both"/>
              <w:rPr>
                <w:rFonts w:ascii="宋体" w:hAnsi="宋体" w:eastAsia="宋体"/>
                <w:b w:val="0"/>
                <w:color w:val="auto"/>
                <w:sz w:val="24"/>
                <w:highlight w:val="none"/>
                <w:u w:val="single"/>
              </w:rPr>
            </w:pPr>
            <w:r>
              <w:rPr>
                <w:rFonts w:hint="eastAsia" w:ascii="宋体" w:hAnsi="宋体" w:eastAsia="宋体" w:cs="宋体"/>
                <w:b w:val="0"/>
                <w:color w:val="auto"/>
                <w:sz w:val="24"/>
                <w:highlight w:val="none"/>
              </w:rPr>
              <w:t>响应文件提交截止时间后</w:t>
            </w:r>
            <w:r>
              <w:rPr>
                <w:rFonts w:hint="eastAsia" w:ascii="宋体" w:hAnsi="宋体" w:eastAsia="宋体" w:cs="宋体"/>
                <w:b w:val="0"/>
                <w:color w:val="auto"/>
                <w:sz w:val="24"/>
                <w:highlight w:val="none"/>
                <w:u w:val="single"/>
              </w:rPr>
              <w:t xml:space="preserve"> 60 </w:t>
            </w:r>
            <w:r>
              <w:rPr>
                <w:rFonts w:hint="eastAsia" w:ascii="宋体" w:hAnsi="宋体" w:eastAsia="宋体" w:cs="宋体"/>
                <w:b w:val="0"/>
                <w:color w:val="auto"/>
                <w:sz w:val="24"/>
                <w:highlight w:val="none"/>
              </w:rPr>
              <w:t>分钟内（以本项目网上招投标系统解密倒计时为准）。</w:t>
            </w:r>
          </w:p>
        </w:tc>
      </w:tr>
      <w:tr w14:paraId="3953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5EECC48A">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14.2</w:t>
            </w:r>
          </w:p>
        </w:tc>
        <w:tc>
          <w:tcPr>
            <w:tcW w:w="1160" w:type="pct"/>
            <w:vAlign w:val="center"/>
          </w:tcPr>
          <w:p w14:paraId="727DFDD1">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评审方法</w:t>
            </w:r>
          </w:p>
        </w:tc>
        <w:tc>
          <w:tcPr>
            <w:tcW w:w="3267" w:type="pct"/>
            <w:vAlign w:val="center"/>
          </w:tcPr>
          <w:p w14:paraId="56232816">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综合评分法</w:t>
            </w:r>
          </w:p>
        </w:tc>
      </w:tr>
      <w:tr w14:paraId="3105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46D7C99E">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17.4</w:t>
            </w:r>
          </w:p>
        </w:tc>
        <w:tc>
          <w:tcPr>
            <w:tcW w:w="2227" w:type="dxa"/>
            <w:vAlign w:val="center"/>
          </w:tcPr>
          <w:p w14:paraId="3FAF68DC">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最后报价扣除</w:t>
            </w:r>
            <w:r>
              <w:rPr>
                <w:rFonts w:hint="eastAsia" w:ascii="宋体" w:hAnsi="宋体" w:eastAsia="宋体" w:cs="宋体"/>
                <w:b w:val="0"/>
                <w:i/>
                <w:color w:val="auto"/>
                <w:sz w:val="24"/>
                <w:highlight w:val="none"/>
              </w:rPr>
              <w:t>（非专门面向中小企业采购项目适用）</w:t>
            </w:r>
          </w:p>
        </w:tc>
        <w:tc>
          <w:tcPr>
            <w:tcW w:w="6274" w:type="dxa"/>
            <w:vAlign w:val="center"/>
          </w:tcPr>
          <w:p w14:paraId="3421C921">
            <w:pPr>
              <w:pStyle w:val="43"/>
              <w:widowControl w:val="0"/>
              <w:spacing w:before="0" w:beforeAutospacing="0" w:after="0" w:afterAutospacing="0" w:line="360" w:lineRule="auto"/>
              <w:jc w:val="both"/>
              <w:rPr>
                <w:rFonts w:ascii="宋体" w:hAnsi="宋体" w:eastAsia="宋体" w:cs="宋体"/>
                <w:b w:val="0"/>
                <w:color w:val="auto"/>
                <w:sz w:val="24"/>
                <w:highlight w:val="none"/>
              </w:rPr>
            </w:pPr>
            <w:r>
              <w:rPr>
                <w:rFonts w:hint="eastAsia" w:ascii="宋体" w:hAnsi="宋体" w:eastAsia="宋体" w:cs="宋体"/>
                <w:b w:val="0"/>
                <w:color w:val="auto"/>
                <w:sz w:val="24"/>
                <w:highlight w:val="none"/>
              </w:rPr>
              <w:t>（1）小型和微型企业价格扣除：</w:t>
            </w:r>
            <w:r>
              <w:rPr>
                <w:rFonts w:hint="eastAsia" w:ascii="宋体" w:hAnsi="宋体" w:eastAsia="宋体" w:cs="宋体"/>
                <w:b w:val="0"/>
                <w:color w:val="auto"/>
                <w:sz w:val="24"/>
                <w:highlight w:val="none"/>
                <w:u w:val="single"/>
              </w:rPr>
              <w:t>/</w:t>
            </w:r>
            <w:r>
              <w:rPr>
                <w:rFonts w:hint="eastAsia" w:ascii="宋体" w:hAnsi="宋体" w:eastAsia="宋体" w:cs="宋体"/>
                <w:b w:val="0"/>
                <w:color w:val="auto"/>
                <w:sz w:val="24"/>
                <w:highlight w:val="none"/>
              </w:rPr>
              <w:t>。</w:t>
            </w:r>
          </w:p>
          <w:p w14:paraId="4E1CCC9B">
            <w:pPr>
              <w:pStyle w:val="43"/>
              <w:widowControl w:val="0"/>
              <w:spacing w:before="0" w:beforeAutospacing="0" w:after="0" w:afterAutospacing="0" w:line="360" w:lineRule="auto"/>
              <w:jc w:val="both"/>
              <w:rPr>
                <w:rFonts w:ascii="宋体" w:hAnsi="宋体" w:eastAsia="宋体" w:cs="宋体"/>
                <w:b w:val="0"/>
                <w:color w:val="auto"/>
                <w:sz w:val="24"/>
                <w:highlight w:val="none"/>
              </w:rPr>
            </w:pPr>
            <w:r>
              <w:rPr>
                <w:rFonts w:hint="eastAsia" w:ascii="宋体" w:hAnsi="宋体" w:eastAsia="宋体" w:cs="宋体"/>
                <w:b w:val="0"/>
                <w:color w:val="auto"/>
                <w:sz w:val="24"/>
                <w:highlight w:val="none"/>
              </w:rPr>
              <w:t>（2）监狱企业价格扣除：同小型和微型企业。</w:t>
            </w:r>
          </w:p>
          <w:p w14:paraId="449425D5">
            <w:pPr>
              <w:pStyle w:val="43"/>
              <w:widowControl w:val="0"/>
              <w:spacing w:before="0" w:beforeAutospacing="0" w:after="0" w:afterAutospacing="0" w:line="360" w:lineRule="auto"/>
              <w:jc w:val="both"/>
              <w:rPr>
                <w:rFonts w:ascii="宋体" w:hAnsi="宋体" w:eastAsia="宋体" w:cs="宋体"/>
                <w:b w:val="0"/>
                <w:color w:val="auto"/>
                <w:sz w:val="24"/>
                <w:highlight w:val="none"/>
              </w:rPr>
            </w:pPr>
            <w:r>
              <w:rPr>
                <w:rFonts w:hint="eastAsia" w:ascii="宋体" w:hAnsi="宋体" w:eastAsia="宋体" w:cs="宋体"/>
                <w:b w:val="0"/>
                <w:color w:val="auto"/>
                <w:sz w:val="24"/>
                <w:highlight w:val="none"/>
              </w:rPr>
              <w:t>（3）残疾人福利性单位价格扣除：同小型和微型企业。</w:t>
            </w:r>
          </w:p>
          <w:p w14:paraId="007FA0C9">
            <w:pPr>
              <w:pStyle w:val="43"/>
              <w:widowControl w:val="0"/>
              <w:spacing w:before="0" w:beforeAutospacing="0" w:after="0" w:afterAutospacing="0" w:line="360" w:lineRule="auto"/>
              <w:jc w:val="both"/>
              <w:rPr>
                <w:rFonts w:ascii="宋体" w:hAnsi="宋体" w:eastAsia="宋体" w:cs="宋体"/>
                <w:b w:val="0"/>
                <w:color w:val="auto"/>
                <w:sz w:val="24"/>
                <w:highlight w:val="none"/>
              </w:rPr>
            </w:pPr>
            <w:r>
              <w:rPr>
                <w:rFonts w:hint="eastAsia" w:ascii="宋体" w:hAnsi="宋体" w:eastAsia="宋体" w:cs="宋体"/>
                <w:b w:val="0"/>
                <w:color w:val="auto"/>
                <w:sz w:val="24"/>
                <w:highlight w:val="none"/>
              </w:rPr>
              <w:t>（4）符合条件的联合体价格扣除：</w:t>
            </w:r>
            <w:r>
              <w:rPr>
                <w:rFonts w:hint="eastAsia" w:ascii="宋体" w:hAnsi="宋体" w:eastAsia="宋体" w:cs="宋体"/>
                <w:b w:val="0"/>
                <w:color w:val="auto"/>
                <w:sz w:val="24"/>
                <w:highlight w:val="none"/>
                <w:u w:val="single"/>
              </w:rPr>
              <w:t>/</w:t>
            </w:r>
            <w:r>
              <w:rPr>
                <w:rFonts w:hint="eastAsia" w:ascii="宋体" w:hAnsi="宋体" w:eastAsia="宋体" w:cs="宋体"/>
                <w:b w:val="0"/>
                <w:color w:val="auto"/>
                <w:sz w:val="24"/>
                <w:highlight w:val="none"/>
              </w:rPr>
              <w:t>。</w:t>
            </w:r>
          </w:p>
          <w:p w14:paraId="3BC2E692">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（5）符合条件的向小微企业分包的大中型企业价格扣除：</w:t>
            </w:r>
            <w:r>
              <w:rPr>
                <w:rFonts w:hint="eastAsia" w:ascii="宋体" w:hAnsi="宋体" w:eastAsia="宋体" w:cs="宋体"/>
                <w:b w:val="0"/>
                <w:color w:val="auto"/>
                <w:sz w:val="24"/>
                <w:highlight w:val="none"/>
                <w:u w:val="single"/>
              </w:rPr>
              <w:t xml:space="preserve">  / </w:t>
            </w:r>
            <w:r>
              <w:rPr>
                <w:rFonts w:hint="eastAsia" w:ascii="宋体" w:hAnsi="宋体" w:eastAsia="宋体" w:cs="宋体"/>
                <w:b w:val="0"/>
                <w:color w:val="auto"/>
                <w:sz w:val="24"/>
                <w:highlight w:val="none"/>
              </w:rPr>
              <w:t>。</w:t>
            </w:r>
          </w:p>
        </w:tc>
      </w:tr>
      <w:tr w14:paraId="13F0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5B29FC43">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17.5</w:t>
            </w:r>
          </w:p>
        </w:tc>
        <w:tc>
          <w:tcPr>
            <w:tcW w:w="2227" w:type="dxa"/>
            <w:vAlign w:val="center"/>
          </w:tcPr>
          <w:p w14:paraId="3221896D">
            <w:pPr>
              <w:pStyle w:val="43"/>
              <w:widowControl w:val="0"/>
              <w:spacing w:before="0" w:beforeAutospacing="0" w:after="0" w:afterAutospacing="0" w:line="360" w:lineRule="auto"/>
              <w:jc w:val="both"/>
              <w:rPr>
                <w:rFonts w:ascii="宋体" w:hAnsi="宋体" w:eastAsia="宋体"/>
                <w:b w:val="0"/>
                <w:i/>
                <w:color w:val="auto"/>
                <w:sz w:val="24"/>
                <w:highlight w:val="none"/>
              </w:rPr>
            </w:pPr>
            <w:r>
              <w:rPr>
                <w:rFonts w:hint="eastAsia" w:ascii="宋体" w:hAnsi="宋体" w:eastAsia="宋体"/>
                <w:b w:val="0"/>
                <w:color w:val="auto"/>
                <w:sz w:val="24"/>
                <w:highlight w:val="none"/>
              </w:rPr>
              <w:t>本国产品价格扣除</w:t>
            </w:r>
            <w:r>
              <w:rPr>
                <w:rFonts w:hint="eastAsia" w:ascii="宋体" w:hAnsi="宋体" w:eastAsia="宋体" w:cs="Times New Roman"/>
                <w:b w:val="0"/>
                <w:bCs w:val="0"/>
                <w:i/>
                <w:iCs/>
                <w:color w:val="auto"/>
                <w:sz w:val="24"/>
                <w:highlight w:val="none"/>
              </w:rPr>
              <w:t>（本项目不采用）</w:t>
            </w:r>
          </w:p>
        </w:tc>
        <w:tc>
          <w:tcPr>
            <w:tcW w:w="6274" w:type="dxa"/>
            <w:vAlign w:val="center"/>
          </w:tcPr>
          <w:p w14:paraId="01EE5AEB">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（1）项目或者采购包中采购内容为单一产品的，既有本国产品又有非本国产品参与竞争的，对本国产品给予价格扣除</w:t>
            </w:r>
            <w:r>
              <w:rPr>
                <w:rFonts w:hint="eastAsia" w:ascii="宋体" w:hAnsi="宋体" w:eastAsia="宋体"/>
                <w:b w:val="0"/>
                <w:color w:val="auto"/>
                <w:sz w:val="24"/>
                <w:highlight w:val="none"/>
                <w:u w:val="single"/>
              </w:rPr>
              <w:t>20%</w:t>
            </w:r>
            <w:r>
              <w:rPr>
                <w:rFonts w:hint="eastAsia" w:ascii="宋体" w:hAnsi="宋体" w:eastAsia="宋体"/>
                <w:b w:val="0"/>
                <w:color w:val="auto"/>
                <w:sz w:val="24"/>
                <w:highlight w:val="none"/>
              </w:rPr>
              <w:t>。</w:t>
            </w:r>
          </w:p>
          <w:p w14:paraId="5931484F">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（2）项目或者采购包中含有多种产品的，符合本国产品标准的产品成本之和占该供应商提供的全部产品成本之和的比例≥80%，所有产品价格扣除</w:t>
            </w:r>
            <w:r>
              <w:rPr>
                <w:rFonts w:hint="eastAsia" w:ascii="宋体" w:hAnsi="宋体" w:eastAsia="宋体"/>
                <w:b w:val="0"/>
                <w:color w:val="auto"/>
                <w:sz w:val="24"/>
                <w:highlight w:val="none"/>
                <w:u w:val="single"/>
              </w:rPr>
              <w:t>20%</w:t>
            </w:r>
            <w:r>
              <w:rPr>
                <w:rFonts w:hint="eastAsia" w:ascii="宋体" w:hAnsi="宋体" w:eastAsia="宋体"/>
                <w:b w:val="0"/>
                <w:color w:val="auto"/>
                <w:sz w:val="24"/>
                <w:highlight w:val="none"/>
              </w:rPr>
              <w:t>。</w:t>
            </w:r>
          </w:p>
        </w:tc>
      </w:tr>
      <w:tr w14:paraId="141B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Merge w:val="restart"/>
            <w:vAlign w:val="center"/>
          </w:tcPr>
          <w:p w14:paraId="7617C37D">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19</w:t>
            </w:r>
            <w:r>
              <w:rPr>
                <w:rFonts w:ascii="宋体" w:hAnsi="宋体" w:eastAsia="宋体"/>
                <w:bCs/>
                <w:color w:val="auto"/>
                <w:kern w:val="2"/>
                <w:highlight w:val="none"/>
              </w:rPr>
              <w:t>.</w:t>
            </w:r>
            <w:r>
              <w:rPr>
                <w:rFonts w:hint="eastAsia" w:ascii="宋体" w:hAnsi="宋体" w:eastAsia="宋体"/>
                <w:bCs/>
                <w:color w:val="auto"/>
                <w:kern w:val="2"/>
                <w:highlight w:val="none"/>
              </w:rPr>
              <w:t>1</w:t>
            </w:r>
          </w:p>
        </w:tc>
        <w:tc>
          <w:tcPr>
            <w:tcW w:w="1160" w:type="pct"/>
            <w:vMerge w:val="restart"/>
            <w:vAlign w:val="center"/>
          </w:tcPr>
          <w:p w14:paraId="13ED263F">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Theme="minorEastAsia" w:hAnsiTheme="minorEastAsia" w:eastAsiaTheme="minorEastAsia"/>
                <w:b w:val="0"/>
                <w:color w:val="auto"/>
                <w:sz w:val="24"/>
                <w:highlight w:val="none"/>
              </w:rPr>
              <w:t>确定成交候选供应商和成交供应商</w:t>
            </w:r>
          </w:p>
        </w:tc>
        <w:tc>
          <w:tcPr>
            <w:tcW w:w="3267" w:type="pct"/>
            <w:vAlign w:val="center"/>
          </w:tcPr>
          <w:p w14:paraId="0A825C66">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磋商小组推荐成交</w:t>
            </w:r>
            <w:r>
              <w:rPr>
                <w:rFonts w:ascii="宋体" w:hAnsi="宋体" w:eastAsia="宋体"/>
                <w:b w:val="0"/>
                <w:color w:val="auto"/>
                <w:sz w:val="24"/>
                <w:highlight w:val="none"/>
              </w:rPr>
              <w:t>候选</w:t>
            </w:r>
            <w:r>
              <w:rPr>
                <w:rFonts w:hint="eastAsia" w:ascii="宋体" w:hAnsi="宋体" w:eastAsia="宋体"/>
                <w:b w:val="0"/>
                <w:color w:val="auto"/>
                <w:sz w:val="24"/>
                <w:highlight w:val="none"/>
              </w:rPr>
              <w:t>供应商的</w:t>
            </w:r>
            <w:r>
              <w:rPr>
                <w:rFonts w:ascii="宋体" w:hAnsi="宋体" w:eastAsia="宋体"/>
                <w:b w:val="0"/>
                <w:color w:val="auto"/>
                <w:sz w:val="24"/>
                <w:highlight w:val="none"/>
              </w:rPr>
              <w:t>数</w:t>
            </w:r>
            <w:r>
              <w:rPr>
                <w:rFonts w:hint="eastAsia" w:ascii="宋体" w:hAnsi="宋体" w:eastAsia="宋体"/>
                <w:b w:val="0"/>
                <w:color w:val="auto"/>
                <w:sz w:val="24"/>
                <w:highlight w:val="none"/>
              </w:rPr>
              <w:t>量：3家以上</w:t>
            </w:r>
          </w:p>
          <w:p w14:paraId="291C167E">
            <w:pPr>
              <w:pStyle w:val="43"/>
              <w:widowControl w:val="0"/>
              <w:spacing w:before="0" w:beforeAutospacing="0" w:after="0" w:afterAutospacing="0" w:line="360" w:lineRule="auto"/>
              <w:jc w:val="both"/>
              <w:rPr>
                <w:rFonts w:ascii="宋体" w:hAnsi="宋体" w:eastAsia="宋体"/>
                <w:b w:val="0"/>
                <w:color w:val="auto"/>
                <w:sz w:val="24"/>
                <w:highlight w:val="none"/>
                <w:u w:val="single"/>
              </w:rPr>
            </w:pPr>
            <w:r>
              <w:rPr>
                <w:rFonts w:hint="eastAsia" w:ascii="宋体" w:hAnsi="宋体" w:eastAsia="宋体"/>
                <w:b w:val="0"/>
                <w:color w:val="auto"/>
                <w:sz w:val="24"/>
                <w:highlight w:val="none"/>
              </w:rPr>
              <w:t>注：法律、法规另有规定的，从其规定</w:t>
            </w:r>
          </w:p>
        </w:tc>
      </w:tr>
      <w:tr w14:paraId="6DD7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2" w:type="pct"/>
            <w:vMerge w:val="continue"/>
            <w:vAlign w:val="center"/>
          </w:tcPr>
          <w:p w14:paraId="7589C1B3">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p>
        </w:tc>
        <w:tc>
          <w:tcPr>
            <w:tcW w:w="1160" w:type="pct"/>
            <w:vMerge w:val="continue"/>
            <w:vAlign w:val="center"/>
          </w:tcPr>
          <w:p w14:paraId="638279C5">
            <w:pPr>
              <w:pStyle w:val="43"/>
              <w:widowControl w:val="0"/>
              <w:spacing w:before="0" w:beforeAutospacing="0" w:after="0" w:afterAutospacing="0" w:line="360" w:lineRule="auto"/>
              <w:jc w:val="both"/>
              <w:rPr>
                <w:rFonts w:ascii="宋体" w:hAnsi="宋体" w:eastAsia="宋体"/>
                <w:b w:val="0"/>
                <w:color w:val="auto"/>
                <w:sz w:val="24"/>
                <w:highlight w:val="none"/>
              </w:rPr>
            </w:pPr>
          </w:p>
        </w:tc>
        <w:tc>
          <w:tcPr>
            <w:tcW w:w="3267" w:type="pct"/>
            <w:vAlign w:val="center"/>
          </w:tcPr>
          <w:p w14:paraId="4E7DAF05">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确定成交供应商：</w:t>
            </w:r>
          </w:p>
          <w:p w14:paraId="28FCA1F1">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sym w:font="Wingdings" w:char="00A8"/>
            </w:r>
            <w:r>
              <w:rPr>
                <w:rFonts w:hint="eastAsia" w:ascii="宋体" w:hAnsi="宋体" w:eastAsia="宋体"/>
                <w:b w:val="0"/>
                <w:color w:val="auto"/>
                <w:sz w:val="24"/>
                <w:highlight w:val="none"/>
              </w:rPr>
              <w:t xml:space="preserve">采购人委托磋商小组确定 </w:t>
            </w:r>
            <w:r>
              <w:rPr>
                <w:rFonts w:ascii="宋体" w:hAnsi="宋体" w:eastAsia="宋体"/>
                <w:b w:val="0"/>
                <w:color w:val="auto"/>
                <w:sz w:val="24"/>
                <w:highlight w:val="none"/>
              </w:rPr>
              <w:t xml:space="preserve">   </w:t>
            </w:r>
            <w:r>
              <w:rPr>
                <w:rFonts w:hint="eastAsia" w:ascii="宋体" w:hAnsi="宋体" w:eastAsia="宋体"/>
                <w:b w:val="0"/>
                <w:color w:val="auto"/>
                <w:sz w:val="24"/>
                <w:highlight w:val="none"/>
              </w:rPr>
              <w:t xml:space="preserve"> ☑采购人确定</w:t>
            </w:r>
          </w:p>
        </w:tc>
      </w:tr>
      <w:tr w14:paraId="1B4C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0B2F02C4">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22</w:t>
            </w:r>
            <w:r>
              <w:rPr>
                <w:rFonts w:ascii="宋体" w:hAnsi="宋体" w:eastAsia="宋体"/>
                <w:bCs/>
                <w:color w:val="auto"/>
                <w:kern w:val="2"/>
                <w:highlight w:val="none"/>
              </w:rPr>
              <w:t>.</w:t>
            </w:r>
            <w:r>
              <w:rPr>
                <w:rFonts w:hint="eastAsia" w:ascii="宋体" w:hAnsi="宋体" w:eastAsia="宋体"/>
                <w:bCs/>
                <w:color w:val="auto"/>
                <w:kern w:val="2"/>
                <w:highlight w:val="none"/>
              </w:rPr>
              <w:t>2</w:t>
            </w:r>
          </w:p>
        </w:tc>
        <w:tc>
          <w:tcPr>
            <w:tcW w:w="1160" w:type="pct"/>
            <w:vAlign w:val="center"/>
          </w:tcPr>
          <w:p w14:paraId="4FB2868D">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随成交结果公告同时公告的内容</w:t>
            </w:r>
          </w:p>
        </w:tc>
        <w:tc>
          <w:tcPr>
            <w:tcW w:w="3267" w:type="pct"/>
            <w:vAlign w:val="center"/>
          </w:tcPr>
          <w:p w14:paraId="2DA1F4D8">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（1）中小企业声明函；</w:t>
            </w:r>
          </w:p>
          <w:p w14:paraId="5B6F8961">
            <w:pPr>
              <w:pStyle w:val="43"/>
              <w:widowControl w:val="0"/>
              <w:spacing w:before="0" w:beforeAutospacing="0" w:after="0" w:afterAutospacing="0" w:line="360" w:lineRule="auto"/>
              <w:jc w:val="both"/>
              <w:rPr>
                <w:rFonts w:ascii="宋体" w:hAnsi="宋体" w:eastAsia="宋体"/>
                <w:b w:val="0"/>
                <w:i/>
                <w:color w:val="auto"/>
                <w:sz w:val="24"/>
                <w:highlight w:val="none"/>
              </w:rPr>
            </w:pPr>
            <w:r>
              <w:rPr>
                <w:rFonts w:hint="eastAsia" w:ascii="宋体" w:hAnsi="宋体" w:eastAsia="宋体"/>
                <w:b w:val="0"/>
                <w:color w:val="auto"/>
                <w:sz w:val="24"/>
                <w:highlight w:val="none"/>
              </w:rPr>
              <w:t>（2）残疾人福利性单位声明函；</w:t>
            </w:r>
            <w:r>
              <w:rPr>
                <w:rFonts w:hint="eastAsia" w:ascii="宋体" w:hAnsi="宋体" w:eastAsia="宋体"/>
                <w:b w:val="0"/>
                <w:i/>
                <w:iCs/>
                <w:color w:val="auto"/>
                <w:sz w:val="24"/>
                <w:highlight w:val="none"/>
              </w:rPr>
              <w:t>（如有）</w:t>
            </w:r>
          </w:p>
          <w:p w14:paraId="7463B793">
            <w:pPr>
              <w:pStyle w:val="43"/>
              <w:widowControl w:val="0"/>
              <w:spacing w:before="0" w:beforeAutospacing="0" w:after="0" w:afterAutospacing="0" w:line="360" w:lineRule="auto"/>
              <w:jc w:val="both"/>
              <w:rPr>
                <w:rFonts w:ascii="宋体" w:hAnsi="宋体" w:eastAsia="宋体"/>
                <w:b w:val="0"/>
                <w:bCs w:val="0"/>
                <w:color w:val="auto"/>
                <w:sz w:val="24"/>
                <w:szCs w:val="24"/>
                <w:highlight w:val="none"/>
              </w:rPr>
            </w:pPr>
            <w:r>
              <w:rPr>
                <w:rFonts w:hint="eastAsia" w:ascii="宋体" w:hAnsi="宋体" w:eastAsia="宋体"/>
                <w:b w:val="0"/>
                <w:color w:val="auto"/>
                <w:sz w:val="24"/>
                <w:highlight w:val="none"/>
              </w:rPr>
              <w:t>（3）</w:t>
            </w:r>
            <w:r>
              <w:rPr>
                <w:rFonts w:hint="eastAsia" w:ascii="宋体" w:hAnsi="宋体" w:eastAsia="宋体" w:cs="宋体"/>
                <w:b w:val="0"/>
                <w:color w:val="auto"/>
                <w:sz w:val="24"/>
                <w:highlight w:val="none"/>
              </w:rPr>
              <w:t>成交供应商的评审总得分。</w:t>
            </w:r>
          </w:p>
        </w:tc>
      </w:tr>
      <w:tr w14:paraId="5DBA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53303C63">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23</w:t>
            </w:r>
            <w:r>
              <w:rPr>
                <w:rFonts w:ascii="宋体" w:hAnsi="宋体" w:eastAsia="宋体"/>
                <w:bCs/>
                <w:color w:val="auto"/>
                <w:kern w:val="2"/>
                <w:highlight w:val="none"/>
              </w:rPr>
              <w:t>.1</w:t>
            </w:r>
          </w:p>
        </w:tc>
        <w:tc>
          <w:tcPr>
            <w:tcW w:w="1160" w:type="pct"/>
            <w:vAlign w:val="center"/>
          </w:tcPr>
          <w:p w14:paraId="4EA8D79A">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成交通知书发出的形式</w:t>
            </w:r>
          </w:p>
        </w:tc>
        <w:tc>
          <w:tcPr>
            <w:tcW w:w="3267" w:type="pct"/>
            <w:vAlign w:val="center"/>
          </w:tcPr>
          <w:p w14:paraId="4A1E7441">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 xml:space="preserve">□书面 </w:t>
            </w:r>
            <w:r>
              <w:rPr>
                <w:rFonts w:ascii="宋体" w:hAnsi="宋体" w:eastAsia="宋体"/>
                <w:b w:val="0"/>
                <w:color w:val="auto"/>
                <w:sz w:val="24"/>
                <w:highlight w:val="none"/>
              </w:rPr>
              <w:t xml:space="preserve">    </w:t>
            </w:r>
            <w:r>
              <w:rPr>
                <w:rFonts w:hint="eastAsia" w:ascii="宋体" w:hAnsi="宋体" w:eastAsia="宋体"/>
                <w:b w:val="0"/>
                <w:bCs w:val="0"/>
                <w:color w:val="auto"/>
                <w:sz w:val="24"/>
                <w:szCs w:val="24"/>
                <w:highlight w:val="none"/>
              </w:rPr>
              <w:sym w:font="Wingdings" w:char="00FE"/>
            </w:r>
            <w:r>
              <w:rPr>
                <w:rFonts w:hint="eastAsia" w:ascii="宋体" w:hAnsi="宋体" w:eastAsia="宋体"/>
                <w:b w:val="0"/>
                <w:color w:val="auto"/>
                <w:sz w:val="24"/>
                <w:highlight w:val="none"/>
              </w:rPr>
              <w:t>数据电文</w:t>
            </w:r>
          </w:p>
        </w:tc>
      </w:tr>
      <w:tr w14:paraId="0059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72E63DBD">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24</w:t>
            </w:r>
            <w:r>
              <w:rPr>
                <w:rFonts w:ascii="宋体" w:hAnsi="宋体" w:eastAsia="宋体"/>
                <w:bCs/>
                <w:color w:val="auto"/>
                <w:kern w:val="2"/>
                <w:highlight w:val="none"/>
              </w:rPr>
              <w:t>.1</w:t>
            </w:r>
          </w:p>
        </w:tc>
        <w:tc>
          <w:tcPr>
            <w:tcW w:w="2227" w:type="dxa"/>
            <w:vAlign w:val="center"/>
          </w:tcPr>
          <w:p w14:paraId="70E4E929">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告知磋商结果的形式</w:t>
            </w:r>
          </w:p>
        </w:tc>
        <w:tc>
          <w:tcPr>
            <w:tcW w:w="6274" w:type="dxa"/>
            <w:vAlign w:val="center"/>
          </w:tcPr>
          <w:p w14:paraId="381B8820">
            <w:pPr>
              <w:pStyle w:val="43"/>
              <w:widowControl w:val="0"/>
              <w:spacing w:before="0" w:beforeAutospacing="0" w:after="0" w:afterAutospacing="0" w:line="360" w:lineRule="auto"/>
              <w:jc w:val="both"/>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sym w:font="Wingdings" w:char="00FE"/>
            </w:r>
            <w:r>
              <w:rPr>
                <w:rFonts w:hint="eastAsia" w:ascii="宋体" w:hAnsi="宋体" w:eastAsia="宋体" w:cs="宋体"/>
                <w:b w:val="0"/>
                <w:bCs w:val="0"/>
                <w:color w:val="auto"/>
                <w:sz w:val="24"/>
                <w:szCs w:val="24"/>
                <w:highlight w:val="none"/>
              </w:rPr>
              <w:t>供应商自行登录电子交易系统查看</w:t>
            </w:r>
          </w:p>
          <w:p w14:paraId="29D776EF">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□磋商现场告知</w:t>
            </w:r>
          </w:p>
        </w:tc>
      </w:tr>
      <w:tr w14:paraId="4959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5DDA7A07">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25</w:t>
            </w:r>
            <w:r>
              <w:rPr>
                <w:rFonts w:ascii="宋体" w:hAnsi="宋体" w:eastAsia="宋体"/>
                <w:bCs/>
                <w:color w:val="auto"/>
                <w:kern w:val="2"/>
                <w:highlight w:val="none"/>
              </w:rPr>
              <w:t>.1</w:t>
            </w:r>
          </w:p>
        </w:tc>
        <w:tc>
          <w:tcPr>
            <w:tcW w:w="2227" w:type="dxa"/>
            <w:vAlign w:val="center"/>
          </w:tcPr>
          <w:p w14:paraId="0F8F630A">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履约保证金</w:t>
            </w:r>
          </w:p>
        </w:tc>
        <w:tc>
          <w:tcPr>
            <w:tcW w:w="6274" w:type="dxa"/>
          </w:tcPr>
          <w:p w14:paraId="4C4E3A5B">
            <w:pPr>
              <w:spacing w:line="360" w:lineRule="auto"/>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（1）金额：</w:t>
            </w:r>
          </w:p>
          <w:p w14:paraId="3B3C7279">
            <w:pPr>
              <w:spacing w:line="360" w:lineRule="auto"/>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lang w:eastAsia="zh-CN"/>
              </w:rPr>
              <w:t>☑</w:t>
            </w:r>
            <w:r>
              <w:rPr>
                <w:rFonts w:hint="eastAsia" w:ascii="宋体" w:hAnsi="宋体" w:eastAsia="宋体" w:cs="宋体"/>
                <w:bCs/>
                <w:color w:val="auto"/>
                <w:kern w:val="0"/>
                <w:sz w:val="24"/>
                <w:szCs w:val="28"/>
                <w:highlight w:val="none"/>
              </w:rPr>
              <w:t>免收</w:t>
            </w:r>
          </w:p>
          <w:p w14:paraId="37C0D894">
            <w:pPr>
              <w:spacing w:line="360" w:lineRule="auto"/>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lang w:eastAsia="zh-CN"/>
              </w:rPr>
              <w:t>□</w:t>
            </w:r>
            <w:r>
              <w:rPr>
                <w:rFonts w:hint="eastAsia" w:ascii="宋体" w:hAnsi="宋体" w:eastAsia="宋体" w:cs="宋体"/>
                <w:bCs/>
                <w:color w:val="auto"/>
                <w:kern w:val="0"/>
                <w:sz w:val="24"/>
                <w:szCs w:val="28"/>
                <w:highlight w:val="none"/>
              </w:rPr>
              <w:t>合同价的</w:t>
            </w:r>
            <w:r>
              <w:rPr>
                <w:rFonts w:hint="eastAsia" w:ascii="宋体" w:hAnsi="宋体" w:eastAsia="宋体" w:cs="宋体"/>
                <w:bCs/>
                <w:color w:val="auto"/>
                <w:kern w:val="0"/>
                <w:sz w:val="24"/>
                <w:szCs w:val="28"/>
                <w:highlight w:val="none"/>
                <w:u w:val="single"/>
              </w:rPr>
              <w:t xml:space="preserve"> </w:t>
            </w:r>
            <w:r>
              <w:rPr>
                <w:rFonts w:hint="eastAsia" w:ascii="宋体" w:hAnsi="宋体" w:eastAsia="宋体" w:cs="宋体"/>
                <w:bCs/>
                <w:color w:val="auto"/>
                <w:kern w:val="0"/>
                <w:sz w:val="24"/>
                <w:szCs w:val="28"/>
                <w:highlight w:val="none"/>
                <w:u w:val="single"/>
                <w:lang w:val="en-US" w:eastAsia="zh-CN"/>
              </w:rPr>
              <w:t>/</w:t>
            </w:r>
            <w:r>
              <w:rPr>
                <w:rFonts w:hint="eastAsia" w:ascii="宋体" w:hAnsi="宋体" w:eastAsia="宋体" w:cs="宋体"/>
                <w:bCs/>
                <w:color w:val="auto"/>
                <w:kern w:val="0"/>
                <w:sz w:val="24"/>
                <w:szCs w:val="28"/>
                <w:highlight w:val="none"/>
                <w:u w:val="single"/>
              </w:rPr>
              <w:t xml:space="preserve"> </w:t>
            </w:r>
            <w:r>
              <w:rPr>
                <w:rFonts w:hint="eastAsia" w:ascii="宋体" w:hAnsi="宋体" w:eastAsia="宋体" w:cs="宋体"/>
                <w:bCs/>
                <w:color w:val="auto"/>
                <w:kern w:val="0"/>
                <w:sz w:val="24"/>
                <w:szCs w:val="28"/>
                <w:highlight w:val="none"/>
              </w:rPr>
              <w:t>%</w:t>
            </w:r>
          </w:p>
          <w:p w14:paraId="1AEE2F52">
            <w:pPr>
              <w:spacing w:line="360" w:lineRule="auto"/>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□定额收取：人民币</w:t>
            </w:r>
            <w:r>
              <w:rPr>
                <w:rFonts w:hint="eastAsia" w:ascii="宋体" w:hAnsi="宋体" w:eastAsia="宋体" w:cs="宋体"/>
                <w:bCs/>
                <w:color w:val="auto"/>
                <w:kern w:val="0"/>
                <w:sz w:val="24"/>
                <w:szCs w:val="28"/>
                <w:highlight w:val="none"/>
                <w:u w:val="single"/>
              </w:rPr>
              <w:t xml:space="preserve">      /        </w:t>
            </w:r>
            <w:r>
              <w:rPr>
                <w:rFonts w:hint="eastAsia" w:ascii="宋体" w:hAnsi="宋体" w:eastAsia="宋体" w:cs="宋体"/>
                <w:bCs/>
                <w:color w:val="auto"/>
                <w:kern w:val="0"/>
                <w:sz w:val="24"/>
                <w:szCs w:val="28"/>
                <w:highlight w:val="none"/>
              </w:rPr>
              <w:t>元</w:t>
            </w:r>
          </w:p>
          <w:p w14:paraId="04E9F8C5">
            <w:pPr>
              <w:spacing w:line="360" w:lineRule="auto"/>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（2）支付方式：</w:t>
            </w:r>
          </w:p>
          <w:p w14:paraId="7675F139">
            <w:pPr>
              <w:spacing w:line="360" w:lineRule="auto"/>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sym w:font="Wingdings" w:char="00A8"/>
            </w:r>
            <w:r>
              <w:rPr>
                <w:rFonts w:hint="eastAsia" w:ascii="宋体" w:hAnsi="宋体" w:eastAsia="宋体" w:cs="宋体"/>
                <w:bCs/>
                <w:color w:val="auto"/>
                <w:kern w:val="0"/>
                <w:sz w:val="24"/>
                <w:szCs w:val="28"/>
                <w:highlight w:val="none"/>
              </w:rPr>
              <w:t xml:space="preserve">转账/电汇 </w:t>
            </w:r>
            <w:r>
              <w:rPr>
                <w:rFonts w:hint="eastAsia" w:ascii="宋体" w:hAnsi="宋体" w:eastAsia="宋体" w:cs="宋体"/>
                <w:bCs/>
                <w:color w:val="auto"/>
                <w:kern w:val="0"/>
                <w:sz w:val="24"/>
                <w:szCs w:val="28"/>
                <w:highlight w:val="none"/>
              </w:rPr>
              <w:sym w:font="Wingdings" w:char="00A8"/>
            </w:r>
            <w:r>
              <w:rPr>
                <w:rFonts w:hint="eastAsia" w:ascii="宋体" w:hAnsi="宋体" w:eastAsia="宋体" w:cs="宋体"/>
                <w:bCs/>
                <w:color w:val="auto"/>
                <w:kern w:val="0"/>
                <w:sz w:val="24"/>
                <w:szCs w:val="28"/>
                <w:highlight w:val="none"/>
              </w:rPr>
              <w:t xml:space="preserve">支票 </w:t>
            </w:r>
            <w:r>
              <w:rPr>
                <w:rFonts w:hint="eastAsia" w:ascii="宋体" w:hAnsi="宋体" w:eastAsia="宋体" w:cs="宋体"/>
                <w:bCs/>
                <w:color w:val="auto"/>
                <w:kern w:val="0"/>
                <w:sz w:val="24"/>
                <w:szCs w:val="28"/>
                <w:highlight w:val="none"/>
              </w:rPr>
              <w:sym w:font="Wingdings" w:char="00A8"/>
            </w:r>
            <w:r>
              <w:rPr>
                <w:rFonts w:hint="eastAsia" w:ascii="宋体" w:hAnsi="宋体" w:eastAsia="宋体" w:cs="宋体"/>
                <w:bCs/>
                <w:color w:val="auto"/>
                <w:kern w:val="0"/>
                <w:sz w:val="24"/>
                <w:szCs w:val="28"/>
                <w:highlight w:val="none"/>
              </w:rPr>
              <w:t xml:space="preserve">汇票 </w:t>
            </w:r>
            <w:r>
              <w:rPr>
                <w:rFonts w:hint="eastAsia" w:ascii="宋体" w:hAnsi="宋体" w:eastAsia="宋体" w:cs="宋体"/>
                <w:bCs/>
                <w:color w:val="auto"/>
                <w:kern w:val="0"/>
                <w:sz w:val="24"/>
                <w:szCs w:val="28"/>
                <w:highlight w:val="none"/>
              </w:rPr>
              <w:sym w:font="Wingdings" w:char="00A8"/>
            </w:r>
            <w:r>
              <w:rPr>
                <w:rFonts w:hint="eastAsia" w:ascii="宋体" w:hAnsi="宋体" w:eastAsia="宋体" w:cs="宋体"/>
                <w:bCs/>
                <w:color w:val="auto"/>
                <w:kern w:val="0"/>
                <w:sz w:val="24"/>
                <w:szCs w:val="28"/>
                <w:highlight w:val="none"/>
              </w:rPr>
              <w:t xml:space="preserve">本票 </w:t>
            </w:r>
            <w:r>
              <w:rPr>
                <w:rFonts w:hint="eastAsia" w:ascii="宋体" w:hAnsi="宋体" w:eastAsia="宋体" w:cs="宋体"/>
                <w:bCs/>
                <w:color w:val="auto"/>
                <w:kern w:val="0"/>
                <w:sz w:val="24"/>
                <w:szCs w:val="28"/>
                <w:highlight w:val="none"/>
              </w:rPr>
              <w:sym w:font="Wingdings" w:char="00A8"/>
            </w:r>
            <w:r>
              <w:rPr>
                <w:rFonts w:hint="eastAsia" w:ascii="宋体" w:hAnsi="宋体" w:eastAsia="宋体" w:cs="宋体"/>
                <w:bCs/>
                <w:color w:val="auto"/>
                <w:kern w:val="0"/>
                <w:sz w:val="24"/>
                <w:szCs w:val="28"/>
                <w:highlight w:val="none"/>
              </w:rPr>
              <w:t>保险</w:t>
            </w:r>
            <w:r>
              <w:rPr>
                <w:rFonts w:hint="eastAsia" w:ascii="宋体" w:hAnsi="宋体" w:eastAsia="宋体" w:cs="宋体"/>
                <w:bCs/>
                <w:color w:val="auto"/>
                <w:kern w:val="0"/>
                <w:sz w:val="24"/>
                <w:szCs w:val="28"/>
                <w:highlight w:val="none"/>
                <w:lang w:eastAsia="zh-CN"/>
              </w:rPr>
              <w:t>□</w:t>
            </w:r>
            <w:r>
              <w:rPr>
                <w:rFonts w:hint="eastAsia" w:ascii="宋体" w:hAnsi="宋体" w:eastAsia="宋体" w:cs="宋体"/>
                <w:bCs/>
                <w:color w:val="auto"/>
                <w:kern w:val="0"/>
                <w:sz w:val="24"/>
                <w:szCs w:val="28"/>
                <w:highlight w:val="none"/>
              </w:rPr>
              <w:t>保函</w:t>
            </w:r>
          </w:p>
          <w:p w14:paraId="70B9D299">
            <w:pPr>
              <w:spacing w:line="360" w:lineRule="auto"/>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（3）收取单位：</w:t>
            </w:r>
            <w:r>
              <w:rPr>
                <w:rFonts w:hint="eastAsia" w:ascii="宋体" w:hAnsi="宋体" w:eastAsia="宋体" w:cs="宋体"/>
                <w:bCs/>
                <w:color w:val="auto"/>
                <w:kern w:val="0"/>
                <w:sz w:val="24"/>
                <w:szCs w:val="28"/>
                <w:highlight w:val="none"/>
                <w:u w:val="single"/>
              </w:rPr>
              <w:t xml:space="preserve">     /         </w:t>
            </w:r>
            <w:r>
              <w:rPr>
                <w:rFonts w:hint="eastAsia" w:ascii="宋体" w:hAnsi="宋体" w:eastAsia="宋体" w:cs="宋体"/>
                <w:bCs/>
                <w:color w:val="auto"/>
                <w:kern w:val="0"/>
                <w:sz w:val="24"/>
                <w:szCs w:val="28"/>
                <w:highlight w:val="none"/>
              </w:rPr>
              <w:t xml:space="preserve">              </w:t>
            </w:r>
          </w:p>
          <w:p w14:paraId="76F00AC0">
            <w:pPr>
              <w:spacing w:line="360" w:lineRule="auto"/>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（4）收取账号：</w:t>
            </w:r>
            <w:r>
              <w:rPr>
                <w:rFonts w:hint="eastAsia" w:ascii="宋体" w:hAnsi="宋体" w:eastAsia="宋体" w:cs="宋体"/>
                <w:bCs/>
                <w:color w:val="auto"/>
                <w:kern w:val="0"/>
                <w:sz w:val="24"/>
                <w:szCs w:val="28"/>
                <w:highlight w:val="none"/>
                <w:u w:val="single"/>
              </w:rPr>
              <w:t xml:space="preserve">     /         </w:t>
            </w:r>
          </w:p>
          <w:p w14:paraId="47E0CD77">
            <w:pPr>
              <w:spacing w:line="360" w:lineRule="auto"/>
              <w:rPr>
                <w:rFonts w:ascii="宋体" w:hAnsi="宋体" w:eastAsia="宋体" w:cs="宋体"/>
                <w:color w:val="auto"/>
                <w:sz w:val="24"/>
                <w:highlight w:val="none"/>
              </w:rPr>
            </w:pPr>
            <w:r>
              <w:rPr>
                <w:rFonts w:hint="eastAsia" w:ascii="宋体" w:hAnsi="宋体" w:eastAsia="宋体" w:cs="宋体"/>
                <w:bCs/>
                <w:color w:val="auto"/>
                <w:kern w:val="0"/>
                <w:sz w:val="24"/>
                <w:szCs w:val="28"/>
                <w:highlight w:val="none"/>
              </w:rPr>
              <w:t>（5）</w:t>
            </w:r>
            <w:r>
              <w:rPr>
                <w:rFonts w:hint="eastAsia" w:ascii="宋体" w:hAnsi="宋体" w:eastAsia="宋体" w:cs="宋体"/>
                <w:color w:val="auto"/>
                <w:sz w:val="24"/>
                <w:highlight w:val="none"/>
              </w:rPr>
              <w:t>退还时间：</w:t>
            </w:r>
            <w:r>
              <w:rPr>
                <w:rFonts w:hint="eastAsia" w:ascii="宋体" w:hAnsi="宋体" w:eastAsia="宋体" w:cs="宋体"/>
                <w:bCs/>
                <w:color w:val="auto"/>
                <w:kern w:val="0"/>
                <w:sz w:val="24"/>
                <w:szCs w:val="28"/>
                <w:highlight w:val="none"/>
                <w:u w:val="single"/>
              </w:rPr>
              <w:t xml:space="preserve">     /         </w:t>
            </w:r>
          </w:p>
          <w:p w14:paraId="34225F60">
            <w:pPr>
              <w:spacing w:line="360" w:lineRule="auto"/>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注意事项：</w:t>
            </w:r>
          </w:p>
          <w:p w14:paraId="481E15BD">
            <w:pPr>
              <w:spacing w:line="360" w:lineRule="auto"/>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（1）以上各类机构出具的以担保函、保证保险承担责任的方式均须满足无条件见索即付条件。</w:t>
            </w:r>
          </w:p>
          <w:p w14:paraId="0B75A6DA">
            <w:pPr>
              <w:pStyle w:val="43"/>
              <w:widowControl w:val="0"/>
              <w:spacing w:before="0" w:beforeAutospacing="0" w:after="0" w:afterAutospacing="0" w:line="360" w:lineRule="auto"/>
              <w:jc w:val="both"/>
              <w:rPr>
                <w:rFonts w:ascii="宋体" w:hAnsi="宋体" w:eastAsia="宋体"/>
                <w:color w:val="auto"/>
                <w:sz w:val="24"/>
                <w:highlight w:val="none"/>
              </w:rPr>
            </w:pPr>
            <w:r>
              <w:rPr>
                <w:rFonts w:hint="eastAsia" w:ascii="宋体" w:hAnsi="宋体" w:eastAsia="宋体" w:cs="宋体"/>
                <w:bCs w:val="0"/>
                <w:color w:val="auto"/>
                <w:sz w:val="24"/>
                <w:szCs w:val="24"/>
                <w:highlight w:val="none"/>
              </w:rPr>
              <w:t>（2）以担保函、保证保险形式缴纳履约保证金的，受益人和收取单位须为采购人。</w:t>
            </w:r>
          </w:p>
        </w:tc>
      </w:tr>
      <w:tr w14:paraId="689C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60E9BBC3">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26</w:t>
            </w:r>
            <w:r>
              <w:rPr>
                <w:rFonts w:ascii="宋体" w:hAnsi="宋体" w:eastAsia="宋体"/>
                <w:bCs/>
                <w:color w:val="auto"/>
                <w:kern w:val="2"/>
                <w:highlight w:val="none"/>
              </w:rPr>
              <w:t>.1</w:t>
            </w:r>
          </w:p>
        </w:tc>
        <w:tc>
          <w:tcPr>
            <w:tcW w:w="2227" w:type="dxa"/>
            <w:vAlign w:val="center"/>
          </w:tcPr>
          <w:p w14:paraId="1AEC86FF">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代理费用</w:t>
            </w:r>
          </w:p>
        </w:tc>
        <w:tc>
          <w:tcPr>
            <w:tcW w:w="6274" w:type="dxa"/>
            <w:vAlign w:val="center"/>
          </w:tcPr>
          <w:p w14:paraId="50DF78D5">
            <w:pPr>
              <w:spacing w:before="39" w:line="360" w:lineRule="auto"/>
              <w:rPr>
                <w:rFonts w:ascii="宋体" w:hAnsi="宋体" w:eastAsia="宋体" w:cs="宋体"/>
                <w:color w:val="auto"/>
                <w:sz w:val="24"/>
                <w:szCs w:val="24"/>
                <w:highlight w:val="none"/>
              </w:rPr>
            </w:pPr>
            <w:r>
              <w:rPr>
                <w:rFonts w:hint="eastAsia" w:ascii="宋体" w:hAnsi="宋体" w:eastAsia="宋体" w:cs="宋体"/>
                <w:bCs/>
                <w:color w:val="auto"/>
                <w:kern w:val="0"/>
                <w:sz w:val="24"/>
                <w:szCs w:val="28"/>
                <w:highlight w:val="none"/>
              </w:rPr>
              <w:t>（1）收费对象</w:t>
            </w:r>
            <w:r>
              <w:rPr>
                <w:rFonts w:hint="eastAsia" w:ascii="宋体" w:hAnsi="宋体" w:eastAsia="宋体" w:cs="宋体"/>
                <w:color w:val="auto"/>
                <w:spacing w:val="-12"/>
                <w:sz w:val="24"/>
                <w:szCs w:val="24"/>
                <w:highlight w:val="none"/>
              </w:rPr>
              <w:t>：</w:t>
            </w:r>
            <w:r>
              <w:rPr>
                <w:rFonts w:hint="eastAsia" w:ascii="宋体" w:hAnsi="宋体" w:eastAsia="宋体" w:cs="宋体"/>
                <w:bCs/>
                <w:color w:val="auto"/>
                <w:kern w:val="0"/>
                <w:sz w:val="24"/>
                <w:szCs w:val="28"/>
                <w:highlight w:val="none"/>
              </w:rPr>
              <w:sym w:font="Wingdings" w:char="00A8"/>
            </w:r>
            <w:r>
              <w:rPr>
                <w:rFonts w:hint="eastAsia" w:ascii="宋体" w:hAnsi="宋体" w:eastAsia="宋体" w:cs="宋体"/>
                <w:color w:val="auto"/>
                <w:spacing w:val="14"/>
                <w:sz w:val="24"/>
                <w:szCs w:val="24"/>
                <w:highlight w:val="none"/>
              </w:rPr>
              <w:t xml:space="preserve">采购人   </w:t>
            </w:r>
            <w:r>
              <w:rPr>
                <w:rFonts w:hint="eastAsia" w:ascii="宋体" w:hAnsi="宋体" w:eastAsia="宋体" w:cs="宋体"/>
                <w:bCs/>
                <w:color w:val="auto"/>
                <w:kern w:val="0"/>
                <w:sz w:val="24"/>
                <w:szCs w:val="28"/>
                <w:highlight w:val="none"/>
              </w:rPr>
              <w:sym w:font="Wingdings" w:char="00FE"/>
            </w:r>
            <w:r>
              <w:rPr>
                <w:rFonts w:hint="eastAsia" w:ascii="宋体" w:hAnsi="宋体" w:eastAsia="宋体" w:cs="宋体"/>
                <w:color w:val="auto"/>
                <w:spacing w:val="14"/>
                <w:sz w:val="24"/>
                <w:szCs w:val="24"/>
                <w:highlight w:val="none"/>
              </w:rPr>
              <w:t>成交供应商</w:t>
            </w:r>
          </w:p>
          <w:p w14:paraId="2EA4B50E">
            <w:pPr>
              <w:spacing w:before="24" w:line="360" w:lineRule="auto"/>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（2）收取方式</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领取成交通知书时一次性支付给代理机构。</w:t>
            </w:r>
          </w:p>
          <w:p w14:paraId="5CBF569A">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bCs w:val="0"/>
                <w:color w:val="auto"/>
                <w:sz w:val="24"/>
                <w:highlight w:val="none"/>
              </w:rPr>
              <w:t>（3）</w:t>
            </w:r>
            <w:r>
              <w:rPr>
                <w:rFonts w:hint="eastAsia" w:ascii="宋体" w:hAnsi="宋体" w:eastAsia="宋体" w:cs="宋体"/>
                <w:b w:val="0"/>
                <w:color w:val="auto"/>
                <w:sz w:val="24"/>
                <w:highlight w:val="none"/>
              </w:rPr>
              <w:t>收费标准：</w:t>
            </w:r>
            <w:r>
              <w:rPr>
                <w:rFonts w:hint="eastAsia" w:ascii="宋体" w:hAnsi="宋体" w:eastAsia="宋体" w:cs="宋体"/>
                <w:b w:val="0"/>
                <w:bCs w:val="0"/>
                <w:color w:val="auto"/>
                <w:kern w:val="2"/>
                <w:sz w:val="24"/>
                <w:szCs w:val="24"/>
                <w:highlight w:val="none"/>
                <w:u w:val="single"/>
                <w:lang w:val="en-US" w:eastAsia="zh-CN"/>
              </w:rPr>
              <w:t>8756</w:t>
            </w:r>
            <w:r>
              <w:rPr>
                <w:rFonts w:hint="eastAsia" w:ascii="宋体" w:hAnsi="宋体" w:eastAsia="宋体" w:cs="宋体"/>
                <w:b w:val="0"/>
                <w:bCs w:val="0"/>
                <w:color w:val="auto"/>
                <w:kern w:val="2"/>
                <w:sz w:val="24"/>
                <w:szCs w:val="24"/>
                <w:highlight w:val="none"/>
                <w:u w:val="single"/>
              </w:rPr>
              <w:t>元。</w:t>
            </w:r>
            <w:r>
              <w:rPr>
                <w:rFonts w:hint="eastAsia" w:ascii="宋体" w:hAnsi="宋体" w:eastAsia="宋体" w:cs="宋体"/>
                <w:b w:val="0"/>
                <w:bCs w:val="0"/>
                <w:color w:val="auto"/>
                <w:kern w:val="2"/>
                <w:sz w:val="24"/>
                <w:szCs w:val="24"/>
                <w:highlight w:val="none"/>
                <w:u w:val="single"/>
                <w:lang w:val="en-US" w:eastAsia="zh-CN"/>
              </w:rPr>
              <w:t>参考</w:t>
            </w:r>
            <w:r>
              <w:rPr>
                <w:rFonts w:hint="eastAsia" w:ascii="宋体" w:hAnsi="宋体" w:eastAsia="宋体" w:cs="宋体"/>
                <w:b w:val="0"/>
                <w:color w:val="auto"/>
                <w:sz w:val="24"/>
                <w:szCs w:val="24"/>
                <w:highlight w:val="none"/>
                <w:u w:val="single"/>
              </w:rPr>
              <w:t>《滁州市公共资源交易代理机构及从业人员管理暂行办法》滁公管〔2022〕5号</w:t>
            </w:r>
            <w:r>
              <w:rPr>
                <w:rFonts w:hint="eastAsia" w:ascii="宋体" w:hAnsi="宋体" w:eastAsia="宋体" w:cs="宋体"/>
                <w:b w:val="0"/>
                <w:color w:val="auto"/>
                <w:sz w:val="24"/>
                <w:szCs w:val="24"/>
                <w:highlight w:val="none"/>
                <w:u w:val="single"/>
                <w:lang w:val="en-US" w:eastAsia="zh-CN"/>
              </w:rPr>
              <w:t>文</w:t>
            </w:r>
            <w:r>
              <w:rPr>
                <w:rFonts w:hint="eastAsia" w:ascii="宋体" w:hAnsi="宋体" w:eastAsia="宋体" w:cs="宋体"/>
                <w:b w:val="0"/>
                <w:color w:val="auto"/>
                <w:sz w:val="24"/>
                <w:szCs w:val="24"/>
                <w:highlight w:val="none"/>
                <w:u w:val="single"/>
              </w:rPr>
              <w:t>标准，以最高限价计算。</w:t>
            </w:r>
          </w:p>
        </w:tc>
      </w:tr>
      <w:tr w14:paraId="7E38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266954B2">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27.1</w:t>
            </w:r>
          </w:p>
        </w:tc>
        <w:tc>
          <w:tcPr>
            <w:tcW w:w="1160" w:type="pct"/>
            <w:vAlign w:val="center"/>
          </w:tcPr>
          <w:p w14:paraId="28E1116A">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签订合同和合同公告时间</w:t>
            </w:r>
          </w:p>
        </w:tc>
        <w:tc>
          <w:tcPr>
            <w:tcW w:w="3267" w:type="pct"/>
            <w:vAlign w:val="center"/>
          </w:tcPr>
          <w:p w14:paraId="3FFA7F11">
            <w:pPr>
              <w:pStyle w:val="43"/>
              <w:widowControl w:val="0"/>
              <w:spacing w:before="0" w:beforeAutospacing="0" w:after="0" w:afterAutospacing="0" w:line="360" w:lineRule="auto"/>
              <w:jc w:val="both"/>
              <w:rPr>
                <w:rFonts w:ascii="宋体" w:hAnsi="宋体" w:eastAsia="宋体"/>
                <w:bCs w:val="0"/>
                <w:color w:val="auto"/>
                <w:sz w:val="24"/>
                <w:highlight w:val="none"/>
              </w:rPr>
            </w:pPr>
            <w:r>
              <w:rPr>
                <w:rFonts w:hint="eastAsia" w:ascii="宋体" w:hAnsi="宋体" w:eastAsia="宋体"/>
                <w:bCs w:val="0"/>
                <w:color w:val="auto"/>
                <w:sz w:val="24"/>
                <w:highlight w:val="none"/>
              </w:rPr>
              <w:t>（1）采购人与成交供应商应当自发出成交通知书之日起7个工作日内签订合同，采购合同签订之日起2个工作日内完成政府采购合同公开。</w:t>
            </w:r>
          </w:p>
          <w:p w14:paraId="1FADE452">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ascii="宋体" w:hAnsi="宋体" w:eastAsia="宋体" w:cs="宋体"/>
                <w:bCs w:val="0"/>
                <w:color w:val="auto"/>
                <w:sz w:val="24"/>
                <w:szCs w:val="24"/>
                <w:highlight w:val="none"/>
              </w:rPr>
              <w:t>（2）采购人与</w:t>
            </w:r>
            <w:r>
              <w:rPr>
                <w:rFonts w:hint="eastAsia" w:ascii="宋体" w:hAnsi="宋体" w:eastAsia="宋体"/>
                <w:bCs w:val="0"/>
                <w:color w:val="auto"/>
                <w:sz w:val="24"/>
                <w:highlight w:val="none"/>
              </w:rPr>
              <w:t>成交供应商</w:t>
            </w:r>
            <w:r>
              <w:rPr>
                <w:rFonts w:ascii="宋体" w:hAnsi="宋体" w:eastAsia="宋体" w:cs="宋体"/>
                <w:color w:val="auto"/>
                <w:sz w:val="24"/>
                <w:szCs w:val="24"/>
                <w:highlight w:val="none"/>
              </w:rPr>
              <w:t>不得擅自变更合同，依照政府采购法确需变更政府采购合同内容的，采购人应当自合同变更之日起2个工作日内在安徽省政府采购网发布政府采购合同变更公告，但涉及国家秘密、商业秘密的信息和其他依法不得公开的信息除外。</w:t>
            </w:r>
          </w:p>
        </w:tc>
      </w:tr>
      <w:tr w14:paraId="596E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2077A2F2">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29.3</w:t>
            </w:r>
          </w:p>
        </w:tc>
        <w:tc>
          <w:tcPr>
            <w:tcW w:w="2227" w:type="dxa"/>
            <w:vAlign w:val="center"/>
          </w:tcPr>
          <w:p w14:paraId="262AAD49">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质疑函递交方式、接收部门、联系电话和通讯地址</w:t>
            </w:r>
          </w:p>
        </w:tc>
        <w:tc>
          <w:tcPr>
            <w:tcW w:w="6274" w:type="dxa"/>
            <w:vAlign w:val="center"/>
          </w:tcPr>
          <w:p w14:paraId="56C987AB">
            <w:pPr>
              <w:pStyle w:val="43"/>
              <w:widowControl w:val="0"/>
              <w:spacing w:before="0" w:beforeAutospacing="0" w:after="0" w:afterAutospacing="0" w:line="360" w:lineRule="auto"/>
              <w:jc w:val="both"/>
              <w:rPr>
                <w:rFonts w:ascii="宋体" w:hAnsi="宋体" w:eastAsia="宋体" w:cs="宋体"/>
                <w:b w:val="0"/>
                <w:color w:val="auto"/>
                <w:sz w:val="24"/>
                <w:highlight w:val="none"/>
              </w:rPr>
            </w:pPr>
            <w:r>
              <w:rPr>
                <w:rFonts w:hint="eastAsia" w:ascii="宋体" w:hAnsi="宋体" w:eastAsia="宋体" w:cs="宋体"/>
                <w:b w:val="0"/>
                <w:color w:val="auto"/>
                <w:sz w:val="24"/>
                <w:highlight w:val="none"/>
              </w:rPr>
              <w:t>递交方式：</w:t>
            </w:r>
            <w:r>
              <w:rPr>
                <w:rFonts w:hint="eastAsia" w:ascii="宋体" w:hAnsi="宋体" w:eastAsia="宋体" w:cs="宋体"/>
                <w:color w:val="auto"/>
                <w:sz w:val="24"/>
                <w:highlight w:val="none"/>
                <w:u w:val="single"/>
              </w:rPr>
              <w:t>供应商可以通过书面形式提出，也可以通过线上提出质疑【通过线上向滁州市公共资源交易中心网电子交易系统提出质疑（具体操作步骤和程序请参见服务指南&gt;交易须知&gt;在线异议、质疑和投诉操作手册）】。一份质疑函只能针对一个项目提出质疑，且针对同一采购程序环节的质疑应当一次性提出。</w:t>
            </w:r>
          </w:p>
          <w:p w14:paraId="399506FD">
            <w:pPr>
              <w:pStyle w:val="43"/>
              <w:widowControl w:val="0"/>
              <w:spacing w:before="0" w:beforeAutospacing="0" w:after="0" w:afterAutospacing="0" w:line="360" w:lineRule="auto"/>
              <w:jc w:val="both"/>
              <w:rPr>
                <w:rFonts w:ascii="宋体" w:hAnsi="宋体" w:eastAsia="宋体" w:cs="宋体"/>
                <w:b w:val="0"/>
                <w:bCs w:val="0"/>
                <w:color w:val="auto"/>
                <w:sz w:val="24"/>
                <w:szCs w:val="18"/>
                <w:highlight w:val="none"/>
              </w:rPr>
            </w:pPr>
            <w:r>
              <w:rPr>
                <w:rFonts w:hint="eastAsia" w:ascii="宋体" w:hAnsi="宋体" w:eastAsia="宋体" w:cs="宋体"/>
                <w:b w:val="0"/>
                <w:color w:val="auto"/>
                <w:sz w:val="24"/>
                <w:highlight w:val="none"/>
              </w:rPr>
              <w:t>接收部门：</w:t>
            </w:r>
            <w:r>
              <w:rPr>
                <w:rFonts w:hint="eastAsia" w:ascii="宋体" w:hAnsi="宋体" w:eastAsia="宋体" w:cs="宋体"/>
                <w:color w:val="auto"/>
                <w:sz w:val="24"/>
                <w:highlight w:val="none"/>
                <w:u w:val="single"/>
                <w:lang w:eastAsia="zh-CN"/>
              </w:rPr>
              <w:t>滁州市文化和旅游局</w:t>
            </w:r>
            <w:r>
              <w:rPr>
                <w:rFonts w:hint="eastAsia" w:ascii="宋体" w:hAnsi="宋体" w:eastAsia="宋体" w:cs="宋体"/>
                <w:color w:val="auto"/>
                <w:sz w:val="24"/>
                <w:highlight w:val="none"/>
                <w:u w:val="single"/>
              </w:rPr>
              <w:t>、滁州市城投工程咨询管理有限公司；</w:t>
            </w:r>
          </w:p>
          <w:p w14:paraId="0FD16930">
            <w:pPr>
              <w:pStyle w:val="43"/>
              <w:widowControl w:val="0"/>
              <w:spacing w:before="0" w:beforeAutospacing="0" w:after="0" w:afterAutospacing="0" w:line="360" w:lineRule="auto"/>
              <w:jc w:val="both"/>
              <w:rPr>
                <w:rFonts w:ascii="宋体" w:hAnsi="宋体" w:eastAsia="宋体" w:cs="宋体"/>
                <w:b w:val="0"/>
                <w:bCs w:val="0"/>
                <w:color w:val="auto"/>
                <w:sz w:val="24"/>
                <w:szCs w:val="18"/>
                <w:highlight w:val="none"/>
              </w:rPr>
            </w:pPr>
            <w:r>
              <w:rPr>
                <w:rFonts w:hint="eastAsia" w:ascii="宋体" w:hAnsi="宋体" w:eastAsia="宋体" w:cs="宋体"/>
                <w:b w:val="0"/>
                <w:color w:val="auto"/>
                <w:sz w:val="24"/>
                <w:highlight w:val="none"/>
              </w:rPr>
              <w:t>联系电话：</w:t>
            </w:r>
            <w:r>
              <w:rPr>
                <w:rFonts w:hint="eastAsia" w:ascii="宋体" w:hAnsi="宋体" w:eastAsia="宋体" w:cs="宋体"/>
                <w:color w:val="auto"/>
                <w:sz w:val="24"/>
                <w:highlight w:val="none"/>
                <w:u w:val="single"/>
                <w:lang w:val="en-US" w:eastAsia="zh-CN"/>
              </w:rPr>
              <w:t>0550-3216119</w:t>
            </w:r>
            <w:r>
              <w:rPr>
                <w:rFonts w:hint="eastAsia" w:ascii="宋体" w:hAnsi="宋体" w:eastAsia="宋体" w:cs="宋体"/>
                <w:color w:val="auto"/>
                <w:sz w:val="24"/>
                <w:highlight w:val="none"/>
                <w:u w:val="single"/>
              </w:rPr>
              <w:t>、0550-3519519；</w:t>
            </w:r>
          </w:p>
          <w:p w14:paraId="4BF4546A">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通讯地址：</w:t>
            </w:r>
            <w:r>
              <w:rPr>
                <w:rFonts w:hint="eastAsia" w:ascii="宋体" w:hAnsi="宋体" w:eastAsia="宋体" w:cs="宋体"/>
                <w:color w:val="auto"/>
                <w:sz w:val="24"/>
                <w:highlight w:val="none"/>
                <w:u w:val="single"/>
                <w:lang w:eastAsia="zh-CN"/>
              </w:rPr>
              <w:t>滁州市会峰路555号会峰大厦1</w:t>
            </w:r>
            <w:r>
              <w:rPr>
                <w:rFonts w:hint="eastAsia" w:ascii="宋体" w:hAnsi="宋体" w:eastAsia="宋体" w:cs="宋体"/>
                <w:color w:val="auto"/>
                <w:sz w:val="24"/>
                <w:highlight w:val="none"/>
                <w:u w:val="single"/>
                <w:lang w:val="en-US" w:eastAsia="zh-CN"/>
              </w:rPr>
              <w:t>8</w:t>
            </w:r>
            <w:r>
              <w:rPr>
                <w:rFonts w:hint="eastAsia" w:ascii="宋体" w:hAnsi="宋体" w:eastAsia="宋体" w:cs="宋体"/>
                <w:color w:val="auto"/>
                <w:sz w:val="24"/>
                <w:highlight w:val="none"/>
                <w:u w:val="single"/>
                <w:lang w:eastAsia="zh-CN"/>
              </w:rPr>
              <w:t>楼</w:t>
            </w:r>
            <w:r>
              <w:rPr>
                <w:rFonts w:hint="eastAsia" w:ascii="宋体" w:hAnsi="宋体" w:eastAsia="宋体" w:cs="宋体"/>
                <w:color w:val="auto"/>
                <w:sz w:val="24"/>
                <w:highlight w:val="none"/>
                <w:u w:val="single"/>
              </w:rPr>
              <w:t>、滁州市龙蟠大道109号房产商务大厦6楼。</w:t>
            </w:r>
          </w:p>
        </w:tc>
      </w:tr>
      <w:tr w14:paraId="58FD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2" w:type="dxa"/>
            <w:vAlign w:val="center"/>
          </w:tcPr>
          <w:p w14:paraId="6D2366E2">
            <w:pPr>
              <w:pStyle w:val="44"/>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30</w:t>
            </w:r>
          </w:p>
        </w:tc>
        <w:tc>
          <w:tcPr>
            <w:tcW w:w="2227" w:type="dxa"/>
            <w:vAlign w:val="center"/>
          </w:tcPr>
          <w:p w14:paraId="1DA563F0">
            <w:pPr>
              <w:pStyle w:val="43"/>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其他内容</w:t>
            </w:r>
          </w:p>
        </w:tc>
        <w:tc>
          <w:tcPr>
            <w:tcW w:w="6274" w:type="dxa"/>
            <w:vAlign w:val="center"/>
          </w:tcPr>
          <w:p w14:paraId="1B510337">
            <w:pPr>
              <w:spacing w:line="360" w:lineRule="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1.解释权</w:t>
            </w:r>
          </w:p>
          <w:p w14:paraId="21779DD8">
            <w:pPr>
              <w:spacing w:line="360" w:lineRule="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（1）构成本磋商文件的各个组成文件应互为解释，互为说明；</w:t>
            </w:r>
          </w:p>
          <w:p w14:paraId="1C3A5BD0">
            <w:pPr>
              <w:spacing w:line="360" w:lineRule="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（2）同一组成文件中就同一事项的规定或约定不一致的，以编排顺序在后者为准；</w:t>
            </w:r>
          </w:p>
          <w:p w14:paraId="3EF5607B">
            <w:pPr>
              <w:spacing w:line="360" w:lineRule="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（3）如有不明确或不一致，构成合同文件组成内容的，以合同文件约定内容为准，且以专用合同条款约定的合同文件优先顺序解释；</w:t>
            </w:r>
          </w:p>
          <w:p w14:paraId="2E006883">
            <w:pPr>
              <w:spacing w:line="360" w:lineRule="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（4）除磋商文件中有特别规定外，仅适用于磋商及响应文件提交阶段的规定，按竞争性磋商公告、磋商邀请、供应商须知、评审方法和标准、响应文件格式的先后顺序解释；</w:t>
            </w:r>
          </w:p>
          <w:p w14:paraId="5D106AE9">
            <w:pPr>
              <w:spacing w:line="360" w:lineRule="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（5）按本款前述规定仍不能形成结论的，由采购人负责解释。</w:t>
            </w:r>
          </w:p>
          <w:p w14:paraId="50D0C056">
            <w:pPr>
              <w:spacing w:line="360" w:lineRule="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2.“政采贷”融资指引：有融资需求的</w:t>
            </w:r>
            <w:r>
              <w:rPr>
                <w:rFonts w:hint="eastAsia" w:ascii="宋体" w:hAnsi="宋体" w:eastAsia="宋体" w:cs="宋体"/>
                <w:color w:val="auto"/>
                <w:sz w:val="24"/>
                <w:szCs w:val="24"/>
                <w:highlight w:val="none"/>
              </w:rPr>
              <w:t>供应商</w:t>
            </w:r>
            <w:r>
              <w:rPr>
                <w:rFonts w:hint="eastAsia" w:ascii="宋体" w:hAnsi="宋体" w:eastAsia="宋体" w:cs="宋体"/>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供应商</w:t>
            </w:r>
            <w:r>
              <w:rPr>
                <w:rFonts w:hint="eastAsia" w:ascii="宋体" w:hAnsi="宋体" w:eastAsia="宋体" w:cs="宋体"/>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成交供应商</w:t>
            </w:r>
            <w:r>
              <w:rPr>
                <w:rFonts w:hint="eastAsia" w:ascii="宋体" w:hAnsi="宋体" w:eastAsia="宋体" w:cs="宋体"/>
                <w:bCs/>
                <w:color w:val="auto"/>
                <w:sz w:val="24"/>
                <w:szCs w:val="24"/>
                <w:highlight w:val="none"/>
              </w:rPr>
              <w:t>融资申请信息推送第三方平台、意向金融机构。</w:t>
            </w:r>
          </w:p>
          <w:p w14:paraId="02273703">
            <w:pPr>
              <w:spacing w:line="360" w:lineRule="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3.电子保函指引：成交供应商可访问安徽省政府采购网“融资/保函”栏目，申请办理电子保函（包括：履约保函、预付款保函）。</w:t>
            </w:r>
          </w:p>
          <w:p w14:paraId="6CFA3F08">
            <w:pPr>
              <w:spacing w:line="360" w:lineRule="auto"/>
              <w:rPr>
                <w:rFonts w:ascii="宋体" w:hAnsi="宋体" w:eastAsia="宋体" w:cs="宋体"/>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color w:val="auto"/>
                <w:sz w:val="24"/>
                <w:szCs w:val="24"/>
                <w:highlight w:val="none"/>
              </w:rPr>
              <w:t>部分可提供线下政采贷的金融机构：</w:t>
            </w:r>
          </w:p>
          <w:p w14:paraId="537BC897">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市本级</w:t>
            </w:r>
          </w:p>
          <w:p w14:paraId="130C09F9">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金融机构名称：兴业银行滁州分行</w:t>
            </w:r>
          </w:p>
          <w:p w14:paraId="111671D2">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安徽省滁州市琅琊区丰乐大道1090号</w:t>
            </w:r>
          </w:p>
          <w:p w14:paraId="065CAB49">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伏庚：17755080811</w:t>
            </w:r>
          </w:p>
          <w:p w14:paraId="54A1727C">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5.特别提示：</w:t>
            </w:r>
          </w:p>
          <w:p w14:paraId="62E83219">
            <w:pPr>
              <w:pStyle w:val="43"/>
              <w:widowControl w:val="0"/>
              <w:spacing w:before="0" w:beforeAutospacing="0" w:after="0" w:afterAutospacing="0" w:line="360" w:lineRule="auto"/>
              <w:jc w:val="both"/>
              <w:rPr>
                <w:rFonts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（1）供应商应填写投标信息并下载采购文件，否则无法上传响应文件。</w:t>
            </w:r>
            <w:r>
              <w:rPr>
                <w:rFonts w:hint="eastAsia" w:ascii="宋体" w:hAnsi="宋体" w:eastAsia="宋体" w:cs="宋体"/>
                <w:b w:val="0"/>
                <w:color w:val="auto"/>
                <w:kern w:val="2"/>
                <w:sz w:val="24"/>
                <w:szCs w:val="24"/>
                <w:highlight w:val="none"/>
              </w:rPr>
              <w:t>注：供应商如为联合体的,牵头人必须填写信息（信息包括联合体所有成员信息)并下载磋商文件。</w:t>
            </w:r>
          </w:p>
          <w:p w14:paraId="2E42DCE2">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本项目采用电子招标投标，请供应商在滁州市公共资源交易中心网&gt;服务指南&gt;软件下载栏目点击下载响应文件制作工具。供应商需采用最新版响应文件制作工具。软件运行需在国际互联网络通畅状态，供应商需注意更新，以免造成响应文件制作错误，如因此导致磋商小组否决其磋商资格，责任自负。如有技术问题请联系0550-3801701，</w:t>
            </w:r>
            <w:r>
              <w:rPr>
                <w:rFonts w:hint="eastAsia" w:ascii="宋体" w:hAnsi="宋体" w:eastAsia="宋体" w:cs="宋体"/>
                <w:color w:val="auto"/>
                <w:sz w:val="24"/>
                <w:szCs w:val="24"/>
                <w:highlight w:val="none"/>
                <w:lang w:eastAsia="zh-CN"/>
              </w:rPr>
              <w:t>0512-58188516</w:t>
            </w:r>
            <w:r>
              <w:rPr>
                <w:rFonts w:hint="eastAsia" w:ascii="宋体" w:hAnsi="宋体" w:eastAsia="宋体" w:cs="宋体"/>
                <w:color w:val="auto"/>
                <w:sz w:val="24"/>
                <w:szCs w:val="24"/>
                <w:highlight w:val="none"/>
              </w:rPr>
              <w:t>。</w:t>
            </w:r>
          </w:p>
          <w:p w14:paraId="388C4942">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（3）如果过程中出现采购文件更改，应以最后发布的招标答疑澄清文件中的模板制作本项目最新响应文件。</w:t>
            </w:r>
          </w:p>
          <w:p w14:paraId="0A70C6E6">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（4）供应商应当用本单位CA数字证书制作响应文件，制作成功后进行响应文件上传。 </w:t>
            </w:r>
          </w:p>
          <w:p w14:paraId="4CB32FB9">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供应商须用CA数字证书盖章和加密响应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332B92F6">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（6）请供应商注意加密响应文件CA数字证书的有效期，不在有效期的CA数字证书无法解密响应文件。</w:t>
            </w:r>
          </w:p>
          <w:p w14:paraId="6DAA0BD3">
            <w:pPr>
              <w:pStyle w:val="22"/>
              <w:spacing w:before="0" w:beforeAutospacing="0" w:after="0" w:afterAutospacing="0" w:line="440" w:lineRule="exact"/>
              <w:jc w:val="both"/>
              <w:rPr>
                <w:rFonts w:ascii="宋体" w:hAnsi="宋体" w:eastAsia="宋体" w:cs="宋体"/>
                <w:bCs/>
                <w:color w:val="auto"/>
                <w:kern w:val="2"/>
                <w:szCs w:val="24"/>
                <w:highlight w:val="none"/>
              </w:rPr>
            </w:pPr>
            <w:r>
              <w:rPr>
                <w:rFonts w:hint="eastAsia" w:ascii="宋体" w:hAnsi="宋体" w:eastAsia="宋体" w:cs="宋体"/>
                <w:color w:val="auto"/>
                <w:kern w:val="2"/>
                <w:szCs w:val="24"/>
                <w:highlight w:val="none"/>
              </w:rPr>
              <w:t>（7）</w:t>
            </w:r>
            <w:r>
              <w:rPr>
                <w:rFonts w:hint="eastAsia" w:ascii="宋体" w:hAnsi="宋体" w:eastAsia="宋体" w:cs="宋体"/>
                <w:bCs/>
                <w:color w:val="auto"/>
                <w:kern w:val="2"/>
                <w:szCs w:val="24"/>
                <w:highlight w:val="none"/>
              </w:rPr>
              <w:t>供应商投标MAC地址或供应商联系人或联系电话相同的，由磋商小组否决其响应，并报告监管部门作不良行为处理和进一步调查。</w:t>
            </w:r>
          </w:p>
          <w:p w14:paraId="528EE096">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（8）供应商单方面出现其他供应商材料的</w:t>
            </w:r>
            <w:r>
              <w:rPr>
                <w:rFonts w:hint="eastAsia" w:ascii="宋体" w:hAnsi="宋体" w:eastAsia="宋体" w:cs="宋体"/>
                <w:bCs/>
                <w:color w:val="auto"/>
                <w:sz w:val="24"/>
                <w:szCs w:val="24"/>
                <w:highlight w:val="none"/>
              </w:rPr>
              <w:t>（组成联合体响应的除外）</w:t>
            </w:r>
            <w:r>
              <w:rPr>
                <w:rFonts w:hint="eastAsia" w:ascii="宋体" w:hAnsi="宋体" w:eastAsia="宋体" w:cs="宋体"/>
                <w:color w:val="auto"/>
                <w:sz w:val="24"/>
                <w:szCs w:val="24"/>
                <w:highlight w:val="none"/>
              </w:rPr>
              <w:t>，由磋商小组否决其响应。</w:t>
            </w:r>
          </w:p>
          <w:p w14:paraId="170CA1B9">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评审时查询响应文件制作机器码、文件创建标识码及造价软件加密锁号。若存在响应文件制作机器码或创建标识码或造价软件加密锁号信息与其他供应商雷同的，由磋商小组否决其响应，依法依规予以处理。</w:t>
            </w:r>
          </w:p>
          <w:p w14:paraId="4E8D89FD">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电子加密响应文件上传到系统后，需要供应商和采购代理公司到截止时间后共同解锁，不存在商务报价等投标信息通过系统泄密的风险；截止时间前，已上传的响应文件也可以撤回修改。集中到开标截止时间前上传电子加密响应文件，可能出现由于投标企业制作电子响应文件不熟练、网络拥堵等不可预知的情况而且无法及时解决，丧失投标机会，请各投标企业提前制作、上传电子加密响应文件，否则由于无法及时上传电子加密响应文件而无效响应的情况，责任自负！</w:t>
            </w:r>
          </w:p>
          <w:p w14:paraId="5A078BCB">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6.评审过程中的澄清、说明或补正：</w:t>
            </w:r>
          </w:p>
          <w:p w14:paraId="17EA49E7">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（1）磋商小组通过网上招投标系统将需要澄清、说明或补正的内容以询标函的形式发送给供应商，供应商应安排专人登录网上招投标系统并保持在线状态，以便及时接收磋商小组可能发出的询标函。</w:t>
            </w:r>
          </w:p>
          <w:p w14:paraId="0B4A0CBE">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因供应商未登录网上招投标系统导致无法及时接收询标函（远程网上询标）或未在规定时间内按磋商小组要求进行澄清、说明或补正内容的视同供应商放弃澄清、说明或补正内容的权利，磋商小组可按对供应商不利的解释进行判定。</w:t>
            </w:r>
          </w:p>
          <w:p w14:paraId="5C0B869B">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7.同义词语：</w:t>
            </w:r>
          </w:p>
          <w:p w14:paraId="462B9B82">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磋商文件第六章  响应文件格式、附件1“关于联合惩戒失信行为 加强信用查询管理的通知”等章节中 “招标人”、“投标人”，等同于“采购人”、“供应商”。</w:t>
            </w:r>
          </w:p>
          <w:p w14:paraId="691059E4">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8.落实政府采购支持节能产品、环境标志产品政策。</w:t>
            </w:r>
          </w:p>
          <w:p w14:paraId="60470432">
            <w:pPr>
              <w:spacing w:line="360" w:lineRule="auto"/>
              <w:rPr>
                <w:rFonts w:asciiTheme="minorEastAsia" w:hAnsiTheme="minorEastAsia" w:eastAsiaTheme="minorEastAsia"/>
                <w:bCs/>
                <w:color w:val="auto"/>
                <w:sz w:val="24"/>
                <w:szCs w:val="24"/>
                <w:highlight w:val="none"/>
              </w:rPr>
            </w:pPr>
            <w:r>
              <w:rPr>
                <w:rFonts w:hint="eastAsia" w:ascii="宋体" w:hAnsi="宋体" w:eastAsia="宋体" w:cs="宋体"/>
                <w:color w:val="auto"/>
                <w:sz w:val="24"/>
                <w:szCs w:val="24"/>
                <w:highlight w:val="none"/>
              </w:rPr>
              <w:t>9.系统中提供的表格与采购文件中不一致时，以采购文件中提供的表格格式为准。</w:t>
            </w:r>
          </w:p>
        </w:tc>
      </w:tr>
    </w:tbl>
    <w:p w14:paraId="0B9BCA25">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6" w:name="_Toc27470"/>
      <w:bookmarkStart w:id="7" w:name="_Toc14293"/>
      <w:r>
        <w:rPr>
          <w:rFonts w:hint="eastAsia" w:asciiTheme="minorEastAsia" w:hAnsiTheme="minorEastAsia" w:eastAsiaTheme="minorEastAsia"/>
          <w:b/>
          <w:color w:val="auto"/>
          <w:sz w:val="24"/>
          <w:highlight w:val="none"/>
        </w:rPr>
        <w:t>二、供应商</w:t>
      </w:r>
      <w:r>
        <w:rPr>
          <w:rFonts w:asciiTheme="minorEastAsia" w:hAnsiTheme="minorEastAsia" w:eastAsiaTheme="minorEastAsia"/>
          <w:b/>
          <w:color w:val="auto"/>
          <w:sz w:val="24"/>
          <w:highlight w:val="none"/>
        </w:rPr>
        <w:t>须知</w:t>
      </w:r>
      <w:r>
        <w:rPr>
          <w:rFonts w:hint="eastAsia" w:asciiTheme="minorEastAsia" w:hAnsiTheme="minorEastAsia" w:eastAsiaTheme="minorEastAsia"/>
          <w:b/>
          <w:color w:val="auto"/>
          <w:sz w:val="24"/>
          <w:highlight w:val="none"/>
        </w:rPr>
        <w:t>正文</w:t>
      </w:r>
      <w:bookmarkEnd w:id="6"/>
      <w:bookmarkEnd w:id="7"/>
    </w:p>
    <w:p w14:paraId="2BBB94E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采购人、采购代理机构及供应商</w:t>
      </w:r>
    </w:p>
    <w:p w14:paraId="5FA0341F">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1.1采购人：是指依法开展政府采购活动的国家机关、事业单位、团体组织。</w:t>
      </w:r>
    </w:p>
    <w:p w14:paraId="5BA6DD64">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1.2采购代理机构：是指集中采购机构或从事采购代理业务的社会中介机构。</w:t>
      </w:r>
    </w:p>
    <w:p w14:paraId="5222A03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1.3政府采购监督管理部门：各级人民政府指定的有关部门依法履行与政府采购活动有关的监督管理职责。</w:t>
      </w:r>
    </w:p>
    <w:p w14:paraId="2D2652B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供应商：是指向采购人提供货物、工程或者服务的法人、其他组织或者自然人。分支机构不得参加政府采购活动，但银行、保险、石油石化、电力、电信等特殊行业除外。本项目的供应商及其所投货物须满足以下条件：</w:t>
      </w:r>
    </w:p>
    <w:p w14:paraId="71EAC4E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1.4.1具备《中华人民共和国政府采购法》第二十二条关于供应商条件的规定，遵守本项目采购人本级和上级财政部门政府采购的有关规定。</w:t>
      </w:r>
    </w:p>
    <w:p w14:paraId="4D7CC37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1.4.2以采购代理机构认可的方式获得了本项目的磋商文件。</w:t>
      </w:r>
    </w:p>
    <w:p w14:paraId="5CCC093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1.4.3若采购需求中写明允许采购进口产品，供应商应保证所投产品可履行合法报通关手续进入中国关境内。</w:t>
      </w:r>
    </w:p>
    <w:p w14:paraId="56D6E103">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若采购需求中未写明允许采购进口产品，如供应商所投产品为进口产品，其响应文件将被认定为</w:t>
      </w:r>
      <w:r>
        <w:rPr>
          <w:rFonts w:hint="eastAsia" w:ascii="宋体" w:hAnsi="宋体" w:eastAsia="宋体" w:cs="宋体"/>
          <w:b/>
          <w:color w:val="auto"/>
          <w:sz w:val="24"/>
          <w:highlight w:val="none"/>
        </w:rPr>
        <w:t>响应无效</w:t>
      </w:r>
      <w:r>
        <w:rPr>
          <w:rFonts w:hint="eastAsia" w:ascii="宋体" w:hAnsi="宋体" w:eastAsia="宋体" w:cs="宋体"/>
          <w:color w:val="auto"/>
          <w:sz w:val="24"/>
          <w:highlight w:val="none"/>
        </w:rPr>
        <w:t>。</w:t>
      </w:r>
    </w:p>
    <w:p w14:paraId="5B7C3D9B">
      <w:pPr>
        <w:spacing w:line="360" w:lineRule="auto"/>
        <w:ind w:firstLine="435"/>
        <w:rPr>
          <w:rFonts w:ascii="宋体" w:hAnsi="宋体" w:eastAsia="宋体" w:cs="宋体"/>
          <w:color w:val="auto"/>
          <w:sz w:val="24"/>
          <w:highlight w:val="none"/>
        </w:rPr>
      </w:pPr>
      <w:bookmarkStart w:id="8" w:name="_Hlk60607583"/>
      <w:r>
        <w:rPr>
          <w:rFonts w:hint="eastAsia" w:ascii="宋体" w:hAnsi="宋体" w:eastAsia="宋体" w:cs="宋体"/>
          <w:bCs/>
          <w:color w:val="auto"/>
          <w:kern w:val="0"/>
          <w:sz w:val="24"/>
          <w:szCs w:val="28"/>
          <w:highlight w:val="none"/>
        </w:rPr>
        <w:t>1.5若竞争性磋商公告中允许联合体参加磋商，对联合体规定如下：</w:t>
      </w:r>
    </w:p>
    <w:bookmarkEnd w:id="8"/>
    <w:p w14:paraId="6771DBB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1.5.1两个以上供应商可以组成一个磋商联合体，以一个供应商的身份磋商。联合体参加磋商的，磋商文件获取手续由联合体中任一成员单位办理均可。</w:t>
      </w:r>
    </w:p>
    <w:p w14:paraId="0B01F92B">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1.5.2联合体各方均应符合《中华人民共和国政府采购法》第二十二条规定的条件。</w:t>
      </w:r>
    </w:p>
    <w:p w14:paraId="6A6FB7C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1.5.3采购人根据采购项目对供应商的特殊要求，联合体中至少应当有一方符合相关规定。</w:t>
      </w:r>
    </w:p>
    <w:p w14:paraId="3E21D75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1.5.4联合体各方应签订联合协议，明确约定联合体各方承担的工作和相应的责任，并将联合协议作为响应文件的一部分提交。</w:t>
      </w:r>
    </w:p>
    <w:p w14:paraId="4091BB9F">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1.5.5大中型企业、其他自然人、法人或者非法人组织与小型、微型企业组成联合体共同参加磋商，联合协议中应写明小型、微型企业的协议合同金额占到联合协议合同总金额的比例。</w:t>
      </w:r>
    </w:p>
    <w:p w14:paraId="07A369C2">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1.5.6联合体中有同类资质的供应商按照联合体分工承担相同工作的，应当按照资质等级较低的供应商确定资质等级。</w:t>
      </w:r>
    </w:p>
    <w:p w14:paraId="6C0BE263">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1.5.7以联合体形式参加政府采购活动的，联合体各方不得再单独参加或者与其他供应商另外组成联合体参加本项目磋商，否则相关响应文件将被认定为</w:t>
      </w:r>
      <w:r>
        <w:rPr>
          <w:rFonts w:hint="eastAsia" w:ascii="宋体" w:hAnsi="宋体" w:eastAsia="宋体" w:cs="宋体"/>
          <w:b/>
          <w:color w:val="auto"/>
          <w:sz w:val="24"/>
          <w:highlight w:val="none"/>
        </w:rPr>
        <w:t>响应无效</w:t>
      </w:r>
      <w:r>
        <w:rPr>
          <w:rFonts w:hint="eastAsia" w:ascii="宋体" w:hAnsi="宋体" w:eastAsia="宋体" w:cs="宋体"/>
          <w:color w:val="auto"/>
          <w:sz w:val="24"/>
          <w:highlight w:val="none"/>
        </w:rPr>
        <w:t>。</w:t>
      </w:r>
    </w:p>
    <w:p w14:paraId="45B3E2D8">
      <w:pPr>
        <w:spacing w:line="360" w:lineRule="auto"/>
        <w:ind w:firstLine="435"/>
        <w:rPr>
          <w:rFonts w:ascii="宋体" w:hAnsi="宋体" w:eastAsia="宋体"/>
          <w:color w:val="auto"/>
          <w:sz w:val="24"/>
          <w:highlight w:val="none"/>
        </w:rPr>
      </w:pPr>
      <w:r>
        <w:rPr>
          <w:rFonts w:hint="eastAsia" w:ascii="宋体" w:hAnsi="宋体" w:eastAsia="宋体" w:cs="宋体"/>
          <w:color w:val="auto"/>
          <w:sz w:val="24"/>
          <w:highlight w:val="none"/>
        </w:rPr>
        <w:t>1.5.8对联合体参加磋商的其他资格要求见申请人的资格要求</w:t>
      </w:r>
      <w:r>
        <w:rPr>
          <w:rFonts w:ascii="宋体" w:hAnsi="宋体" w:eastAsia="宋体"/>
          <w:color w:val="auto"/>
          <w:sz w:val="24"/>
          <w:highlight w:val="none"/>
        </w:rPr>
        <w:t>。</w:t>
      </w:r>
    </w:p>
    <w:p w14:paraId="16B06AB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资金落实情况</w:t>
      </w:r>
    </w:p>
    <w:p w14:paraId="2ECEBE6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.1本项目的采购人已获得足以支付本次磋商后所签订的合同项下的资金。</w:t>
      </w:r>
    </w:p>
    <w:p w14:paraId="74A65894">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磋商费用</w:t>
      </w:r>
    </w:p>
    <w:p w14:paraId="4B6637AA">
      <w:pPr>
        <w:spacing w:line="360" w:lineRule="auto"/>
        <w:ind w:firstLine="480" w:firstLineChars="200"/>
        <w:outlineLvl w:val="2"/>
        <w:rPr>
          <w:rFonts w:ascii="宋体" w:hAnsi="宋体" w:eastAsia="宋体"/>
          <w:color w:val="auto"/>
          <w:sz w:val="24"/>
          <w:highlight w:val="none"/>
        </w:rPr>
      </w:pPr>
      <w:r>
        <w:rPr>
          <w:rFonts w:hint="eastAsia" w:ascii="宋体" w:hAnsi="宋体" w:eastAsia="宋体"/>
          <w:color w:val="auto"/>
          <w:sz w:val="24"/>
          <w:highlight w:val="none"/>
        </w:rPr>
        <w:t>不论磋商的结果如何，供应商应承担其所有与准备和参加磋商有关的费用</w:t>
      </w:r>
    </w:p>
    <w:p w14:paraId="01405494">
      <w:pPr>
        <w:spacing w:line="360" w:lineRule="auto"/>
        <w:ind w:firstLine="482" w:firstLineChars="200"/>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4.适用法律</w:t>
      </w:r>
    </w:p>
    <w:p w14:paraId="537ACAB6">
      <w:pPr>
        <w:spacing w:line="360" w:lineRule="auto"/>
        <w:ind w:firstLine="480" w:firstLineChars="200"/>
        <w:outlineLvl w:val="2"/>
        <w:rPr>
          <w:rFonts w:ascii="宋体" w:hAnsi="宋体" w:eastAsia="宋体"/>
          <w:color w:val="auto"/>
          <w:sz w:val="24"/>
          <w:highlight w:val="none"/>
        </w:rPr>
      </w:pPr>
      <w:r>
        <w:rPr>
          <w:rFonts w:hint="eastAsia" w:ascii="宋体" w:hAnsi="宋体" w:eastAsia="宋体"/>
          <w:color w:val="auto"/>
          <w:sz w:val="24"/>
          <w:highlight w:val="none"/>
        </w:rPr>
        <w:t>本项目采购人、采购代理机构、供应商、磋商小组的相关行为均受《中华人民共和国政府采购法》、《中华人民共和国政府采购法实施条例》及本项目本级和上级财政部门、政府采购监督管理部门的政府采购有关规定的约束，其权利受到上述法律法规的保护。</w:t>
      </w:r>
    </w:p>
    <w:p w14:paraId="0B60679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磋商文件构成</w:t>
      </w:r>
    </w:p>
    <w:p w14:paraId="292CDD6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5.1磋商文件包括下列内容：</w:t>
      </w:r>
    </w:p>
    <w:p w14:paraId="7785801D">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磋商邀请</w:t>
      </w:r>
    </w:p>
    <w:p w14:paraId="076988D1">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须知</w:t>
      </w:r>
    </w:p>
    <w:p w14:paraId="06AA75D0">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038E4DAB">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评审方法</w:t>
      </w:r>
      <w:r>
        <w:rPr>
          <w:rFonts w:asciiTheme="minorEastAsia" w:hAnsiTheme="minorEastAsia" w:eastAsiaTheme="minorEastAsia"/>
          <w:color w:val="auto"/>
          <w:sz w:val="24"/>
          <w:highlight w:val="none"/>
        </w:rPr>
        <w:t>和标准</w:t>
      </w:r>
    </w:p>
    <w:p w14:paraId="7FD4751B">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7EF814F1">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文件格式</w:t>
      </w:r>
    </w:p>
    <w:p w14:paraId="38DEC78E">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第七章</w:t>
      </w:r>
      <w:r>
        <w:rPr>
          <w:rFonts w:asciiTheme="minorEastAsia" w:hAnsiTheme="minorEastAsia" w:eastAsiaTheme="minorEastAsia"/>
          <w:color w:val="auto"/>
          <w:sz w:val="24"/>
          <w:highlight w:val="none"/>
        </w:rPr>
        <w:t xml:space="preserve">  政府采购供应商</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0206D99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w:t>
      </w:r>
    </w:p>
    <w:p w14:paraId="5D9B90C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3供应商</w:t>
      </w:r>
      <w:r>
        <w:rPr>
          <w:rFonts w:asciiTheme="minorEastAsia" w:hAnsiTheme="minorEastAsia" w:eastAsiaTheme="minorEastAsia"/>
          <w:color w:val="auto"/>
          <w:sz w:val="24"/>
          <w:highlight w:val="none"/>
        </w:rPr>
        <w:t>应认真阅读</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文件所有的事项、格式、条款和技术规范等。</w:t>
      </w:r>
    </w:p>
    <w:p w14:paraId="50F1D52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磋商文件的澄清与修改</w:t>
      </w:r>
    </w:p>
    <w:p w14:paraId="55C0AAF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6.1供应商如对磋商文件内容有疑问，可在</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规定的网上询问截止时间前以网上提问形式（电子交易系统）提交给采购代理机构。</w:t>
      </w:r>
    </w:p>
    <w:p w14:paraId="5C64509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6.2采购人可主动地或在答复供应商提出的询问时对磋商文件进行澄清与修改。采购代理机构将在</w:t>
      </w:r>
      <w:bookmarkStart w:id="9" w:name="_Hlk16458572"/>
      <w:r>
        <w:rPr>
          <w:rFonts w:hint="eastAsia" w:ascii="宋体" w:hAnsi="宋体" w:eastAsia="宋体" w:cs="宋体"/>
          <w:color w:val="auto"/>
          <w:sz w:val="24"/>
          <w:szCs w:val="18"/>
          <w:highlight w:val="none"/>
        </w:rPr>
        <w:t>安徽省政府采购网</w:t>
      </w:r>
      <w:bookmarkEnd w:id="9"/>
      <w:r>
        <w:rPr>
          <w:rFonts w:hint="eastAsia" w:ascii="宋体" w:hAnsi="宋体" w:eastAsia="宋体" w:cs="宋体"/>
          <w:color w:val="auto"/>
          <w:sz w:val="24"/>
          <w:szCs w:val="18"/>
          <w:highlight w:val="none"/>
        </w:rPr>
        <w:t>和滁州市公共资源交易中心网</w:t>
      </w:r>
      <w:r>
        <w:rPr>
          <w:rFonts w:hint="eastAsia" w:ascii="宋体" w:hAnsi="宋体" w:eastAsia="宋体" w:cs="宋体"/>
          <w:color w:val="auto"/>
          <w:sz w:val="24"/>
          <w:highlight w:val="none"/>
        </w:rPr>
        <w:t>以发布更正公告的方式澄清或者修改磋商文件，更正公告的内容作为磋商文件的组成部分，对供应商起约束作用。供应商应主动上网查询。采购代理机构不承担供应商未及时关注相关信息引发的相关责任。</w:t>
      </w:r>
    </w:p>
    <w:p w14:paraId="3DFAA35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6.3任何人或任何组织向供应商提供的任何书面或口头资料，未经采购代理机构在网上发布或书面通知，均作无效处理，不得作为磋商文件的组成部分。采购代理机构对供应商由此而做出的推论、理解和结论概不负责。</w:t>
      </w:r>
    </w:p>
    <w:p w14:paraId="2BD4BF88">
      <w:pPr>
        <w:spacing w:line="360" w:lineRule="auto"/>
        <w:ind w:firstLine="435"/>
        <w:rPr>
          <w:rFonts w:asciiTheme="minorEastAsia" w:hAnsiTheme="minorEastAsia" w:eastAsiaTheme="minorEastAsia"/>
          <w:iCs/>
          <w:color w:val="auto"/>
          <w:sz w:val="24"/>
          <w:highlight w:val="none"/>
        </w:rPr>
      </w:pPr>
      <w:r>
        <w:rPr>
          <w:rFonts w:hint="eastAsia" w:ascii="宋体" w:hAnsi="宋体" w:eastAsia="宋体" w:cs="宋体"/>
          <w:color w:val="auto"/>
          <w:sz w:val="24"/>
          <w:highlight w:val="none"/>
        </w:rPr>
        <w:t>6.4对于没有提出询问又参与了本项目磋商的供应商将被视为完全认同本磋商文件（含更正公告的内容）</w:t>
      </w:r>
      <w:r>
        <w:rPr>
          <w:rFonts w:hint="eastAsia" w:asciiTheme="minorEastAsia" w:hAnsiTheme="minorEastAsia" w:eastAsiaTheme="minorEastAsia"/>
          <w:color w:val="auto"/>
          <w:sz w:val="24"/>
          <w:highlight w:val="none"/>
        </w:rPr>
        <w:t>。</w:t>
      </w:r>
    </w:p>
    <w:p w14:paraId="625BD40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磋商范围及响应文件中标准和计量单位的使用</w:t>
      </w:r>
    </w:p>
    <w:p w14:paraId="6F046AC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7.1项目有分包的，供应商可参与其中某一个或多个分包的磋商，成交包数详见</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中规定。</w:t>
      </w:r>
    </w:p>
    <w:p w14:paraId="21E55672">
      <w:pPr>
        <w:spacing w:line="360" w:lineRule="auto"/>
        <w:ind w:firstLine="435"/>
        <w:rPr>
          <w:rFonts w:ascii="宋体" w:hAnsi="宋体" w:eastAsia="宋体" w:cs="宋体"/>
          <w:color w:val="auto"/>
          <w:highlight w:val="none"/>
        </w:rPr>
      </w:pPr>
      <w:r>
        <w:rPr>
          <w:rFonts w:hint="eastAsia" w:ascii="宋体" w:hAnsi="宋体" w:eastAsia="宋体" w:cs="宋体"/>
          <w:color w:val="auto"/>
          <w:sz w:val="24"/>
          <w:highlight w:val="none"/>
        </w:rPr>
        <w:t>7.2 供应商应当对所投分包磋商文件中“采购需求”所列的所有内容进行响应，如仅响应所投包别中的部分内容，其所投包别的响应将被认定为</w:t>
      </w:r>
      <w:r>
        <w:rPr>
          <w:rFonts w:hint="eastAsia" w:ascii="宋体" w:hAnsi="宋体" w:eastAsia="宋体" w:cs="宋体"/>
          <w:b/>
          <w:color w:val="auto"/>
          <w:sz w:val="24"/>
          <w:highlight w:val="none"/>
        </w:rPr>
        <w:t>响应无效</w:t>
      </w:r>
      <w:r>
        <w:rPr>
          <w:rFonts w:hint="eastAsia" w:ascii="宋体" w:hAnsi="宋体" w:eastAsia="宋体" w:cs="宋体"/>
          <w:color w:val="auto"/>
          <w:sz w:val="24"/>
          <w:highlight w:val="none"/>
        </w:rPr>
        <w:t>。</w:t>
      </w:r>
    </w:p>
    <w:p w14:paraId="72EACBF5">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7.3无论磋商文件中是否要求，供应商所投货物及伴随的服务和工程均应符合国家强制性标准。</w:t>
      </w:r>
    </w:p>
    <w:p w14:paraId="63EFD02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7.4供应商与采购代理机构之间与磋商有关的所有往来通知、函件和响应文件均用中文表述。供应商随响应文件提供的证明文件和资料可以为其它语言，但必须附中文译文。翻译的中文资料与外文资料如果出现差异时，以中文为准。</w:t>
      </w:r>
    </w:p>
    <w:p w14:paraId="30E0B18F">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highlight w:val="none"/>
        </w:rPr>
        <w:t>7.5除磋商文件中有特殊要求外，响应文件中所使用的计量单位，应采用中华人民共和国法定计量单位</w:t>
      </w:r>
      <w:r>
        <w:rPr>
          <w:rFonts w:asciiTheme="minorEastAsia" w:hAnsiTheme="minorEastAsia" w:eastAsiaTheme="minorEastAsia"/>
          <w:color w:val="auto"/>
          <w:sz w:val="24"/>
          <w:highlight w:val="none"/>
        </w:rPr>
        <w:t>。</w:t>
      </w:r>
    </w:p>
    <w:p w14:paraId="1E13EFA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响应文件构成</w:t>
      </w:r>
    </w:p>
    <w:p w14:paraId="435A077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8.1供应商应完整地按磋商文件提供的响应文件格式及要求编写响应文件，具体内容详见本项目响应文件格式的相关内容。</w:t>
      </w:r>
    </w:p>
    <w:p w14:paraId="63706A7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8.2供应商应提交磋商文件要求的证明文件，证明其响应内容符合磋商文件规定，该证明文件是响应文件的一部分。证明文件形式可以是文字资料、图纸和数据等。</w:t>
      </w:r>
    </w:p>
    <w:p w14:paraId="62099FCD">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highlight w:val="none"/>
        </w:rPr>
        <w:t>8.3为保证公平公正，除非另有规定或说明，供应商对同一项目磋商时，不得同时提供备选磋商方案</w:t>
      </w:r>
      <w:r>
        <w:rPr>
          <w:rFonts w:asciiTheme="minorEastAsia" w:hAnsiTheme="minorEastAsia" w:eastAsiaTheme="minorEastAsia"/>
          <w:color w:val="auto"/>
          <w:sz w:val="24"/>
          <w:highlight w:val="none"/>
        </w:rPr>
        <w:t>。</w:t>
      </w:r>
    </w:p>
    <w:p w14:paraId="312515D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报价</w:t>
      </w:r>
    </w:p>
    <w:p w14:paraId="3F2AD46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9.1供应商的报价应当包括满足本次磋商全部采购需求所应提供的货物，以及伴随的服务和工程。除磋商文件另有规定外，所有内容均应以人民币报价，供应商的磋商报价应遵守《中华人民共和国价格法》。</w:t>
      </w:r>
    </w:p>
    <w:p w14:paraId="35124E57">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9.2除非磋商文件另有规定或经采购人同意支付的，最后报价均不得高于磋商文件（公告）列明的项目预算，否则其响应文件将被认定为</w:t>
      </w:r>
      <w:r>
        <w:rPr>
          <w:rFonts w:hint="eastAsia" w:ascii="宋体" w:hAnsi="宋体" w:eastAsia="宋体" w:cs="宋体"/>
          <w:b/>
          <w:color w:val="auto"/>
          <w:sz w:val="24"/>
          <w:highlight w:val="none"/>
        </w:rPr>
        <w:t>响应无效</w:t>
      </w:r>
      <w:r>
        <w:rPr>
          <w:rFonts w:hint="eastAsia" w:ascii="宋体" w:hAnsi="宋体" w:eastAsia="宋体" w:cs="宋体"/>
          <w:color w:val="auto"/>
          <w:sz w:val="24"/>
          <w:highlight w:val="none"/>
        </w:rPr>
        <w:t>。</w:t>
      </w:r>
    </w:p>
    <w:p w14:paraId="23A5E3B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9.3报价在合同履行过程中是固定不变的，不得以任何理由予以变更。任何包含价格调整要求的磋商，其响应文件将被认定为</w:t>
      </w:r>
      <w:r>
        <w:rPr>
          <w:rFonts w:hint="eastAsia" w:ascii="宋体" w:hAnsi="宋体" w:eastAsia="宋体" w:cs="宋体"/>
          <w:b/>
          <w:color w:val="auto"/>
          <w:sz w:val="24"/>
          <w:highlight w:val="none"/>
        </w:rPr>
        <w:t>响应无效</w:t>
      </w:r>
      <w:r>
        <w:rPr>
          <w:rFonts w:hint="eastAsia" w:ascii="宋体" w:hAnsi="宋体" w:eastAsia="宋体" w:cs="宋体"/>
          <w:color w:val="auto"/>
          <w:sz w:val="24"/>
          <w:highlight w:val="none"/>
        </w:rPr>
        <w:t>。</w:t>
      </w:r>
    </w:p>
    <w:p w14:paraId="0E2D2A53">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highlight w:val="none"/>
        </w:rPr>
        <w:t>9.4采购人不接受具有附加条件的报价</w:t>
      </w:r>
      <w:r>
        <w:rPr>
          <w:rFonts w:asciiTheme="minorEastAsia" w:hAnsiTheme="minorEastAsia" w:eastAsiaTheme="minorEastAsia"/>
          <w:color w:val="auto"/>
          <w:sz w:val="24"/>
          <w:highlight w:val="none"/>
        </w:rPr>
        <w:t>。</w:t>
      </w:r>
    </w:p>
    <w:p w14:paraId="44CAC6B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磋商保证金</w:t>
      </w:r>
    </w:p>
    <w:p w14:paraId="560A1A6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10.1本项目不收取磋商保证金。</w:t>
      </w:r>
    </w:p>
    <w:p w14:paraId="47C0C1C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磋商有效期</w:t>
      </w:r>
    </w:p>
    <w:p w14:paraId="202BA220">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11.1磋商有效期为从响应文件提交截止之日算起的日历天数，磋商有效期详见</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w:t>
      </w:r>
    </w:p>
    <w:p w14:paraId="53E65A8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11.2在磋商有效期内，供应商的磋商保持有效，供应商不得要求撤销或修改其响应文件。磋商有效期不满足要求的响应，其响应文件将被认定为</w:t>
      </w:r>
      <w:r>
        <w:rPr>
          <w:rFonts w:hint="eastAsia" w:ascii="宋体" w:hAnsi="宋体" w:eastAsia="宋体" w:cs="宋体"/>
          <w:b/>
          <w:color w:val="auto"/>
          <w:sz w:val="24"/>
          <w:highlight w:val="none"/>
        </w:rPr>
        <w:t>响应无效</w:t>
      </w:r>
      <w:r>
        <w:rPr>
          <w:rFonts w:hint="eastAsia" w:ascii="宋体" w:hAnsi="宋体" w:eastAsia="宋体" w:cs="宋体"/>
          <w:color w:val="auto"/>
          <w:sz w:val="24"/>
          <w:highlight w:val="none"/>
        </w:rPr>
        <w:t>。</w:t>
      </w:r>
    </w:p>
    <w:p w14:paraId="03E3D65D">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highlight w:val="none"/>
        </w:rPr>
        <w:t>11.3为保证有充分时间签订合同，采购人或采购代理机构可根据实际情况，在原磋商有效期截止之前，要求供应商延长磋商有效期。接受该要求的供应商将不会被要求和允许修正其响应文件。供应商可以拒绝延长磋商有效期的要求，且不承担任何责任。上述要求和答复都应以书面形式提交</w:t>
      </w:r>
      <w:r>
        <w:rPr>
          <w:rFonts w:asciiTheme="minorEastAsia" w:hAnsiTheme="minorEastAsia" w:eastAsiaTheme="minorEastAsia"/>
          <w:color w:val="auto"/>
          <w:sz w:val="24"/>
          <w:highlight w:val="none"/>
        </w:rPr>
        <w:t>。</w:t>
      </w:r>
    </w:p>
    <w:p w14:paraId="1538880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响应文件的提交、修改与撤回</w:t>
      </w:r>
    </w:p>
    <w:p w14:paraId="5A043B80">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.1响应文件的提交</w:t>
      </w:r>
    </w:p>
    <w:p w14:paraId="21556DE1">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在滁州市公共资源交易中心网，利用用户名或CA锁登录下载磋商文件(.czzf格式)后，在下载“响应文件制作工具”安装后，在线制作响应文件，制作好的响应文件格式有2种:第一种.cztf格式加密响应文件；第二种.ncztf格式是非加密响应文件。请供应商将第一种响应文件通过系统“上传响应文件”上传到系统中。</w:t>
      </w:r>
    </w:p>
    <w:p w14:paraId="08F68BEA">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（2）如果一个项目有多个标段，则需按标段下载对应标段磋商文件分别生成对应的响应文件，通过系统“上传响应文件”按标段分别上传到系统中。</w:t>
      </w:r>
    </w:p>
    <w:p w14:paraId="4841318A">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（3）请供应商通过系统下载“响应文件制作工具”制作响应文件，并利用CA锁进行上传响应文件，上传已加密的响应文件，务必通过此方式上传响应文件。</w:t>
      </w:r>
    </w:p>
    <w:p w14:paraId="0F1874B4">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（4）供应商在响应文件编制、签章、上传过程中如有任何操作的疑问请及时联系技术支持，电话：0550-3801701。</w:t>
      </w:r>
    </w:p>
    <w:p w14:paraId="5BDAAE49">
      <w:pPr>
        <w:spacing w:line="360" w:lineRule="auto"/>
        <w:ind w:firstLine="435"/>
        <w:rPr>
          <w:rFonts w:hint="eastAsia" w:ascii="宋体" w:hAnsi="宋体" w:eastAsia="宋体" w:cs="宋体"/>
          <w:color w:val="auto"/>
          <w:sz w:val="24"/>
          <w:highlight w:val="none"/>
        </w:rPr>
      </w:pPr>
      <w:r>
        <w:rPr>
          <w:rFonts w:hint="eastAsia" w:ascii="宋体" w:hAnsi="宋体" w:eastAsia="宋体" w:cs="宋体"/>
          <w:color w:val="auto"/>
          <w:sz w:val="24"/>
          <w:highlight w:val="none"/>
        </w:rPr>
        <w:t>（5）如果因供应商自身原因导致响应文件在规定时间内未能解密、解密失败或解密超时，响应文件无效；因采购代理机构原因或网上平台发生故障，导致无法按时完成响应文件解密的，经采购代理机构申请后可延迟解密时间。</w:t>
      </w:r>
    </w:p>
    <w:p w14:paraId="669CCD5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12.2供应商应当在响应文件提交截止时间前完成响应文件的传输提交（以接收到电子签收凭证为准），并可以补充、修改或者撤回响应文件。响应文件提交截止时间前未完成响应文件传输的，视为撤回响应文件。未按规定加密或响应文件提交截止时间后送达的响应文件，电子交易系统应当拒收。</w:t>
      </w:r>
    </w:p>
    <w:p w14:paraId="42D63126">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highlight w:val="none"/>
        </w:rPr>
        <w:t>12.3供应商应在</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规定的解密时间前对其响应文件进行解密。未在规定时间内进行解密的，</w:t>
      </w:r>
      <w:r>
        <w:rPr>
          <w:rFonts w:hint="eastAsia" w:ascii="宋体" w:hAnsi="宋体" w:eastAsia="宋体" w:cs="宋体"/>
          <w:b/>
          <w:bCs/>
          <w:color w:val="auto"/>
          <w:sz w:val="24"/>
          <w:highlight w:val="none"/>
        </w:rPr>
        <w:t>响应无效</w:t>
      </w:r>
      <w:r>
        <w:rPr>
          <w:rFonts w:hint="eastAsia" w:asciiTheme="minorEastAsia" w:hAnsiTheme="minorEastAsia" w:eastAsiaTheme="minorEastAsia"/>
          <w:b/>
          <w:bCs/>
          <w:color w:val="auto"/>
          <w:sz w:val="24"/>
          <w:highlight w:val="none"/>
        </w:rPr>
        <w:t>。</w:t>
      </w:r>
    </w:p>
    <w:p w14:paraId="0E5FE073">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12.4在响应文件提交截止时间之后，供应商不得对其响应文件做任何修改。</w:t>
      </w:r>
      <w:r>
        <w:rPr>
          <w:rFonts w:hint="eastAsia" w:ascii="宋体" w:hAnsi="宋体" w:eastAsia="宋体"/>
          <w:color w:val="auto"/>
          <w:sz w:val="24"/>
          <w:highlight w:val="none"/>
        </w:rPr>
        <w:t>但属于磋商小组在评审中发现的计算错误并进行核实的修改、按照磋商文件的变动情况和磋商小组的要求重新提交响应文件的，不在此列。</w:t>
      </w:r>
    </w:p>
    <w:p w14:paraId="69BC772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磋商小组</w:t>
      </w:r>
    </w:p>
    <w:p w14:paraId="25634F5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13.1本项目将依法组建磋商小组，磋商小组成员由3人以上（含）单数组成，磋商小组及其成员应当依照政府采购的有关规定履行相关职责和义务。</w:t>
      </w:r>
    </w:p>
    <w:p w14:paraId="3D4B8B1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13.2磋商小组依法对响应文件进行评审，并根据磋商文件规定的程序、评定成交的标准等事项与实质性响应磋商文件要求的供应商进行磋商。</w:t>
      </w:r>
    </w:p>
    <w:p w14:paraId="52A9E99E">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highlight w:val="none"/>
        </w:rPr>
        <w:t>13.3磋商小组应当从质量和服务均能满足磋商文件实质性响应要求的供应商中，按照评审方法和标准推荐成交候选供应商，并编写评审报告</w:t>
      </w:r>
      <w:r>
        <w:rPr>
          <w:rFonts w:asciiTheme="minorEastAsia" w:hAnsiTheme="minorEastAsia" w:eastAsiaTheme="minorEastAsia"/>
          <w:color w:val="auto"/>
          <w:sz w:val="24"/>
          <w:highlight w:val="none"/>
        </w:rPr>
        <w:t>。</w:t>
      </w:r>
    </w:p>
    <w:p w14:paraId="22ACCC8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14</w:t>
      </w:r>
      <w:r>
        <w:rPr>
          <w:rFonts w:asciiTheme="minorEastAsia" w:hAnsiTheme="minorEastAsia" w:eastAsiaTheme="minorEastAsia"/>
          <w:b/>
          <w:color w:val="auto"/>
          <w:sz w:val="24"/>
          <w:highlight w:val="none"/>
        </w:rPr>
        <w:t>.响应文件的评审与磋商</w:t>
      </w:r>
    </w:p>
    <w:p w14:paraId="4A70C162">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14.1采购人和采购代理机构将在竞争性磋商公告规定的时间和地点组织磋商。</w:t>
      </w:r>
    </w:p>
    <w:p w14:paraId="305C202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14.2竞争性磋商活动采用综合评分法评审。</w:t>
      </w:r>
    </w:p>
    <w:p w14:paraId="2639F41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综合评分法，是指响应文件满足磋商文件全部实质性要求且按评审因素的量化指标评审得分最高的供应商为成交候选供应商的评审方法。</w:t>
      </w:r>
    </w:p>
    <w:p w14:paraId="48CF910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14.3磋商小组将按照磋商文件规定的评审方法和标准对供应商独立进行评审。评审程序如下：</w:t>
      </w:r>
    </w:p>
    <w:p w14:paraId="4FF26930">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14.3.1</w:t>
      </w:r>
      <w:r>
        <w:rPr>
          <w:rFonts w:hint="eastAsia" w:ascii="宋体" w:hAnsi="宋体" w:eastAsia="宋体" w:cs="宋体"/>
          <w:b/>
          <w:color w:val="auto"/>
          <w:sz w:val="24"/>
          <w:highlight w:val="none"/>
        </w:rPr>
        <w:t>初审</w:t>
      </w:r>
      <w:r>
        <w:rPr>
          <w:rFonts w:hint="eastAsia" w:ascii="宋体" w:hAnsi="宋体" w:eastAsia="宋体" w:cs="宋体"/>
          <w:color w:val="auto"/>
          <w:sz w:val="24"/>
          <w:highlight w:val="none"/>
        </w:rPr>
        <w:t>。磋商小组对供应商必须满足和实质性响应的内容进行评审，供应商未实质性响应磋商文件要求导致响应无效的，磋商小组将以书面询标的方式告知有关供应商。</w:t>
      </w:r>
    </w:p>
    <w:p w14:paraId="54952506">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将在响应文件提交截止时间后至评审结束前通过“信用中国”网站(www.creditchina.gov.cn)、中国政府采购网(www.ccgp.gov.cn)查询相关供应商信用记录，并对供应商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响应文件将被认定为</w:t>
      </w:r>
      <w:r>
        <w:rPr>
          <w:rFonts w:hint="eastAsia" w:ascii="宋体" w:hAnsi="宋体" w:eastAsia="宋体" w:cs="宋体"/>
          <w:b/>
          <w:color w:val="auto"/>
          <w:sz w:val="24"/>
          <w:szCs w:val="24"/>
          <w:highlight w:val="none"/>
        </w:rPr>
        <w:t>响应无效</w:t>
      </w:r>
      <w:r>
        <w:rPr>
          <w:rFonts w:hint="eastAsia" w:ascii="宋体" w:hAnsi="宋体" w:eastAsia="宋体" w:cs="宋体"/>
          <w:color w:val="auto"/>
          <w:sz w:val="24"/>
          <w:szCs w:val="24"/>
          <w:highlight w:val="none"/>
        </w:rPr>
        <w:t>。</w:t>
      </w:r>
    </w:p>
    <w:p w14:paraId="19DF168D">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以联合体形式参加磋商的，联合体成员存在以上不良信用记录的，联合体磋商将被认定为</w:t>
      </w:r>
      <w:r>
        <w:rPr>
          <w:rFonts w:hint="eastAsia" w:ascii="宋体" w:hAnsi="宋体" w:eastAsia="宋体" w:cs="宋体"/>
          <w:b/>
          <w:color w:val="auto"/>
          <w:sz w:val="24"/>
          <w:szCs w:val="24"/>
          <w:highlight w:val="none"/>
        </w:rPr>
        <w:t>响应无效</w:t>
      </w:r>
      <w:r>
        <w:rPr>
          <w:rFonts w:hint="eastAsia" w:ascii="宋体" w:hAnsi="宋体" w:eastAsia="宋体" w:cs="宋体"/>
          <w:color w:val="auto"/>
          <w:sz w:val="24"/>
          <w:szCs w:val="24"/>
          <w:highlight w:val="none"/>
        </w:rPr>
        <w:t>。</w:t>
      </w:r>
    </w:p>
    <w:p w14:paraId="5F3BF62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供应商不良信用记录以采购人或采购代理机构查询结果为准。在本采购文件规定的查询时间之外，网站信息发生的任何变更均不作为初审依据。供应商自行提供的与网站信息不一致的其他证明材料亦不作为初审依据。</w:t>
      </w:r>
    </w:p>
    <w:p w14:paraId="4E214655">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14.3.2</w:t>
      </w:r>
      <w:r>
        <w:rPr>
          <w:rFonts w:hint="eastAsia" w:ascii="宋体" w:hAnsi="宋体" w:eastAsia="宋体" w:cs="宋体"/>
          <w:b/>
          <w:color w:val="auto"/>
          <w:sz w:val="24"/>
          <w:highlight w:val="none"/>
        </w:rPr>
        <w:t>磋商</w:t>
      </w:r>
      <w:r>
        <w:rPr>
          <w:rFonts w:hint="eastAsia" w:ascii="宋体" w:hAnsi="宋体" w:eastAsia="宋体" w:cs="宋体"/>
          <w:color w:val="auto"/>
          <w:sz w:val="24"/>
          <w:highlight w:val="none"/>
        </w:rPr>
        <w:t>。初审合格后，磋商小组将按网上加密电子响应文件提交顺序集中与单一供应商分别进行磋商，并给予所有参加磋商的供应商平等的磋商机会。</w:t>
      </w:r>
    </w:p>
    <w:p w14:paraId="048A700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14.3.3</w:t>
      </w:r>
      <w:r>
        <w:rPr>
          <w:rFonts w:asciiTheme="minorEastAsia" w:hAnsiTheme="minorEastAsia" w:eastAsiaTheme="minorEastAsia"/>
          <w:b/>
          <w:color w:val="auto"/>
          <w:sz w:val="24"/>
          <w:highlight w:val="none"/>
        </w:rPr>
        <w:t>报价</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磋商结束后，磋商小组应当要求所有</w:t>
      </w:r>
      <w:r>
        <w:rPr>
          <w:rFonts w:hint="eastAsia" w:asciiTheme="minorEastAsia" w:hAnsiTheme="minorEastAsia" w:eastAsiaTheme="minorEastAsia"/>
          <w:color w:val="auto"/>
          <w:sz w:val="24"/>
          <w:highlight w:val="none"/>
        </w:rPr>
        <w:t>实质性响应</w:t>
      </w:r>
      <w:r>
        <w:rPr>
          <w:rFonts w:asciiTheme="minorEastAsia" w:hAnsiTheme="minorEastAsia" w:eastAsiaTheme="minorEastAsia"/>
          <w:color w:val="auto"/>
          <w:sz w:val="24"/>
          <w:highlight w:val="none"/>
        </w:rPr>
        <w:t>的供应商在规定时间内提交最后报价</w:t>
      </w:r>
      <w:r>
        <w:rPr>
          <w:rFonts w:hint="eastAsia" w:ascii="宋体" w:hAnsi="宋体" w:eastAsia="宋体"/>
          <w:color w:val="auto"/>
          <w:sz w:val="24"/>
          <w:highlight w:val="none"/>
        </w:rPr>
        <w:t>。</w:t>
      </w:r>
    </w:p>
    <w:p w14:paraId="0F049206">
      <w:pPr>
        <w:spacing w:line="360" w:lineRule="auto"/>
        <w:ind w:firstLine="435"/>
        <w:rPr>
          <w:color w:val="auto"/>
          <w:highlight w:val="none"/>
        </w:rPr>
      </w:pPr>
      <w:r>
        <w:rPr>
          <w:rFonts w:hint="eastAsia" w:asciiTheme="minorEastAsia" w:hAnsiTheme="minorEastAsia" w:eastAsiaTheme="minorEastAsia"/>
          <w:color w:val="auto"/>
          <w:sz w:val="24"/>
          <w:highlight w:val="none"/>
        </w:rPr>
        <w:t xml:space="preserve">14.3.4 </w:t>
      </w:r>
      <w:r>
        <w:rPr>
          <w:rFonts w:hint="eastAsia" w:asciiTheme="minorEastAsia" w:hAnsiTheme="minorEastAsia" w:eastAsiaTheme="minorEastAsia"/>
          <w:b/>
          <w:bCs/>
          <w:color w:val="auto"/>
          <w:sz w:val="24"/>
          <w:highlight w:val="none"/>
        </w:rPr>
        <w:t>异常低价响应审查。</w:t>
      </w:r>
      <w:r>
        <w:rPr>
          <w:rFonts w:hint="eastAsia" w:ascii="宋体" w:hAnsi="宋体" w:eastAsia="宋体"/>
          <w:color w:val="auto"/>
          <w:sz w:val="24"/>
          <w:highlight w:val="none"/>
        </w:rPr>
        <w:t>根据《关于推进解决政府采购异常低价问题的通知》（财库〔</w:t>
      </w:r>
      <w:r>
        <w:rPr>
          <w:rFonts w:ascii="宋体" w:hAnsi="宋体" w:eastAsia="宋体"/>
          <w:color w:val="auto"/>
          <w:sz w:val="24"/>
          <w:highlight w:val="none"/>
        </w:rPr>
        <w:t>202</w:t>
      </w:r>
      <w:r>
        <w:rPr>
          <w:rFonts w:hint="eastAsia" w:ascii="宋体" w:hAnsi="宋体" w:eastAsia="宋体"/>
          <w:color w:val="auto"/>
          <w:sz w:val="24"/>
          <w:highlight w:val="none"/>
        </w:rPr>
        <w:t>6</w:t>
      </w: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号</w:t>
      </w:r>
      <w:r>
        <w:rPr>
          <w:rFonts w:hint="eastAsia" w:ascii="宋体" w:hAnsi="宋体" w:eastAsia="宋体"/>
          <w:color w:val="auto"/>
          <w:sz w:val="24"/>
          <w:highlight w:val="none"/>
        </w:rPr>
        <w:t>），磋商小组进行异常低价响应审查。</w:t>
      </w:r>
    </w:p>
    <w:p w14:paraId="7A6C75A4">
      <w:pPr>
        <w:spacing w:line="360" w:lineRule="auto"/>
        <w:ind w:firstLine="435"/>
        <w:rPr>
          <w:rFonts w:ascii="宋体" w:hAnsi="宋体" w:eastAsia="宋体" w:cs="宋体"/>
          <w:color w:val="auto"/>
          <w:sz w:val="24"/>
          <w:highlight w:val="none"/>
        </w:rPr>
      </w:pPr>
      <w:r>
        <w:rPr>
          <w:rFonts w:hint="eastAsia" w:asciiTheme="minorEastAsia" w:hAnsiTheme="minorEastAsia" w:eastAsiaTheme="minorEastAsia"/>
          <w:color w:val="auto"/>
          <w:sz w:val="24"/>
          <w:highlight w:val="none"/>
        </w:rPr>
        <w:t>14.3.5</w:t>
      </w:r>
      <w:r>
        <w:rPr>
          <w:rFonts w:hint="eastAsia" w:asciiTheme="minorEastAsia" w:hAnsiTheme="minorEastAsia" w:eastAsiaTheme="minorEastAsia"/>
          <w:b/>
          <w:color w:val="auto"/>
          <w:sz w:val="24"/>
          <w:highlight w:val="none"/>
        </w:rPr>
        <w:t>综合评分</w:t>
      </w:r>
      <w:r>
        <w:rPr>
          <w:rFonts w:hint="eastAsia" w:asciiTheme="minorEastAsia" w:hAnsiTheme="minorEastAsia" w:eastAsiaTheme="minorEastAsia"/>
          <w:color w:val="auto"/>
          <w:sz w:val="24"/>
          <w:highlight w:val="none"/>
        </w:rPr>
        <w:t>。磋商小组只对通过初审、</w:t>
      </w:r>
      <w:r>
        <w:rPr>
          <w:rFonts w:hint="eastAsia" w:ascii="宋体" w:hAnsi="宋体" w:eastAsia="宋体"/>
          <w:color w:val="auto"/>
          <w:sz w:val="24"/>
          <w:highlight w:val="none"/>
        </w:rPr>
        <w:t>异常低价响应审查</w:t>
      </w:r>
      <w:r>
        <w:rPr>
          <w:rFonts w:hint="eastAsia" w:asciiTheme="minorEastAsia" w:hAnsiTheme="minorEastAsia" w:eastAsiaTheme="minorEastAsia"/>
          <w:color w:val="auto"/>
          <w:sz w:val="24"/>
          <w:highlight w:val="none"/>
        </w:rPr>
        <w:t>，实质上响应磋商文件要求的响应文件进行综合评分。经磋商确定最终采购需求和提交最后报价的供应商后，由磋商小组采用综合评分法对提交最后报价的供应商的响应文件和最后报价进行综合评分</w:t>
      </w:r>
      <w:r>
        <w:rPr>
          <w:rFonts w:hint="eastAsia" w:ascii="宋体" w:hAnsi="宋体" w:eastAsia="宋体" w:cs="宋体"/>
          <w:color w:val="auto"/>
          <w:sz w:val="24"/>
          <w:highlight w:val="none"/>
        </w:rPr>
        <w:t>。</w:t>
      </w:r>
    </w:p>
    <w:p w14:paraId="69B1818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14.4相关说明。</w:t>
      </w:r>
    </w:p>
    <w:p w14:paraId="6D0F650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 xml:space="preserve">14.4.1为保证磋商活动顺利进行，供应商可派相关技术人员进行网上答疑； </w:t>
      </w:r>
    </w:p>
    <w:p w14:paraId="3FF94C0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14.4.2磋商小组根据与供应商磋商情况可能实质性变动磋商文件的内容，包括采购需求中的技术、服务要求以及合同草案条款。磋商文件有实质性变动的，经采购人代表确认作为磋商文件的有效组成部分，磋商小组将以书面形式通知所有参加磋商的供应商。</w:t>
      </w:r>
    </w:p>
    <w:p w14:paraId="39B7E952">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14.4.3磋商小组发现供应商的报价或者某些分项报价明显低于其他通过初审的供应商的报价，有可能影响产品质量和不能诚信履约的，应当要求其在合理的时间内提供书面说明，必要时提交相关证明材料；供应商不能证明其报价合理性的，其响应文件将被认定为</w:t>
      </w:r>
      <w:r>
        <w:rPr>
          <w:rFonts w:hint="eastAsia" w:ascii="宋体" w:hAnsi="宋体" w:eastAsia="宋体" w:cs="宋体"/>
          <w:b/>
          <w:color w:val="auto"/>
          <w:sz w:val="24"/>
          <w:highlight w:val="none"/>
        </w:rPr>
        <w:t>响应无效</w:t>
      </w:r>
      <w:r>
        <w:rPr>
          <w:rFonts w:hint="eastAsia" w:ascii="宋体" w:hAnsi="宋体" w:eastAsia="宋体" w:cs="宋体"/>
          <w:color w:val="auto"/>
          <w:sz w:val="24"/>
          <w:highlight w:val="none"/>
        </w:rPr>
        <w:t>。</w:t>
      </w:r>
    </w:p>
    <w:p w14:paraId="335D5C2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14.4.4无论何种原因，即使供应商磋商时携带了证书材料的原件，但响应文件中未提供与之内容完全一致的扫描件的，磋商小组可以视同其未提供。</w:t>
      </w:r>
    </w:p>
    <w:p w14:paraId="28CC4CE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14.4.5磋商小组决定响应文件的响应性及符合性只根据响应文件本身的内容，而不寻求其他外部证据。</w:t>
      </w:r>
    </w:p>
    <w:p w14:paraId="1DC200B3">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 xml:space="preserve">14.5供应商授权代表对磋商过程有疑义，以及认为采购人、采购代理机构相关工作人员有需要回避的情形的，应当场提出询问或者回避申请，并说明理由。 </w:t>
      </w:r>
    </w:p>
    <w:p w14:paraId="7B0F58FA">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15.终止竞争性磋商</w:t>
      </w:r>
    </w:p>
    <w:p w14:paraId="18FC5DDF">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15.1出现下列情况之一时，采购人和采购代理机构有权宣布终止竞争性磋商采购，并将理由通知所有供应商：</w:t>
      </w:r>
    </w:p>
    <w:p w14:paraId="0A9486A3">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（1）有效供应商数量不足，导致本次磋商缺乏竞争的；</w:t>
      </w:r>
    </w:p>
    <w:p w14:paraId="634D6320">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（2）出现影响采购公正的违法、违规行为的；</w:t>
      </w:r>
    </w:p>
    <w:p w14:paraId="6FE1FA27">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（3）因重大变故，采购任务取消的；</w:t>
      </w:r>
    </w:p>
    <w:p w14:paraId="6FDA4EA8">
      <w:pPr>
        <w:spacing w:line="360" w:lineRule="auto"/>
        <w:ind w:firstLine="437"/>
        <w:outlineLvl w:val="2"/>
        <w:rPr>
          <w:rFonts w:ascii="宋体" w:hAnsi="宋体" w:eastAsia="宋体" w:cs="宋体"/>
          <w:color w:val="auto"/>
          <w:sz w:val="24"/>
          <w:highlight w:val="none"/>
        </w:rPr>
      </w:pPr>
      <w:r>
        <w:rPr>
          <w:rFonts w:hint="eastAsia" w:ascii="宋体" w:hAnsi="宋体" w:eastAsia="宋体" w:cs="宋体"/>
          <w:color w:val="auto"/>
          <w:sz w:val="24"/>
          <w:highlight w:val="none"/>
        </w:rPr>
        <w:t>（4）政府采购法律法规规定的其他情形。</w:t>
      </w:r>
    </w:p>
    <w:p w14:paraId="3BD69205">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16.响应文件的澄清、说明或更正</w:t>
      </w:r>
    </w:p>
    <w:p w14:paraId="3774E8F6">
      <w:pPr>
        <w:spacing w:line="360" w:lineRule="auto"/>
        <w:ind w:firstLine="470" w:firstLineChars="196"/>
        <w:rPr>
          <w:rFonts w:ascii="宋体" w:hAnsi="宋体" w:eastAsia="宋体" w:cs="宋体"/>
          <w:color w:val="auto"/>
          <w:sz w:val="24"/>
          <w:highlight w:val="none"/>
        </w:rPr>
      </w:pPr>
      <w:r>
        <w:rPr>
          <w:rFonts w:hint="eastAsia" w:ascii="宋体" w:hAnsi="宋体" w:eastAsia="宋体" w:cs="宋体"/>
          <w:color w:val="auto"/>
          <w:sz w:val="24"/>
          <w:highlight w:val="none"/>
        </w:rPr>
        <w:t>16.1磋商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4003025C">
      <w:pPr>
        <w:spacing w:line="360" w:lineRule="auto"/>
        <w:ind w:firstLine="470" w:firstLineChars="196"/>
        <w:rPr>
          <w:rFonts w:ascii="宋体" w:hAnsi="宋体" w:eastAsia="宋体" w:cs="宋体"/>
          <w:color w:val="auto"/>
          <w:sz w:val="24"/>
          <w:highlight w:val="none"/>
        </w:rPr>
      </w:pPr>
      <w:r>
        <w:rPr>
          <w:rFonts w:hint="eastAsia" w:ascii="宋体" w:hAnsi="宋体" w:eastAsia="宋体" w:cs="宋体"/>
          <w:color w:val="auto"/>
          <w:sz w:val="24"/>
          <w:highlight w:val="none"/>
        </w:rPr>
        <w:t>16.2磋商小组要求供应商澄清、说明或者更正响应文件应当以书面形式（询标）作出。供应商的澄清、说明或者更正应当由法定代表人或其授权代表签字或者加盖公章（电子签章）。</w:t>
      </w:r>
    </w:p>
    <w:p w14:paraId="07718E29">
      <w:pPr>
        <w:spacing w:line="360" w:lineRule="auto"/>
        <w:ind w:firstLine="435"/>
        <w:rPr>
          <w:rFonts w:ascii="宋体" w:hAnsi="宋体" w:eastAsia="宋体" w:cs="宋体"/>
          <w:b/>
          <w:color w:val="auto"/>
          <w:sz w:val="24"/>
          <w:highlight w:val="none"/>
        </w:rPr>
      </w:pPr>
      <w:r>
        <w:rPr>
          <w:rFonts w:hint="eastAsia" w:ascii="宋体" w:hAnsi="宋体" w:eastAsia="宋体" w:cs="宋体"/>
          <w:b/>
          <w:color w:val="auto"/>
          <w:sz w:val="24"/>
          <w:highlight w:val="none"/>
        </w:rPr>
        <w:t>如有询标，授权代表（或法定代表人）可通过远程登录的方式接受网上询标，也可凭本人有效身份证明参加询标。因授权代表联系不上</w:t>
      </w:r>
      <w:r>
        <w:rPr>
          <w:rFonts w:hint="eastAsia" w:ascii="宋体" w:hAnsi="宋体" w:eastAsia="宋体" w:cs="宋体"/>
          <w:b/>
          <w:bCs/>
          <w:color w:val="auto"/>
          <w:sz w:val="24"/>
          <w:highlight w:val="none"/>
        </w:rPr>
        <w:t>、没有及时登录系统等情形</w:t>
      </w:r>
      <w:r>
        <w:rPr>
          <w:rFonts w:hint="eastAsia" w:ascii="宋体" w:hAnsi="宋体" w:eastAsia="宋体" w:cs="宋体"/>
          <w:b/>
          <w:color w:val="auto"/>
          <w:sz w:val="24"/>
          <w:highlight w:val="none"/>
        </w:rPr>
        <w:t>而无法接受磋商小组询标的，供应商自行承担相关风险。</w:t>
      </w:r>
    </w:p>
    <w:p w14:paraId="725E5938">
      <w:pPr>
        <w:spacing w:line="360" w:lineRule="auto"/>
        <w:ind w:firstLine="435"/>
        <w:rPr>
          <w:rFonts w:ascii="宋体" w:hAnsi="宋体" w:eastAsia="宋体" w:cs="宋体"/>
          <w:color w:val="auto"/>
          <w:sz w:val="24"/>
          <w:highlight w:val="none"/>
        </w:rPr>
      </w:pPr>
      <w:r>
        <w:rPr>
          <w:rFonts w:hint="eastAsia" w:ascii="宋体" w:hAnsi="宋体" w:eastAsia="宋体" w:cs="宋体"/>
          <w:b/>
          <w:color w:val="auto"/>
          <w:sz w:val="24"/>
          <w:highlight w:val="none"/>
        </w:rPr>
        <w:t>本项目采用远程开标，具体操作方法详见服务指南&gt;交易须知&gt;开标大厅远程解密、质疑(异议)及回复以及评标过程中询标流程操作手册。</w:t>
      </w:r>
    </w:p>
    <w:p w14:paraId="7C6A98C8">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17.最后报价</w:t>
      </w:r>
    </w:p>
    <w:p w14:paraId="3106F09C">
      <w:pPr>
        <w:spacing w:line="360" w:lineRule="auto"/>
        <w:ind w:firstLine="435"/>
        <w:rPr>
          <w:rFonts w:hint="eastAsia" w:ascii="宋体" w:hAnsi="宋体" w:eastAsia="宋体" w:cs="宋体"/>
          <w:color w:val="auto"/>
          <w:sz w:val="24"/>
          <w:highlight w:val="none"/>
          <w:lang w:eastAsia="zh-CN"/>
        </w:rPr>
      </w:pPr>
      <w:bookmarkStart w:id="10" w:name="_Hlk60607655"/>
      <w:bookmarkStart w:id="11" w:name="_Hlk60607673"/>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磋商并不限定只进行二轮报价，如果磋商小组认为有必要，可以要求供应商进行多轮报价。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本项目约定为两次报价</w:t>
      </w:r>
      <w:r>
        <w:rPr>
          <w:rFonts w:hint="eastAsia" w:ascii="宋体" w:hAnsi="宋体" w:eastAsia="宋体" w:cs="宋体"/>
          <w:color w:val="auto"/>
          <w:sz w:val="24"/>
          <w:highlight w:val="none"/>
          <w:lang w:eastAsia="zh-CN"/>
        </w:rPr>
        <w:t>）</w:t>
      </w:r>
    </w:p>
    <w:p w14:paraId="1F1D8FA1">
      <w:pPr>
        <w:spacing w:line="360" w:lineRule="auto"/>
        <w:ind w:firstLine="435"/>
        <w:rPr>
          <w:rFonts w:hint="eastAsia" w:ascii="宋体" w:hAnsi="宋体" w:eastAsia="宋体" w:cs="Times New Roman"/>
          <w:b/>
          <w:color w:val="auto"/>
          <w:kern w:val="0"/>
          <w:sz w:val="24"/>
          <w:szCs w:val="20"/>
          <w:highlight w:val="none"/>
          <w:lang w:val="en-US" w:eastAsia="zh-CN" w:bidi="ar-SA"/>
        </w:rPr>
      </w:pPr>
      <w:r>
        <w:rPr>
          <w:rFonts w:hint="eastAsia" w:ascii="宋体" w:hAnsi="宋体" w:eastAsia="宋体" w:cs="Times New Roman"/>
          <w:b/>
          <w:color w:val="auto"/>
          <w:kern w:val="0"/>
          <w:sz w:val="24"/>
          <w:szCs w:val="20"/>
          <w:highlight w:val="none"/>
          <w:lang w:val="en-US" w:eastAsia="zh-CN" w:bidi="ar-SA"/>
        </w:rPr>
        <w:t>本次磋商实行两次报价。第一次报价为供应商在响应文件中填报的报价，第二次报价在响应文件通过评审后，由磋商小组通过评标系统以询标方式，向响应文件评审有效的各供应商进行询标，各供应商应在评标系统询标规定的时间内，通过“评标澄清回复”进行二次报价。各供应商应及时查看系统质询问题并及时进行二次报价，第二次报价即为最后报价，即满足磋商文件要求且最后报价最低的供应商的价格为磋商基准价，其价格分为满分。供应商最后报价均不得高于磋商文件（公告）列明的项目预算、最高限价，否则其响应文件将被认定为响应无效。望各供应商务必全程在线，及时进行回复，否则，因此给其造成相关后果，自行承担。采用分项报价的项目，最后报价的各分项结合一次报价中的各项单价按总价同比例下浮，价款结算时按成交下浮比率进行调整。</w:t>
      </w:r>
    </w:p>
    <w:p w14:paraId="53752A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17.2</w:t>
      </w:r>
      <w:r>
        <w:rPr>
          <w:rFonts w:asciiTheme="minorEastAsia" w:hAnsiTheme="minorEastAsia" w:eastAsiaTheme="minorEastAsia"/>
          <w:color w:val="auto"/>
          <w:sz w:val="24"/>
          <w:highlight w:val="none"/>
        </w:rPr>
        <w:t>在磋商内容不做实质性变更或重大调整的前提下，供应商下轮报价不得高于上一轮报价</w:t>
      </w:r>
      <w:r>
        <w:rPr>
          <w:rFonts w:hint="eastAsia" w:asciiTheme="minorEastAsia" w:hAnsiTheme="minorEastAsia" w:eastAsiaTheme="minorEastAsia"/>
          <w:color w:val="auto"/>
          <w:sz w:val="24"/>
          <w:highlight w:val="none"/>
        </w:rPr>
        <w:t>。</w:t>
      </w:r>
    </w:p>
    <w:p w14:paraId="72AA9A2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17.3</w:t>
      </w:r>
      <w:r>
        <w:rPr>
          <w:rFonts w:asciiTheme="minorEastAsia" w:hAnsiTheme="minorEastAsia" w:eastAsiaTheme="minorEastAsia"/>
          <w:color w:val="auto"/>
          <w:sz w:val="24"/>
          <w:highlight w:val="none"/>
        </w:rPr>
        <w:t>最后报价是供应商响应文件的有效组成部分，最后报价也是签订合同的依据。</w:t>
      </w:r>
    </w:p>
    <w:p w14:paraId="51A78079">
      <w:pPr>
        <w:spacing w:line="360" w:lineRule="auto"/>
        <w:ind w:firstLine="435"/>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17.</w:t>
      </w:r>
      <w:r>
        <w:rPr>
          <w:rFonts w:asciiTheme="majorEastAsia" w:hAnsiTheme="majorEastAsia" w:eastAsiaTheme="majorEastAsia"/>
          <w:color w:val="auto"/>
          <w:sz w:val="24"/>
          <w:highlight w:val="none"/>
        </w:rPr>
        <w:t>4</w:t>
      </w:r>
      <w:r>
        <w:rPr>
          <w:rFonts w:hint="eastAsia" w:asciiTheme="majorEastAsia" w:hAnsiTheme="majorEastAsia" w:eastAsiaTheme="majorEastAsia"/>
          <w:color w:val="auto"/>
          <w:sz w:val="24"/>
          <w:highlight w:val="none"/>
        </w:rPr>
        <w:t>根据《政府采购促进中小企业发展管理办法》（财库〔</w:t>
      </w:r>
      <w:r>
        <w:rPr>
          <w:rFonts w:asciiTheme="majorEastAsia" w:hAnsiTheme="majorEastAsia" w:eastAsiaTheme="majorEastAsia"/>
          <w:color w:val="auto"/>
          <w:sz w:val="24"/>
          <w:highlight w:val="none"/>
        </w:rPr>
        <w:t>2020〕46号</w:t>
      </w:r>
      <w:r>
        <w:rPr>
          <w:rFonts w:hint="eastAsia" w:asciiTheme="majorEastAsia" w:hAnsiTheme="majorEastAsia" w:eastAsiaTheme="majorEastAsia"/>
          <w:color w:val="auto"/>
          <w:sz w:val="24"/>
          <w:highlight w:val="none"/>
        </w:rPr>
        <w:t>）、《三部门联合发布关于促进残疾人就业政府采购政策的通知》（财库〔2017〕141号）和《</w:t>
      </w:r>
      <w:r>
        <w:rPr>
          <w:rFonts w:asciiTheme="majorEastAsia" w:hAnsiTheme="majorEastAsia" w:eastAsiaTheme="majorEastAsia"/>
          <w:color w:val="auto"/>
          <w:sz w:val="24"/>
          <w:highlight w:val="none"/>
        </w:rPr>
        <w:t>财政部 司法部关于政府采购支持监狱企业发展有关问题的通知</w:t>
      </w:r>
      <w:r>
        <w:rPr>
          <w:rFonts w:hint="eastAsia" w:asciiTheme="majorEastAsia" w:hAnsiTheme="majorEastAsia" w:eastAsiaTheme="majorEastAsia"/>
          <w:color w:val="auto"/>
          <w:sz w:val="24"/>
          <w:highlight w:val="none"/>
        </w:rPr>
        <w:t>》（财库〔2014〕68号）的规定，对满足价格扣除条件且在响应文件中提交了</w:t>
      </w:r>
      <w:r>
        <w:rPr>
          <w:rFonts w:asciiTheme="majorEastAsia" w:hAnsiTheme="majorEastAsia" w:eastAsiaTheme="majorEastAsia"/>
          <w:color w:val="auto"/>
          <w:sz w:val="24"/>
          <w:highlight w:val="none"/>
        </w:rPr>
        <w:t>《中小企业声明函》</w:t>
      </w: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《残疾人福利性单位声明函》</w:t>
      </w:r>
      <w:r>
        <w:rPr>
          <w:rFonts w:hint="eastAsia" w:asciiTheme="majorEastAsia" w:hAnsiTheme="majorEastAsia" w:eastAsiaTheme="majorEastAsia"/>
          <w:color w:val="auto"/>
          <w:sz w:val="24"/>
          <w:highlight w:val="none"/>
        </w:rPr>
        <w:t>或省级以上监狱管理局、戒毒管理局（含新疆生产建设兵团）出具的属于监狱企业的证明文件的供应商，其最后报价按照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中规定的标准扣除后的价格参与评审。对于同时属于小微企业、监狱企业或残疾人福利性单位的，不重复进行最后报价扣除。</w:t>
      </w:r>
    </w:p>
    <w:p w14:paraId="4378D75F">
      <w:pPr>
        <w:spacing w:line="360" w:lineRule="auto"/>
        <w:ind w:firstLine="435"/>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Theme="majorEastAsia" w:hAnsiTheme="majorEastAsia" w:eastAsiaTheme="majorEastAsia"/>
          <w:color w:val="auto"/>
          <w:sz w:val="24"/>
          <w:highlight w:val="none"/>
        </w:rPr>
        <w:t>30%以上的，可给予联合体或者大中型企业的</w:t>
      </w:r>
      <w:r>
        <w:rPr>
          <w:rFonts w:hint="eastAsia" w:asciiTheme="majorEastAsia" w:hAnsiTheme="majorEastAsia" w:eastAsiaTheme="majorEastAsia"/>
          <w:color w:val="auto"/>
          <w:sz w:val="24"/>
          <w:highlight w:val="none"/>
        </w:rPr>
        <w:t>最后报价按照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w:t>
      </w:r>
      <w:r>
        <w:rPr>
          <w:rFonts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组成联合体或者接受分包的小微企业与联合体内其他企业、分包企业之间存在直接控股、管理关系的，不享受价格扣除优惠政策。</w:t>
      </w:r>
    </w:p>
    <w:p w14:paraId="77E5ABA3">
      <w:pPr>
        <w:spacing w:line="360" w:lineRule="auto"/>
        <w:ind w:firstLine="435"/>
        <w:rPr>
          <w:rFonts w:asciiTheme="minorEastAsia" w:hAnsiTheme="minorEastAsia" w:eastAsiaTheme="minorEastAsia"/>
          <w:color w:val="auto"/>
          <w:sz w:val="24"/>
          <w:highlight w:val="none"/>
        </w:rPr>
      </w:pPr>
      <w:r>
        <w:rPr>
          <w:rFonts w:hint="eastAsia" w:asciiTheme="majorEastAsia" w:hAnsiTheme="majorEastAsia" w:eastAsiaTheme="majorEastAsia"/>
          <w:color w:val="auto"/>
          <w:sz w:val="24"/>
          <w:highlight w:val="none"/>
        </w:rPr>
        <w:t>以联合体形式参加政府采购活动，联合体各方均为中小企业的，联合体视同中小企业。其中，联合体各方均为小微企业的，联合体视同小微企业。</w:t>
      </w:r>
    </w:p>
    <w:p w14:paraId="379BC034">
      <w:pPr>
        <w:pStyle w:val="43"/>
        <w:widowControl w:val="0"/>
        <w:spacing w:before="0" w:beforeAutospacing="0" w:after="0" w:afterAutospacing="0" w:line="360" w:lineRule="auto"/>
        <w:ind w:firstLine="480" w:firstLineChars="200"/>
        <w:jc w:val="both"/>
        <w:rPr>
          <w:rFonts w:ascii="宋体" w:hAnsi="宋体" w:eastAsia="宋体"/>
          <w:b w:val="0"/>
          <w:color w:val="auto"/>
          <w:sz w:val="24"/>
          <w:highlight w:val="none"/>
        </w:rPr>
      </w:pPr>
      <w:r>
        <w:rPr>
          <w:rFonts w:hint="eastAsia" w:ascii="宋体" w:hAnsi="宋体" w:eastAsia="宋体"/>
          <w:b w:val="0"/>
          <w:bCs w:val="0"/>
          <w:color w:val="auto"/>
          <w:kern w:val="2"/>
          <w:sz w:val="24"/>
          <w:szCs w:val="20"/>
          <w:highlight w:val="none"/>
        </w:rPr>
        <w:t>17.5</w:t>
      </w:r>
      <w:r>
        <w:rPr>
          <w:rFonts w:hint="eastAsia" w:ascii="宋体" w:hAnsi="宋体" w:eastAsia="宋体"/>
          <w:b w:val="0"/>
          <w:color w:val="auto"/>
          <w:sz w:val="24"/>
          <w:highlight w:val="none"/>
        </w:rPr>
        <w:t>根据《国务院办公厅关于在政府采购中实施本国产品标准及相关政策的通知》（国办发〔2025〕34号）和财政部工业和信息化部关于贯彻落实《国务院办公厅关于在政府采购中实施本国产品标准及相关政策的通知》的意见（财库〔2025〕30号），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AE664D2">
      <w:pPr>
        <w:pStyle w:val="43"/>
        <w:widowControl w:val="0"/>
        <w:spacing w:before="0" w:beforeAutospacing="0" w:after="0" w:afterAutospacing="0" w:line="360" w:lineRule="auto"/>
        <w:ind w:firstLine="480" w:firstLineChars="200"/>
        <w:jc w:val="both"/>
        <w:rPr>
          <w:rFonts w:ascii="宋体" w:hAnsi="宋体" w:eastAsia="宋体" w:cs="Times New Roman"/>
          <w:b w:val="0"/>
          <w:color w:val="auto"/>
          <w:sz w:val="24"/>
          <w:highlight w:val="none"/>
        </w:rPr>
      </w:pPr>
      <w:r>
        <w:rPr>
          <w:rFonts w:hint="eastAsia" w:ascii="宋体" w:hAnsi="宋体" w:eastAsia="宋体" w:cs="Times New Roman"/>
          <w:b w:val="0"/>
          <w:color w:val="auto"/>
          <w:sz w:val="24"/>
          <w:highlight w:val="none"/>
        </w:rPr>
        <w:t>磋商小组应当对</w:t>
      </w:r>
      <w:r>
        <w:rPr>
          <w:rFonts w:hint="eastAsia" w:ascii="宋体" w:hAnsi="宋体" w:eastAsia="宋体"/>
          <w:b w:val="0"/>
          <w:color w:val="auto"/>
          <w:sz w:val="24"/>
          <w:highlight w:val="none"/>
        </w:rPr>
        <w:t>供应商</w:t>
      </w:r>
      <w:r>
        <w:rPr>
          <w:rFonts w:hint="eastAsia" w:ascii="宋体" w:hAnsi="宋体" w:eastAsia="宋体" w:cs="Times New Roman"/>
          <w:b w:val="0"/>
          <w:color w:val="auto"/>
          <w:sz w:val="24"/>
          <w:highlight w:val="none"/>
        </w:rPr>
        <w:t>所出具的《关于符合本国产品标准的声明函》（以下简称《声明函》）的完整性、准确性进行审查，评审中发现《声明函》内容含义不明确、同类事项与响应文件表述不一致或者有明显文字错误等情况的，应当以书面形式要求</w:t>
      </w:r>
      <w:r>
        <w:rPr>
          <w:rFonts w:hint="eastAsia" w:ascii="宋体" w:hAnsi="宋体" w:eastAsia="宋体"/>
          <w:b w:val="0"/>
          <w:color w:val="auto"/>
          <w:sz w:val="24"/>
          <w:highlight w:val="none"/>
        </w:rPr>
        <w:t>供应商</w:t>
      </w:r>
      <w:r>
        <w:rPr>
          <w:rFonts w:hint="eastAsia" w:ascii="宋体" w:hAnsi="宋体" w:eastAsia="宋体" w:cs="Times New Roman"/>
          <w:b w:val="0"/>
          <w:color w:val="auto"/>
          <w:sz w:val="24"/>
          <w:highlight w:val="none"/>
        </w:rPr>
        <w:t>作出必要的澄清、说明或者补正。经澄清、说明或者补正的《声明函》仍然不符合规定要求的，</w:t>
      </w:r>
      <w:r>
        <w:rPr>
          <w:rFonts w:hint="eastAsia" w:ascii="宋体" w:hAnsi="宋体" w:eastAsia="宋体"/>
          <w:b w:val="0"/>
          <w:color w:val="auto"/>
          <w:sz w:val="24"/>
          <w:highlight w:val="none"/>
        </w:rPr>
        <w:t>供应商</w:t>
      </w:r>
      <w:r>
        <w:rPr>
          <w:rFonts w:hint="eastAsia" w:ascii="宋体" w:hAnsi="宋体" w:eastAsia="宋体" w:cs="Times New Roman"/>
          <w:b w:val="0"/>
          <w:color w:val="auto"/>
          <w:sz w:val="24"/>
          <w:highlight w:val="none"/>
        </w:rPr>
        <w:t>提供的相关产品视为不符合本国产品标准。</w:t>
      </w:r>
    </w:p>
    <w:p w14:paraId="3F89A8B8">
      <w:pPr>
        <w:spacing w:line="360" w:lineRule="auto"/>
        <w:ind w:firstLine="437"/>
        <w:rPr>
          <w:rFonts w:ascii="宋体" w:hAnsi="宋体" w:eastAsia="宋体" w:cs="宋体"/>
          <w:color w:val="auto"/>
          <w:sz w:val="24"/>
          <w:highlight w:val="none"/>
        </w:rPr>
      </w:pPr>
      <w:r>
        <w:rPr>
          <w:rFonts w:hint="eastAsia" w:ascii="宋体" w:hAnsi="宋体" w:eastAsia="宋体" w:cs="Times New Roman"/>
          <w:b/>
          <w:bCs/>
          <w:color w:val="auto"/>
          <w:sz w:val="24"/>
          <w:highlight w:val="none"/>
        </w:rPr>
        <w:t>注：本项目所称的本国产品是指在中国境内生产的产品，即在中华人民共和国关境内实现从原材料、组件到产品的属性改变。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r>
        <w:rPr>
          <w:rFonts w:hint="eastAsia" w:ascii="宋体" w:hAnsi="宋体" w:eastAsia="宋体" w:cs="宋体"/>
          <w:color w:val="auto"/>
          <w:sz w:val="24"/>
          <w:highlight w:val="none"/>
        </w:rPr>
        <w:t>。</w:t>
      </w:r>
      <w:bookmarkEnd w:id="10"/>
    </w:p>
    <w:bookmarkEnd w:id="11"/>
    <w:p w14:paraId="0F1A3706">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18.成交候选供应商的推荐原则及标准</w:t>
      </w:r>
    </w:p>
    <w:p w14:paraId="5F6999F3">
      <w:pPr>
        <w:spacing w:line="360" w:lineRule="auto"/>
        <w:ind w:firstLine="435"/>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18.1磋商小组依据本项目磋商文件所约定的评审方法和标准，按照有效供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r>
        <w:rPr>
          <w:rFonts w:hint="eastAsia" w:ascii="宋体" w:hAnsi="宋体" w:eastAsia="宋体" w:cs="宋体"/>
          <w:color w:val="auto"/>
          <w:sz w:val="24"/>
          <w:highlight w:val="none"/>
          <w:lang w:val="en-US" w:eastAsia="zh-CN"/>
        </w:rPr>
        <w:t>磋商小组认为技术指标优劣也一致的，可采取随机抽取的方式确定。</w:t>
      </w:r>
    </w:p>
    <w:p w14:paraId="6E21C31A">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19.确定成交候选供应商和成交供应商</w:t>
      </w:r>
    </w:p>
    <w:p w14:paraId="4C07D7E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19.1磋商小组根据综合评分的结果和</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中规定确定成交候选供应商，并标明排列顺序。按</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中规定，由磋商小组或采购人确定成交供应商。</w:t>
      </w:r>
    </w:p>
    <w:p w14:paraId="53318F7E">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20.编写评审报告</w:t>
      </w:r>
    </w:p>
    <w:p w14:paraId="4442E872">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20.1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56443C20">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21.保密要求</w:t>
      </w:r>
    </w:p>
    <w:p w14:paraId="7FFDC1D0">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21.1评审将在严格保密的情况下进行。</w:t>
      </w:r>
    </w:p>
    <w:p w14:paraId="2041849B">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21.2有关人员应当遵守评审工作纪律，不得泄露评审文件、评审情况和评审中获悉的国家秘密、商业秘密。</w:t>
      </w:r>
    </w:p>
    <w:p w14:paraId="23095A12">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22.成交结果公告</w:t>
      </w:r>
    </w:p>
    <w:p w14:paraId="3793E26F">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22.1为体现“公开、公平、公正”的原则，磋商结束后，</w:t>
      </w:r>
      <w:r>
        <w:rPr>
          <w:rFonts w:hint="eastAsia" w:ascii="宋体" w:hAnsi="宋体" w:eastAsia="宋体" w:cs="宋体"/>
          <w:color w:val="auto"/>
          <w:sz w:val="24"/>
          <w:szCs w:val="18"/>
          <w:highlight w:val="none"/>
        </w:rPr>
        <w:t>采购代理机构将在安徽省政府采购网（www.ccgp-anhui.gov.cn）和</w:t>
      </w:r>
      <w:r>
        <w:rPr>
          <w:rFonts w:hint="eastAsia" w:ascii="宋体" w:hAnsi="宋体" w:eastAsia="宋体" w:cs="宋体"/>
          <w:color w:val="auto"/>
          <w:sz w:val="24"/>
          <w:szCs w:val="24"/>
          <w:highlight w:val="none"/>
        </w:rPr>
        <w:t>滁州市公共资源交易中心网（http://ggzy.chuzhou.gov.cn/）</w:t>
      </w:r>
      <w:r>
        <w:rPr>
          <w:rFonts w:hint="eastAsia" w:ascii="宋体" w:hAnsi="宋体" w:eastAsia="宋体" w:cs="宋体"/>
          <w:color w:val="auto"/>
          <w:sz w:val="24"/>
          <w:highlight w:val="none"/>
        </w:rPr>
        <w:t>上发布成交结果公告。</w:t>
      </w:r>
    </w:p>
    <w:p w14:paraId="4C70ABC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22.2成交结果公告内容应当包括采购人及其委托的采购代理机构的名称、地址、联系方式，项目名称和项目编号，成交供应商名称、地址和成交金额，主要成交标的的名称、服务范围、服务要求、服务时间、服务标准，成交结果公告期限、评审专家名单以及</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中约定进行公告的内容。</w:t>
      </w:r>
    </w:p>
    <w:p w14:paraId="2A6E1620">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23.成交通知书</w:t>
      </w:r>
    </w:p>
    <w:p w14:paraId="45868165">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23.1采购代理机构发布成交结果公告的同时以</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规定的形式向成交供应商发出成交通知书。成交通知书须加盖采购人、采购代理机构公章并经公共资源交易中心加盖见证章后，方可发出。</w:t>
      </w:r>
    </w:p>
    <w:p w14:paraId="48A9F9C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23.2成交通知书对采购人和成交供应商具有同等法律效力。成交通知书发出以后，采购人改变成交结果或者成交供应商放弃成交资格，应当承担相应的法律责任。</w:t>
      </w:r>
    </w:p>
    <w:p w14:paraId="019D676B">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23.3成交通知书是合同的组成部分。</w:t>
      </w:r>
    </w:p>
    <w:p w14:paraId="301ADDA4">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24.告知磋商结果</w:t>
      </w:r>
    </w:p>
    <w:p w14:paraId="3660F27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24.1在公告成交结果的同时，采购代理机构同时以</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规定的形式告知未成交供应商本人的评审得分和排序。</w:t>
      </w:r>
    </w:p>
    <w:p w14:paraId="589E212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24.2采购代理机构对未成交的供应商不做未成交原因的解释。</w:t>
      </w:r>
    </w:p>
    <w:p w14:paraId="00363163">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25.履约保证金</w:t>
      </w:r>
    </w:p>
    <w:p w14:paraId="427A9CC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25.1成交供应商应按照</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规定缴纳履约保证金。</w:t>
      </w:r>
    </w:p>
    <w:p w14:paraId="51B6675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25.2如果成交供应商没有按照上述履约保证金的规定执行，将视为放弃成交资格。在此情况下，采购人可确定下一成交候选供应商为成交供应商，也可以重新开展采购活动。</w:t>
      </w:r>
    </w:p>
    <w:p w14:paraId="37FFB918">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26.代理费用</w:t>
      </w:r>
    </w:p>
    <w:p w14:paraId="12C8BD55">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26.1本项目代理费用的收取按</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的规定执行。</w:t>
      </w:r>
    </w:p>
    <w:p w14:paraId="4728C509">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27.签订合同</w:t>
      </w:r>
    </w:p>
    <w:p w14:paraId="26C932B7">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27.1</w:t>
      </w:r>
      <w:r>
        <w:rPr>
          <w:rFonts w:hint="eastAsia" w:ascii="宋体" w:hAnsi="宋体" w:eastAsia="宋体" w:cs="宋体"/>
          <w:color w:val="auto"/>
          <w:sz w:val="24"/>
          <w:szCs w:val="24"/>
          <w:highlight w:val="none"/>
        </w:rPr>
        <w:t>采购人与成交供应商应当按照</w:t>
      </w:r>
      <w:r>
        <w:rPr>
          <w:rFonts w:hint="eastAsia" w:ascii="宋体" w:hAnsi="宋体" w:eastAsia="宋体" w:cs="宋体"/>
          <w:color w:val="auto"/>
          <w:sz w:val="24"/>
          <w:szCs w:val="24"/>
          <w:highlight w:val="none"/>
          <w:u w:val="single"/>
        </w:rPr>
        <w:t>供应商须知前附表</w:t>
      </w:r>
      <w:r>
        <w:rPr>
          <w:rFonts w:hint="eastAsia" w:ascii="宋体" w:hAnsi="宋体" w:eastAsia="宋体" w:cs="宋体"/>
          <w:color w:val="auto"/>
          <w:sz w:val="24"/>
          <w:szCs w:val="24"/>
          <w:highlight w:val="none"/>
        </w:rPr>
        <w:t>规定的时间内完成政府采购合同签订及合同公告。</w:t>
      </w:r>
    </w:p>
    <w:p w14:paraId="58D6939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27.2磋商文件、成交供应商的响应文件及其澄清文件等，均为签订合同的依据。</w:t>
      </w:r>
    </w:p>
    <w:p w14:paraId="3AE7855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成交供应商拒绝与采购人签订合同的，采购人可以按照评审报告推荐的成交候选供应商名单排序，确定下一成交候选供应商为成交供应商，也可以重新开展采购活动。成交供应商拒绝签订政府采购合同的不得参加对该项目重新开展的采购活动。</w:t>
      </w:r>
    </w:p>
    <w:p w14:paraId="4B01E0CD">
      <w:pPr>
        <w:spacing w:line="360" w:lineRule="auto"/>
        <w:ind w:firstLine="470" w:firstLineChars="196"/>
        <w:rPr>
          <w:rFonts w:ascii="宋体" w:hAnsi="宋体" w:eastAsia="宋体" w:cs="宋体"/>
          <w:color w:val="auto"/>
          <w:sz w:val="24"/>
          <w:highlight w:val="none"/>
        </w:rPr>
      </w:pPr>
      <w:bookmarkStart w:id="12" w:name="_Hlk60264926"/>
      <w:r>
        <w:rPr>
          <w:rFonts w:hint="eastAsia" w:ascii="宋体" w:hAnsi="宋体" w:eastAsia="宋体" w:cs="宋体"/>
          <w:color w:val="auto"/>
          <w:sz w:val="24"/>
          <w:highlight w:val="none"/>
        </w:rPr>
        <w:t>27.4依据《政府采购促进中小企业发展管理办法》（财库〔2020〕46号）规定享受扶持政策获得政府采购合同的，小微企业不得将合同分包给大中型企业，中型企业不得将合同分包给大型企业。</w:t>
      </w:r>
      <w:bookmarkEnd w:id="12"/>
    </w:p>
    <w:p w14:paraId="573CF42E">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28.廉洁自律规定</w:t>
      </w:r>
    </w:p>
    <w:p w14:paraId="0A92C232">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28.1采购代理机构工作人员不得以不正当手段获取政府采购代理业务，不得与采购人、供应商恶意串通。</w:t>
      </w:r>
    </w:p>
    <w:p w14:paraId="7AA7B34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28.2采购代理机构工作人员不得接受采购人或者供应商组织的宴请、旅游、娱乐，不得收受礼品、现金、有价证券等，不得向采购人或者供应商报销应当由个人承担的费用。</w:t>
      </w:r>
    </w:p>
    <w:p w14:paraId="06CFC6EA">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29.质疑的提出与接收</w:t>
      </w:r>
    </w:p>
    <w:p w14:paraId="21B7910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29.1供应商认为磋商文件、采购过程和成交结果使自己的权益受到损害的，可以在知道或者应知其权益受到损害之日起七个工作日内，以书面形式向采购人或其委托的采购代理机构提出质疑。</w:t>
      </w:r>
    </w:p>
    <w:p w14:paraId="63169F67">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29.2质疑供应商应按照财政部制定的《政府采购质疑函范本》格式（详见磋商文件）和《政府采购质疑和投诉办法》的要求，在法定质疑期内以书面形式提出质疑，超出法定质疑期提交的质疑将被拒绝。针对同一采购程序环节的质疑应一次性提出。</w:t>
      </w:r>
    </w:p>
    <w:p w14:paraId="26359A53">
      <w:pPr>
        <w:spacing w:line="360" w:lineRule="auto"/>
        <w:ind w:firstLine="435"/>
        <w:rPr>
          <w:rFonts w:ascii="宋体" w:hAnsi="宋体" w:eastAsia="宋体" w:cs="宋体"/>
          <w:color w:val="auto"/>
          <w:sz w:val="24"/>
          <w:highlight w:val="none"/>
          <w:u w:val="single"/>
        </w:rPr>
      </w:pPr>
      <w:r>
        <w:rPr>
          <w:rFonts w:hint="eastAsia" w:ascii="宋体" w:hAnsi="宋体" w:eastAsia="宋体" w:cs="宋体"/>
          <w:color w:val="auto"/>
          <w:sz w:val="24"/>
          <w:highlight w:val="none"/>
        </w:rPr>
        <w:t>29.3采购代理机构质疑函接收部门、联系电话和通讯地址，见</w:t>
      </w:r>
      <w:r>
        <w:rPr>
          <w:rFonts w:hint="eastAsia" w:ascii="宋体" w:hAnsi="宋体" w:eastAsia="宋体" w:cs="宋体"/>
          <w:color w:val="auto"/>
          <w:sz w:val="24"/>
          <w:highlight w:val="none"/>
          <w:u w:val="single"/>
        </w:rPr>
        <w:t>供应商须知前附表</w:t>
      </w:r>
      <w:r>
        <w:rPr>
          <w:rFonts w:hint="eastAsia" w:ascii="宋体" w:hAnsi="宋体" w:eastAsia="宋体" w:cs="宋体"/>
          <w:color w:val="auto"/>
          <w:sz w:val="24"/>
          <w:highlight w:val="none"/>
        </w:rPr>
        <w:t>。</w:t>
      </w:r>
    </w:p>
    <w:p w14:paraId="3FA16C3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29.4采购人或采购代理机构在收到供应商的质疑函后，将审查质疑函的格式、内容以及所附的证明文件是否符合要求。如不符合，说明原因退回供应商；如符合要求，则接受该质疑函。供应商对评审过程、成交结果提出质疑的，采购人、采购代理机构可以组织原磋商小组协助答复质疑。处理质疑的时间，从实际接受供应商质疑函的时间开始计算。</w:t>
      </w:r>
    </w:p>
    <w:p w14:paraId="6EA8B930">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注：上述条款中所要求的书面形式包含通过电子交易系统递交方式。</w:t>
      </w:r>
    </w:p>
    <w:p w14:paraId="459C1400">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30.投诉</w:t>
      </w:r>
    </w:p>
    <w:p w14:paraId="717CC9C5">
      <w:pPr>
        <w:wordWrap w:val="0"/>
        <w:spacing w:line="360" w:lineRule="auto"/>
        <w:ind w:firstLine="437"/>
        <w:rPr>
          <w:rFonts w:ascii="宋体" w:hAnsi="宋体" w:eastAsia="宋体" w:cs="宋体"/>
          <w:color w:val="auto"/>
          <w:sz w:val="24"/>
          <w:highlight w:val="none"/>
        </w:rPr>
      </w:pPr>
      <w:r>
        <w:rPr>
          <w:rFonts w:hint="eastAsia" w:ascii="宋体" w:hAnsi="宋体" w:eastAsia="宋体" w:cs="宋体"/>
          <w:color w:val="auto"/>
          <w:sz w:val="24"/>
          <w:highlight w:val="none"/>
        </w:rPr>
        <w:t>30.1质疑供应商对采购人、采购代理机构的答复不满意，或者采购人、采购代理机构未在规定的时间内答复的，可以在答复期满后十五个工作日内按有关规定，以书面形式（http://ggzy.chuzhou.gov.cn/fwzn/011001/011001001/011001001003/20200727/7fb88e17-63dd-4f17-b17c-290526c6eda8.html）向同级政府采购监督管理部门提出投诉或者线上提交投诉材料（http://ggzy.chuzhou.gov.cn/fwzn/011001/011001001/011001001003/20200221/b079d9ca-90f2-4cce-aa7c-94a444e7ac91.html）。</w:t>
      </w:r>
    </w:p>
    <w:p w14:paraId="5F2B6B9F">
      <w:pPr>
        <w:wordWrap w:val="0"/>
        <w:spacing w:line="360" w:lineRule="auto"/>
        <w:ind w:firstLine="437"/>
        <w:rPr>
          <w:rFonts w:ascii="宋体" w:hAnsi="宋体" w:eastAsia="宋体" w:cs="宋体"/>
          <w:color w:val="auto"/>
          <w:sz w:val="24"/>
          <w:highlight w:val="none"/>
        </w:rPr>
      </w:pPr>
      <w:r>
        <w:rPr>
          <w:rFonts w:hint="eastAsia" w:ascii="宋体" w:hAnsi="宋体" w:eastAsia="宋体" w:cs="宋体"/>
          <w:color w:val="auto"/>
          <w:sz w:val="24"/>
          <w:highlight w:val="none"/>
        </w:rPr>
        <w:t>30.2政府采购监督管理部门应当在收到投诉后30个工作日内，对投诉事项作出处理决定，并以书面形式通知投诉人和与投诉事项有关的当事人，并在安徽省政府采购网公告。政府采购监督管理部门处理投诉事项，需要检验、检测、鉴定、专家评审以及需要投诉人补正材料的，所需时间不计算在投诉处理期限内。</w:t>
      </w:r>
    </w:p>
    <w:p w14:paraId="3751C8B6">
      <w:pPr>
        <w:wordWrap w:val="0"/>
        <w:spacing w:line="360" w:lineRule="auto"/>
        <w:ind w:firstLine="437"/>
        <w:rPr>
          <w:rFonts w:ascii="宋体" w:hAnsi="宋体" w:eastAsia="宋体" w:cs="宋体"/>
          <w:color w:val="auto"/>
          <w:sz w:val="24"/>
          <w:highlight w:val="none"/>
        </w:rPr>
      </w:pPr>
      <w:r>
        <w:rPr>
          <w:rFonts w:hint="eastAsia" w:ascii="宋体" w:hAnsi="宋体" w:eastAsia="宋体" w:cs="宋体"/>
          <w:color w:val="auto"/>
          <w:sz w:val="24"/>
          <w:highlight w:val="none"/>
        </w:rPr>
        <w:t>30.3政府采购监督管理部门在处理投诉事项期间，可以视具体情况书面通知采购人暂停采购活动，但暂停时间最长不得超过30日。</w:t>
      </w:r>
    </w:p>
    <w:p w14:paraId="2D345BE9">
      <w:pPr>
        <w:spacing w:line="360" w:lineRule="auto"/>
        <w:ind w:firstLine="437"/>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31.需要补充的其他内容</w:t>
      </w:r>
    </w:p>
    <w:p w14:paraId="45A56257">
      <w:pPr>
        <w:spacing w:line="360" w:lineRule="auto"/>
        <w:ind w:firstLine="437"/>
        <w:outlineLvl w:val="2"/>
        <w:rPr>
          <w:rFonts w:asciiTheme="minorEastAsia" w:hAnsiTheme="minorEastAsia" w:eastAsiaTheme="minorEastAsia"/>
          <w:b/>
          <w:color w:val="auto"/>
          <w:sz w:val="28"/>
          <w:highlight w:val="none"/>
        </w:rPr>
      </w:pPr>
      <w:r>
        <w:rPr>
          <w:rFonts w:hint="eastAsia" w:ascii="宋体" w:hAnsi="宋体" w:eastAsia="宋体" w:cs="宋体"/>
          <w:color w:val="auto"/>
          <w:sz w:val="24"/>
          <w:highlight w:val="none"/>
        </w:rPr>
        <w:t>需要补充的其他内容，见</w:t>
      </w:r>
      <w:r>
        <w:rPr>
          <w:rFonts w:hint="eastAsia" w:ascii="宋体" w:hAnsi="宋体" w:eastAsia="宋体" w:cs="宋体"/>
          <w:color w:val="auto"/>
          <w:sz w:val="24"/>
          <w:highlight w:val="none"/>
          <w:u w:val="single"/>
        </w:rPr>
        <w:t>供应商须知前附表</w:t>
      </w:r>
      <w:r>
        <w:rPr>
          <w:rFonts w:hint="eastAsia" w:ascii="宋体" w:hAnsi="宋体" w:eastAsia="宋体"/>
          <w:color w:val="auto"/>
          <w:sz w:val="24"/>
          <w:highlight w:val="none"/>
        </w:rPr>
        <w:t>。</w:t>
      </w:r>
      <w:r>
        <w:rPr>
          <w:rFonts w:asciiTheme="minorEastAsia" w:hAnsiTheme="minorEastAsia" w:eastAsiaTheme="minorEastAsia"/>
          <w:color w:val="auto"/>
          <w:sz w:val="24"/>
          <w:highlight w:val="none"/>
        </w:rPr>
        <w:br w:type="page"/>
      </w:r>
    </w:p>
    <w:p w14:paraId="16D706A6">
      <w:pPr>
        <w:spacing w:line="360" w:lineRule="auto"/>
        <w:jc w:val="center"/>
        <w:outlineLvl w:val="0"/>
        <w:rPr>
          <w:rFonts w:asciiTheme="minorEastAsia" w:hAnsiTheme="minorEastAsia" w:eastAsiaTheme="minorEastAsia"/>
          <w:b/>
          <w:color w:val="auto"/>
          <w:sz w:val="28"/>
          <w:highlight w:val="none"/>
        </w:rPr>
      </w:pPr>
      <w:bookmarkStart w:id="13" w:name="_Toc19440"/>
      <w:r>
        <w:rPr>
          <w:rFonts w:hint="eastAsia" w:asciiTheme="minorEastAsia" w:hAnsiTheme="minorEastAsia" w:eastAsiaTheme="minorEastAsia"/>
          <w:b/>
          <w:color w:val="auto"/>
          <w:sz w:val="28"/>
          <w:highlight w:val="none"/>
        </w:rPr>
        <w:t>第三章  采购需求</w:t>
      </w:r>
      <w:bookmarkEnd w:id="13"/>
    </w:p>
    <w:p w14:paraId="45360B46">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14:paraId="3E5A1A0C">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1.本采购需求中提出的服务方案仅为参考，如无明确限制，供应商可以进行优化，提供满足采购人实际需要的更优（或者性能实质上不低于的）服务方案，且此方案须经磋商小组评审认可。</w:t>
      </w:r>
    </w:p>
    <w:p w14:paraId="5BDB5B13">
      <w:pPr>
        <w:spacing w:line="360" w:lineRule="auto"/>
        <w:ind w:firstLine="435"/>
        <w:rPr>
          <w:rFonts w:ascii="宋体" w:hAnsi="宋体" w:eastAsia="宋体" w:cs="宋体"/>
          <w:color w:val="auto"/>
          <w:sz w:val="24"/>
          <w:szCs w:val="18"/>
          <w:highlight w:val="none"/>
        </w:rPr>
      </w:pPr>
      <w:r>
        <w:rPr>
          <w:rFonts w:hint="eastAsia" w:ascii="宋体" w:hAnsi="宋体" w:eastAsia="宋体" w:cs="宋体"/>
          <w:color w:val="auto"/>
          <w:sz w:val="24"/>
          <w:szCs w:val="18"/>
          <w:highlight w:val="none"/>
        </w:rPr>
        <w:t>2.下列采购需求中</w:t>
      </w:r>
      <w:r>
        <w:rPr>
          <w:rFonts w:hint="eastAsia" w:ascii="宋体" w:hAnsi="宋体" w:eastAsia="宋体" w:cs="宋体"/>
          <w:color w:val="auto"/>
          <w:sz w:val="24"/>
          <w:szCs w:val="24"/>
          <w:highlight w:val="none"/>
        </w:rPr>
        <w:t>（包括但不限于下列具体政策要求）</w:t>
      </w:r>
      <w:r>
        <w:rPr>
          <w:rFonts w:hint="eastAsia" w:ascii="宋体" w:hAnsi="宋体" w:eastAsia="宋体" w:cs="宋体"/>
          <w:color w:val="auto"/>
          <w:sz w:val="24"/>
          <w:szCs w:val="18"/>
          <w:highlight w:val="none"/>
        </w:rPr>
        <w:t>：</w:t>
      </w:r>
    </w:p>
    <w:p w14:paraId="41028F7A">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供应商在响应文件中提供所投产品须具有市场监管总局公布的《参与实施政府采购节能产品认证机构目录》中的认证机构出具的、处于有效期内的节能产品认证证书。</w:t>
      </w:r>
    </w:p>
    <w:p w14:paraId="3443E263">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供应商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7D5E29D7">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18"/>
          <w:highlight w:val="none"/>
        </w:rPr>
        <w:t>3.如采购人允许采用分包方式履行合同的，应当明确可以分包履行的相关内容：</w:t>
      </w:r>
      <w:r>
        <w:rPr>
          <w:rFonts w:hint="eastAsia" w:ascii="宋体" w:hAnsi="宋体" w:eastAsia="宋体" w:cs="宋体"/>
          <w:color w:val="auto"/>
          <w:sz w:val="24"/>
          <w:szCs w:val="18"/>
          <w:highlight w:val="none"/>
          <w:u w:val="single"/>
        </w:rPr>
        <w:t>本项目不允许分包</w:t>
      </w:r>
      <w:r>
        <w:rPr>
          <w:rFonts w:hint="eastAsia" w:ascii="宋体" w:hAnsi="宋体" w:eastAsia="宋体"/>
          <w:color w:val="auto"/>
          <w:sz w:val="24"/>
          <w:szCs w:val="18"/>
          <w:highlight w:val="none"/>
        </w:rPr>
        <w:t>。</w:t>
      </w:r>
    </w:p>
    <w:p w14:paraId="3981E801">
      <w:pPr>
        <w:spacing w:line="360" w:lineRule="auto"/>
        <w:ind w:firstLine="437"/>
        <w:outlineLvl w:val="1"/>
        <w:rPr>
          <w:rFonts w:ascii="宋体" w:hAnsi="宋体" w:eastAsia="宋体"/>
          <w:b/>
          <w:color w:val="auto"/>
          <w:sz w:val="24"/>
          <w:szCs w:val="18"/>
          <w:highlight w:val="none"/>
        </w:rPr>
      </w:pPr>
      <w:bookmarkStart w:id="14" w:name="_Toc26349"/>
      <w:bookmarkStart w:id="15" w:name="_Toc7699"/>
      <w:r>
        <w:rPr>
          <w:rFonts w:hint="eastAsia" w:ascii="宋体" w:hAnsi="宋体" w:eastAsia="宋体"/>
          <w:b/>
          <w:color w:val="auto"/>
          <w:sz w:val="24"/>
          <w:szCs w:val="18"/>
          <w:highlight w:val="none"/>
        </w:rPr>
        <w:t>一、采购需求前附表</w:t>
      </w:r>
      <w:bookmarkEnd w:id="14"/>
      <w:bookmarkEnd w:id="15"/>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124B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4328F54">
            <w:pPr>
              <w:pStyle w:val="44"/>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bookmarkStart w:id="16" w:name="_Hlk16461016"/>
            <w:r>
              <w:rPr>
                <w:rFonts w:hint="eastAsia" w:ascii="宋体" w:hAnsi="宋体" w:eastAsia="宋体"/>
                <w:b/>
                <w:color w:val="auto"/>
                <w:kern w:val="2"/>
                <w:highlight w:val="none"/>
              </w:rPr>
              <w:t>序号</w:t>
            </w:r>
          </w:p>
        </w:tc>
        <w:tc>
          <w:tcPr>
            <w:tcW w:w="1192" w:type="pct"/>
            <w:vAlign w:val="center"/>
          </w:tcPr>
          <w:p w14:paraId="27290695">
            <w:pPr>
              <w:pStyle w:val="43"/>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vAlign w:val="center"/>
          </w:tcPr>
          <w:p w14:paraId="1B52E074">
            <w:pPr>
              <w:pStyle w:val="43"/>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61E2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2A4C058">
            <w:pPr>
              <w:pStyle w:val="44"/>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p>
        </w:tc>
        <w:tc>
          <w:tcPr>
            <w:tcW w:w="1192" w:type="pct"/>
            <w:vAlign w:val="center"/>
          </w:tcPr>
          <w:p w14:paraId="12294256">
            <w:pPr>
              <w:pStyle w:val="43"/>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cs="宋体"/>
                <w:b w:val="0"/>
                <w:color w:val="auto"/>
                <w:sz w:val="24"/>
                <w:highlight w:val="none"/>
              </w:rPr>
              <w:t>付款方式</w:t>
            </w:r>
          </w:p>
        </w:tc>
        <w:tc>
          <w:tcPr>
            <w:tcW w:w="3217" w:type="pct"/>
            <w:vAlign w:val="center"/>
          </w:tcPr>
          <w:p w14:paraId="2065F74D">
            <w:pPr>
              <w:pStyle w:val="43"/>
              <w:widowControl w:val="0"/>
              <w:spacing w:before="0" w:beforeAutospacing="0" w:after="0" w:afterAutospacing="0" w:line="360" w:lineRule="auto"/>
              <w:jc w:val="both"/>
              <w:rPr>
                <w:rFonts w:hint="eastAsia" w:ascii="宋体" w:hAnsi="宋体" w:eastAsia="宋体" w:cs="宋体"/>
                <w:b w:val="0"/>
                <w:color w:val="auto"/>
                <w:sz w:val="24"/>
                <w:highlight w:val="none"/>
              </w:rPr>
            </w:pPr>
            <w:r>
              <w:rPr>
                <w:rFonts w:hint="eastAsia" w:ascii="宋体" w:hAnsi="宋体" w:eastAsia="宋体" w:cs="宋体"/>
                <w:b w:val="0"/>
                <w:bCs w:val="0"/>
                <w:kern w:val="2"/>
                <w:sz w:val="24"/>
                <w:szCs w:val="24"/>
                <w:highlight w:val="none"/>
                <w:lang w:val="en-US" w:eastAsia="zh-CN" w:bidi="ar"/>
              </w:rPr>
              <w:t>合同签订生效并具备实施条件后5个工作日内支付合同金额的40%作为预付款；2026年度服务期满后采购人按照年度综合考核结果情况，支付费用（扣除预付款部分）；2027年度服务期内采购人按照每半年度（6个月）综合考核结果情况，按半年度（6个月）支付费用。每年的具体考核细则待项目实施阶段由采购人制定。</w:t>
            </w:r>
          </w:p>
        </w:tc>
      </w:tr>
      <w:tr w14:paraId="0E59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10830288">
            <w:pPr>
              <w:pStyle w:val="44"/>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vAlign w:val="center"/>
          </w:tcPr>
          <w:p w14:paraId="2DD6C589">
            <w:pPr>
              <w:pStyle w:val="43"/>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cs="宋体"/>
                <w:b w:val="0"/>
                <w:color w:val="auto"/>
                <w:sz w:val="24"/>
                <w:highlight w:val="none"/>
              </w:rPr>
              <w:t>服务地点</w:t>
            </w:r>
          </w:p>
        </w:tc>
        <w:tc>
          <w:tcPr>
            <w:tcW w:w="3217" w:type="pct"/>
            <w:vAlign w:val="center"/>
          </w:tcPr>
          <w:p w14:paraId="3955E5A5">
            <w:pPr>
              <w:autoSpaceDE w:val="0"/>
              <w:autoSpaceDN w:val="0"/>
              <w:adjustRightInd w:val="0"/>
              <w:spacing w:line="480" w:lineRule="exact"/>
              <w:jc w:val="left"/>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 xml:space="preserve">滁州市内，采购人指定地点 </w:t>
            </w:r>
          </w:p>
        </w:tc>
      </w:tr>
      <w:tr w14:paraId="4F1B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E330A29">
            <w:pPr>
              <w:pStyle w:val="44"/>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vAlign w:val="center"/>
          </w:tcPr>
          <w:p w14:paraId="57B3D43F">
            <w:pPr>
              <w:pStyle w:val="43"/>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cs="宋体"/>
                <w:b w:val="0"/>
                <w:color w:val="auto"/>
                <w:sz w:val="24"/>
                <w:highlight w:val="none"/>
              </w:rPr>
              <w:t>服务期限</w:t>
            </w:r>
          </w:p>
        </w:tc>
        <w:tc>
          <w:tcPr>
            <w:tcW w:w="3217" w:type="pct"/>
            <w:vAlign w:val="center"/>
          </w:tcPr>
          <w:p w14:paraId="1CAFD7E9">
            <w:pPr>
              <w:autoSpaceDE w:val="0"/>
              <w:autoSpaceDN w:val="0"/>
              <w:adjustRightInd w:val="0"/>
              <w:spacing w:line="480" w:lineRule="exact"/>
              <w:jc w:val="left"/>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自合同签订之日20.5个月。</w:t>
            </w:r>
          </w:p>
        </w:tc>
      </w:tr>
      <w:tr w14:paraId="77A3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556D8468">
            <w:pPr>
              <w:pStyle w:val="44"/>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4</w:t>
            </w:r>
          </w:p>
        </w:tc>
        <w:tc>
          <w:tcPr>
            <w:tcW w:w="1192" w:type="pct"/>
            <w:vAlign w:val="center"/>
          </w:tcPr>
          <w:p w14:paraId="5208A33B">
            <w:pPr>
              <w:pStyle w:val="43"/>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cs="宋体"/>
                <w:b w:val="0"/>
                <w:color w:val="auto"/>
                <w:sz w:val="24"/>
                <w:highlight w:val="none"/>
              </w:rPr>
              <w:t>本项目采购标的名称及所属行业</w:t>
            </w:r>
          </w:p>
        </w:tc>
        <w:tc>
          <w:tcPr>
            <w:tcW w:w="3217" w:type="pct"/>
            <w:vAlign w:val="center"/>
          </w:tcPr>
          <w:p w14:paraId="040584D3">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标的名称：</w:t>
            </w:r>
            <w:r>
              <w:rPr>
                <w:rFonts w:hint="eastAsia" w:ascii="宋体" w:hAnsi="宋体" w:eastAsia="宋体" w:cs="宋体"/>
                <w:color w:val="auto"/>
                <w:sz w:val="24"/>
                <w:highlight w:val="none"/>
                <w:lang w:eastAsia="zh-CN"/>
              </w:rPr>
              <w:t>2026-2027年滁州市城市阅读空间与城市书柜运营服务采购项目</w:t>
            </w:r>
          </w:p>
          <w:p w14:paraId="32C23CA3">
            <w:pPr>
              <w:widowControl/>
              <w:jc w:val="left"/>
              <w:rPr>
                <w:rFonts w:ascii="宋体" w:hAnsi="宋体" w:eastAsia="宋体"/>
                <w:color w:val="auto"/>
                <w:sz w:val="24"/>
                <w:highlight w:val="none"/>
                <w:u w:val="single"/>
              </w:rPr>
            </w:pPr>
            <w:r>
              <w:rPr>
                <w:rFonts w:hint="eastAsia" w:ascii="宋体" w:hAnsi="宋体" w:eastAsia="宋体" w:cs="宋体"/>
                <w:color w:val="auto"/>
                <w:sz w:val="24"/>
                <w:highlight w:val="none"/>
              </w:rPr>
              <w:t>所属行业：</w:t>
            </w:r>
            <w:r>
              <w:rPr>
                <w:rFonts w:hint="eastAsia" w:ascii="宋体" w:hAnsi="宋体" w:eastAsia="宋体" w:cs="宋体"/>
                <w:color w:val="auto"/>
                <w:kern w:val="0"/>
                <w:sz w:val="24"/>
                <w:szCs w:val="24"/>
                <w:highlight w:val="none"/>
              </w:rPr>
              <w:t>其他未列明行业</w:t>
            </w:r>
          </w:p>
        </w:tc>
      </w:tr>
    </w:tbl>
    <w:p w14:paraId="30EF1E4F">
      <w:pPr>
        <w:numPr>
          <w:ilvl w:val="0"/>
          <w:numId w:val="1"/>
        </w:numPr>
        <w:spacing w:line="360" w:lineRule="auto"/>
        <w:ind w:firstLine="437"/>
        <w:outlineLvl w:val="1"/>
        <w:rPr>
          <w:rFonts w:hint="eastAsia" w:ascii="宋体" w:hAnsi="宋体" w:eastAsia="宋体"/>
          <w:b/>
          <w:color w:val="auto"/>
          <w:sz w:val="24"/>
          <w:szCs w:val="18"/>
          <w:highlight w:val="none"/>
        </w:rPr>
      </w:pPr>
      <w:bookmarkStart w:id="17" w:name="_Toc25144"/>
      <w:bookmarkStart w:id="18" w:name="_Toc23116"/>
      <w:r>
        <w:rPr>
          <w:rFonts w:hint="eastAsia" w:ascii="宋体" w:hAnsi="宋体" w:eastAsia="宋体"/>
          <w:b/>
          <w:color w:val="auto"/>
          <w:sz w:val="24"/>
          <w:szCs w:val="18"/>
          <w:highlight w:val="none"/>
        </w:rPr>
        <w:t>项目概况</w:t>
      </w:r>
      <w:bookmarkEnd w:id="17"/>
      <w:bookmarkEnd w:id="18"/>
    </w:p>
    <w:p w14:paraId="16EC1B52">
      <w:pPr>
        <w:spacing w:line="360" w:lineRule="auto"/>
        <w:ind w:firstLine="480" w:firstLineChars="200"/>
        <w:outlineLvl w:val="2"/>
        <w:rPr>
          <w:rFonts w:hint="default" w:ascii="宋体" w:hAnsi="宋体" w:eastAsia="宋体" w:cs="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为深入开展全民阅读活动，营造爱读书读好书善读书的浓厚氛围，扎实推进“书香亭城”建设，本项目计划采购滁州市城区已建成并向公众免费开放的遵阳书苑、梧桐书苑两个城市阅读空间及38个城市书柜的运营服务。供应商根据当前城市阅读空间及书柜情况，遵循公共文化服务公益性、均等性和</w:t>
      </w:r>
      <w:r>
        <w:rPr>
          <w:rFonts w:hint="default" w:ascii="宋体" w:hAnsi="宋体" w:eastAsia="宋体" w:cs="宋体"/>
          <w:bCs/>
          <w:color w:val="auto"/>
          <w:sz w:val="24"/>
          <w:szCs w:val="18"/>
          <w:highlight w:val="none"/>
          <w:lang w:val="en-US" w:eastAsia="zh-CN"/>
        </w:rPr>
        <w:t>基本性</w:t>
      </w:r>
      <w:r>
        <w:rPr>
          <w:rFonts w:hint="eastAsia" w:ascii="宋体" w:hAnsi="宋体" w:eastAsia="宋体" w:cs="宋体"/>
          <w:bCs/>
          <w:color w:val="auto"/>
          <w:sz w:val="24"/>
          <w:szCs w:val="18"/>
          <w:highlight w:val="none"/>
          <w:lang w:val="en-US" w:eastAsia="zh-CN"/>
        </w:rPr>
        <w:t>的要求，提供公共文化空间运营服务、常态性公益文化活动、特色文创产品等服务，策划举办各具特色的阅读推广活动，形成城市阅读空间活动品牌，将其打造成集阅读、活动、展示、休闲等功能于一体的新型文化综合体，切实增强人民群众的文化获得感。</w:t>
      </w:r>
    </w:p>
    <w:p w14:paraId="1D8FE1C2">
      <w:pPr>
        <w:spacing w:line="360" w:lineRule="auto"/>
        <w:ind w:firstLine="437"/>
        <w:outlineLvl w:val="1"/>
        <w:rPr>
          <w:rFonts w:hint="eastAsia" w:ascii="宋体" w:hAnsi="宋体" w:eastAsia="宋体"/>
          <w:b/>
          <w:color w:val="auto"/>
          <w:sz w:val="24"/>
          <w:szCs w:val="18"/>
          <w:highlight w:val="none"/>
          <w:lang w:val="en-US" w:eastAsia="zh-CN"/>
        </w:rPr>
      </w:pPr>
      <w:bookmarkStart w:id="19" w:name="_Toc8586"/>
      <w:bookmarkStart w:id="20" w:name="_Toc21757"/>
      <w:r>
        <w:rPr>
          <w:rFonts w:hint="eastAsia" w:ascii="宋体" w:hAnsi="宋体" w:eastAsia="宋体"/>
          <w:b/>
          <w:color w:val="auto"/>
          <w:sz w:val="24"/>
          <w:szCs w:val="18"/>
          <w:highlight w:val="none"/>
        </w:rPr>
        <w:t>三、服务</w:t>
      </w:r>
      <w:bookmarkEnd w:id="19"/>
      <w:bookmarkEnd w:id="20"/>
      <w:r>
        <w:rPr>
          <w:rFonts w:hint="eastAsia" w:ascii="宋体" w:hAnsi="宋体" w:eastAsia="宋体"/>
          <w:b/>
          <w:color w:val="auto"/>
          <w:sz w:val="24"/>
          <w:szCs w:val="18"/>
          <w:highlight w:val="none"/>
          <w:lang w:val="en-US" w:eastAsia="zh-CN"/>
        </w:rPr>
        <w:t>需求</w:t>
      </w:r>
    </w:p>
    <w:p w14:paraId="44B8D210">
      <w:pPr>
        <w:spacing w:line="360" w:lineRule="auto"/>
        <w:ind w:firstLine="420" w:firstLineChars="200"/>
        <w:outlineLvl w:val="2"/>
        <w:rPr>
          <w:rFonts w:hint="eastAsia" w:ascii="宋体" w:hAnsi="宋体" w:eastAsia="宋体"/>
          <w:bCs/>
          <w:color w:val="auto"/>
          <w:sz w:val="24"/>
          <w:szCs w:val="18"/>
          <w:highlight w:val="none"/>
          <w:lang w:val="en-US" w:eastAsia="zh-CN"/>
        </w:rPr>
      </w:pPr>
      <w:r>
        <w:rPr>
          <w:rFonts w:hint="eastAsia"/>
          <w:highlight w:val="none"/>
          <w:lang w:val="en-US" w:eastAsia="zh-CN"/>
        </w:rPr>
        <w:t xml:space="preserve"> </w:t>
      </w:r>
      <w:r>
        <w:rPr>
          <w:rFonts w:hint="eastAsia" w:ascii="宋体" w:hAnsi="宋体" w:eastAsia="宋体"/>
          <w:bCs/>
          <w:sz w:val="24"/>
          <w:szCs w:val="18"/>
          <w:highlight w:val="none"/>
          <w:lang w:val="en-US" w:eastAsia="zh-CN"/>
        </w:rPr>
        <w:t>本项目采购内容主要是已建成并向公众免费开放的滁州市区遵阳书苑</w:t>
      </w:r>
      <w:r>
        <w:rPr>
          <w:rFonts w:hint="eastAsia" w:ascii="宋体" w:hAnsi="宋体" w:eastAsia="宋体" w:cs="宋体"/>
          <w:kern w:val="2"/>
          <w:sz w:val="24"/>
          <w:szCs w:val="24"/>
          <w:highlight w:val="none"/>
          <w:lang w:val="en-US" w:eastAsia="zh-CN" w:bidi="ar"/>
        </w:rPr>
        <w:t>、</w:t>
      </w:r>
      <w:r>
        <w:rPr>
          <w:rFonts w:hint="eastAsia" w:ascii="宋体" w:hAnsi="宋体" w:eastAsia="宋体"/>
          <w:bCs/>
          <w:sz w:val="24"/>
          <w:szCs w:val="18"/>
          <w:highlight w:val="none"/>
          <w:lang w:val="en-US" w:eastAsia="zh-CN"/>
        </w:rPr>
        <w:t>梧桐书苑2个城市阅读空间和已建市区38个</w:t>
      </w:r>
      <w:r>
        <w:rPr>
          <w:rFonts w:hint="eastAsia" w:ascii="宋体" w:hAnsi="宋体" w:eastAsia="宋体" w:cs="宋体"/>
          <w:sz w:val="24"/>
          <w:szCs w:val="24"/>
          <w:highlight w:val="none"/>
          <w:lang w:val="en-US" w:eastAsia="zh-CN"/>
        </w:rPr>
        <w:t>城市书柜</w:t>
      </w:r>
      <w:r>
        <w:rPr>
          <w:rFonts w:hint="eastAsia" w:ascii="宋体" w:hAnsi="宋体" w:eastAsia="宋体"/>
          <w:bCs/>
          <w:sz w:val="24"/>
          <w:szCs w:val="18"/>
          <w:highlight w:val="none"/>
          <w:lang w:val="en-US" w:eastAsia="zh-CN"/>
        </w:rPr>
        <w:t>的运营管理，包括但不限于</w:t>
      </w:r>
      <w:r>
        <w:rPr>
          <w:rFonts w:hint="eastAsia" w:ascii="宋体" w:hAnsi="宋体" w:eastAsia="宋体" w:cs="宋体"/>
          <w:color w:val="000000"/>
          <w:kern w:val="0"/>
          <w:sz w:val="24"/>
          <w:szCs w:val="24"/>
          <w:highlight w:val="none"/>
          <w:lang w:val="en-US" w:eastAsia="zh-CN" w:bidi="ar"/>
        </w:rPr>
        <w:t>运营团</w:t>
      </w:r>
      <w:r>
        <w:rPr>
          <w:rFonts w:hint="eastAsia" w:ascii="宋体" w:hAnsi="宋体" w:eastAsia="宋体" w:cs="宋体"/>
          <w:color w:val="auto"/>
          <w:kern w:val="0"/>
          <w:sz w:val="24"/>
          <w:szCs w:val="24"/>
          <w:highlight w:val="none"/>
          <w:lang w:val="en-US" w:eastAsia="zh-CN" w:bidi="ar"/>
        </w:rPr>
        <w:t>队管理、运营管理规章制度的制定、</w:t>
      </w:r>
      <w:r>
        <w:rPr>
          <w:rFonts w:hint="eastAsia" w:ascii="宋体" w:hAnsi="宋体" w:eastAsia="宋体"/>
          <w:bCs/>
          <w:color w:val="auto"/>
          <w:sz w:val="24"/>
          <w:szCs w:val="18"/>
          <w:highlight w:val="none"/>
          <w:lang w:val="en-US" w:eastAsia="zh-CN"/>
        </w:rPr>
        <w:t>活动策划组织、阅读推广品牌建设、媒体宣传、人员管理及培训、志愿服务、文创产品研发销售、图书调拨配送、图书仓储、场馆及书柜的设备设施维护维修、物业、水电、网络保障、环境保洁、业务问题处理以及与上述服务内容相关日常运营配套服务，并根据阅读书柜使用情况，完成书柜的重新选点和迁移。服务内容接受采购人业务监督和指导，配合采购人开展文旅活动及宣传。</w:t>
      </w:r>
    </w:p>
    <w:p w14:paraId="736A129B">
      <w:pPr>
        <w:spacing w:line="360" w:lineRule="auto"/>
        <w:ind w:firstLine="480" w:firstLineChars="200"/>
        <w:outlineLvl w:val="2"/>
        <w:rPr>
          <w:rFonts w:hint="default" w:ascii="宋体" w:hAnsi="宋体" w:eastAsia="宋体"/>
          <w:b/>
          <w:bCs w:val="0"/>
          <w:color w:val="auto"/>
          <w:sz w:val="24"/>
          <w:szCs w:val="18"/>
          <w:highlight w:val="none"/>
          <w:lang w:val="en-US"/>
        </w:rPr>
      </w:pPr>
      <w:r>
        <w:rPr>
          <w:rFonts w:hint="eastAsia" w:ascii="宋体" w:hAnsi="宋体" w:eastAsia="宋体" w:cs="宋体"/>
          <w:color w:val="auto"/>
          <w:kern w:val="0"/>
          <w:sz w:val="24"/>
          <w:szCs w:val="24"/>
          <w:highlight w:val="none"/>
          <w:lang w:val="en-US" w:eastAsia="zh-CN" w:bidi="ar"/>
        </w:rPr>
        <w:t>为保证本项目工作人员的稳定，成交供应商须与采购人、银行成立共管账户作为本项目考核付款账户，按时支付员工工资、社保等，保障本项目各项运营费用。</w:t>
      </w:r>
    </w:p>
    <w:p w14:paraId="0B51ECED">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1.城市阅读空间：</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2235"/>
        <w:gridCol w:w="1725"/>
        <w:gridCol w:w="2746"/>
        <w:gridCol w:w="986"/>
      </w:tblGrid>
      <w:tr w14:paraId="021B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top"/>
          </w:tcPr>
          <w:p w14:paraId="0FC62272">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2235" w:type="dxa"/>
            <w:noWrap w:val="0"/>
            <w:vAlign w:val="top"/>
          </w:tcPr>
          <w:p w14:paraId="67208A6C">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服务点名称</w:t>
            </w:r>
          </w:p>
        </w:tc>
        <w:tc>
          <w:tcPr>
            <w:tcW w:w="1725" w:type="dxa"/>
            <w:noWrap w:val="0"/>
            <w:vAlign w:val="top"/>
          </w:tcPr>
          <w:p w14:paraId="6230B889">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面积（㎡）</w:t>
            </w:r>
          </w:p>
        </w:tc>
        <w:tc>
          <w:tcPr>
            <w:tcW w:w="2746" w:type="dxa"/>
            <w:noWrap w:val="0"/>
            <w:vAlign w:val="top"/>
          </w:tcPr>
          <w:p w14:paraId="0D2BDD4A">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地址</w:t>
            </w:r>
          </w:p>
        </w:tc>
        <w:tc>
          <w:tcPr>
            <w:tcW w:w="986" w:type="dxa"/>
            <w:noWrap w:val="0"/>
            <w:vAlign w:val="top"/>
          </w:tcPr>
          <w:p w14:paraId="6015362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25D0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63F26144">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235" w:type="dxa"/>
            <w:noWrap w:val="0"/>
            <w:vAlign w:val="center"/>
          </w:tcPr>
          <w:p w14:paraId="4F885DDD">
            <w:pPr>
              <w:jc w:val="center"/>
              <w:rPr>
                <w:rFonts w:hint="eastAsia" w:ascii="宋体" w:hAnsi="宋体" w:eastAsia="宋体" w:cs="宋体"/>
                <w:sz w:val="24"/>
                <w:szCs w:val="24"/>
                <w:highlight w:val="none"/>
                <w:lang w:val="en-US" w:eastAsia="zh-CN"/>
              </w:rPr>
            </w:pPr>
            <w:r>
              <w:rPr>
                <w:rFonts w:hint="eastAsia" w:ascii="宋体" w:hAnsi="宋体" w:eastAsia="宋体"/>
                <w:bCs/>
                <w:sz w:val="24"/>
                <w:szCs w:val="18"/>
                <w:highlight w:val="none"/>
                <w:lang w:val="en-US" w:eastAsia="zh-CN"/>
              </w:rPr>
              <w:t>梧桐书苑</w:t>
            </w:r>
          </w:p>
        </w:tc>
        <w:tc>
          <w:tcPr>
            <w:tcW w:w="1725" w:type="dxa"/>
            <w:noWrap w:val="0"/>
            <w:vAlign w:val="center"/>
          </w:tcPr>
          <w:p w14:paraId="18B18211">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bidi="ar"/>
              </w:rPr>
              <w:t>400</w:t>
            </w:r>
          </w:p>
        </w:tc>
        <w:tc>
          <w:tcPr>
            <w:tcW w:w="2746" w:type="dxa"/>
            <w:noWrap w:val="0"/>
            <w:vAlign w:val="center"/>
          </w:tcPr>
          <w:p w14:paraId="09EBEDE1">
            <w:pPr>
              <w:jc w:val="center"/>
              <w:rPr>
                <w:rFonts w:hint="eastAsia" w:ascii="宋体" w:hAnsi="宋体" w:eastAsia="宋体" w:cs="宋体"/>
                <w:sz w:val="24"/>
                <w:szCs w:val="24"/>
                <w:highlight w:val="none"/>
                <w:lang w:val="en-US" w:eastAsia="zh-CN"/>
              </w:rPr>
            </w:pPr>
            <w:r>
              <w:rPr>
                <w:rFonts w:hint="eastAsia" w:ascii="宋体" w:hAnsi="宋体" w:eastAsia="宋体"/>
                <w:bCs/>
                <w:sz w:val="24"/>
                <w:szCs w:val="18"/>
                <w:highlight w:val="none"/>
                <w:lang w:val="en-US" w:eastAsia="zh-CN"/>
              </w:rPr>
              <w:t>凤凰办事处新办公楼门面房天乐路与紫薇路交口</w:t>
            </w:r>
          </w:p>
        </w:tc>
        <w:tc>
          <w:tcPr>
            <w:tcW w:w="986" w:type="dxa"/>
            <w:vMerge w:val="restart"/>
            <w:noWrap w:val="0"/>
            <w:vAlign w:val="center"/>
          </w:tcPr>
          <w:p w14:paraId="61CBDDBB">
            <w:pPr>
              <w:jc w:val="center"/>
              <w:rPr>
                <w:rFonts w:hint="eastAsia" w:ascii="宋体" w:hAnsi="宋体" w:eastAsia="宋体" w:cs="宋体"/>
                <w:sz w:val="24"/>
                <w:szCs w:val="24"/>
                <w:highlight w:val="none"/>
                <w:lang w:val="en-US" w:eastAsia="zh-CN"/>
              </w:rPr>
            </w:pPr>
          </w:p>
        </w:tc>
      </w:tr>
      <w:tr w14:paraId="333D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4C431F8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235" w:type="dxa"/>
            <w:noWrap w:val="0"/>
            <w:vAlign w:val="center"/>
          </w:tcPr>
          <w:p w14:paraId="586ECAF8">
            <w:pPr>
              <w:jc w:val="center"/>
              <w:rPr>
                <w:rFonts w:hint="eastAsia" w:ascii="宋体" w:hAnsi="宋体" w:eastAsia="宋体" w:cs="宋体"/>
                <w:sz w:val="24"/>
                <w:szCs w:val="24"/>
                <w:highlight w:val="none"/>
                <w:lang w:val="en-US" w:eastAsia="zh-CN"/>
              </w:rPr>
            </w:pPr>
            <w:r>
              <w:rPr>
                <w:rFonts w:hint="eastAsia" w:ascii="宋体" w:hAnsi="宋体" w:eastAsia="宋体"/>
                <w:bCs/>
                <w:sz w:val="24"/>
                <w:szCs w:val="18"/>
                <w:highlight w:val="none"/>
                <w:lang w:val="en-US" w:eastAsia="zh-CN"/>
              </w:rPr>
              <w:t>遵阳书苑</w:t>
            </w:r>
          </w:p>
        </w:tc>
        <w:tc>
          <w:tcPr>
            <w:tcW w:w="1725" w:type="dxa"/>
            <w:noWrap w:val="0"/>
            <w:vAlign w:val="center"/>
          </w:tcPr>
          <w:p w14:paraId="43E0BF55">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bidi="ar"/>
              </w:rPr>
              <w:t>300</w:t>
            </w:r>
          </w:p>
        </w:tc>
        <w:tc>
          <w:tcPr>
            <w:tcW w:w="2746" w:type="dxa"/>
            <w:noWrap w:val="0"/>
            <w:vAlign w:val="center"/>
          </w:tcPr>
          <w:p w14:paraId="0712DCD5">
            <w:pPr>
              <w:jc w:val="center"/>
              <w:rPr>
                <w:rFonts w:hint="eastAsia" w:ascii="宋体" w:hAnsi="宋体" w:eastAsia="宋体" w:cs="宋体"/>
                <w:sz w:val="24"/>
                <w:szCs w:val="24"/>
                <w:highlight w:val="none"/>
                <w:lang w:val="en-US" w:eastAsia="zh-CN"/>
              </w:rPr>
            </w:pPr>
            <w:r>
              <w:rPr>
                <w:rFonts w:hint="eastAsia" w:ascii="宋体" w:hAnsi="宋体" w:eastAsia="宋体"/>
                <w:bCs/>
                <w:sz w:val="24"/>
                <w:szCs w:val="18"/>
                <w:highlight w:val="none"/>
                <w:lang w:val="en-US" w:eastAsia="zh-CN"/>
              </w:rPr>
              <w:t>文德街137号</w:t>
            </w:r>
          </w:p>
        </w:tc>
        <w:tc>
          <w:tcPr>
            <w:tcW w:w="986" w:type="dxa"/>
            <w:vMerge w:val="continue"/>
            <w:noWrap w:val="0"/>
            <w:vAlign w:val="center"/>
          </w:tcPr>
          <w:p w14:paraId="7DD0C163">
            <w:pPr>
              <w:jc w:val="center"/>
              <w:rPr>
                <w:rFonts w:hint="eastAsia" w:ascii="宋体" w:hAnsi="宋体" w:eastAsia="宋体" w:cs="宋体"/>
                <w:sz w:val="24"/>
                <w:szCs w:val="24"/>
                <w:highlight w:val="none"/>
                <w:lang w:val="en-US" w:eastAsia="zh-CN"/>
              </w:rPr>
            </w:pPr>
          </w:p>
        </w:tc>
      </w:tr>
    </w:tbl>
    <w:p w14:paraId="34CAB815">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2.城市书柜：</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95"/>
        <w:gridCol w:w="2370"/>
        <w:gridCol w:w="2145"/>
        <w:gridCol w:w="1182"/>
      </w:tblGrid>
      <w:tr w14:paraId="2858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30" w:type="dxa"/>
            <w:noWrap w:val="0"/>
            <w:vAlign w:val="top"/>
          </w:tcPr>
          <w:p w14:paraId="040DD95A">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1995" w:type="dxa"/>
            <w:noWrap w:val="0"/>
            <w:vAlign w:val="top"/>
          </w:tcPr>
          <w:p w14:paraId="17EC02E2">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书柜名</w:t>
            </w:r>
          </w:p>
        </w:tc>
        <w:tc>
          <w:tcPr>
            <w:tcW w:w="2370" w:type="dxa"/>
            <w:noWrap w:val="0"/>
            <w:vAlign w:val="top"/>
          </w:tcPr>
          <w:p w14:paraId="009223B6">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地址</w:t>
            </w:r>
          </w:p>
        </w:tc>
        <w:tc>
          <w:tcPr>
            <w:tcW w:w="2145" w:type="dxa"/>
            <w:noWrap w:val="0"/>
            <w:vAlign w:val="top"/>
          </w:tcPr>
          <w:p w14:paraId="20350F5D">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图片</w:t>
            </w:r>
          </w:p>
        </w:tc>
        <w:tc>
          <w:tcPr>
            <w:tcW w:w="1182" w:type="dxa"/>
            <w:noWrap w:val="0"/>
            <w:vAlign w:val="top"/>
          </w:tcPr>
          <w:p w14:paraId="62406F29">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5D29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14461A1C">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995" w:type="dxa"/>
            <w:noWrap w:val="0"/>
            <w:vAlign w:val="center"/>
          </w:tcPr>
          <w:p w14:paraId="4A6FC13F">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阅滁州-01号柜</w:t>
            </w:r>
          </w:p>
        </w:tc>
        <w:tc>
          <w:tcPr>
            <w:tcW w:w="2370" w:type="dxa"/>
            <w:noWrap w:val="0"/>
            <w:vAlign w:val="center"/>
          </w:tcPr>
          <w:p w14:paraId="27B9CE8F">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清流街 清流街北侧繁雄馆门口，西大街路边</w:t>
            </w:r>
          </w:p>
        </w:tc>
        <w:tc>
          <w:tcPr>
            <w:tcW w:w="2145" w:type="dxa"/>
            <w:noWrap w:val="0"/>
            <w:vAlign w:val="center"/>
          </w:tcPr>
          <w:p w14:paraId="3C53284A">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8"/>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406DF3B0">
            <w:pPr>
              <w:keepNext w:val="0"/>
              <w:keepLines w:val="0"/>
              <w:widowControl/>
              <w:suppressLineNumbers w:val="0"/>
              <w:jc w:val="center"/>
              <w:rPr>
                <w:rFonts w:hint="default" w:ascii="宋体" w:hAnsi="宋体" w:eastAsia="宋体" w:cs="宋体"/>
                <w:sz w:val="24"/>
                <w:szCs w:val="24"/>
                <w:highlight w:val="none"/>
                <w:lang w:val="en-US" w:eastAsia="zh-CN"/>
              </w:rPr>
            </w:pPr>
          </w:p>
        </w:tc>
      </w:tr>
      <w:tr w14:paraId="5981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0910F092">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995" w:type="dxa"/>
            <w:noWrap w:val="0"/>
            <w:vAlign w:val="center"/>
          </w:tcPr>
          <w:p w14:paraId="4678F05F">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阅滁州-02号柜</w:t>
            </w:r>
          </w:p>
        </w:tc>
        <w:tc>
          <w:tcPr>
            <w:tcW w:w="2370" w:type="dxa"/>
            <w:noWrap w:val="0"/>
            <w:vAlign w:val="center"/>
          </w:tcPr>
          <w:p w14:paraId="6433D009">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三中 三中校门口</w:t>
            </w:r>
          </w:p>
        </w:tc>
        <w:tc>
          <w:tcPr>
            <w:tcW w:w="2145" w:type="dxa"/>
            <w:noWrap w:val="0"/>
            <w:vAlign w:val="center"/>
          </w:tcPr>
          <w:p w14:paraId="5D6A0FE8">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9"/>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7BDB4196">
            <w:pPr>
              <w:jc w:val="center"/>
              <w:rPr>
                <w:rFonts w:hint="default" w:ascii="宋体" w:hAnsi="宋体" w:eastAsia="宋体" w:cs="宋体"/>
                <w:sz w:val="24"/>
                <w:szCs w:val="24"/>
                <w:highlight w:val="none"/>
                <w:lang w:val="en-US" w:eastAsia="zh-CN"/>
              </w:rPr>
            </w:pPr>
          </w:p>
        </w:tc>
      </w:tr>
      <w:tr w14:paraId="069D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135DC8C8">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995" w:type="dxa"/>
            <w:noWrap w:val="0"/>
            <w:vAlign w:val="center"/>
          </w:tcPr>
          <w:p w14:paraId="3D2C9EF3">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阅滁州-04号柜</w:t>
            </w:r>
          </w:p>
        </w:tc>
        <w:tc>
          <w:tcPr>
            <w:tcW w:w="2370" w:type="dxa"/>
            <w:noWrap w:val="0"/>
            <w:vAlign w:val="center"/>
          </w:tcPr>
          <w:p w14:paraId="7628DA3E">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碧桂园名邸内，龙池书苑旁</w:t>
            </w:r>
          </w:p>
        </w:tc>
        <w:tc>
          <w:tcPr>
            <w:tcW w:w="2145" w:type="dxa"/>
            <w:noWrap w:val="0"/>
            <w:vAlign w:val="center"/>
          </w:tcPr>
          <w:p w14:paraId="5B50A185">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5" name="图片 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9"/>
                          <pic:cNvPicPr>
                            <a:picLocks noChangeAspect="1"/>
                          </pic:cNvPicPr>
                        </pic:nvPicPr>
                        <pic:blipFill>
                          <a:blip r:embed="rId10"/>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695B42DC">
            <w:pPr>
              <w:jc w:val="center"/>
              <w:rPr>
                <w:rFonts w:hint="default" w:ascii="宋体" w:hAnsi="宋体" w:eastAsia="宋体" w:cs="宋体"/>
                <w:sz w:val="24"/>
                <w:szCs w:val="24"/>
                <w:highlight w:val="none"/>
                <w:lang w:val="en-US" w:eastAsia="zh-CN"/>
              </w:rPr>
            </w:pPr>
          </w:p>
        </w:tc>
      </w:tr>
      <w:tr w14:paraId="618C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6619600D">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995" w:type="dxa"/>
            <w:noWrap w:val="0"/>
            <w:vAlign w:val="center"/>
          </w:tcPr>
          <w:p w14:paraId="616F4B37">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阅滁州-05号柜</w:t>
            </w:r>
          </w:p>
        </w:tc>
        <w:tc>
          <w:tcPr>
            <w:tcW w:w="2370" w:type="dxa"/>
            <w:noWrap w:val="0"/>
            <w:vAlign w:val="center"/>
          </w:tcPr>
          <w:p w14:paraId="4BB8FD99">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苏宁广场 南谯北路和天长西路交叉口西南角苏宁广场门前空地</w:t>
            </w:r>
          </w:p>
        </w:tc>
        <w:tc>
          <w:tcPr>
            <w:tcW w:w="2145" w:type="dxa"/>
            <w:noWrap w:val="0"/>
            <w:vAlign w:val="center"/>
          </w:tcPr>
          <w:p w14:paraId="68DB85A1">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6" name="图片 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60"/>
                          <pic:cNvPicPr>
                            <a:picLocks noChangeAspect="1"/>
                          </pic:cNvPicPr>
                        </pic:nvPicPr>
                        <pic:blipFill>
                          <a:blip r:embed="rId11"/>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07C0A896">
            <w:pPr>
              <w:jc w:val="center"/>
              <w:rPr>
                <w:rFonts w:hint="default" w:ascii="宋体" w:hAnsi="宋体" w:eastAsia="宋体" w:cs="宋体"/>
                <w:sz w:val="24"/>
                <w:szCs w:val="24"/>
                <w:highlight w:val="none"/>
                <w:lang w:val="en-US" w:eastAsia="zh-CN"/>
              </w:rPr>
            </w:pPr>
          </w:p>
        </w:tc>
      </w:tr>
      <w:tr w14:paraId="77D7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61032324">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995" w:type="dxa"/>
            <w:noWrap w:val="0"/>
            <w:vAlign w:val="center"/>
          </w:tcPr>
          <w:p w14:paraId="062B0A10">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阅滁州-06号柜</w:t>
            </w:r>
          </w:p>
        </w:tc>
        <w:tc>
          <w:tcPr>
            <w:tcW w:w="2370" w:type="dxa"/>
            <w:noWrap w:val="0"/>
            <w:vAlign w:val="center"/>
          </w:tcPr>
          <w:p w14:paraId="768C69BA">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龙池社区门口 西涧路附近龙池花园</w:t>
            </w:r>
          </w:p>
        </w:tc>
        <w:tc>
          <w:tcPr>
            <w:tcW w:w="2145" w:type="dxa"/>
            <w:noWrap w:val="0"/>
            <w:vAlign w:val="center"/>
          </w:tcPr>
          <w:p w14:paraId="1DD69673">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 name="图片 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1"/>
                          <pic:cNvPicPr>
                            <a:picLocks noChangeAspect="1"/>
                          </pic:cNvPicPr>
                        </pic:nvPicPr>
                        <pic:blipFill>
                          <a:blip r:embed="rId12"/>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2C6DD9B0">
            <w:pPr>
              <w:jc w:val="center"/>
              <w:rPr>
                <w:rFonts w:hint="default" w:ascii="宋体" w:hAnsi="宋体" w:eastAsia="宋体" w:cs="宋体"/>
                <w:sz w:val="24"/>
                <w:szCs w:val="24"/>
                <w:highlight w:val="none"/>
                <w:lang w:val="en-US" w:eastAsia="zh-CN"/>
              </w:rPr>
            </w:pPr>
          </w:p>
        </w:tc>
      </w:tr>
      <w:tr w14:paraId="6C82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290F0D3F">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995" w:type="dxa"/>
            <w:noWrap w:val="0"/>
            <w:vAlign w:val="center"/>
          </w:tcPr>
          <w:p w14:paraId="4219BBD2">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阅滁州-07号柜</w:t>
            </w:r>
          </w:p>
        </w:tc>
        <w:tc>
          <w:tcPr>
            <w:tcW w:w="2370" w:type="dxa"/>
            <w:noWrap w:val="0"/>
            <w:vAlign w:val="center"/>
          </w:tcPr>
          <w:p w14:paraId="2B1D9A97">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凤凰一村 白云社区综合文化服务中心内部</w:t>
            </w:r>
          </w:p>
        </w:tc>
        <w:tc>
          <w:tcPr>
            <w:tcW w:w="2145" w:type="dxa"/>
            <w:noWrap w:val="0"/>
            <w:vAlign w:val="center"/>
          </w:tcPr>
          <w:p w14:paraId="22966D3C">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7" name="图片 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2"/>
                          <pic:cNvPicPr>
                            <a:picLocks noChangeAspect="1"/>
                          </pic:cNvPicPr>
                        </pic:nvPicPr>
                        <pic:blipFill>
                          <a:blip r:embed="rId13"/>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23EC8E16">
            <w:pPr>
              <w:jc w:val="center"/>
              <w:rPr>
                <w:rFonts w:hint="default" w:ascii="宋体" w:hAnsi="宋体" w:eastAsia="宋体" w:cs="宋体"/>
                <w:sz w:val="24"/>
                <w:szCs w:val="24"/>
                <w:highlight w:val="none"/>
                <w:lang w:val="en-US" w:eastAsia="zh-CN"/>
              </w:rPr>
            </w:pPr>
          </w:p>
        </w:tc>
      </w:tr>
      <w:tr w14:paraId="5829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06276ABB">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995" w:type="dxa"/>
            <w:noWrap w:val="0"/>
            <w:vAlign w:val="center"/>
          </w:tcPr>
          <w:p w14:paraId="07FB3DAD">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阅滁州-08号柜</w:t>
            </w:r>
          </w:p>
        </w:tc>
        <w:tc>
          <w:tcPr>
            <w:tcW w:w="2370" w:type="dxa"/>
            <w:noWrap w:val="0"/>
            <w:vAlign w:val="center"/>
          </w:tcPr>
          <w:p w14:paraId="2D34DB44">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人才公寓 东坡西路</w:t>
            </w:r>
          </w:p>
        </w:tc>
        <w:tc>
          <w:tcPr>
            <w:tcW w:w="2145" w:type="dxa"/>
            <w:noWrap w:val="0"/>
            <w:vAlign w:val="center"/>
          </w:tcPr>
          <w:p w14:paraId="72DDBFFE">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8" name="图片 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3"/>
                          <pic:cNvPicPr>
                            <a:picLocks noChangeAspect="1"/>
                          </pic:cNvPicPr>
                        </pic:nvPicPr>
                        <pic:blipFill>
                          <a:blip r:embed="rId14"/>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22E01457">
            <w:pPr>
              <w:jc w:val="center"/>
              <w:rPr>
                <w:rFonts w:hint="default" w:ascii="宋体" w:hAnsi="宋体" w:eastAsia="宋体" w:cs="宋体"/>
                <w:sz w:val="24"/>
                <w:szCs w:val="24"/>
                <w:highlight w:val="none"/>
                <w:lang w:val="en-US" w:eastAsia="zh-CN"/>
              </w:rPr>
            </w:pPr>
          </w:p>
        </w:tc>
      </w:tr>
      <w:tr w14:paraId="4B20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38D72D43">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995" w:type="dxa"/>
            <w:noWrap w:val="0"/>
            <w:vAlign w:val="center"/>
          </w:tcPr>
          <w:p w14:paraId="76E9F0DC">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阅滁州-09号柜</w:t>
            </w:r>
          </w:p>
        </w:tc>
        <w:tc>
          <w:tcPr>
            <w:tcW w:w="2370" w:type="dxa"/>
            <w:noWrap w:val="0"/>
            <w:vAlign w:val="center"/>
          </w:tcPr>
          <w:p w14:paraId="718455E5">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三里亭社区门口 三里亭路209号</w:t>
            </w:r>
          </w:p>
        </w:tc>
        <w:tc>
          <w:tcPr>
            <w:tcW w:w="2145" w:type="dxa"/>
            <w:noWrap w:val="0"/>
            <w:vAlign w:val="center"/>
          </w:tcPr>
          <w:p w14:paraId="34FDD621">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9" name="图片 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4"/>
                          <pic:cNvPicPr>
                            <a:picLocks noChangeAspect="1"/>
                          </pic:cNvPicPr>
                        </pic:nvPicPr>
                        <pic:blipFill>
                          <a:blip r:embed="rId15"/>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666E140B">
            <w:pPr>
              <w:jc w:val="center"/>
              <w:rPr>
                <w:rFonts w:hint="default" w:ascii="宋体" w:hAnsi="宋体" w:eastAsia="宋体" w:cs="宋体"/>
                <w:sz w:val="24"/>
                <w:szCs w:val="24"/>
                <w:highlight w:val="none"/>
                <w:lang w:val="en-US" w:eastAsia="zh-CN"/>
              </w:rPr>
            </w:pPr>
          </w:p>
        </w:tc>
      </w:tr>
      <w:tr w14:paraId="23CE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2630FE33">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995" w:type="dxa"/>
            <w:noWrap w:val="0"/>
            <w:vAlign w:val="center"/>
          </w:tcPr>
          <w:p w14:paraId="1C6DEB59">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阅滁州-10号柜</w:t>
            </w:r>
          </w:p>
        </w:tc>
        <w:tc>
          <w:tcPr>
            <w:tcW w:w="2370" w:type="dxa"/>
            <w:noWrap w:val="0"/>
            <w:vAlign w:val="center"/>
          </w:tcPr>
          <w:p w14:paraId="68B481F0">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凤凰湖 凤凰路与西涧路交叉口西北100米</w:t>
            </w:r>
          </w:p>
        </w:tc>
        <w:tc>
          <w:tcPr>
            <w:tcW w:w="2145" w:type="dxa"/>
            <w:noWrap w:val="0"/>
            <w:vAlign w:val="center"/>
          </w:tcPr>
          <w:p w14:paraId="63B59F7E">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0" name="图片 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5"/>
                          <pic:cNvPicPr>
                            <a:picLocks noChangeAspect="1"/>
                          </pic:cNvPicPr>
                        </pic:nvPicPr>
                        <pic:blipFill>
                          <a:blip r:embed="rId16"/>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14815C94">
            <w:pPr>
              <w:jc w:val="center"/>
              <w:rPr>
                <w:rFonts w:hint="default" w:ascii="宋体" w:hAnsi="宋体" w:eastAsia="宋体" w:cs="宋体"/>
                <w:sz w:val="24"/>
                <w:szCs w:val="24"/>
                <w:highlight w:val="none"/>
                <w:lang w:val="en-US" w:eastAsia="zh-CN"/>
              </w:rPr>
            </w:pPr>
          </w:p>
        </w:tc>
      </w:tr>
      <w:tr w14:paraId="360A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445C2928">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995" w:type="dxa"/>
            <w:noWrap w:val="0"/>
            <w:vAlign w:val="center"/>
          </w:tcPr>
          <w:p w14:paraId="5FDEE162">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阅滁州-11号柜</w:t>
            </w:r>
          </w:p>
        </w:tc>
        <w:tc>
          <w:tcPr>
            <w:tcW w:w="2370" w:type="dxa"/>
            <w:noWrap w:val="0"/>
            <w:vAlign w:val="center"/>
          </w:tcPr>
          <w:p w14:paraId="7CAC8C92">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宝山学校附近 滁阳街道办公场所大门旁边</w:t>
            </w:r>
          </w:p>
        </w:tc>
        <w:tc>
          <w:tcPr>
            <w:tcW w:w="2145" w:type="dxa"/>
            <w:noWrap w:val="0"/>
            <w:vAlign w:val="center"/>
          </w:tcPr>
          <w:p w14:paraId="1A6BE420">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6"/>
                          <pic:cNvPicPr>
                            <a:picLocks noChangeAspect="1"/>
                          </pic:cNvPicPr>
                        </pic:nvPicPr>
                        <pic:blipFill>
                          <a:blip r:embed="rId17"/>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4D00756B">
            <w:pPr>
              <w:jc w:val="center"/>
              <w:rPr>
                <w:rFonts w:hint="default" w:ascii="宋体" w:hAnsi="宋体" w:eastAsia="宋体" w:cs="宋体"/>
                <w:sz w:val="24"/>
                <w:szCs w:val="24"/>
                <w:highlight w:val="none"/>
                <w:lang w:val="en-US" w:eastAsia="zh-CN"/>
              </w:rPr>
            </w:pPr>
          </w:p>
        </w:tc>
      </w:tr>
      <w:tr w14:paraId="18D4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1866FDD8">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1995" w:type="dxa"/>
            <w:noWrap w:val="0"/>
            <w:vAlign w:val="center"/>
          </w:tcPr>
          <w:p w14:paraId="0EB5C8F1">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阅滁州-12号柜</w:t>
            </w:r>
          </w:p>
        </w:tc>
        <w:tc>
          <w:tcPr>
            <w:tcW w:w="2370" w:type="dxa"/>
            <w:noWrap w:val="0"/>
            <w:vAlign w:val="center"/>
          </w:tcPr>
          <w:p w14:paraId="10B7C6DC">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阳光河畔怡园 创业北路878号阳光河畔小区西门，创业北路社区门口</w:t>
            </w:r>
          </w:p>
        </w:tc>
        <w:tc>
          <w:tcPr>
            <w:tcW w:w="2145" w:type="dxa"/>
            <w:noWrap w:val="0"/>
            <w:vAlign w:val="center"/>
          </w:tcPr>
          <w:p w14:paraId="1B410796">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1"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7"/>
                          <pic:cNvPicPr>
                            <a:picLocks noChangeAspect="1"/>
                          </pic:cNvPicPr>
                        </pic:nvPicPr>
                        <pic:blipFill>
                          <a:blip r:embed="rId18"/>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3050A88D">
            <w:pPr>
              <w:jc w:val="center"/>
              <w:rPr>
                <w:rFonts w:hint="default" w:ascii="宋体" w:hAnsi="宋体" w:eastAsia="宋体" w:cs="宋体"/>
                <w:sz w:val="24"/>
                <w:szCs w:val="24"/>
                <w:highlight w:val="none"/>
                <w:lang w:val="en-US" w:eastAsia="zh-CN"/>
              </w:rPr>
            </w:pPr>
          </w:p>
        </w:tc>
      </w:tr>
      <w:tr w14:paraId="783F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196EBC44">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1995" w:type="dxa"/>
            <w:noWrap w:val="0"/>
            <w:vAlign w:val="center"/>
          </w:tcPr>
          <w:p w14:paraId="3622876E">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阅滁州-15号柜</w:t>
            </w:r>
          </w:p>
        </w:tc>
        <w:tc>
          <w:tcPr>
            <w:tcW w:w="2370" w:type="dxa"/>
            <w:noWrap w:val="0"/>
            <w:vAlign w:val="center"/>
          </w:tcPr>
          <w:p w14:paraId="549856EE">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丰全巷滑轮场 滁州学院南校区大门正对面</w:t>
            </w:r>
          </w:p>
        </w:tc>
        <w:tc>
          <w:tcPr>
            <w:tcW w:w="2145" w:type="dxa"/>
            <w:noWrap w:val="0"/>
            <w:vAlign w:val="center"/>
          </w:tcPr>
          <w:p w14:paraId="41FFAB47">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0"/>
                          <pic:cNvPicPr>
                            <a:picLocks noChangeAspect="1"/>
                          </pic:cNvPicPr>
                        </pic:nvPicPr>
                        <pic:blipFill>
                          <a:blip r:embed="rId19"/>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2C609754">
            <w:pPr>
              <w:jc w:val="center"/>
              <w:rPr>
                <w:rFonts w:hint="default" w:ascii="宋体" w:hAnsi="宋体" w:eastAsia="宋体" w:cs="宋体"/>
                <w:sz w:val="24"/>
                <w:szCs w:val="24"/>
                <w:highlight w:val="none"/>
                <w:lang w:val="en-US" w:eastAsia="zh-CN"/>
              </w:rPr>
            </w:pPr>
          </w:p>
        </w:tc>
      </w:tr>
      <w:tr w14:paraId="4E93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658B8C2C">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1995" w:type="dxa"/>
            <w:noWrap w:val="0"/>
            <w:vAlign w:val="center"/>
          </w:tcPr>
          <w:p w14:paraId="33DD22CC">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阅滁州-16号柜</w:t>
            </w:r>
          </w:p>
        </w:tc>
        <w:tc>
          <w:tcPr>
            <w:tcW w:w="2370" w:type="dxa"/>
            <w:noWrap w:val="0"/>
            <w:vAlign w:val="center"/>
          </w:tcPr>
          <w:p w14:paraId="0730C242">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会峰大厦 会峰西路555号</w:t>
            </w:r>
          </w:p>
        </w:tc>
        <w:tc>
          <w:tcPr>
            <w:tcW w:w="2145" w:type="dxa"/>
            <w:noWrap w:val="0"/>
            <w:vAlign w:val="center"/>
          </w:tcPr>
          <w:p w14:paraId="64DFBAAA">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3" name="图片 1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IMG_261"/>
                          <pic:cNvPicPr>
                            <a:picLocks noChangeAspect="1"/>
                          </pic:cNvPicPr>
                        </pic:nvPicPr>
                        <pic:blipFill>
                          <a:blip r:embed="rId20"/>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4D7E5C7F">
            <w:pPr>
              <w:jc w:val="center"/>
              <w:rPr>
                <w:rFonts w:hint="default" w:ascii="宋体" w:hAnsi="宋体" w:eastAsia="宋体" w:cs="宋体"/>
                <w:sz w:val="24"/>
                <w:szCs w:val="24"/>
                <w:highlight w:val="none"/>
                <w:lang w:val="en-US" w:eastAsia="zh-CN"/>
              </w:rPr>
            </w:pPr>
          </w:p>
        </w:tc>
      </w:tr>
      <w:tr w14:paraId="3BCB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4318ED58">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1995" w:type="dxa"/>
            <w:noWrap w:val="0"/>
            <w:vAlign w:val="center"/>
          </w:tcPr>
          <w:p w14:paraId="2F363B97">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阅滁州-17号柜</w:t>
            </w:r>
          </w:p>
        </w:tc>
        <w:tc>
          <w:tcPr>
            <w:tcW w:w="2370" w:type="dxa"/>
            <w:noWrap w:val="0"/>
            <w:vAlign w:val="center"/>
          </w:tcPr>
          <w:p w14:paraId="048E5144">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梧桐广场北广场 丰乐大道和花园路交口，金色春天小区东侧陈桥体育广场北侧</w:t>
            </w:r>
          </w:p>
        </w:tc>
        <w:tc>
          <w:tcPr>
            <w:tcW w:w="2145" w:type="dxa"/>
            <w:noWrap w:val="0"/>
            <w:vAlign w:val="center"/>
          </w:tcPr>
          <w:p w14:paraId="3D2ADC37">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8" name="图片 1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descr="IMG_262"/>
                          <pic:cNvPicPr>
                            <a:picLocks noChangeAspect="1"/>
                          </pic:cNvPicPr>
                        </pic:nvPicPr>
                        <pic:blipFill>
                          <a:blip r:embed="rId21"/>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5D6AD84D">
            <w:pPr>
              <w:jc w:val="center"/>
              <w:rPr>
                <w:rFonts w:hint="default" w:ascii="宋体" w:hAnsi="宋体" w:eastAsia="宋体" w:cs="宋体"/>
                <w:sz w:val="24"/>
                <w:szCs w:val="24"/>
                <w:highlight w:val="none"/>
                <w:lang w:val="en-US" w:eastAsia="zh-CN"/>
              </w:rPr>
            </w:pPr>
          </w:p>
        </w:tc>
      </w:tr>
      <w:tr w14:paraId="19DC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28535D0A">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1995" w:type="dxa"/>
            <w:noWrap w:val="0"/>
            <w:vAlign w:val="center"/>
          </w:tcPr>
          <w:p w14:paraId="79D4EF58">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阅滁州-22号柜</w:t>
            </w:r>
          </w:p>
        </w:tc>
        <w:tc>
          <w:tcPr>
            <w:tcW w:w="2370" w:type="dxa"/>
            <w:noWrap w:val="0"/>
            <w:vAlign w:val="center"/>
          </w:tcPr>
          <w:p w14:paraId="1CEE6949">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龙蟠南苑小区南广场 (全椒南路622号)龙蟠南苑小区南广场东角，滁州市第二幼儿园</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旁边</w:t>
            </w:r>
          </w:p>
        </w:tc>
        <w:tc>
          <w:tcPr>
            <w:tcW w:w="2145" w:type="dxa"/>
            <w:noWrap w:val="0"/>
            <w:vAlign w:val="center"/>
          </w:tcPr>
          <w:p w14:paraId="6A6C987C">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1"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57"/>
                          <pic:cNvPicPr>
                            <a:picLocks noChangeAspect="1"/>
                          </pic:cNvPicPr>
                        </pic:nvPicPr>
                        <pic:blipFill>
                          <a:blip r:embed="rId22"/>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446C8EA2">
            <w:pPr>
              <w:jc w:val="center"/>
              <w:rPr>
                <w:rFonts w:hint="default" w:ascii="宋体" w:hAnsi="宋体" w:eastAsia="宋体" w:cs="宋体"/>
                <w:sz w:val="24"/>
                <w:szCs w:val="24"/>
                <w:highlight w:val="none"/>
                <w:lang w:val="en-US" w:eastAsia="zh-CN"/>
              </w:rPr>
            </w:pPr>
          </w:p>
        </w:tc>
      </w:tr>
      <w:tr w14:paraId="6326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1E9648D5">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1995" w:type="dxa"/>
            <w:noWrap w:val="0"/>
            <w:vAlign w:val="center"/>
          </w:tcPr>
          <w:p w14:paraId="6C54DD4A">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阅滁州-26号柜</w:t>
            </w:r>
          </w:p>
        </w:tc>
        <w:tc>
          <w:tcPr>
            <w:tcW w:w="2370" w:type="dxa"/>
            <w:noWrap w:val="0"/>
            <w:vAlign w:val="center"/>
          </w:tcPr>
          <w:p w14:paraId="1E5F355C">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琅琊山 位于琅琊山景区入口，右前方500米处的3层楼的服务大厅</w:t>
            </w:r>
          </w:p>
        </w:tc>
        <w:tc>
          <w:tcPr>
            <w:tcW w:w="2145" w:type="dxa"/>
            <w:noWrap w:val="0"/>
            <w:vAlign w:val="center"/>
          </w:tcPr>
          <w:p w14:paraId="29A39408">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5" name="图片 1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61"/>
                          <pic:cNvPicPr>
                            <a:picLocks noChangeAspect="1"/>
                          </pic:cNvPicPr>
                        </pic:nvPicPr>
                        <pic:blipFill>
                          <a:blip r:embed="rId23"/>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55FC3203">
            <w:pPr>
              <w:jc w:val="center"/>
              <w:rPr>
                <w:rFonts w:hint="default" w:ascii="宋体" w:hAnsi="宋体" w:eastAsia="宋体" w:cs="宋体"/>
                <w:sz w:val="24"/>
                <w:szCs w:val="24"/>
                <w:highlight w:val="none"/>
                <w:lang w:val="en-US" w:eastAsia="zh-CN"/>
              </w:rPr>
            </w:pPr>
          </w:p>
        </w:tc>
      </w:tr>
      <w:tr w14:paraId="6912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31BB1653">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1995" w:type="dxa"/>
            <w:noWrap w:val="0"/>
            <w:vAlign w:val="center"/>
          </w:tcPr>
          <w:p w14:paraId="3EE49201">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阅滁州-27号柜</w:t>
            </w:r>
          </w:p>
        </w:tc>
        <w:tc>
          <w:tcPr>
            <w:tcW w:w="2370" w:type="dxa"/>
            <w:noWrap w:val="0"/>
            <w:vAlign w:val="center"/>
          </w:tcPr>
          <w:p w14:paraId="66D24196">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赵郢村市民文化广场 九江路178号赵郢村综合文化服务中心西侧市民文化广场</w:t>
            </w:r>
          </w:p>
        </w:tc>
        <w:tc>
          <w:tcPr>
            <w:tcW w:w="2145" w:type="dxa"/>
            <w:noWrap w:val="0"/>
            <w:vAlign w:val="center"/>
          </w:tcPr>
          <w:p w14:paraId="2254DFF4">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4" name="图片 1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IMG_262"/>
                          <pic:cNvPicPr>
                            <a:picLocks noChangeAspect="1"/>
                          </pic:cNvPicPr>
                        </pic:nvPicPr>
                        <pic:blipFill>
                          <a:blip r:embed="rId24"/>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71A0BB3B">
            <w:pPr>
              <w:jc w:val="center"/>
              <w:rPr>
                <w:rFonts w:hint="default" w:ascii="宋体" w:hAnsi="宋体" w:eastAsia="宋体" w:cs="宋体"/>
                <w:sz w:val="24"/>
                <w:szCs w:val="24"/>
                <w:highlight w:val="none"/>
                <w:lang w:val="en-US" w:eastAsia="zh-CN"/>
              </w:rPr>
            </w:pPr>
          </w:p>
        </w:tc>
      </w:tr>
      <w:tr w14:paraId="7AB0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4367A429">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1995" w:type="dxa"/>
            <w:noWrap w:val="0"/>
            <w:vAlign w:val="center"/>
          </w:tcPr>
          <w:p w14:paraId="6EABFF71">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阅滁州-28号柜</w:t>
            </w:r>
          </w:p>
        </w:tc>
        <w:tc>
          <w:tcPr>
            <w:tcW w:w="2370" w:type="dxa"/>
            <w:noWrap w:val="0"/>
            <w:vAlign w:val="center"/>
          </w:tcPr>
          <w:p w14:paraId="47A31355">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邻里中心一楼菜场入口右边； 大王郢路常州路与交叉口西南侧</w:t>
            </w:r>
          </w:p>
        </w:tc>
        <w:tc>
          <w:tcPr>
            <w:tcW w:w="2145" w:type="dxa"/>
            <w:noWrap w:val="0"/>
            <w:vAlign w:val="center"/>
          </w:tcPr>
          <w:p w14:paraId="2D0D2EDD">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0" name="图片 1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63"/>
                          <pic:cNvPicPr>
                            <a:picLocks noChangeAspect="1"/>
                          </pic:cNvPicPr>
                        </pic:nvPicPr>
                        <pic:blipFill>
                          <a:blip r:embed="rId25"/>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2C8DD834">
            <w:pPr>
              <w:jc w:val="center"/>
              <w:rPr>
                <w:rFonts w:hint="default" w:ascii="宋体" w:hAnsi="宋体" w:eastAsia="宋体" w:cs="宋体"/>
                <w:sz w:val="24"/>
                <w:szCs w:val="24"/>
                <w:highlight w:val="none"/>
                <w:lang w:val="en-US" w:eastAsia="zh-CN"/>
              </w:rPr>
            </w:pPr>
          </w:p>
        </w:tc>
      </w:tr>
      <w:tr w14:paraId="4CEB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5A8B7C26">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1995" w:type="dxa"/>
            <w:noWrap w:val="0"/>
            <w:vAlign w:val="center"/>
          </w:tcPr>
          <w:p w14:paraId="0E60941F">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阅滁州-29号柜</w:t>
            </w:r>
          </w:p>
        </w:tc>
        <w:tc>
          <w:tcPr>
            <w:tcW w:w="2370" w:type="dxa"/>
            <w:noWrap w:val="0"/>
            <w:vAlign w:val="center"/>
          </w:tcPr>
          <w:p w14:paraId="6DEB0923">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大王公园西北面入口处; 清流路与常州路交叉口西北侧</w:t>
            </w:r>
          </w:p>
        </w:tc>
        <w:tc>
          <w:tcPr>
            <w:tcW w:w="2145" w:type="dxa"/>
            <w:noWrap w:val="0"/>
            <w:vAlign w:val="center"/>
          </w:tcPr>
          <w:p w14:paraId="742069EA">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6" name="图片 1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IMG_264"/>
                          <pic:cNvPicPr>
                            <a:picLocks noChangeAspect="1"/>
                          </pic:cNvPicPr>
                        </pic:nvPicPr>
                        <pic:blipFill>
                          <a:blip r:embed="rId26"/>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797142DF">
            <w:pPr>
              <w:jc w:val="center"/>
              <w:rPr>
                <w:rFonts w:hint="default" w:ascii="宋体" w:hAnsi="宋体" w:eastAsia="宋体" w:cs="宋体"/>
                <w:sz w:val="24"/>
                <w:szCs w:val="24"/>
                <w:highlight w:val="none"/>
                <w:lang w:val="en-US" w:eastAsia="zh-CN"/>
              </w:rPr>
            </w:pPr>
          </w:p>
        </w:tc>
      </w:tr>
      <w:tr w14:paraId="48F3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1EEB2149">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1995" w:type="dxa"/>
            <w:noWrap w:val="0"/>
            <w:vAlign w:val="center"/>
          </w:tcPr>
          <w:p w14:paraId="69BB7258">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阅滁州-30号柜</w:t>
            </w:r>
          </w:p>
        </w:tc>
        <w:tc>
          <w:tcPr>
            <w:tcW w:w="2370" w:type="dxa"/>
            <w:noWrap w:val="0"/>
            <w:vAlign w:val="center"/>
          </w:tcPr>
          <w:p w14:paraId="62D15A8C">
            <w:pPr>
              <w:keepNext w:val="0"/>
              <w:keepLines w:val="0"/>
              <w:widowControl/>
              <w:suppressLineNumbers w:val="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苏滁国际商务中心一楼咖啡台</w:t>
            </w:r>
          </w:p>
        </w:tc>
        <w:tc>
          <w:tcPr>
            <w:tcW w:w="2145" w:type="dxa"/>
            <w:noWrap w:val="0"/>
            <w:vAlign w:val="center"/>
          </w:tcPr>
          <w:p w14:paraId="41ED87AF">
            <w:pPr>
              <w:keepNext w:val="0"/>
              <w:keepLines w:val="0"/>
              <w:widowControl/>
              <w:suppressLineNumbers w:val="0"/>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9" name="图片 2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descr="IMG_265"/>
                          <pic:cNvPicPr>
                            <a:picLocks noChangeAspect="1"/>
                          </pic:cNvPicPr>
                        </pic:nvPicPr>
                        <pic:blipFill>
                          <a:blip r:embed="rId27"/>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66B13C51">
            <w:pPr>
              <w:jc w:val="center"/>
              <w:rPr>
                <w:rFonts w:hint="default" w:ascii="宋体" w:hAnsi="宋体" w:eastAsia="宋体" w:cs="宋体"/>
                <w:sz w:val="24"/>
                <w:szCs w:val="24"/>
                <w:highlight w:val="none"/>
                <w:lang w:val="en-US" w:eastAsia="zh-CN"/>
              </w:rPr>
            </w:pPr>
          </w:p>
        </w:tc>
      </w:tr>
      <w:tr w14:paraId="098D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3EF268BF">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1995" w:type="dxa"/>
            <w:noWrap w:val="0"/>
            <w:vAlign w:val="center"/>
          </w:tcPr>
          <w:p w14:paraId="5A084EA5">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阅滁州-03号柜</w:t>
            </w:r>
          </w:p>
        </w:tc>
        <w:tc>
          <w:tcPr>
            <w:tcW w:w="2370" w:type="dxa"/>
            <w:noWrap w:val="0"/>
            <w:vAlign w:val="center"/>
          </w:tcPr>
          <w:p w14:paraId="3CC69442">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市政府东楼九楼 政法委 </w:t>
            </w:r>
          </w:p>
        </w:tc>
        <w:tc>
          <w:tcPr>
            <w:tcW w:w="2145" w:type="dxa"/>
            <w:noWrap w:val="0"/>
            <w:vAlign w:val="center"/>
          </w:tcPr>
          <w:p w14:paraId="266F8613">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7" name="图片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IMG_258"/>
                          <pic:cNvPicPr>
                            <a:picLocks noChangeAspect="1"/>
                          </pic:cNvPicPr>
                        </pic:nvPicPr>
                        <pic:blipFill>
                          <a:blip r:embed="rId28"/>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0E70C5E1">
            <w:pPr>
              <w:jc w:val="center"/>
              <w:rPr>
                <w:rFonts w:hint="eastAsia" w:ascii="宋体" w:hAnsi="宋体" w:eastAsia="宋体" w:cs="宋体"/>
                <w:sz w:val="24"/>
                <w:szCs w:val="24"/>
                <w:highlight w:val="none"/>
                <w:lang w:val="en-US" w:eastAsia="zh-CN"/>
              </w:rPr>
            </w:pPr>
          </w:p>
        </w:tc>
      </w:tr>
      <w:tr w14:paraId="351E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5AB71004">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1995" w:type="dxa"/>
            <w:noWrap w:val="0"/>
            <w:vAlign w:val="center"/>
          </w:tcPr>
          <w:p w14:paraId="3B9E83A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阅滁州-13号柜</w:t>
            </w:r>
          </w:p>
        </w:tc>
        <w:tc>
          <w:tcPr>
            <w:tcW w:w="2370" w:type="dxa"/>
            <w:noWrap w:val="0"/>
            <w:vAlign w:val="center"/>
          </w:tcPr>
          <w:p w14:paraId="2DFD892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银花西区 中都大道75号银花西区内</w:t>
            </w:r>
          </w:p>
        </w:tc>
        <w:tc>
          <w:tcPr>
            <w:tcW w:w="2145" w:type="dxa"/>
            <w:noWrap w:val="0"/>
            <w:vAlign w:val="center"/>
          </w:tcPr>
          <w:p w14:paraId="5720A368">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8" name="图片 2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58"/>
                          <pic:cNvPicPr>
                            <a:picLocks noChangeAspect="1"/>
                          </pic:cNvPicPr>
                        </pic:nvPicPr>
                        <pic:blipFill>
                          <a:blip r:embed="rId29"/>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18843215">
            <w:pPr>
              <w:jc w:val="center"/>
              <w:rPr>
                <w:rFonts w:hint="eastAsia" w:ascii="宋体" w:hAnsi="宋体" w:eastAsia="宋体" w:cs="宋体"/>
                <w:sz w:val="24"/>
                <w:szCs w:val="24"/>
                <w:highlight w:val="none"/>
                <w:lang w:val="en-US" w:eastAsia="zh-CN"/>
              </w:rPr>
            </w:pPr>
          </w:p>
        </w:tc>
      </w:tr>
      <w:tr w14:paraId="0E85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746DF093">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1995" w:type="dxa"/>
            <w:noWrap w:val="0"/>
            <w:vAlign w:val="center"/>
          </w:tcPr>
          <w:p w14:paraId="51037E8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阅滁州-14号柜</w:t>
            </w:r>
          </w:p>
        </w:tc>
        <w:tc>
          <w:tcPr>
            <w:tcW w:w="2370" w:type="dxa"/>
            <w:noWrap w:val="0"/>
            <w:vAlign w:val="center"/>
          </w:tcPr>
          <w:p w14:paraId="604183A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万达广场 (南谯中路与湖心东路交叉口东北100米)万达广场室外中间处</w:t>
            </w:r>
          </w:p>
        </w:tc>
        <w:tc>
          <w:tcPr>
            <w:tcW w:w="2145" w:type="dxa"/>
            <w:noWrap w:val="0"/>
            <w:vAlign w:val="center"/>
          </w:tcPr>
          <w:p w14:paraId="12715FF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4" name="图片 2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IMG_259"/>
                          <pic:cNvPicPr>
                            <a:picLocks noChangeAspect="1"/>
                          </pic:cNvPicPr>
                        </pic:nvPicPr>
                        <pic:blipFill>
                          <a:blip r:embed="rId30"/>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1E886572">
            <w:pPr>
              <w:jc w:val="center"/>
              <w:rPr>
                <w:rFonts w:hint="eastAsia" w:ascii="宋体" w:hAnsi="宋体" w:eastAsia="宋体" w:cs="宋体"/>
                <w:sz w:val="24"/>
                <w:szCs w:val="24"/>
                <w:highlight w:val="none"/>
                <w:lang w:val="en-US" w:eastAsia="zh-CN"/>
              </w:rPr>
            </w:pPr>
          </w:p>
        </w:tc>
      </w:tr>
      <w:tr w14:paraId="0095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7131C5E8">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1995" w:type="dxa"/>
            <w:noWrap w:val="0"/>
            <w:vAlign w:val="center"/>
          </w:tcPr>
          <w:p w14:paraId="0BA878D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阅滁州-18号柜</w:t>
            </w:r>
          </w:p>
        </w:tc>
        <w:tc>
          <w:tcPr>
            <w:tcW w:w="2370" w:type="dxa"/>
            <w:noWrap w:val="0"/>
            <w:vAlign w:val="center"/>
          </w:tcPr>
          <w:p w14:paraId="38C12945">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天逸华府桂园西门口 (永乐北路199号)天逸华府桂园西门口 </w:t>
            </w:r>
          </w:p>
        </w:tc>
        <w:tc>
          <w:tcPr>
            <w:tcW w:w="2145" w:type="dxa"/>
            <w:noWrap w:val="0"/>
            <w:vAlign w:val="center"/>
          </w:tcPr>
          <w:p w14:paraId="7C63C35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5"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IMG_263"/>
                          <pic:cNvPicPr>
                            <a:picLocks noChangeAspect="1"/>
                          </pic:cNvPicPr>
                        </pic:nvPicPr>
                        <pic:blipFill>
                          <a:blip r:embed="rId31"/>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64388F68">
            <w:pPr>
              <w:jc w:val="center"/>
              <w:rPr>
                <w:rFonts w:hint="eastAsia" w:ascii="宋体" w:hAnsi="宋体" w:eastAsia="宋体" w:cs="宋体"/>
                <w:sz w:val="24"/>
                <w:szCs w:val="24"/>
                <w:highlight w:val="none"/>
                <w:lang w:val="en-US" w:eastAsia="zh-CN"/>
              </w:rPr>
            </w:pPr>
          </w:p>
        </w:tc>
      </w:tr>
      <w:tr w14:paraId="782B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0D3ABF57">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1995" w:type="dxa"/>
            <w:noWrap w:val="0"/>
            <w:vAlign w:val="center"/>
          </w:tcPr>
          <w:p w14:paraId="6BC849E8">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阅滁州-19号柜</w:t>
            </w:r>
          </w:p>
        </w:tc>
        <w:tc>
          <w:tcPr>
            <w:tcW w:w="2370" w:type="dxa"/>
            <w:noWrap w:val="0"/>
            <w:vAlign w:val="center"/>
          </w:tcPr>
          <w:p w14:paraId="6B785A9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市政府北楼负一楼 (龙蟠大道滁州市政务中心)北楼负一楼 </w:t>
            </w:r>
          </w:p>
        </w:tc>
        <w:tc>
          <w:tcPr>
            <w:tcW w:w="2145" w:type="dxa"/>
            <w:noWrap w:val="0"/>
            <w:vAlign w:val="center"/>
          </w:tcPr>
          <w:p w14:paraId="7C0242F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7" name="图片 2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IMG_264"/>
                          <pic:cNvPicPr>
                            <a:picLocks noChangeAspect="1"/>
                          </pic:cNvPicPr>
                        </pic:nvPicPr>
                        <pic:blipFill>
                          <a:blip r:embed="rId32"/>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453D5DBF">
            <w:pPr>
              <w:jc w:val="center"/>
              <w:rPr>
                <w:rFonts w:hint="eastAsia" w:ascii="宋体" w:hAnsi="宋体" w:eastAsia="宋体" w:cs="宋体"/>
                <w:sz w:val="24"/>
                <w:szCs w:val="24"/>
                <w:highlight w:val="none"/>
                <w:lang w:val="en-US" w:eastAsia="zh-CN"/>
              </w:rPr>
            </w:pPr>
          </w:p>
        </w:tc>
      </w:tr>
      <w:tr w14:paraId="5077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72191D08">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1995" w:type="dxa"/>
            <w:noWrap w:val="0"/>
            <w:vAlign w:val="center"/>
          </w:tcPr>
          <w:p w14:paraId="6556D5E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阅滁州-20号柜</w:t>
            </w:r>
          </w:p>
        </w:tc>
        <w:tc>
          <w:tcPr>
            <w:tcW w:w="2370" w:type="dxa"/>
            <w:noWrap w:val="0"/>
            <w:vAlign w:val="center"/>
          </w:tcPr>
          <w:p w14:paraId="1021873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紫金广场南入口 (阳明北路与同乐东路交叉口西北50米)紫金广场南入口通道、公交车站台西侧</w:t>
            </w:r>
          </w:p>
        </w:tc>
        <w:tc>
          <w:tcPr>
            <w:tcW w:w="2145" w:type="dxa"/>
            <w:noWrap w:val="0"/>
            <w:vAlign w:val="center"/>
          </w:tcPr>
          <w:p w14:paraId="1243CE7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6" name="图片 2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IMG_265"/>
                          <pic:cNvPicPr>
                            <a:picLocks noChangeAspect="1"/>
                          </pic:cNvPicPr>
                        </pic:nvPicPr>
                        <pic:blipFill>
                          <a:blip r:embed="rId33"/>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653477BF">
            <w:pPr>
              <w:jc w:val="center"/>
              <w:rPr>
                <w:rFonts w:hint="eastAsia" w:ascii="宋体" w:hAnsi="宋体" w:eastAsia="宋体" w:cs="宋体"/>
                <w:sz w:val="24"/>
                <w:szCs w:val="24"/>
                <w:highlight w:val="none"/>
                <w:lang w:val="en-US" w:eastAsia="zh-CN"/>
              </w:rPr>
            </w:pPr>
          </w:p>
        </w:tc>
      </w:tr>
      <w:tr w14:paraId="731E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3CC268E0">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1995" w:type="dxa"/>
            <w:noWrap w:val="0"/>
            <w:vAlign w:val="center"/>
          </w:tcPr>
          <w:p w14:paraId="37E7BCB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阅滁州-21号柜</w:t>
            </w:r>
          </w:p>
        </w:tc>
        <w:tc>
          <w:tcPr>
            <w:tcW w:w="2370" w:type="dxa"/>
            <w:noWrap w:val="0"/>
            <w:vAlign w:val="center"/>
          </w:tcPr>
          <w:p w14:paraId="7156DEE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花都路社区门口 龙山路788号花都路社区大门口</w:t>
            </w:r>
          </w:p>
        </w:tc>
        <w:tc>
          <w:tcPr>
            <w:tcW w:w="2145" w:type="dxa"/>
            <w:noWrap w:val="0"/>
            <w:vAlign w:val="center"/>
          </w:tcPr>
          <w:p w14:paraId="21463F9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1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IMG_256"/>
                          <pic:cNvPicPr>
                            <a:picLocks noChangeAspect="1"/>
                          </pic:cNvPicPr>
                        </pic:nvPicPr>
                        <pic:blipFill>
                          <a:blip r:embed="rId34"/>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627D10BB">
            <w:pPr>
              <w:jc w:val="center"/>
              <w:rPr>
                <w:rFonts w:hint="eastAsia" w:ascii="宋体" w:hAnsi="宋体" w:eastAsia="宋体" w:cs="宋体"/>
                <w:sz w:val="24"/>
                <w:szCs w:val="24"/>
                <w:highlight w:val="none"/>
                <w:lang w:val="en-US" w:eastAsia="zh-CN"/>
              </w:rPr>
            </w:pPr>
          </w:p>
        </w:tc>
      </w:tr>
      <w:tr w14:paraId="3C1F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73063FE5">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1995" w:type="dxa"/>
            <w:noWrap w:val="0"/>
            <w:vAlign w:val="center"/>
          </w:tcPr>
          <w:p w14:paraId="0DF6C92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阅滁州-23号柜</w:t>
            </w:r>
          </w:p>
        </w:tc>
        <w:tc>
          <w:tcPr>
            <w:tcW w:w="2370" w:type="dxa"/>
            <w:noWrap w:val="0"/>
            <w:vAlign w:val="center"/>
          </w:tcPr>
          <w:p w14:paraId="45B459A8">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天逸华庭东门 南谯区永乐南路388号</w:t>
            </w:r>
          </w:p>
        </w:tc>
        <w:tc>
          <w:tcPr>
            <w:tcW w:w="2145" w:type="dxa"/>
            <w:noWrap w:val="0"/>
            <w:vAlign w:val="center"/>
          </w:tcPr>
          <w:p w14:paraId="56107A5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2" name="图片 2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descr="IMG_258"/>
                          <pic:cNvPicPr>
                            <a:picLocks noChangeAspect="1"/>
                          </pic:cNvPicPr>
                        </pic:nvPicPr>
                        <pic:blipFill>
                          <a:blip r:embed="rId35"/>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3B5C488B">
            <w:pPr>
              <w:jc w:val="center"/>
              <w:rPr>
                <w:rFonts w:hint="eastAsia" w:ascii="宋体" w:hAnsi="宋体" w:eastAsia="宋体" w:cs="宋体"/>
                <w:sz w:val="24"/>
                <w:szCs w:val="24"/>
                <w:highlight w:val="none"/>
                <w:lang w:val="en-US" w:eastAsia="zh-CN"/>
              </w:rPr>
            </w:pPr>
          </w:p>
        </w:tc>
      </w:tr>
      <w:tr w14:paraId="0CF8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37340D2A">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1995" w:type="dxa"/>
            <w:noWrap w:val="0"/>
            <w:vAlign w:val="center"/>
          </w:tcPr>
          <w:p w14:paraId="52DC4EB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阅滁州-24号柜</w:t>
            </w:r>
          </w:p>
        </w:tc>
        <w:tc>
          <w:tcPr>
            <w:tcW w:w="2370" w:type="dxa"/>
            <w:noWrap w:val="0"/>
            <w:vAlign w:val="center"/>
          </w:tcPr>
          <w:p w14:paraId="048D3D5A">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珑熙庄园北门 (醉翁东路)珑熙庄园北门红色物业门外</w:t>
            </w:r>
          </w:p>
        </w:tc>
        <w:tc>
          <w:tcPr>
            <w:tcW w:w="2145" w:type="dxa"/>
            <w:noWrap w:val="0"/>
            <w:vAlign w:val="center"/>
          </w:tcPr>
          <w:p w14:paraId="0BE5D53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3" name="图片 2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IMG_259"/>
                          <pic:cNvPicPr>
                            <a:picLocks noChangeAspect="1"/>
                          </pic:cNvPicPr>
                        </pic:nvPicPr>
                        <pic:blipFill>
                          <a:blip r:embed="rId36"/>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2208F429">
            <w:pPr>
              <w:jc w:val="center"/>
              <w:rPr>
                <w:rFonts w:hint="eastAsia" w:ascii="宋体" w:hAnsi="宋体" w:eastAsia="宋体" w:cs="宋体"/>
                <w:sz w:val="24"/>
                <w:szCs w:val="24"/>
                <w:highlight w:val="none"/>
                <w:lang w:val="en-US" w:eastAsia="zh-CN"/>
              </w:rPr>
            </w:pPr>
          </w:p>
        </w:tc>
      </w:tr>
      <w:tr w14:paraId="7537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20C63AD2">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1995" w:type="dxa"/>
            <w:noWrap w:val="0"/>
            <w:vAlign w:val="center"/>
          </w:tcPr>
          <w:p w14:paraId="0C49F46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阅滁州-25号柜</w:t>
            </w:r>
          </w:p>
        </w:tc>
        <w:tc>
          <w:tcPr>
            <w:tcW w:w="2370" w:type="dxa"/>
            <w:noWrap w:val="0"/>
            <w:vAlign w:val="center"/>
          </w:tcPr>
          <w:p w14:paraId="3648B66D">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吾悦广场 同乐街道</w:t>
            </w:r>
          </w:p>
        </w:tc>
        <w:tc>
          <w:tcPr>
            <w:tcW w:w="2145" w:type="dxa"/>
            <w:noWrap w:val="0"/>
            <w:vAlign w:val="center"/>
          </w:tcPr>
          <w:p w14:paraId="0973D83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5" name="图片 3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IMG_260"/>
                          <pic:cNvPicPr>
                            <a:picLocks noChangeAspect="1"/>
                          </pic:cNvPicPr>
                        </pic:nvPicPr>
                        <pic:blipFill>
                          <a:blip r:embed="rId37"/>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17EDC39E">
            <w:pPr>
              <w:jc w:val="center"/>
              <w:rPr>
                <w:rFonts w:hint="eastAsia" w:ascii="宋体" w:hAnsi="宋体" w:eastAsia="宋体" w:cs="宋体"/>
                <w:sz w:val="24"/>
                <w:szCs w:val="24"/>
                <w:highlight w:val="none"/>
                <w:lang w:val="en-US" w:eastAsia="zh-CN"/>
              </w:rPr>
            </w:pPr>
          </w:p>
        </w:tc>
      </w:tr>
      <w:tr w14:paraId="746C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7EE6AFE6">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1995" w:type="dxa"/>
            <w:noWrap w:val="0"/>
            <w:vAlign w:val="center"/>
          </w:tcPr>
          <w:p w14:paraId="4CB7D7C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阅滁州-31号柜</w:t>
            </w:r>
          </w:p>
        </w:tc>
        <w:tc>
          <w:tcPr>
            <w:tcW w:w="2370" w:type="dxa"/>
            <w:noWrap w:val="0"/>
            <w:vAlign w:val="center"/>
          </w:tcPr>
          <w:p w14:paraId="58A97E25">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城南湿地公园</w:t>
            </w:r>
          </w:p>
        </w:tc>
        <w:tc>
          <w:tcPr>
            <w:tcW w:w="2145" w:type="dxa"/>
            <w:noWrap w:val="0"/>
            <w:vAlign w:val="center"/>
          </w:tcPr>
          <w:p w14:paraId="40497B7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4" name="图片 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descr="IMG_266"/>
                          <pic:cNvPicPr>
                            <a:picLocks noChangeAspect="1"/>
                          </pic:cNvPicPr>
                        </pic:nvPicPr>
                        <pic:blipFill>
                          <a:blip r:embed="rId38"/>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5860BC04">
            <w:pPr>
              <w:jc w:val="center"/>
              <w:rPr>
                <w:rFonts w:hint="eastAsia" w:ascii="宋体" w:hAnsi="宋体" w:eastAsia="宋体" w:cs="宋体"/>
                <w:sz w:val="24"/>
                <w:szCs w:val="24"/>
                <w:highlight w:val="none"/>
                <w:lang w:val="en-US" w:eastAsia="zh-CN"/>
              </w:rPr>
            </w:pPr>
          </w:p>
        </w:tc>
      </w:tr>
      <w:tr w14:paraId="04DB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381E1A04">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1995" w:type="dxa"/>
            <w:noWrap w:val="0"/>
            <w:vAlign w:val="center"/>
          </w:tcPr>
          <w:p w14:paraId="5AA8984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阅滁州-32号柜</w:t>
            </w:r>
          </w:p>
        </w:tc>
        <w:tc>
          <w:tcPr>
            <w:tcW w:w="2370" w:type="dxa"/>
            <w:noWrap w:val="0"/>
            <w:vAlign w:val="center"/>
          </w:tcPr>
          <w:p w14:paraId="2899E70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城南湿地公园</w:t>
            </w:r>
          </w:p>
        </w:tc>
        <w:tc>
          <w:tcPr>
            <w:tcW w:w="2145" w:type="dxa"/>
            <w:noWrap w:val="0"/>
            <w:vAlign w:val="center"/>
          </w:tcPr>
          <w:p w14:paraId="09701D1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0" name="图片 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67"/>
                          <pic:cNvPicPr>
                            <a:picLocks noChangeAspect="1"/>
                          </pic:cNvPicPr>
                        </pic:nvPicPr>
                        <pic:blipFill>
                          <a:blip r:embed="rId39"/>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7018CC60">
            <w:pPr>
              <w:jc w:val="center"/>
              <w:rPr>
                <w:rFonts w:hint="eastAsia" w:ascii="宋体" w:hAnsi="宋体" w:eastAsia="宋体" w:cs="宋体"/>
                <w:sz w:val="24"/>
                <w:szCs w:val="24"/>
                <w:highlight w:val="none"/>
                <w:lang w:val="en-US" w:eastAsia="zh-CN"/>
              </w:rPr>
            </w:pPr>
          </w:p>
        </w:tc>
      </w:tr>
      <w:tr w14:paraId="2F25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6F63822D">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1995" w:type="dxa"/>
            <w:noWrap w:val="0"/>
            <w:vAlign w:val="center"/>
          </w:tcPr>
          <w:p w14:paraId="0AE3B94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阅滁州-33号柜</w:t>
            </w:r>
          </w:p>
        </w:tc>
        <w:tc>
          <w:tcPr>
            <w:tcW w:w="2370" w:type="dxa"/>
            <w:noWrap w:val="0"/>
            <w:vAlign w:val="center"/>
          </w:tcPr>
          <w:p w14:paraId="17C2754D">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城南湿地公园</w:t>
            </w:r>
          </w:p>
        </w:tc>
        <w:tc>
          <w:tcPr>
            <w:tcW w:w="2145" w:type="dxa"/>
            <w:noWrap w:val="0"/>
            <w:vAlign w:val="center"/>
          </w:tcPr>
          <w:p w14:paraId="69DFD3C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6" name="图片 3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descr="IMG_268"/>
                          <pic:cNvPicPr>
                            <a:picLocks noChangeAspect="1"/>
                          </pic:cNvPicPr>
                        </pic:nvPicPr>
                        <pic:blipFill>
                          <a:blip r:embed="rId40"/>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26A3755A">
            <w:pPr>
              <w:jc w:val="center"/>
              <w:rPr>
                <w:rFonts w:hint="eastAsia" w:ascii="宋体" w:hAnsi="宋体" w:eastAsia="宋体" w:cs="宋体"/>
                <w:sz w:val="24"/>
                <w:szCs w:val="24"/>
                <w:highlight w:val="none"/>
                <w:lang w:val="en-US" w:eastAsia="zh-CN"/>
              </w:rPr>
            </w:pPr>
          </w:p>
        </w:tc>
      </w:tr>
      <w:tr w14:paraId="5292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08C4B512">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1995" w:type="dxa"/>
            <w:noWrap w:val="0"/>
            <w:vAlign w:val="center"/>
          </w:tcPr>
          <w:p w14:paraId="4BEED53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阅滁州-34号柜</w:t>
            </w:r>
          </w:p>
        </w:tc>
        <w:tc>
          <w:tcPr>
            <w:tcW w:w="2370" w:type="dxa"/>
            <w:noWrap w:val="0"/>
            <w:vAlign w:val="center"/>
          </w:tcPr>
          <w:p w14:paraId="3BB0D77D">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城南湿地公园</w:t>
            </w:r>
          </w:p>
        </w:tc>
        <w:tc>
          <w:tcPr>
            <w:tcW w:w="2145" w:type="dxa"/>
            <w:noWrap w:val="0"/>
            <w:vAlign w:val="center"/>
          </w:tcPr>
          <w:p w14:paraId="0115F0E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7" name="图片 3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descr="IMG_269"/>
                          <pic:cNvPicPr>
                            <a:picLocks noChangeAspect="1"/>
                          </pic:cNvPicPr>
                        </pic:nvPicPr>
                        <pic:blipFill>
                          <a:blip r:embed="rId41"/>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5086E58B">
            <w:pPr>
              <w:jc w:val="center"/>
              <w:rPr>
                <w:rFonts w:hint="eastAsia" w:ascii="宋体" w:hAnsi="宋体" w:eastAsia="宋体" w:cs="宋体"/>
                <w:sz w:val="24"/>
                <w:szCs w:val="24"/>
                <w:highlight w:val="none"/>
                <w:lang w:val="en-US" w:eastAsia="zh-CN"/>
              </w:rPr>
            </w:pPr>
          </w:p>
        </w:tc>
      </w:tr>
      <w:tr w14:paraId="6464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10B2CCFD">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1995" w:type="dxa"/>
            <w:noWrap w:val="0"/>
            <w:vAlign w:val="center"/>
          </w:tcPr>
          <w:p w14:paraId="14735F0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阅滁州-35号柜</w:t>
            </w:r>
          </w:p>
        </w:tc>
        <w:tc>
          <w:tcPr>
            <w:tcW w:w="2370" w:type="dxa"/>
            <w:noWrap w:val="0"/>
            <w:vAlign w:val="center"/>
          </w:tcPr>
          <w:p w14:paraId="7B8DD6CD">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城南湿地公园</w:t>
            </w:r>
          </w:p>
        </w:tc>
        <w:tc>
          <w:tcPr>
            <w:tcW w:w="2145" w:type="dxa"/>
            <w:noWrap w:val="0"/>
            <w:vAlign w:val="center"/>
          </w:tcPr>
          <w:p w14:paraId="64D3422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8" name="图片 3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descr="IMG_270"/>
                          <pic:cNvPicPr>
                            <a:picLocks noChangeAspect="1"/>
                          </pic:cNvPicPr>
                        </pic:nvPicPr>
                        <pic:blipFill>
                          <a:blip r:embed="rId42"/>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53472B8F">
            <w:pPr>
              <w:jc w:val="center"/>
              <w:rPr>
                <w:rFonts w:hint="eastAsia" w:ascii="宋体" w:hAnsi="宋体" w:eastAsia="宋体" w:cs="宋体"/>
                <w:sz w:val="24"/>
                <w:szCs w:val="24"/>
                <w:highlight w:val="none"/>
                <w:lang w:val="en-US" w:eastAsia="zh-CN"/>
              </w:rPr>
            </w:pPr>
          </w:p>
        </w:tc>
      </w:tr>
      <w:tr w14:paraId="559B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6D81E1DD">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36</w:t>
            </w:r>
          </w:p>
        </w:tc>
        <w:tc>
          <w:tcPr>
            <w:tcW w:w="1995" w:type="dxa"/>
            <w:noWrap w:val="0"/>
            <w:vAlign w:val="center"/>
          </w:tcPr>
          <w:p w14:paraId="08F65B4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阅滁州-36号柜</w:t>
            </w:r>
          </w:p>
        </w:tc>
        <w:tc>
          <w:tcPr>
            <w:tcW w:w="2370" w:type="dxa"/>
            <w:noWrap w:val="0"/>
            <w:vAlign w:val="center"/>
          </w:tcPr>
          <w:p w14:paraId="5A0D694D">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城南湿地公园</w:t>
            </w:r>
          </w:p>
        </w:tc>
        <w:tc>
          <w:tcPr>
            <w:tcW w:w="2145" w:type="dxa"/>
            <w:noWrap w:val="0"/>
            <w:vAlign w:val="center"/>
          </w:tcPr>
          <w:p w14:paraId="244B56B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29" name="图片 3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descr="IMG_271"/>
                          <pic:cNvPicPr>
                            <a:picLocks noChangeAspect="1"/>
                          </pic:cNvPicPr>
                        </pic:nvPicPr>
                        <pic:blipFill>
                          <a:blip r:embed="rId43"/>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54199E31">
            <w:pPr>
              <w:jc w:val="center"/>
              <w:rPr>
                <w:rFonts w:hint="eastAsia" w:ascii="宋体" w:hAnsi="宋体" w:eastAsia="宋体" w:cs="宋体"/>
                <w:sz w:val="24"/>
                <w:szCs w:val="24"/>
                <w:highlight w:val="none"/>
                <w:lang w:val="en-US" w:eastAsia="zh-CN"/>
              </w:rPr>
            </w:pPr>
          </w:p>
        </w:tc>
      </w:tr>
      <w:tr w14:paraId="2490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734D0FAD">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w:t>
            </w:r>
          </w:p>
        </w:tc>
        <w:tc>
          <w:tcPr>
            <w:tcW w:w="1995" w:type="dxa"/>
            <w:noWrap w:val="0"/>
            <w:vAlign w:val="center"/>
          </w:tcPr>
          <w:p w14:paraId="5BF3FA5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阅滁州-37号柜</w:t>
            </w:r>
          </w:p>
        </w:tc>
        <w:tc>
          <w:tcPr>
            <w:tcW w:w="2370" w:type="dxa"/>
            <w:noWrap w:val="0"/>
            <w:vAlign w:val="center"/>
          </w:tcPr>
          <w:p w14:paraId="66446DA3">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城南湿地公园</w:t>
            </w:r>
          </w:p>
        </w:tc>
        <w:tc>
          <w:tcPr>
            <w:tcW w:w="2145" w:type="dxa"/>
            <w:noWrap w:val="0"/>
            <w:vAlign w:val="center"/>
          </w:tcPr>
          <w:p w14:paraId="3F1750B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1" name="图片 3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7" descr="IMG_272"/>
                          <pic:cNvPicPr>
                            <a:picLocks noChangeAspect="1"/>
                          </pic:cNvPicPr>
                        </pic:nvPicPr>
                        <pic:blipFill>
                          <a:blip r:embed="rId44"/>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76FFCC90">
            <w:pPr>
              <w:jc w:val="center"/>
              <w:rPr>
                <w:rFonts w:hint="eastAsia" w:ascii="宋体" w:hAnsi="宋体" w:eastAsia="宋体" w:cs="宋体"/>
                <w:sz w:val="24"/>
                <w:szCs w:val="24"/>
                <w:highlight w:val="none"/>
                <w:lang w:val="en-US" w:eastAsia="zh-CN"/>
              </w:rPr>
            </w:pPr>
          </w:p>
        </w:tc>
      </w:tr>
      <w:tr w14:paraId="4B2B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noWrap w:val="0"/>
            <w:vAlign w:val="center"/>
          </w:tcPr>
          <w:p w14:paraId="3E13040B">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38</w:t>
            </w:r>
          </w:p>
        </w:tc>
        <w:tc>
          <w:tcPr>
            <w:tcW w:w="1995" w:type="dxa"/>
            <w:noWrap w:val="0"/>
            <w:vAlign w:val="center"/>
          </w:tcPr>
          <w:p w14:paraId="02D84A0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阅滁州-38号柜</w:t>
            </w:r>
          </w:p>
        </w:tc>
        <w:tc>
          <w:tcPr>
            <w:tcW w:w="2370" w:type="dxa"/>
            <w:noWrap w:val="0"/>
            <w:vAlign w:val="center"/>
          </w:tcPr>
          <w:p w14:paraId="5E18EB53">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城南湿地公园</w:t>
            </w:r>
          </w:p>
        </w:tc>
        <w:tc>
          <w:tcPr>
            <w:tcW w:w="2145" w:type="dxa"/>
            <w:noWrap w:val="0"/>
            <w:vAlign w:val="center"/>
          </w:tcPr>
          <w:p w14:paraId="1B4FE1D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133475" cy="1524000"/>
                  <wp:effectExtent l="0" t="0" r="9525" b="0"/>
                  <wp:docPr id="32" name="图片 3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descr="IMG_273"/>
                          <pic:cNvPicPr>
                            <a:picLocks noChangeAspect="1"/>
                          </pic:cNvPicPr>
                        </pic:nvPicPr>
                        <pic:blipFill>
                          <a:blip r:embed="rId45"/>
                          <a:stretch>
                            <a:fillRect/>
                          </a:stretch>
                        </pic:blipFill>
                        <pic:spPr>
                          <a:xfrm>
                            <a:off x="0" y="0"/>
                            <a:ext cx="1133475" cy="1524000"/>
                          </a:xfrm>
                          <a:prstGeom prst="rect">
                            <a:avLst/>
                          </a:prstGeom>
                          <a:noFill/>
                          <a:ln>
                            <a:noFill/>
                          </a:ln>
                        </pic:spPr>
                      </pic:pic>
                    </a:graphicData>
                  </a:graphic>
                </wp:inline>
              </w:drawing>
            </w:r>
          </w:p>
        </w:tc>
        <w:tc>
          <w:tcPr>
            <w:tcW w:w="1182" w:type="dxa"/>
            <w:noWrap w:val="0"/>
            <w:vAlign w:val="center"/>
          </w:tcPr>
          <w:p w14:paraId="42C0382A">
            <w:pPr>
              <w:jc w:val="center"/>
              <w:rPr>
                <w:rFonts w:hint="eastAsia" w:ascii="宋体" w:hAnsi="宋体" w:eastAsia="宋体" w:cs="宋体"/>
                <w:sz w:val="24"/>
                <w:szCs w:val="24"/>
                <w:highlight w:val="none"/>
                <w:lang w:val="en-US" w:eastAsia="zh-CN"/>
              </w:rPr>
            </w:pPr>
          </w:p>
        </w:tc>
      </w:tr>
    </w:tbl>
    <w:p w14:paraId="5AEE57CE">
      <w:pPr>
        <w:numPr>
          <w:ilvl w:val="0"/>
          <w:numId w:val="2"/>
        </w:numPr>
        <w:spacing w:line="360" w:lineRule="auto"/>
        <w:ind w:firstLine="437"/>
        <w:outlineLvl w:val="1"/>
        <w:rPr>
          <w:rFonts w:hint="eastAsia" w:ascii="宋体" w:hAnsi="宋体" w:eastAsia="宋体"/>
          <w:b/>
          <w:color w:val="auto"/>
          <w:sz w:val="24"/>
          <w:szCs w:val="18"/>
          <w:highlight w:val="none"/>
          <w:lang w:val="en-US" w:eastAsia="zh-CN"/>
        </w:rPr>
      </w:pPr>
      <w:r>
        <w:rPr>
          <w:rFonts w:hint="eastAsia" w:ascii="宋体" w:hAnsi="宋体" w:eastAsia="宋体"/>
          <w:b/>
          <w:color w:val="auto"/>
          <w:sz w:val="24"/>
          <w:szCs w:val="18"/>
          <w:highlight w:val="none"/>
          <w:lang w:val="en-US" w:eastAsia="zh-CN"/>
        </w:rPr>
        <w:t>服务内容及人员要求</w:t>
      </w:r>
    </w:p>
    <w:p w14:paraId="5BE7970A">
      <w:pPr>
        <w:spacing w:line="360" w:lineRule="auto"/>
        <w:ind w:firstLine="482" w:firstLineChars="200"/>
        <w:outlineLvl w:val="2"/>
        <w:rPr>
          <w:rFonts w:hint="default" w:ascii="宋体" w:hAnsi="宋体" w:eastAsia="宋体"/>
          <w:b/>
          <w:bCs w:val="0"/>
          <w:sz w:val="24"/>
          <w:szCs w:val="18"/>
          <w:highlight w:val="none"/>
          <w:lang w:val="en-US" w:eastAsia="zh-CN"/>
        </w:rPr>
      </w:pPr>
      <w:bookmarkStart w:id="21" w:name="_Toc18052"/>
      <w:bookmarkStart w:id="22" w:name="_Toc12910"/>
      <w:r>
        <w:rPr>
          <w:rFonts w:hint="eastAsia" w:ascii="宋体" w:hAnsi="宋体" w:eastAsia="宋体"/>
          <w:b/>
          <w:bCs w:val="0"/>
          <w:sz w:val="24"/>
          <w:szCs w:val="18"/>
          <w:highlight w:val="none"/>
          <w:lang w:val="en-US" w:eastAsia="zh-CN"/>
        </w:rPr>
        <w:t>4.1服务内容</w:t>
      </w:r>
    </w:p>
    <w:p w14:paraId="3D6C2BE9">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（一）开放时间</w:t>
      </w:r>
    </w:p>
    <w:p w14:paraId="351F3916">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全年免费开放，每周开放时间不少于60小时。开放时间可自行设定，须报采购人备案。如采购人有工作需求，成交供应商应积极配合，适当延长开放时间。</w:t>
      </w:r>
    </w:p>
    <w:p w14:paraId="4C722C6F">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（二）图书管理及调拨轮换</w:t>
      </w:r>
    </w:p>
    <w:p w14:paraId="557C1AB5">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cs="宋体"/>
          <w:bCs/>
          <w:sz w:val="24"/>
          <w:szCs w:val="18"/>
          <w:highlight w:val="none"/>
          <w:lang w:val="en-US" w:eastAsia="zh-CN"/>
        </w:rPr>
        <w:t>1.</w:t>
      </w:r>
      <w:r>
        <w:rPr>
          <w:rFonts w:hint="eastAsia" w:ascii="宋体" w:hAnsi="宋体" w:eastAsia="宋体"/>
          <w:bCs/>
          <w:sz w:val="24"/>
          <w:szCs w:val="18"/>
          <w:highlight w:val="none"/>
          <w:lang w:val="en-US" w:eastAsia="zh-CN"/>
        </w:rPr>
        <w:t>为便于读者在阅读空间场馆内进行图书的借阅，需根据实际馆藏分布，优化图书类别排列，完成图书细排架、上下架等工作，保证图书排架的准确率，图书上架错误率不超过5%。下班前须清理堆积图书，不得出现堆积图书现象。</w:t>
      </w:r>
    </w:p>
    <w:p w14:paraId="62349F77">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2.为方便读者检索图书，按照滁州市图书馆机器人智能盘点系统工作要求，每个月对城市阅读空间内的图书进行拍照上传，对图书重新定位。</w:t>
      </w:r>
    </w:p>
    <w:p w14:paraId="19E65DA0">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3.图书流通配送等工作。保证每个城市书柜图书每月更新不少于1次，全年不少于12次。根据阅读书柜使用情况，完成书柜的重新选点和迁移。成交供应商需为采购人免费提供不</w:t>
      </w:r>
      <w:r>
        <w:rPr>
          <w:rFonts w:hint="eastAsia" w:ascii="宋体" w:hAnsi="宋体" w:eastAsia="宋体"/>
          <w:bCs/>
          <w:color w:val="auto"/>
          <w:sz w:val="24"/>
          <w:szCs w:val="18"/>
          <w:highlight w:val="none"/>
          <w:lang w:val="en-US" w:eastAsia="zh-CN"/>
        </w:rPr>
        <w:t>少于2000册的新书（书目需经采购人审核同意，图书所有权及处置权归滁州市图书馆所有），且每个城市阅读空间的图书每年与滁州市图书馆进行轮换不少于4000册。图书轮换所需的搬运人员、工具、车辆等均由成交供应商负责。提供轮换图</w:t>
      </w:r>
      <w:r>
        <w:rPr>
          <w:rFonts w:hint="eastAsia" w:ascii="宋体" w:hAnsi="宋体" w:eastAsia="宋体"/>
          <w:bCs/>
          <w:sz w:val="24"/>
          <w:szCs w:val="18"/>
          <w:highlight w:val="none"/>
          <w:lang w:val="en-US" w:eastAsia="zh-CN"/>
        </w:rPr>
        <w:t>书清单模板，与滁州市图书馆制定图书轮换方案。</w:t>
      </w:r>
    </w:p>
    <w:p w14:paraId="1B166227">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4.区别“城市阅读空间”、总馆等其他图书馆的图书，总馆图书及其他图书馆的图书要求及时分开打包存放（贴上标签）。对涨架图书、破损的图书及时下架打包并贴上大类标签后运回图书馆存放。</w:t>
      </w:r>
    </w:p>
    <w:p w14:paraId="4A030A4D">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5.负责图书配送过程的图书装卸、点数和交接及资料保存。配备专业的搬运人员和车辆，确保图书搬运过程中安全、高效、有序；在搬运过程中注意保护图书，避免破损、脏污等情况发生。</w:t>
      </w:r>
    </w:p>
    <w:p w14:paraId="552FE152">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（三）制度建设与服务</w:t>
      </w:r>
    </w:p>
    <w:p w14:paraId="3891051C">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1.阅读空间制度上墙，包括管理制度、工作流程、规章制度、文明公约等，维护公共安全及秩序。</w:t>
      </w:r>
    </w:p>
    <w:p w14:paraId="26A687F7">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2.开通线上、线下参考咨询服务渠道，及时解答读者遇到的各类问题。</w:t>
      </w:r>
    </w:p>
    <w:p w14:paraId="7D236E8D">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3.建立统一的文献借阅服务体系，向读者提供办证、验证、阅览、文献外借、文献传递、信息检索等服务。</w:t>
      </w:r>
    </w:p>
    <w:p w14:paraId="7352D846">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4.畅通读者意见反馈渠道，收集读者建议意见、图书荐购等信息，每月由项目负责人向市图书馆上报。</w:t>
      </w:r>
    </w:p>
    <w:p w14:paraId="76442CB1">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5.制定失物认领登记表、志愿服务登记表、读者活动登记表、问卷调查等，做到有据可查，不断提升阅读空间的管理能力。</w:t>
      </w:r>
    </w:p>
    <w:p w14:paraId="41D3AD40">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（四）设备维修及日常安全管理</w:t>
      </w:r>
    </w:p>
    <w:p w14:paraId="2EFD5EE7">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 xml:space="preserve">1.资产登记：按照要求做好阅读空间的公共财产登记、管理等工作，建立档案。 </w:t>
      </w:r>
    </w:p>
    <w:p w14:paraId="45BAB740">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2.资产使用及维护维修：在运营管理期间，采购人投入的设施设备，由成交供应商负责日常维护维修。做好场馆及附属设施设备的日常巡查和管理工作，并做好记录，确保自助借还设备、监控、照明系统、门禁、桌椅等完好无损，一旦发现故障、盗窃、损坏等问题应及时修理，维修费用由成交供应商承担，并将维修结果上报采购人。</w:t>
      </w:r>
    </w:p>
    <w:p w14:paraId="5E3257F2">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 xml:space="preserve">3.在运营过程中，若因成交供应商原因（包括项目人员或因监管缺失造成市民等其他人）发生财产毁损、丢失的，由成交供应商承担民事赔偿责任。 </w:t>
      </w:r>
    </w:p>
    <w:p w14:paraId="19D840A0">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4.在运营管理期间内，对阅读空间的建筑物、设施设备及附属物的任何功能性调整或改变，均事先征求主管部门书面意见。</w:t>
      </w:r>
    </w:p>
    <w:p w14:paraId="1B5413E1">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5.保障城市阅读空间无安全隐患，成交供应商每天巡视书房内设备和安防系统并做好记录，负责阅读空间消防器材更新，做好灭火器的登记与更新。认真做好防火、防盗、防潮、防鼠、防虫、防尘等“六防”工作，确保公共财产安全，保障读者及工作人员的人身安全。</w:t>
      </w:r>
    </w:p>
    <w:p w14:paraId="2FCE7486">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6.负责城市阅读空间自助设备、管理系统的运维，城市书柜的日常巡检、维护维修，保障书柜的运行状态、网络连接、安全性能以及用户体验，确保每一台书柜都能稳定、高效地服务于广大读者。</w:t>
      </w:r>
    </w:p>
    <w:p w14:paraId="53A18638">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（五）环境卫生</w:t>
      </w:r>
    </w:p>
    <w:p w14:paraId="6189E57F">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保持阅读空间及阅读书柜内外环境干净整洁，书房内无杂物、无乱张贴、无积尘、无蜘蛛网、无卫生死角、厕所干净无异味、地面无污垢等。卫生保洁等工具和服务的费用均包含在合同价内，采购人不再另行支付费用。</w:t>
      </w:r>
    </w:p>
    <w:p w14:paraId="1D4FE014">
      <w:pPr>
        <w:tabs>
          <w:tab w:val="left" w:pos="2785"/>
        </w:tabs>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（六）日常管理</w:t>
      </w:r>
      <w:r>
        <w:rPr>
          <w:rFonts w:hint="eastAsia" w:ascii="宋体" w:hAnsi="宋体" w:eastAsia="宋体"/>
          <w:bCs/>
          <w:sz w:val="24"/>
          <w:szCs w:val="18"/>
          <w:highlight w:val="none"/>
          <w:lang w:val="en-US" w:eastAsia="zh-CN"/>
        </w:rPr>
        <w:tab/>
      </w:r>
    </w:p>
    <w:p w14:paraId="1A8947F8">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成交供应商工作人员需认真填写工作日志，维护书房阅读秩序，做好读者咨询解答，制止读者的大声喧哗等不文明行为，打造良好的阅读环境，力争零投诉（有效投诉）。</w:t>
      </w:r>
    </w:p>
    <w:p w14:paraId="67EDA7FD">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（七）活动策划</w:t>
      </w:r>
    </w:p>
    <w:p w14:paraId="649700C6">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举办阅读推广等各类文化活动，每个阅读空间不少于100场/年。制定全年阅读活动策划计划，根据省、市相关部门的要求结合重要时间节点、节假日等开展主题特色的线上、线下阅读活动。举办活动所需人员数量由成交供应商根据工作内容安排，活动的策划、实施、宣传等费用均包含在合同价内，采购人不再另行支付费用。</w:t>
      </w:r>
    </w:p>
    <w:p w14:paraId="758A6984">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（八）品牌建设、宣传和推广</w:t>
      </w:r>
    </w:p>
    <w:p w14:paraId="6614C2A0">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1.品牌建设</w:t>
      </w:r>
    </w:p>
    <w:p w14:paraId="3B75C03F">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创建阅读空间服务品牌，统一服务规范与标准。打造品牌活动，体现不同阅读空间特色，做到一空间一特色。合同履行期内接受采购人的业务监督和指导。</w:t>
      </w:r>
    </w:p>
    <w:p w14:paraId="63165EC9">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2.宣传推广</w:t>
      </w:r>
    </w:p>
    <w:p w14:paraId="76BF83A0">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着重打造服务品牌，通过品牌运营提升阅读空间的社会价值和读者参与阅读的活跃度。宣传上采用“传统媒体+新媒体”模式运行传播。每个阅读空间每年媒体报道不少于20篇次（不含微信公众号），其中：省级及以上媒体宣传数量不少于4篇。</w:t>
      </w:r>
    </w:p>
    <w:p w14:paraId="69A81DFA">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（九）线上线下一体化运营体系建设及运营</w:t>
      </w:r>
    </w:p>
    <w:p w14:paraId="608AB1C6">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根据项目运营要求，成交供应商须充分利用信息化和互联网手段提升服务效能。实现线上统一发布阅读空间服务信息、场地预约、活动报名、读者参与、读者信息管理等，通过线上线下融合运营模式满足读者多层次需求。</w:t>
      </w:r>
    </w:p>
    <w:p w14:paraId="64DF7C87">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（十）经营管理</w:t>
      </w:r>
    </w:p>
    <w:p w14:paraId="55268DAE">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为促进阅读空间的可持续发展，提升空间的利用效率，成交供应商须完善阅读空间服务形式，提供符合阅读空间定位及需求的文化增值服务，如：体现本项目阅读空间文化特色的文创产品的设计生产售卖，咖啡等轻食餐饮的售卖。免费为采购人指定的文创产品提供代售服务。</w:t>
      </w:r>
    </w:p>
    <w:p w14:paraId="145AA2A8">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（十一）其他服务</w:t>
      </w:r>
    </w:p>
    <w:p w14:paraId="3B785820">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1.配合滁州市图书馆开展阅读推广活动，例如阅读马拉松、世界读书日、图书馆之夜等系列读者活动，协助做好人员配置、场地布置和活动视频拍摄等工作。</w:t>
      </w:r>
    </w:p>
    <w:p w14:paraId="7FC45240">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2.成交供应商工作人员需根据图书馆的工作要求，进行业务学习交流，增强业务能力。</w:t>
      </w:r>
    </w:p>
    <w:p w14:paraId="4918D4CE">
      <w:pPr>
        <w:spacing w:line="360" w:lineRule="auto"/>
        <w:ind w:firstLine="482" w:firstLineChars="200"/>
        <w:outlineLvl w:val="2"/>
        <w:rPr>
          <w:rFonts w:hint="default" w:ascii="宋体" w:hAnsi="宋体" w:eastAsia="宋体"/>
          <w:b/>
          <w:bCs w:val="0"/>
          <w:sz w:val="24"/>
          <w:szCs w:val="18"/>
          <w:highlight w:val="none"/>
          <w:lang w:val="en-US" w:eastAsia="zh-CN"/>
        </w:rPr>
      </w:pPr>
      <w:r>
        <w:rPr>
          <w:rFonts w:hint="eastAsia" w:ascii="宋体" w:hAnsi="宋体" w:eastAsia="宋体"/>
          <w:b/>
          <w:bCs w:val="0"/>
          <w:sz w:val="24"/>
          <w:szCs w:val="18"/>
          <w:highlight w:val="none"/>
          <w:lang w:val="en-US" w:eastAsia="zh-CN"/>
        </w:rPr>
        <w:t>4.2人员配备</w:t>
      </w:r>
    </w:p>
    <w:p w14:paraId="1DB986EE">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本项目共需配备工作人员不少于6人，其中项目负责人1名，每个城市阅读空间不少于3名。成交供应商须提供的工作人员花名册（备注姓名、年龄、性别、籍贯、联系方式等信息），健康体检情况和身份证复印件报采购人备案。</w:t>
      </w:r>
    </w:p>
    <w:p w14:paraId="5EEFC03A">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 xml:space="preserve">1.全职项目负责人1名，年龄50周岁及以下；本科及以上学历，具有一年及以上公共图书馆或城市阅读空间运营经验。常驻项目现场，不得兼职其他与本项目无关的工作，全面负责本项目的日常运营，确保项目稳定运行，包括但不限于：  </w:t>
      </w:r>
    </w:p>
    <w:p w14:paraId="77E8019A">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cs="宋体"/>
          <w:bCs/>
          <w:sz w:val="24"/>
          <w:szCs w:val="18"/>
          <w:highlight w:val="none"/>
          <w:lang w:val="en-US" w:eastAsia="zh-CN"/>
        </w:rPr>
        <w:t>①</w:t>
      </w:r>
      <w:r>
        <w:rPr>
          <w:rFonts w:hint="eastAsia" w:ascii="宋体" w:hAnsi="宋体" w:eastAsia="宋体"/>
          <w:bCs/>
          <w:sz w:val="24"/>
          <w:szCs w:val="18"/>
          <w:highlight w:val="none"/>
          <w:lang w:val="en-US" w:eastAsia="zh-CN"/>
        </w:rPr>
        <w:t>人员管理：负责队伍建设、培训、管理等工作。</w:t>
      </w:r>
    </w:p>
    <w:p w14:paraId="05D61553">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cs="宋体"/>
          <w:bCs/>
          <w:sz w:val="24"/>
          <w:szCs w:val="18"/>
          <w:highlight w:val="none"/>
          <w:lang w:val="en-US" w:eastAsia="zh-CN"/>
        </w:rPr>
        <w:t>②</w:t>
      </w:r>
      <w:r>
        <w:rPr>
          <w:rFonts w:hint="eastAsia" w:ascii="宋体" w:hAnsi="宋体" w:eastAsia="宋体"/>
          <w:bCs/>
          <w:sz w:val="24"/>
          <w:szCs w:val="18"/>
          <w:highlight w:val="none"/>
          <w:lang w:val="en-US" w:eastAsia="zh-CN"/>
        </w:rPr>
        <w:t>协调沟通：与业务相关人员进行协调沟通，确保各项业务顺利开展。</w:t>
      </w:r>
    </w:p>
    <w:p w14:paraId="0B005EEC">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cs="宋体"/>
          <w:bCs/>
          <w:sz w:val="24"/>
          <w:szCs w:val="18"/>
          <w:highlight w:val="none"/>
          <w:lang w:val="en-US" w:eastAsia="zh-CN"/>
        </w:rPr>
        <w:t>③</w:t>
      </w:r>
      <w:r>
        <w:rPr>
          <w:rFonts w:hint="eastAsia" w:ascii="宋体" w:hAnsi="宋体" w:eastAsia="宋体"/>
          <w:bCs/>
          <w:sz w:val="24"/>
          <w:szCs w:val="18"/>
          <w:highlight w:val="none"/>
          <w:lang w:val="en-US" w:eastAsia="zh-CN"/>
        </w:rPr>
        <w:t>制定计划：根据项目需求和运营服务的实际情况，制定相应的计划和工作方案。</w:t>
      </w:r>
    </w:p>
    <w:p w14:paraId="65DF61BC">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cs="宋体"/>
          <w:bCs/>
          <w:sz w:val="24"/>
          <w:szCs w:val="18"/>
          <w:highlight w:val="none"/>
          <w:lang w:val="en-US" w:eastAsia="zh-CN"/>
        </w:rPr>
        <w:t>④</w:t>
      </w:r>
      <w:r>
        <w:rPr>
          <w:rFonts w:hint="eastAsia" w:ascii="宋体" w:hAnsi="宋体" w:eastAsia="宋体"/>
          <w:bCs/>
          <w:sz w:val="24"/>
          <w:szCs w:val="18"/>
          <w:highlight w:val="none"/>
          <w:lang w:val="en-US" w:eastAsia="zh-CN"/>
        </w:rPr>
        <w:t>监督执行：对项目的各项工作进行监督和执行，确保各项工作按照计划和要求完成，及时发现和解决问题。</w:t>
      </w:r>
    </w:p>
    <w:p w14:paraId="2C6621E4">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cs="宋体"/>
          <w:bCs/>
          <w:sz w:val="24"/>
          <w:szCs w:val="18"/>
          <w:highlight w:val="none"/>
          <w:lang w:val="en-US" w:eastAsia="zh-CN"/>
        </w:rPr>
        <w:t>⑤</w:t>
      </w:r>
      <w:r>
        <w:rPr>
          <w:rFonts w:hint="eastAsia" w:ascii="宋体" w:hAnsi="宋体" w:eastAsia="宋体"/>
          <w:bCs/>
          <w:sz w:val="24"/>
          <w:szCs w:val="18"/>
          <w:highlight w:val="none"/>
          <w:lang w:val="en-US" w:eastAsia="zh-CN"/>
        </w:rPr>
        <w:t>工作报告：根据采购人需求统计相关数据，定期向采购人汇报运营服务的工作情况、成果和问题，并提出改进和优化建议。</w:t>
      </w:r>
    </w:p>
    <w:p w14:paraId="2DD5D5C6">
      <w:pPr>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bCs/>
          <w:sz w:val="24"/>
          <w:szCs w:val="18"/>
          <w:highlight w:val="none"/>
          <w:lang w:val="en-US" w:eastAsia="zh-CN"/>
        </w:rPr>
        <w:t>2.全职驻点管理员不少于5名，年龄40周岁及以下，专科及以上学历，人员不</w:t>
      </w:r>
      <w:r>
        <w:rPr>
          <w:rFonts w:hint="eastAsia" w:ascii="宋体" w:hAnsi="宋体" w:eastAsia="宋体"/>
          <w:bCs/>
          <w:color w:val="auto"/>
          <w:sz w:val="24"/>
          <w:szCs w:val="18"/>
          <w:highlight w:val="none"/>
          <w:lang w:val="en-US" w:eastAsia="zh-CN"/>
        </w:rPr>
        <w:t>可兼任。熟悉图书馆流通业务工作，掌握中图分类法，有较好的工具书检索能力，有良好的服务意识与奉献精神。员工主要工作内容（包括但不限于）：</w:t>
      </w:r>
    </w:p>
    <w:p w14:paraId="72732BAC">
      <w:pPr>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①</w:t>
      </w:r>
      <w:r>
        <w:rPr>
          <w:rFonts w:hint="eastAsia" w:ascii="宋体" w:hAnsi="宋体" w:eastAsia="宋体"/>
          <w:bCs/>
          <w:color w:val="auto"/>
          <w:sz w:val="24"/>
          <w:szCs w:val="18"/>
          <w:highlight w:val="none"/>
          <w:lang w:val="en-US" w:eastAsia="zh-CN"/>
        </w:rPr>
        <w:t>向读者提供图书借还、阅览、咨询服务。</w:t>
      </w:r>
    </w:p>
    <w:p w14:paraId="3672B59D">
      <w:pPr>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②</w:t>
      </w:r>
      <w:r>
        <w:rPr>
          <w:rFonts w:hint="eastAsia" w:ascii="宋体" w:hAnsi="宋体" w:eastAsia="宋体"/>
          <w:bCs/>
          <w:color w:val="auto"/>
          <w:sz w:val="24"/>
          <w:szCs w:val="18"/>
          <w:highlight w:val="none"/>
          <w:lang w:val="en-US" w:eastAsia="zh-CN"/>
        </w:rPr>
        <w:t>负责读者证的办理、发放、退证及补证等相关工作。</w:t>
      </w:r>
    </w:p>
    <w:p w14:paraId="6FA543C0">
      <w:pPr>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③</w:t>
      </w:r>
      <w:r>
        <w:rPr>
          <w:rFonts w:hint="eastAsia" w:ascii="宋体" w:hAnsi="宋体" w:eastAsia="宋体"/>
          <w:bCs/>
          <w:color w:val="auto"/>
          <w:sz w:val="24"/>
          <w:szCs w:val="18"/>
          <w:highlight w:val="none"/>
          <w:lang w:val="en-US" w:eastAsia="zh-CN"/>
        </w:rPr>
        <w:t>完成图书的上架、整架和排架等工作，确保各阅览室内图书摆放有序。</w:t>
      </w:r>
    </w:p>
    <w:p w14:paraId="37BD4023">
      <w:pPr>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④</w:t>
      </w:r>
      <w:r>
        <w:rPr>
          <w:rFonts w:hint="eastAsia" w:ascii="宋体" w:hAnsi="宋体" w:eastAsia="宋体"/>
          <w:bCs/>
          <w:color w:val="auto"/>
          <w:sz w:val="24"/>
          <w:szCs w:val="18"/>
          <w:highlight w:val="none"/>
          <w:lang w:val="en-US" w:eastAsia="zh-CN"/>
        </w:rPr>
        <w:t>负责对服务空间进行管理和维护，包括场地布局、设施设备维护、场地安全等工作，保证场馆的舒适、安全和有序开放。</w:t>
      </w:r>
    </w:p>
    <w:p w14:paraId="758E4992">
      <w:pPr>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⑤</w:t>
      </w:r>
      <w:r>
        <w:rPr>
          <w:rFonts w:hint="eastAsia" w:ascii="宋体" w:hAnsi="宋体" w:eastAsia="宋体"/>
          <w:bCs/>
          <w:color w:val="auto"/>
          <w:sz w:val="24"/>
          <w:szCs w:val="18"/>
          <w:highlight w:val="none"/>
          <w:lang w:val="en-US" w:eastAsia="zh-CN"/>
        </w:rPr>
        <w:t>策划、组织各类活动。</w:t>
      </w:r>
    </w:p>
    <w:p w14:paraId="6C41529C">
      <w:pPr>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⑥</w:t>
      </w:r>
      <w:r>
        <w:rPr>
          <w:rFonts w:hint="eastAsia" w:ascii="宋体" w:hAnsi="宋体" w:eastAsia="宋体"/>
          <w:bCs/>
          <w:color w:val="auto"/>
          <w:sz w:val="24"/>
          <w:szCs w:val="18"/>
          <w:highlight w:val="none"/>
          <w:lang w:val="en-US" w:eastAsia="zh-CN"/>
        </w:rPr>
        <w:t>负责读者群维护更新、微信公众号信息发布等新媒体运营工作。</w:t>
      </w:r>
    </w:p>
    <w:p w14:paraId="2169D951">
      <w:pPr>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⑦</w:t>
      </w:r>
      <w:r>
        <w:rPr>
          <w:rFonts w:hint="eastAsia" w:ascii="宋体" w:hAnsi="宋体" w:eastAsia="宋体"/>
          <w:bCs/>
          <w:color w:val="auto"/>
          <w:sz w:val="24"/>
          <w:szCs w:val="18"/>
          <w:highlight w:val="none"/>
          <w:lang w:val="en-US" w:eastAsia="zh-CN"/>
        </w:rPr>
        <w:t>文创产品的展示展销。</w:t>
      </w:r>
    </w:p>
    <w:p w14:paraId="2EB23496">
      <w:pPr>
        <w:tabs>
          <w:tab w:val="left" w:pos="5651"/>
        </w:tabs>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⑧</w:t>
      </w:r>
      <w:r>
        <w:rPr>
          <w:rFonts w:hint="eastAsia" w:ascii="宋体" w:hAnsi="宋体" w:eastAsia="宋体"/>
          <w:bCs/>
          <w:color w:val="auto"/>
          <w:sz w:val="24"/>
          <w:szCs w:val="18"/>
          <w:highlight w:val="none"/>
          <w:lang w:val="en-US" w:eastAsia="zh-CN"/>
        </w:rPr>
        <w:t>负责场馆卫生工作，保证环境干净舒适。</w:t>
      </w:r>
    </w:p>
    <w:p w14:paraId="002C0245">
      <w:pPr>
        <w:tabs>
          <w:tab w:val="left" w:pos="5651"/>
        </w:tabs>
        <w:spacing w:line="360" w:lineRule="auto"/>
        <w:ind w:firstLine="480" w:firstLineChars="200"/>
        <w:outlineLvl w:val="2"/>
        <w:rPr>
          <w:rFonts w:hint="default" w:ascii="宋体" w:hAnsi="宋体" w:eastAsia="宋体" w:cs="宋体"/>
          <w:bCs/>
          <w:color w:val="auto"/>
          <w:sz w:val="24"/>
          <w:szCs w:val="18"/>
          <w:highlight w:val="none"/>
          <w:lang w:val="en-US" w:eastAsia="zh-CN"/>
        </w:rPr>
      </w:pPr>
      <w:r>
        <w:rPr>
          <w:rFonts w:hint="eastAsia" w:ascii="宋体" w:hAnsi="宋体" w:eastAsia="宋体" w:cs="宋体"/>
          <w:bCs/>
          <w:color w:val="auto"/>
          <w:sz w:val="24"/>
          <w:szCs w:val="18"/>
          <w:highlight w:val="none"/>
          <w:lang w:val="en-US" w:eastAsia="zh-CN"/>
        </w:rPr>
        <w:t>⑨负责</w:t>
      </w:r>
      <w:r>
        <w:rPr>
          <w:rFonts w:hint="eastAsia" w:ascii="宋体" w:hAnsi="宋体" w:eastAsia="宋体"/>
          <w:bCs/>
          <w:sz w:val="24"/>
          <w:szCs w:val="18"/>
          <w:highlight w:val="none"/>
          <w:lang w:val="en-US" w:eastAsia="zh-CN"/>
        </w:rPr>
        <w:t>城市书柜的日常巡检、调试维修，确保网络稳定、运行状态良好。</w:t>
      </w:r>
    </w:p>
    <w:p w14:paraId="240A7A50">
      <w:pPr>
        <w:spacing w:line="360" w:lineRule="auto"/>
        <w:ind w:firstLine="480" w:firstLineChars="200"/>
        <w:outlineLvl w:val="2"/>
        <w:rPr>
          <w:rFonts w:hint="eastAsia" w:ascii="宋体" w:hAnsi="宋体" w:eastAsia="宋体"/>
          <w:bCs/>
          <w:color w:val="auto"/>
          <w:sz w:val="24"/>
          <w:szCs w:val="18"/>
          <w:highlight w:val="none"/>
          <w:lang w:val="en-US" w:eastAsia="zh-CN"/>
        </w:rPr>
      </w:pPr>
      <w:r>
        <w:rPr>
          <w:rFonts w:hint="eastAsia" w:ascii="宋体" w:hAnsi="宋体" w:eastAsia="宋体"/>
          <w:bCs/>
          <w:color w:val="auto"/>
          <w:sz w:val="24"/>
          <w:szCs w:val="18"/>
          <w:highlight w:val="none"/>
          <w:lang w:val="en-US" w:eastAsia="zh-CN"/>
        </w:rPr>
        <w:t>3.以上人员招聘后，需在5个工作日内报采购人审核备案。在管理过程中，对于无法履行岗位职责的员工，成交供应商需要根据采购人要求进行及时调整更换。</w:t>
      </w:r>
    </w:p>
    <w:p w14:paraId="552AC771">
      <w:pPr>
        <w:spacing w:line="360" w:lineRule="auto"/>
        <w:ind w:firstLine="437"/>
        <w:outlineLvl w:val="1"/>
        <w:rPr>
          <w:rFonts w:ascii="宋体" w:hAnsi="宋体" w:eastAsia="宋体"/>
          <w:b/>
          <w:color w:val="auto"/>
          <w:sz w:val="24"/>
          <w:szCs w:val="18"/>
          <w:highlight w:val="none"/>
        </w:rPr>
      </w:pPr>
      <w:r>
        <w:rPr>
          <w:rFonts w:hint="eastAsia" w:ascii="宋体" w:hAnsi="宋体" w:eastAsia="宋体"/>
          <w:b/>
          <w:color w:val="auto"/>
          <w:sz w:val="24"/>
          <w:szCs w:val="18"/>
          <w:highlight w:val="none"/>
          <w:lang w:val="en-US" w:eastAsia="zh-CN"/>
        </w:rPr>
        <w:t>五</w:t>
      </w:r>
      <w:r>
        <w:rPr>
          <w:rFonts w:hint="eastAsia" w:ascii="宋体" w:hAnsi="宋体" w:eastAsia="宋体"/>
          <w:b/>
          <w:color w:val="auto"/>
          <w:sz w:val="24"/>
          <w:szCs w:val="18"/>
          <w:highlight w:val="none"/>
        </w:rPr>
        <w:t>、报价要求</w:t>
      </w:r>
      <w:bookmarkEnd w:id="21"/>
      <w:bookmarkEnd w:id="22"/>
    </w:p>
    <w:p w14:paraId="2A51801D">
      <w:pPr>
        <w:spacing w:line="360" w:lineRule="auto"/>
        <w:ind w:firstLine="480" w:firstLineChars="200"/>
        <w:outlineLvl w:val="2"/>
        <w:rPr>
          <w:rFonts w:ascii="宋体" w:hAnsi="宋体" w:eastAsia="宋体" w:cs="宋体"/>
          <w:bCs/>
          <w:color w:val="auto"/>
          <w:sz w:val="24"/>
          <w:szCs w:val="18"/>
          <w:highlight w:val="none"/>
        </w:rPr>
      </w:pPr>
      <w:bookmarkStart w:id="23" w:name="_Toc23590"/>
      <w:bookmarkStart w:id="24" w:name="_Toc3530"/>
      <w:r>
        <w:rPr>
          <w:rFonts w:hint="eastAsia" w:ascii="宋体" w:hAnsi="宋体" w:eastAsia="宋体" w:cs="宋体"/>
          <w:bCs/>
          <w:color w:val="auto"/>
          <w:sz w:val="24"/>
          <w:szCs w:val="18"/>
          <w:highlight w:val="none"/>
        </w:rPr>
        <w:t>响应报价应含有服务、利润、税金、政策性文件规定及合同包含的所有风险、责任、义务等，即为完成磋商文件要求的服务内容所包含的一切应有费用，</w:t>
      </w:r>
      <w:r>
        <w:rPr>
          <w:rFonts w:hint="eastAsia" w:ascii="宋体" w:hAnsi="宋体" w:eastAsia="宋体"/>
          <w:bCs/>
          <w:color w:val="auto"/>
          <w:sz w:val="24"/>
          <w:szCs w:val="18"/>
          <w:highlight w:val="none"/>
        </w:rPr>
        <w:t>其组成包括但不限于工作、</w:t>
      </w:r>
      <w:r>
        <w:rPr>
          <w:rFonts w:hint="eastAsia" w:ascii="宋体" w:hAnsi="宋体" w:eastAsia="宋体"/>
          <w:bCs/>
          <w:color w:val="auto"/>
          <w:sz w:val="24"/>
          <w:szCs w:val="18"/>
          <w:highlight w:val="none"/>
          <w:lang w:val="en-US" w:eastAsia="zh-CN"/>
        </w:rPr>
        <w:t>水电、物业、保洁、维修、书柜选点和迁移、</w:t>
      </w:r>
      <w:r>
        <w:rPr>
          <w:rFonts w:hint="eastAsia" w:ascii="宋体" w:hAnsi="宋体" w:eastAsia="宋体"/>
          <w:bCs/>
          <w:color w:val="auto"/>
          <w:sz w:val="24"/>
          <w:szCs w:val="18"/>
          <w:highlight w:val="none"/>
        </w:rPr>
        <w:t>交通、</w:t>
      </w:r>
      <w:r>
        <w:rPr>
          <w:rFonts w:hint="eastAsia" w:ascii="宋体" w:hAnsi="宋体" w:eastAsia="宋体"/>
          <w:bCs/>
          <w:color w:val="auto"/>
          <w:sz w:val="24"/>
          <w:szCs w:val="18"/>
          <w:highlight w:val="none"/>
          <w:lang w:val="en-US" w:eastAsia="zh-CN"/>
        </w:rPr>
        <w:t>网络（阅读空间及书柜）、</w:t>
      </w:r>
      <w:r>
        <w:rPr>
          <w:rFonts w:hint="eastAsia" w:ascii="宋体" w:hAnsi="宋体" w:eastAsia="宋体"/>
          <w:bCs/>
          <w:color w:val="auto"/>
          <w:sz w:val="24"/>
          <w:szCs w:val="18"/>
          <w:highlight w:val="none"/>
        </w:rPr>
        <w:t>通讯、</w:t>
      </w:r>
      <w:r>
        <w:rPr>
          <w:rFonts w:hint="eastAsia" w:ascii="宋体" w:hAnsi="宋体" w:eastAsia="宋体"/>
          <w:bCs/>
          <w:color w:val="auto"/>
          <w:sz w:val="24"/>
          <w:szCs w:val="18"/>
          <w:highlight w:val="none"/>
          <w:lang w:val="en-US" w:eastAsia="zh-CN"/>
        </w:rPr>
        <w:t>耗材、</w:t>
      </w:r>
      <w:r>
        <w:rPr>
          <w:rFonts w:hint="eastAsia" w:ascii="宋体" w:hAnsi="宋体" w:eastAsia="宋体"/>
          <w:bCs/>
          <w:color w:val="auto"/>
          <w:sz w:val="24"/>
          <w:szCs w:val="18"/>
          <w:highlight w:val="none"/>
        </w:rPr>
        <w:t>劳力、利润、税收、管理等。成</w:t>
      </w:r>
      <w:r>
        <w:rPr>
          <w:rFonts w:hint="eastAsia" w:ascii="宋体" w:hAnsi="宋体" w:eastAsia="宋体"/>
          <w:bCs/>
          <w:sz w:val="24"/>
          <w:szCs w:val="18"/>
          <w:highlight w:val="none"/>
        </w:rPr>
        <w:t>交价格今后将不作任何调整，采购人后期不再追加费用，供应商自行考虑报价风险。</w:t>
      </w:r>
    </w:p>
    <w:p w14:paraId="025B31A6">
      <w:pPr>
        <w:spacing w:line="360" w:lineRule="auto"/>
        <w:ind w:firstLine="437"/>
        <w:outlineLvl w:val="1"/>
        <w:rPr>
          <w:rFonts w:ascii="宋体" w:hAnsi="宋体" w:eastAsia="宋体"/>
          <w:b/>
          <w:color w:val="auto"/>
          <w:sz w:val="24"/>
          <w:szCs w:val="18"/>
          <w:highlight w:val="none"/>
        </w:rPr>
      </w:pPr>
      <w:r>
        <w:rPr>
          <w:rFonts w:hint="eastAsia" w:ascii="宋体" w:hAnsi="宋体" w:eastAsia="宋体"/>
          <w:b/>
          <w:color w:val="auto"/>
          <w:sz w:val="24"/>
          <w:szCs w:val="18"/>
          <w:highlight w:val="none"/>
          <w:lang w:val="en-US" w:eastAsia="zh-CN"/>
        </w:rPr>
        <w:t>六</w:t>
      </w:r>
      <w:r>
        <w:rPr>
          <w:rFonts w:hint="eastAsia" w:ascii="宋体" w:hAnsi="宋体" w:eastAsia="宋体"/>
          <w:b/>
          <w:color w:val="auto"/>
          <w:sz w:val="24"/>
          <w:szCs w:val="18"/>
          <w:highlight w:val="none"/>
        </w:rPr>
        <w:t>、其他要求</w:t>
      </w:r>
      <w:bookmarkEnd w:id="23"/>
      <w:bookmarkEnd w:id="24"/>
    </w:p>
    <w:bookmarkEnd w:id="16"/>
    <w:p w14:paraId="294F63D7">
      <w:pPr>
        <w:spacing w:line="360" w:lineRule="auto"/>
        <w:ind w:firstLine="480" w:firstLineChars="200"/>
        <w:outlineLvl w:val="2"/>
        <w:rPr>
          <w:rFonts w:hint="eastAsia" w:ascii="宋体" w:hAnsi="宋体" w:eastAsia="宋体"/>
          <w:bCs/>
          <w:sz w:val="24"/>
          <w:szCs w:val="18"/>
          <w:highlight w:val="none"/>
          <w:lang w:val="en-US" w:eastAsia="zh-CN"/>
        </w:rPr>
      </w:pPr>
      <w:bookmarkStart w:id="25" w:name="_Toc8668"/>
      <w:r>
        <w:rPr>
          <w:rFonts w:hint="eastAsia" w:ascii="宋体" w:hAnsi="宋体" w:eastAsia="宋体"/>
          <w:bCs/>
          <w:sz w:val="24"/>
          <w:szCs w:val="18"/>
          <w:highlight w:val="none"/>
          <w:lang w:val="en-US" w:eastAsia="zh-CN"/>
        </w:rPr>
        <w:t xml:space="preserve">1.成交供应商应对采购人提供的业务资料、技术资料应严格保密、不得扩散，否则应承担相应责任且采购人有权追究成交供应商违约责任。 </w:t>
      </w:r>
    </w:p>
    <w:p w14:paraId="6F74DEFF">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2.对于成交供应商无法按时按承诺完成的工作，采购人有权请第三方解决，所需所有费用由成交供应商支付。</w:t>
      </w:r>
    </w:p>
    <w:p w14:paraId="17AB0F9F">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3.本项目水电费和通讯（含网络）缴费日期从</w:t>
      </w:r>
      <w:r>
        <w:rPr>
          <w:rFonts w:hint="eastAsia" w:ascii="宋体" w:hAnsi="宋体" w:eastAsia="宋体" w:cs="宋体"/>
          <w:sz w:val="24"/>
          <w:szCs w:val="24"/>
          <w:highlight w:val="none"/>
          <w:lang w:val="en-US" w:eastAsia="zh-CN" w:bidi="ar"/>
        </w:rPr>
        <w:t>2026年5月</w:t>
      </w:r>
      <w:r>
        <w:rPr>
          <w:rFonts w:hint="eastAsia" w:ascii="宋体" w:hAnsi="宋体" w:eastAsia="宋体"/>
          <w:bCs/>
          <w:sz w:val="24"/>
          <w:szCs w:val="18"/>
          <w:highlight w:val="none"/>
          <w:lang w:val="en-US" w:eastAsia="zh-CN"/>
        </w:rPr>
        <w:t>起算。</w:t>
      </w:r>
    </w:p>
    <w:p w14:paraId="6A6F2B68">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4.成交供应商工作人员工基本工资最低不得低于滁州市当年最低工资标准。根据安徽省和滁州市相关文件规定，为员工缴纳基本社会保险。</w:t>
      </w:r>
    </w:p>
    <w:p w14:paraId="58612A35">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5.本项目有下列情形的，采购人有权终止合同：</w:t>
      </w:r>
    </w:p>
    <w:p w14:paraId="1C682062">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 xml:space="preserve">（1）本项目遇不可抗力影响或法律、法规、国家政策重大调整影响合同无法执行的； </w:t>
      </w:r>
    </w:p>
    <w:p w14:paraId="797A24C4">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（2）成交供应商对监管人员，考核成员有行贿或其它利益输送行为的。</w:t>
      </w:r>
    </w:p>
    <w:p w14:paraId="316E515E">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（3）成交供应商违反安全管理、规范作业规定，造成重大伤亡或重大损失。</w:t>
      </w:r>
    </w:p>
    <w:p w14:paraId="0EB6823E">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（4）经省、市级新闻媒体曝光，成交供应商为责任方，造成恶劣影响的。</w:t>
      </w:r>
    </w:p>
    <w:p w14:paraId="561D5E1F">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（5）经有关部门认定成交供应商严重违反劳动法，造成恶劣影响的；或其它因违法经营受到刑事处罚或者责令停产停业、吊销许可证或者执照等行政处罚的。</w:t>
      </w:r>
    </w:p>
    <w:p w14:paraId="4230D380">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（6）成交供应商其它弄虚作假及其他不正当行为。</w:t>
      </w:r>
    </w:p>
    <w:p w14:paraId="5079F65B">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（7）合同履约期间，成交供应商法人组织破产，或重组变更法人主体的；</w:t>
      </w:r>
    </w:p>
    <w:p w14:paraId="3BF03447">
      <w:pPr>
        <w:spacing w:line="360" w:lineRule="auto"/>
        <w:ind w:firstLine="480" w:firstLineChars="200"/>
        <w:outlineLvl w:val="2"/>
        <w:rPr>
          <w:rFonts w:hint="default"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（8）成交供应商拖欠本项目工作员工工资和社保超过1个月。</w:t>
      </w:r>
    </w:p>
    <w:p w14:paraId="7A5F44AC">
      <w:pPr>
        <w:spacing w:line="360" w:lineRule="auto"/>
        <w:ind w:firstLine="480" w:firstLineChars="200"/>
        <w:outlineLvl w:val="2"/>
        <w:rPr>
          <w:rFonts w:hint="eastAsia" w:ascii="宋体" w:hAnsi="宋体" w:eastAsia="宋体"/>
          <w:bCs/>
          <w:sz w:val="24"/>
          <w:szCs w:val="18"/>
          <w:highlight w:val="none"/>
          <w:lang w:val="en-US" w:eastAsia="zh-CN"/>
        </w:rPr>
      </w:pPr>
      <w:r>
        <w:rPr>
          <w:rFonts w:hint="eastAsia" w:ascii="宋体" w:hAnsi="宋体" w:eastAsia="宋体"/>
          <w:bCs/>
          <w:sz w:val="24"/>
          <w:szCs w:val="18"/>
          <w:highlight w:val="none"/>
          <w:lang w:val="en-US" w:eastAsia="zh-CN"/>
        </w:rPr>
        <w:t>6.合同终止时，成交供应商应将各类设施完整地移交给采购人，如有损失，按设施原价在服务经费中扣减。</w:t>
      </w:r>
    </w:p>
    <w:p w14:paraId="229C4356">
      <w:pPr>
        <w:spacing w:line="360" w:lineRule="auto"/>
        <w:ind w:firstLine="437"/>
        <w:outlineLvl w:val="1"/>
        <w:rPr>
          <w:rFonts w:hint="eastAsia" w:ascii="宋体" w:hAnsi="宋体" w:eastAsia="宋体"/>
          <w:b/>
          <w:color w:val="auto"/>
          <w:sz w:val="24"/>
          <w:szCs w:val="18"/>
          <w:highlight w:val="none"/>
          <w:lang w:val="en-US" w:eastAsia="zh-CN"/>
        </w:rPr>
      </w:pPr>
      <w:r>
        <w:rPr>
          <w:rFonts w:hint="eastAsia" w:ascii="宋体" w:hAnsi="宋体" w:eastAsia="宋体"/>
          <w:b/>
          <w:color w:val="auto"/>
          <w:sz w:val="24"/>
          <w:szCs w:val="18"/>
          <w:highlight w:val="none"/>
          <w:lang w:val="en-US" w:eastAsia="zh-CN"/>
        </w:rPr>
        <w:t>七、服务绩效考评标准</w:t>
      </w:r>
    </w:p>
    <w:p w14:paraId="24D06810">
      <w:pPr>
        <w:spacing w:line="360" w:lineRule="auto"/>
        <w:ind w:firstLine="480" w:firstLineChars="200"/>
        <w:outlineLvl w:val="2"/>
        <w:rPr>
          <w:rFonts w:asciiTheme="minorEastAsia" w:hAnsiTheme="minorEastAsia" w:eastAsiaTheme="minorEastAsia"/>
          <w:b/>
          <w:color w:val="auto"/>
          <w:sz w:val="28"/>
          <w:highlight w:val="none"/>
        </w:rPr>
      </w:pPr>
      <w:r>
        <w:rPr>
          <w:rFonts w:hint="eastAsia" w:ascii="宋体" w:hAnsi="宋体" w:eastAsia="宋体"/>
          <w:bCs/>
          <w:sz w:val="24"/>
          <w:szCs w:val="18"/>
          <w:highlight w:val="none"/>
          <w:lang w:val="en-US" w:eastAsia="zh-CN"/>
        </w:rPr>
        <w:t>1.采购人对成交供应商服务进行考评，考核结果作为合同款项支付依据。综合考核得分90分(含)及以上全额支付考核周期内服务费；综合考核得分70分(含)至90分(不含)，其考核得分即为考核周期内服务费支付比例（例如：综合考核得分89分，其考核周期内服务费支付比例为89%）；综合考核得分70分(不含)以下不支付考核周期内服务费用。连续两次综合考核得分70分(不含)以下的，终止合同。</w:t>
      </w:r>
    </w:p>
    <w:p w14:paraId="24C31556">
      <w:pPr>
        <w:spacing w:line="360" w:lineRule="auto"/>
        <w:ind w:firstLine="480" w:firstLineChars="200"/>
        <w:outlineLvl w:val="2"/>
        <w:rPr>
          <w:rFonts w:hint="eastAsia" w:asciiTheme="minorEastAsia" w:hAnsiTheme="minorEastAsia" w:eastAsiaTheme="minorEastAsia"/>
          <w:b/>
          <w:color w:val="auto"/>
          <w:sz w:val="28"/>
          <w:highlight w:val="none"/>
        </w:rPr>
      </w:pPr>
      <w:r>
        <w:rPr>
          <w:rFonts w:hint="eastAsia" w:ascii="宋体" w:hAnsi="宋体" w:eastAsia="宋体"/>
          <w:bCs/>
          <w:sz w:val="24"/>
          <w:szCs w:val="18"/>
          <w:highlight w:val="none"/>
          <w:lang w:val="en-US" w:eastAsia="zh-CN"/>
        </w:rPr>
        <w:t>2.每年的具体考核细则待项目实施阶段由采购人制定。</w:t>
      </w:r>
      <w:r>
        <w:rPr>
          <w:rFonts w:hint="eastAsia" w:asciiTheme="minorEastAsia" w:hAnsiTheme="minorEastAsia" w:eastAsiaTheme="minorEastAsia"/>
          <w:b/>
          <w:color w:val="auto"/>
          <w:sz w:val="28"/>
          <w:highlight w:val="none"/>
        </w:rPr>
        <w:br w:type="page"/>
      </w:r>
    </w:p>
    <w:p w14:paraId="56625177">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 xml:space="preserve">第四章 </w:t>
      </w:r>
      <w:bookmarkEnd w:id="25"/>
      <w:r>
        <w:rPr>
          <w:rFonts w:hint="eastAsia" w:asciiTheme="minorEastAsia" w:hAnsiTheme="minorEastAsia" w:eastAsiaTheme="minorEastAsia"/>
          <w:b/>
          <w:color w:val="auto"/>
          <w:sz w:val="28"/>
          <w:highlight w:val="none"/>
        </w:rPr>
        <w:t>评审方法和标准</w:t>
      </w:r>
    </w:p>
    <w:p w14:paraId="351D8618">
      <w:pPr>
        <w:spacing w:line="360" w:lineRule="auto"/>
        <w:ind w:firstLine="437"/>
        <w:outlineLvl w:val="1"/>
        <w:rPr>
          <w:rFonts w:asciiTheme="minorEastAsia" w:hAnsiTheme="minorEastAsia" w:eastAsiaTheme="minorEastAsia"/>
          <w:b/>
          <w:color w:val="auto"/>
          <w:sz w:val="24"/>
          <w:highlight w:val="none"/>
        </w:rPr>
      </w:pPr>
      <w:bookmarkStart w:id="26" w:name="_Toc12199"/>
      <w:bookmarkStart w:id="27" w:name="_Toc21211"/>
      <w:r>
        <w:rPr>
          <w:rFonts w:hint="eastAsia" w:asciiTheme="minorEastAsia" w:hAnsiTheme="minorEastAsia" w:eastAsiaTheme="minorEastAsia"/>
          <w:b/>
          <w:color w:val="auto"/>
          <w:sz w:val="24"/>
          <w:highlight w:val="none"/>
        </w:rPr>
        <w:t>一、总则</w:t>
      </w:r>
      <w:bookmarkEnd w:id="26"/>
      <w:bookmarkEnd w:id="27"/>
    </w:p>
    <w:p w14:paraId="40302E0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本项目将按照磋商文件第二章 供应商须知的相关要求</w:t>
      </w:r>
      <w:r>
        <w:rPr>
          <w:rFonts w:asciiTheme="minorEastAsia" w:hAnsiTheme="minorEastAsia" w:eastAsiaTheme="minorEastAsia"/>
          <w:color w:val="auto"/>
          <w:sz w:val="24"/>
          <w:highlight w:val="none"/>
        </w:rPr>
        <w:t>及本章的规定</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w:t>
      </w:r>
    </w:p>
    <w:p w14:paraId="6182ADD4">
      <w:pPr>
        <w:spacing w:line="360" w:lineRule="auto"/>
        <w:ind w:firstLine="437"/>
        <w:outlineLvl w:val="1"/>
        <w:rPr>
          <w:rFonts w:asciiTheme="minorEastAsia" w:hAnsiTheme="minorEastAsia" w:eastAsiaTheme="minorEastAsia"/>
          <w:b/>
          <w:color w:val="auto"/>
          <w:sz w:val="24"/>
          <w:highlight w:val="none"/>
        </w:rPr>
      </w:pPr>
      <w:bookmarkStart w:id="28" w:name="_Toc13039"/>
      <w:bookmarkStart w:id="29" w:name="_Toc16885"/>
      <w:r>
        <w:rPr>
          <w:rFonts w:hint="eastAsia" w:asciiTheme="minorEastAsia" w:hAnsiTheme="minorEastAsia" w:eastAsiaTheme="minorEastAsia"/>
          <w:b/>
          <w:color w:val="auto"/>
          <w:sz w:val="24"/>
          <w:highlight w:val="none"/>
        </w:rPr>
        <w:t>二、评审方法</w:t>
      </w:r>
      <w:bookmarkEnd w:id="28"/>
      <w:bookmarkEnd w:id="29"/>
    </w:p>
    <w:p w14:paraId="5F7ECC96">
      <w:pPr>
        <w:spacing w:line="360" w:lineRule="auto"/>
        <w:ind w:firstLine="435"/>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2.1初审</w:t>
      </w:r>
    </w:p>
    <w:p w14:paraId="21DEBB9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磋商小组对供应商的响应文件进行初审，以确定其是否满足磋商文件的实质性要求。初审表如下：</w:t>
      </w:r>
    </w:p>
    <w:tbl>
      <w:tblPr>
        <w:tblStyle w:val="26"/>
        <w:tblW w:w="5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651"/>
        <w:gridCol w:w="4556"/>
        <w:gridCol w:w="1903"/>
      </w:tblGrid>
      <w:tr w14:paraId="3203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2A518E34">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b/>
                <w:color w:val="auto"/>
                <w:sz w:val="24"/>
                <w:szCs w:val="22"/>
                <w:highlight w:val="none"/>
              </w:rPr>
              <w:t>初审表</w:t>
            </w:r>
          </w:p>
        </w:tc>
      </w:tr>
      <w:tr w14:paraId="4CC6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bottom w:val="single" w:color="auto" w:sz="4" w:space="0"/>
            </w:tcBorders>
            <w:vAlign w:val="center"/>
          </w:tcPr>
          <w:p w14:paraId="5CAE3404">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序号</w:t>
            </w:r>
          </w:p>
        </w:tc>
        <w:tc>
          <w:tcPr>
            <w:tcW w:w="942" w:type="pct"/>
            <w:tcBorders>
              <w:bottom w:val="single" w:color="auto" w:sz="4" w:space="0"/>
            </w:tcBorders>
            <w:vAlign w:val="center"/>
          </w:tcPr>
          <w:p w14:paraId="5482178F">
            <w:pPr>
              <w:pStyle w:val="44"/>
              <w:pBdr>
                <w:bottom w:val="none" w:color="auto" w:sz="0" w:space="0"/>
              </w:pBdr>
              <w:tabs>
                <w:tab w:val="clear" w:pos="4153"/>
                <w:tab w:val="clear" w:pos="8306"/>
              </w:tabs>
              <w:snapToGrid w:val="0"/>
              <w:spacing w:line="360" w:lineRule="auto"/>
              <w:ind w:right="-10"/>
              <w:textAlignment w:val="auto"/>
              <w:rPr>
                <w:rFonts w:ascii="宋体" w:hAnsi="宋体" w:eastAsia="宋体"/>
                <w:color w:val="auto"/>
                <w:kern w:val="2"/>
                <w:szCs w:val="24"/>
                <w:highlight w:val="none"/>
              </w:rPr>
            </w:pPr>
            <w:r>
              <w:rPr>
                <w:rFonts w:hint="eastAsia" w:ascii="宋体" w:hAnsi="宋体" w:eastAsia="宋体"/>
                <w:color w:val="auto"/>
                <w:kern w:val="2"/>
                <w:szCs w:val="24"/>
                <w:highlight w:val="none"/>
              </w:rPr>
              <w:t>审查指标</w:t>
            </w:r>
          </w:p>
        </w:tc>
        <w:tc>
          <w:tcPr>
            <w:tcW w:w="2600" w:type="pct"/>
            <w:tcBorders>
              <w:bottom w:val="single" w:color="auto" w:sz="4" w:space="0"/>
            </w:tcBorders>
            <w:vAlign w:val="center"/>
          </w:tcPr>
          <w:p w14:paraId="22A24B92">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审查标准</w:t>
            </w:r>
          </w:p>
        </w:tc>
        <w:tc>
          <w:tcPr>
            <w:tcW w:w="1084" w:type="pct"/>
            <w:tcBorders>
              <w:bottom w:val="single" w:color="auto" w:sz="4" w:space="0"/>
            </w:tcBorders>
            <w:vAlign w:val="center"/>
          </w:tcPr>
          <w:p w14:paraId="2AF17E46">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格式要求</w:t>
            </w:r>
          </w:p>
        </w:tc>
      </w:tr>
      <w:tr w14:paraId="1352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72" w:type="pct"/>
            <w:tcBorders>
              <w:bottom w:val="single" w:color="auto" w:sz="4" w:space="0"/>
            </w:tcBorders>
            <w:vAlign w:val="center"/>
          </w:tcPr>
          <w:p w14:paraId="3F731189">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1</w:t>
            </w:r>
          </w:p>
        </w:tc>
        <w:tc>
          <w:tcPr>
            <w:tcW w:w="942" w:type="pct"/>
            <w:tcBorders>
              <w:bottom w:val="single" w:color="auto" w:sz="4" w:space="0"/>
            </w:tcBorders>
            <w:vAlign w:val="center"/>
          </w:tcPr>
          <w:p w14:paraId="750EEA7D">
            <w:pPr>
              <w:spacing w:after="50" w:line="360" w:lineRule="auto"/>
              <w:ind w:right="-10"/>
              <w:jc w:val="center"/>
              <w:rPr>
                <w:rFonts w:ascii="宋体" w:hAnsi="宋体" w:eastAsia="宋体"/>
                <w:color w:val="auto"/>
                <w:sz w:val="24"/>
                <w:szCs w:val="28"/>
                <w:highlight w:val="none"/>
              </w:rPr>
            </w:pPr>
            <w:r>
              <w:rPr>
                <w:rFonts w:ascii="宋体" w:hAnsi="宋体" w:eastAsia="宋体" w:cs="宋体"/>
                <w:color w:val="auto"/>
                <w:spacing w:val="9"/>
                <w:sz w:val="24"/>
                <w:szCs w:val="24"/>
                <w:highlight w:val="none"/>
              </w:rPr>
              <w:t>营业执照等证明</w:t>
            </w:r>
            <w:r>
              <w:rPr>
                <w:rFonts w:ascii="宋体" w:hAnsi="宋体" w:eastAsia="宋体" w:cs="宋体"/>
                <w:color w:val="auto"/>
                <w:spacing w:val="-3"/>
                <w:sz w:val="24"/>
                <w:szCs w:val="24"/>
                <w:highlight w:val="none"/>
              </w:rPr>
              <w:t>文件</w:t>
            </w:r>
          </w:p>
        </w:tc>
        <w:tc>
          <w:tcPr>
            <w:tcW w:w="2600" w:type="pct"/>
            <w:tcBorders>
              <w:bottom w:val="single" w:color="auto" w:sz="4" w:space="0"/>
            </w:tcBorders>
            <w:vAlign w:val="center"/>
          </w:tcPr>
          <w:p w14:paraId="053804BD">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w:t>
            </w:r>
            <w:r>
              <w:rPr>
                <w:rFonts w:ascii="宋体" w:hAnsi="宋体" w:eastAsia="宋体" w:cs="宋体"/>
                <w:color w:val="auto"/>
                <w:sz w:val="24"/>
                <w:szCs w:val="24"/>
                <w:highlight w:val="none"/>
              </w:rPr>
              <w:t>为企业（包括合伙企业）的，应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供有效的营业执照；</w:t>
            </w:r>
          </w:p>
          <w:p w14:paraId="1A010158">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w:t>
            </w:r>
            <w:r>
              <w:rPr>
                <w:rFonts w:ascii="宋体" w:hAnsi="宋体" w:eastAsia="宋体" w:cs="宋体"/>
                <w:color w:val="auto"/>
                <w:sz w:val="24"/>
                <w:szCs w:val="24"/>
                <w:highlight w:val="none"/>
              </w:rPr>
              <w:t>为事业单位的，应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供有效的事业单位法人证书；</w:t>
            </w:r>
          </w:p>
          <w:p w14:paraId="1F912845">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w:t>
            </w:r>
            <w:r>
              <w:rPr>
                <w:rFonts w:ascii="宋体" w:hAnsi="宋体" w:eastAsia="宋体" w:cs="宋体"/>
                <w:color w:val="auto"/>
                <w:sz w:val="24"/>
                <w:szCs w:val="24"/>
                <w:highlight w:val="none"/>
              </w:rPr>
              <w:t>是非企业机构的，应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供有效的执业许可证</w:t>
            </w:r>
            <w:r>
              <w:rPr>
                <w:rFonts w:hint="eastAsia" w:ascii="宋体" w:hAnsi="宋体" w:eastAsia="宋体" w:cs="宋体"/>
                <w:color w:val="auto"/>
                <w:sz w:val="24"/>
                <w:szCs w:val="24"/>
                <w:highlight w:val="none"/>
              </w:rPr>
              <w:t>或</w:t>
            </w:r>
            <w:r>
              <w:rPr>
                <w:rFonts w:ascii="宋体" w:hAnsi="宋体" w:eastAsia="宋体" w:cs="宋体"/>
                <w:color w:val="auto"/>
                <w:sz w:val="24"/>
                <w:szCs w:val="24"/>
                <w:highlight w:val="none"/>
              </w:rPr>
              <w:t>登记证书等证明文件；</w:t>
            </w:r>
          </w:p>
          <w:p w14:paraId="5698BF48">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w:t>
            </w:r>
            <w:r>
              <w:rPr>
                <w:rFonts w:ascii="宋体" w:hAnsi="宋体" w:eastAsia="宋体" w:cs="宋体"/>
                <w:color w:val="auto"/>
                <w:sz w:val="24"/>
                <w:szCs w:val="24"/>
                <w:highlight w:val="none"/>
              </w:rPr>
              <w:t>是个体工商户的，应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供有效的个体工商户营业执照；</w:t>
            </w:r>
          </w:p>
          <w:p w14:paraId="0742706E">
            <w:pPr>
              <w:spacing w:after="50" w:line="360" w:lineRule="auto"/>
              <w:ind w:right="-10"/>
              <w:jc w:val="left"/>
              <w:rPr>
                <w:rFonts w:ascii="宋体" w:hAnsi="宋体" w:eastAsia="宋体"/>
                <w:color w:val="auto"/>
                <w:sz w:val="24"/>
                <w:szCs w:val="28"/>
                <w:highlight w:val="none"/>
              </w:rPr>
            </w:pPr>
            <w:r>
              <w:rPr>
                <w:rFonts w:hint="eastAsia" w:ascii="宋体" w:hAnsi="宋体" w:eastAsia="宋体" w:cs="宋体"/>
                <w:color w:val="auto"/>
                <w:sz w:val="24"/>
                <w:szCs w:val="24"/>
                <w:highlight w:val="none"/>
              </w:rPr>
              <w:t>（5）供应商</w:t>
            </w:r>
            <w:r>
              <w:rPr>
                <w:rFonts w:ascii="宋体" w:hAnsi="宋体" w:eastAsia="宋体" w:cs="宋体"/>
                <w:color w:val="auto"/>
                <w:sz w:val="24"/>
                <w:szCs w:val="24"/>
                <w:highlight w:val="none"/>
              </w:rPr>
              <w:t>是自然人的，应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供有效的自然人身份证明。</w:t>
            </w:r>
          </w:p>
        </w:tc>
        <w:tc>
          <w:tcPr>
            <w:tcW w:w="1084" w:type="pct"/>
            <w:vAlign w:val="center"/>
          </w:tcPr>
          <w:p w14:paraId="33150361">
            <w:pPr>
              <w:spacing w:line="360" w:lineRule="auto"/>
              <w:jc w:val="left"/>
              <w:rPr>
                <w:rFonts w:ascii="宋体" w:hAnsi="宋体" w:eastAsia="宋体"/>
                <w:color w:val="auto"/>
                <w:sz w:val="24"/>
                <w:highlight w:val="none"/>
              </w:rPr>
            </w:pPr>
            <w:r>
              <w:rPr>
                <w:rFonts w:hint="eastAsia" w:ascii="宋体" w:hAnsi="宋体" w:eastAsia="宋体" w:cs="宋体"/>
                <w:color w:val="auto"/>
                <w:sz w:val="24"/>
                <w:szCs w:val="24"/>
                <w:highlight w:val="none"/>
              </w:rPr>
              <w:t>提供材料扫描件或电子证照，应完整的体现出材料或电子证照全部内容。联合体磋商的联合体各方均须提供。</w:t>
            </w:r>
          </w:p>
        </w:tc>
      </w:tr>
      <w:tr w14:paraId="5506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72" w:type="pct"/>
            <w:tcBorders>
              <w:bottom w:val="single" w:color="auto" w:sz="4" w:space="0"/>
            </w:tcBorders>
            <w:vAlign w:val="center"/>
          </w:tcPr>
          <w:p w14:paraId="552C96FD">
            <w:pPr>
              <w:adjustRightInd w:val="0"/>
              <w:snapToGrid w:val="0"/>
              <w:spacing w:line="360" w:lineRule="auto"/>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2</w:t>
            </w:r>
          </w:p>
        </w:tc>
        <w:tc>
          <w:tcPr>
            <w:tcW w:w="942" w:type="pct"/>
            <w:tcBorders>
              <w:bottom w:val="single" w:color="auto" w:sz="4" w:space="0"/>
            </w:tcBorders>
            <w:vAlign w:val="center"/>
          </w:tcPr>
          <w:p w14:paraId="620E56BE">
            <w:pPr>
              <w:spacing w:after="50" w:line="360" w:lineRule="auto"/>
              <w:ind w:right="-10"/>
              <w:jc w:val="center"/>
              <w:rPr>
                <w:rFonts w:ascii="宋体" w:hAnsi="宋体" w:eastAsia="宋体"/>
                <w:color w:val="auto"/>
                <w:sz w:val="24"/>
                <w:szCs w:val="28"/>
                <w:highlight w:val="none"/>
              </w:rPr>
            </w:pPr>
            <w:r>
              <w:rPr>
                <w:rFonts w:hint="eastAsia" w:ascii="宋体" w:hAnsi="宋体" w:eastAsia="宋体"/>
                <w:color w:val="auto"/>
                <w:sz w:val="24"/>
                <w:szCs w:val="18"/>
                <w:highlight w:val="none"/>
              </w:rPr>
              <w:t>供应商资格声明书</w:t>
            </w:r>
          </w:p>
        </w:tc>
        <w:tc>
          <w:tcPr>
            <w:tcW w:w="2600" w:type="pct"/>
            <w:tcBorders>
              <w:bottom w:val="single" w:color="auto" w:sz="4" w:space="0"/>
            </w:tcBorders>
            <w:vAlign w:val="center"/>
          </w:tcPr>
          <w:p w14:paraId="75B05D9D">
            <w:pPr>
              <w:spacing w:after="50" w:line="360" w:lineRule="auto"/>
              <w:ind w:right="-10"/>
              <w:jc w:val="left"/>
              <w:rPr>
                <w:rFonts w:ascii="宋体" w:hAnsi="宋体" w:eastAsia="宋体"/>
                <w:color w:val="auto"/>
                <w:sz w:val="24"/>
                <w:szCs w:val="28"/>
                <w:highlight w:val="none"/>
              </w:rPr>
            </w:pP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供符合</w:t>
            </w:r>
            <w:r>
              <w:rPr>
                <w:rFonts w:hint="eastAsia" w:ascii="宋体" w:hAnsi="宋体" w:eastAsia="宋体" w:cs="宋体"/>
                <w:color w:val="auto"/>
                <w:sz w:val="24"/>
                <w:szCs w:val="24"/>
                <w:highlight w:val="none"/>
              </w:rPr>
              <w:t>磋商</w:t>
            </w:r>
            <w:r>
              <w:rPr>
                <w:rFonts w:ascii="宋体" w:hAnsi="宋体" w:eastAsia="宋体" w:cs="宋体"/>
                <w:color w:val="auto"/>
                <w:sz w:val="24"/>
                <w:szCs w:val="24"/>
                <w:highlight w:val="none"/>
              </w:rPr>
              <w:t>文件要求的《</w:t>
            </w:r>
            <w:r>
              <w:rPr>
                <w:rFonts w:hint="eastAsia" w:ascii="宋体" w:hAnsi="宋体" w:eastAsia="宋体" w:cs="宋体"/>
                <w:color w:val="auto"/>
                <w:sz w:val="24"/>
                <w:szCs w:val="24"/>
                <w:highlight w:val="none"/>
              </w:rPr>
              <w:t>供应商</w:t>
            </w:r>
            <w:r>
              <w:rPr>
                <w:rFonts w:ascii="宋体" w:hAnsi="宋体" w:eastAsia="宋体" w:cs="宋体"/>
                <w:color w:val="auto"/>
                <w:sz w:val="24"/>
                <w:szCs w:val="24"/>
                <w:highlight w:val="none"/>
              </w:rPr>
              <w:t>资格声明书》</w:t>
            </w:r>
            <w:r>
              <w:rPr>
                <w:rFonts w:hint="eastAsia" w:ascii="宋体" w:hAnsi="宋体" w:eastAsia="宋体" w:cs="宋体"/>
                <w:color w:val="auto"/>
                <w:sz w:val="24"/>
                <w:szCs w:val="24"/>
                <w:highlight w:val="none"/>
              </w:rPr>
              <w:t>。</w:t>
            </w:r>
          </w:p>
        </w:tc>
        <w:tc>
          <w:tcPr>
            <w:tcW w:w="1084" w:type="pct"/>
            <w:vAlign w:val="center"/>
          </w:tcPr>
          <w:p w14:paraId="2AF9B4C9">
            <w:pPr>
              <w:spacing w:line="360" w:lineRule="auto"/>
              <w:jc w:val="left"/>
              <w:rPr>
                <w:rFonts w:ascii="宋体" w:hAnsi="宋体" w:eastAsia="宋体" w:cs="宋体"/>
                <w:color w:val="auto"/>
                <w:sz w:val="24"/>
                <w:szCs w:val="24"/>
                <w:highlight w:val="none"/>
              </w:rPr>
            </w:pPr>
            <w:r>
              <w:rPr>
                <w:rFonts w:hint="eastAsia" w:ascii="宋体" w:hAnsi="宋体" w:eastAsia="宋体"/>
                <w:color w:val="auto"/>
                <w:sz w:val="24"/>
                <w:highlight w:val="none"/>
              </w:rPr>
              <w:t>详见第六章响应文件格式。</w:t>
            </w:r>
          </w:p>
        </w:tc>
      </w:tr>
      <w:tr w14:paraId="607B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bottom w:val="single" w:color="auto" w:sz="4" w:space="0"/>
            </w:tcBorders>
            <w:vAlign w:val="center"/>
          </w:tcPr>
          <w:p w14:paraId="0A323467">
            <w:pPr>
              <w:adjustRightInd w:val="0"/>
              <w:snapToGrid w:val="0"/>
              <w:spacing w:line="360" w:lineRule="auto"/>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3</w:t>
            </w:r>
          </w:p>
        </w:tc>
        <w:tc>
          <w:tcPr>
            <w:tcW w:w="942" w:type="pct"/>
            <w:tcBorders>
              <w:bottom w:val="single" w:color="auto" w:sz="4" w:space="0"/>
            </w:tcBorders>
            <w:vAlign w:val="center"/>
          </w:tcPr>
          <w:p w14:paraId="4470E181">
            <w:pPr>
              <w:spacing w:after="50" w:line="360" w:lineRule="auto"/>
              <w:ind w:right="-10"/>
              <w:jc w:val="center"/>
              <w:rPr>
                <w:rFonts w:ascii="宋体" w:hAnsi="宋体" w:eastAsia="宋体"/>
                <w:color w:val="auto"/>
                <w:sz w:val="24"/>
                <w:szCs w:val="28"/>
                <w:highlight w:val="none"/>
              </w:rPr>
            </w:pPr>
            <w:r>
              <w:rPr>
                <w:rFonts w:hint="eastAsia" w:ascii="宋体" w:hAnsi="宋体" w:eastAsia="宋体"/>
                <w:color w:val="auto"/>
                <w:sz w:val="24"/>
                <w:szCs w:val="18"/>
                <w:highlight w:val="none"/>
              </w:rPr>
              <w:t>供应商</w:t>
            </w:r>
            <w:r>
              <w:rPr>
                <w:rFonts w:hint="eastAsia" w:ascii="宋体" w:hAnsi="宋体" w:eastAsia="宋体" w:cs="宋体"/>
                <w:color w:val="auto"/>
                <w:sz w:val="24"/>
                <w:szCs w:val="24"/>
                <w:highlight w:val="none"/>
              </w:rPr>
              <w:t>信用记录</w:t>
            </w:r>
          </w:p>
        </w:tc>
        <w:tc>
          <w:tcPr>
            <w:tcW w:w="2600" w:type="pct"/>
            <w:tcBorders>
              <w:bottom w:val="single" w:color="auto" w:sz="4" w:space="0"/>
            </w:tcBorders>
            <w:vAlign w:val="center"/>
          </w:tcPr>
          <w:p w14:paraId="745791FA">
            <w:pPr>
              <w:spacing w:after="50" w:line="360" w:lineRule="auto"/>
              <w:ind w:right="-10"/>
              <w:jc w:val="left"/>
              <w:rPr>
                <w:color w:val="auto"/>
                <w:highlight w:val="none"/>
              </w:rPr>
            </w:pP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lang w:val="zh-CN" w:eastAsia="zh-CN"/>
              </w:rPr>
              <w:t>不得存在《</w:t>
            </w:r>
            <w:r>
              <w:rPr>
                <w:rFonts w:hint="eastAsia" w:ascii="宋体" w:hAnsi="宋体" w:eastAsia="宋体" w:cs="宋体"/>
                <w:sz w:val="24"/>
                <w:szCs w:val="24"/>
                <w:highlight w:val="none"/>
                <w:lang w:val="en-US" w:eastAsia="zh-CN"/>
              </w:rPr>
              <w:t>磋商邀请</w:t>
            </w:r>
            <w:r>
              <w:rPr>
                <w:rFonts w:hint="eastAsia" w:ascii="宋体" w:hAnsi="宋体" w:eastAsia="宋体" w:cs="宋体"/>
                <w:sz w:val="24"/>
                <w:szCs w:val="24"/>
                <w:highlight w:val="none"/>
                <w:lang w:val="zh-CN" w:eastAsia="zh-CN"/>
              </w:rPr>
              <w:t>》</w:t>
            </w:r>
            <w:r>
              <w:rPr>
                <w:rFonts w:hint="eastAsia" w:ascii="宋体" w:hAnsi="宋体" w:eastAsia="宋体" w:cs="宋体"/>
                <w:sz w:val="24"/>
                <w:szCs w:val="24"/>
                <w:highlight w:val="none"/>
                <w:lang w:val="en-US" w:eastAsia="zh-CN"/>
              </w:rPr>
              <w:t>中信誉要求和供应商</w:t>
            </w:r>
            <w:r>
              <w:rPr>
                <w:rFonts w:hint="eastAsia" w:ascii="宋体" w:hAnsi="宋体" w:eastAsia="宋体" w:cs="宋体"/>
                <w:sz w:val="24"/>
                <w:szCs w:val="24"/>
                <w:highlight w:val="none"/>
                <w:lang w:val="zh-CN" w:eastAsia="zh-CN"/>
              </w:rPr>
              <w:t>须知正文第1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val="zh-CN" w:eastAsia="zh-CN"/>
              </w:rPr>
              <w:t>.</w:t>
            </w:r>
            <w:r>
              <w:rPr>
                <w:rFonts w:hint="eastAsia" w:ascii="宋体" w:hAnsi="宋体" w:eastAsia="宋体" w:cs="宋体"/>
                <w:sz w:val="24"/>
                <w:szCs w:val="24"/>
                <w:highlight w:val="none"/>
                <w:lang w:val="en-US" w:eastAsia="zh-CN"/>
              </w:rPr>
              <w:t>3条中</w:t>
            </w:r>
            <w:r>
              <w:rPr>
                <w:rFonts w:hint="eastAsia" w:ascii="宋体" w:hAnsi="宋体" w:eastAsia="宋体" w:cs="宋体"/>
                <w:sz w:val="24"/>
                <w:szCs w:val="24"/>
                <w:highlight w:val="none"/>
                <w:lang w:val="zh-CN" w:eastAsia="zh-CN"/>
              </w:rPr>
              <w:t>的不良信用记录情形</w:t>
            </w:r>
          </w:p>
        </w:tc>
        <w:tc>
          <w:tcPr>
            <w:tcW w:w="1084" w:type="pct"/>
            <w:tcBorders>
              <w:bottom w:val="single" w:color="auto" w:sz="4" w:space="0"/>
            </w:tcBorders>
            <w:vAlign w:val="center"/>
          </w:tcPr>
          <w:p w14:paraId="45DD964D">
            <w:pPr>
              <w:spacing w:line="360" w:lineRule="auto"/>
              <w:jc w:val="left"/>
              <w:rPr>
                <w:color w:val="auto"/>
                <w:highlight w:val="none"/>
              </w:rPr>
            </w:pPr>
            <w:r>
              <w:rPr>
                <w:rFonts w:hint="eastAsia" w:ascii="宋体" w:hAnsi="宋体" w:eastAsia="宋体" w:cs="宋体"/>
                <w:color w:val="auto"/>
                <w:sz w:val="24"/>
                <w:szCs w:val="24"/>
                <w:highlight w:val="none"/>
              </w:rPr>
              <w:t>无须供应商提供，由采购人或采购代理机构查询。</w:t>
            </w:r>
          </w:p>
        </w:tc>
      </w:tr>
      <w:tr w14:paraId="2134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bottom w:val="single" w:color="auto" w:sz="4" w:space="0"/>
            </w:tcBorders>
            <w:vAlign w:val="center"/>
          </w:tcPr>
          <w:p w14:paraId="1ED2255B">
            <w:pPr>
              <w:adjustRightInd w:val="0"/>
              <w:snapToGrid w:val="0"/>
              <w:spacing w:line="360" w:lineRule="auto"/>
              <w:ind w:right="-10"/>
              <w:jc w:val="center"/>
              <w:rPr>
                <w:rFonts w:hint="eastAsia" w:ascii="宋体" w:hAnsi="宋体" w:eastAsia="宋体"/>
                <w:color w:val="auto"/>
                <w:sz w:val="24"/>
                <w:highlight w:val="none"/>
              </w:rPr>
            </w:pPr>
            <w:r>
              <w:rPr>
                <w:rFonts w:hint="eastAsia" w:ascii="宋体" w:hAnsi="宋体" w:eastAsia="宋体"/>
                <w:color w:val="auto"/>
                <w:sz w:val="24"/>
                <w:highlight w:val="none"/>
              </w:rPr>
              <w:t>4</w:t>
            </w:r>
          </w:p>
        </w:tc>
        <w:tc>
          <w:tcPr>
            <w:tcW w:w="942" w:type="pct"/>
            <w:tcBorders>
              <w:bottom w:val="single" w:color="auto" w:sz="4" w:space="0"/>
            </w:tcBorders>
            <w:vAlign w:val="center"/>
          </w:tcPr>
          <w:p w14:paraId="10C0379D">
            <w:pPr>
              <w:spacing w:after="50" w:line="360" w:lineRule="auto"/>
              <w:ind w:right="-10"/>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中小企业证明文件</w:t>
            </w:r>
          </w:p>
        </w:tc>
        <w:tc>
          <w:tcPr>
            <w:tcW w:w="2600" w:type="pct"/>
            <w:tcBorders>
              <w:bottom w:val="single" w:color="auto" w:sz="4" w:space="0"/>
            </w:tcBorders>
          </w:tcPr>
          <w:p w14:paraId="6E0A862D">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olor w:val="auto"/>
                <w:sz w:val="24"/>
                <w:szCs w:val="28"/>
                <w:highlight w:val="none"/>
              </w:rPr>
              <w:t>符合申请人的资格要求中落实政府采购政策需满足的资格要求：</w:t>
            </w:r>
          </w:p>
          <w:p w14:paraId="7B7BAC81">
            <w:pPr>
              <w:spacing w:after="50" w:line="360" w:lineRule="auto"/>
              <w:ind w:right="-10"/>
              <w:jc w:val="left"/>
              <w:rPr>
                <w:rFonts w:ascii="宋体" w:hAnsi="宋体" w:eastAsia="宋体" w:cs="宋体"/>
                <w:color w:val="auto"/>
                <w:sz w:val="24"/>
                <w:szCs w:val="24"/>
                <w:highlight w:val="none"/>
                <w:lang w:eastAsia="en-US"/>
              </w:rPr>
            </w:pPr>
            <w:r>
              <w:rPr>
                <w:rFonts w:hint="eastAsia" w:ascii="宋体" w:hAnsi="宋体" w:eastAsia="宋体" w:cs="宋体"/>
                <w:color w:val="auto"/>
                <w:sz w:val="24"/>
                <w:szCs w:val="24"/>
                <w:highlight w:val="none"/>
              </w:rPr>
              <w:t>专门面向中小企业采购的，供应商应提供《中小企业声明函》或《残疾人福利性单位声明函》或由省级以上监狱管理局、戒毒管理局（含新疆 生产建设兵团）出具的属于监狱企业的证明文件。</w:t>
            </w:r>
          </w:p>
        </w:tc>
        <w:tc>
          <w:tcPr>
            <w:tcW w:w="1084" w:type="pct"/>
            <w:tcBorders>
              <w:bottom w:val="single" w:color="auto" w:sz="4" w:space="0"/>
            </w:tcBorders>
            <w:vAlign w:val="center"/>
          </w:tcPr>
          <w:p w14:paraId="4D86BADF">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olor w:val="auto"/>
                <w:sz w:val="24"/>
                <w:highlight w:val="none"/>
              </w:rPr>
              <w:t>详见第六章响应文件格式。</w:t>
            </w:r>
          </w:p>
        </w:tc>
      </w:tr>
      <w:tr w14:paraId="68B8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bottom w:val="single" w:color="auto" w:sz="4" w:space="0"/>
            </w:tcBorders>
            <w:vAlign w:val="center"/>
          </w:tcPr>
          <w:p w14:paraId="0849BC18">
            <w:pPr>
              <w:adjustRightInd w:val="0"/>
              <w:snapToGrid w:val="0"/>
              <w:spacing w:line="360" w:lineRule="auto"/>
              <w:ind w:right="-1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5</w:t>
            </w:r>
          </w:p>
        </w:tc>
        <w:tc>
          <w:tcPr>
            <w:tcW w:w="942" w:type="pct"/>
            <w:tcBorders>
              <w:bottom w:val="single" w:color="auto" w:sz="4" w:space="0"/>
            </w:tcBorders>
            <w:shd w:val="clear" w:color="auto" w:fill="auto"/>
            <w:vAlign w:val="center"/>
          </w:tcPr>
          <w:p w14:paraId="1139186E">
            <w:pPr>
              <w:spacing w:after="50" w:line="360" w:lineRule="auto"/>
              <w:ind w:right="-10" w:rightChars="0"/>
              <w:rPr>
                <w:rFonts w:hint="eastAsia" w:ascii="宋体" w:hAnsi="宋体" w:eastAsia="宋体" w:cs="宋体"/>
                <w:color w:val="auto"/>
                <w:kern w:val="2"/>
                <w:sz w:val="24"/>
                <w:szCs w:val="24"/>
                <w:highlight w:val="none"/>
                <w:lang w:val="en-US" w:eastAsia="zh-CN" w:bidi="ar-SA"/>
              </w:rPr>
            </w:pPr>
            <w:r>
              <w:rPr>
                <w:rFonts w:ascii="宋体" w:hAnsi="宋体" w:eastAsia="宋体" w:cs="宋体"/>
                <w:color w:val="auto"/>
                <w:spacing w:val="10"/>
                <w:sz w:val="24"/>
                <w:szCs w:val="24"/>
                <w:highlight w:val="none"/>
              </w:rPr>
              <w:t>其它落实政府采</w:t>
            </w:r>
            <w:r>
              <w:rPr>
                <w:rFonts w:ascii="宋体" w:hAnsi="宋体" w:eastAsia="宋体" w:cs="宋体"/>
                <w:color w:val="auto"/>
                <w:spacing w:val="11"/>
                <w:sz w:val="24"/>
                <w:szCs w:val="24"/>
                <w:highlight w:val="none"/>
              </w:rPr>
              <w:t>购政策的资格要</w:t>
            </w:r>
            <w:r>
              <w:rPr>
                <w:rFonts w:ascii="宋体" w:hAnsi="宋体" w:eastAsia="宋体" w:cs="宋体"/>
                <w:color w:val="auto"/>
                <w:sz w:val="24"/>
                <w:szCs w:val="24"/>
                <w:highlight w:val="none"/>
              </w:rPr>
              <w:t>求</w:t>
            </w:r>
          </w:p>
        </w:tc>
        <w:tc>
          <w:tcPr>
            <w:tcW w:w="2600" w:type="pct"/>
            <w:tcBorders>
              <w:bottom w:val="single" w:color="auto" w:sz="4" w:space="0"/>
            </w:tcBorders>
            <w:shd w:val="clear" w:color="auto" w:fill="auto"/>
            <w:vAlign w:val="center"/>
          </w:tcPr>
          <w:p w14:paraId="14EB6BDC">
            <w:pPr>
              <w:spacing w:after="50" w:line="360" w:lineRule="auto"/>
              <w:ind w:right="-10" w:rightChars="0"/>
              <w:jc w:val="left"/>
              <w:rPr>
                <w:rFonts w:ascii="宋体" w:hAnsi="宋体" w:eastAsia="宋体" w:cs="宋体"/>
                <w:color w:val="auto"/>
                <w:kern w:val="2"/>
                <w:sz w:val="24"/>
                <w:szCs w:val="24"/>
                <w:highlight w:val="none"/>
                <w:lang w:val="en-US" w:eastAsia="zh-CN" w:bidi="ar-SA"/>
              </w:rPr>
            </w:pPr>
            <w:r>
              <w:rPr>
                <w:rFonts w:ascii="宋体" w:hAnsi="宋体" w:eastAsia="宋体" w:cs="宋体"/>
                <w:color w:val="auto"/>
                <w:spacing w:val="-2"/>
                <w:sz w:val="24"/>
                <w:szCs w:val="24"/>
                <w:highlight w:val="none"/>
              </w:rPr>
              <w:t>如有，见第一章《</w:t>
            </w:r>
            <w:r>
              <w:rPr>
                <w:rFonts w:hint="eastAsia" w:ascii="宋体" w:hAnsi="宋体" w:eastAsia="宋体" w:cs="宋体"/>
                <w:color w:val="auto"/>
                <w:spacing w:val="-2"/>
                <w:sz w:val="24"/>
                <w:szCs w:val="24"/>
                <w:highlight w:val="none"/>
              </w:rPr>
              <w:t>磋商</w:t>
            </w:r>
            <w:r>
              <w:rPr>
                <w:rFonts w:ascii="宋体" w:hAnsi="宋体" w:eastAsia="宋体" w:cs="宋体"/>
                <w:color w:val="auto"/>
                <w:spacing w:val="-2"/>
                <w:sz w:val="24"/>
                <w:szCs w:val="24"/>
                <w:highlight w:val="none"/>
              </w:rPr>
              <w:t>邀请》</w:t>
            </w:r>
          </w:p>
        </w:tc>
        <w:tc>
          <w:tcPr>
            <w:tcW w:w="1084" w:type="pct"/>
            <w:tcBorders>
              <w:bottom w:val="single" w:color="auto" w:sz="4" w:space="0"/>
            </w:tcBorders>
            <w:shd w:val="clear" w:color="auto" w:fill="auto"/>
            <w:vAlign w:val="center"/>
          </w:tcPr>
          <w:p w14:paraId="3A3B3AA8">
            <w:pPr>
              <w:spacing w:after="50" w:line="360" w:lineRule="auto"/>
              <w:ind w:right="-10" w:rightChars="0"/>
              <w:jc w:val="left"/>
              <w:rPr>
                <w:rFonts w:hint="eastAsia" w:ascii="宋体" w:hAnsi="宋体" w:eastAsia="宋体" w:cs="@仿宋_GB2312"/>
                <w:color w:val="auto"/>
                <w:kern w:val="2"/>
                <w:sz w:val="24"/>
                <w:highlight w:val="none"/>
                <w:lang w:val="en-US" w:eastAsia="zh-CN" w:bidi="ar-SA"/>
              </w:rPr>
            </w:pPr>
            <w:r>
              <w:rPr>
                <w:rFonts w:hint="eastAsia" w:ascii="宋体" w:hAnsi="宋体" w:eastAsia="宋体" w:cs="宋体"/>
                <w:color w:val="auto"/>
                <w:sz w:val="24"/>
                <w:szCs w:val="24"/>
                <w:highlight w:val="none"/>
              </w:rPr>
              <w:t>提供材料扫描件或电子证照，应完整的体现出材料或电子证照全部内容。</w:t>
            </w:r>
          </w:p>
        </w:tc>
      </w:tr>
      <w:tr w14:paraId="1EDF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bottom w:val="single" w:color="auto" w:sz="4" w:space="0"/>
            </w:tcBorders>
            <w:vAlign w:val="center"/>
          </w:tcPr>
          <w:p w14:paraId="08F5261C">
            <w:pPr>
              <w:adjustRightInd w:val="0"/>
              <w:snapToGrid w:val="0"/>
              <w:spacing w:line="360" w:lineRule="auto"/>
              <w:ind w:right="-10"/>
              <w:jc w:val="center"/>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6</w:t>
            </w:r>
          </w:p>
        </w:tc>
        <w:tc>
          <w:tcPr>
            <w:tcW w:w="942" w:type="pct"/>
            <w:tcBorders>
              <w:bottom w:val="single" w:color="auto" w:sz="4" w:space="0"/>
            </w:tcBorders>
            <w:vAlign w:val="center"/>
          </w:tcPr>
          <w:p w14:paraId="4944CD5D">
            <w:pPr>
              <w:spacing w:after="50" w:line="360" w:lineRule="auto"/>
              <w:ind w:right="-10" w:rightChars="0"/>
              <w:jc w:val="center"/>
              <w:rPr>
                <w:rFonts w:hint="eastAsia" w:ascii="宋体" w:hAnsi="宋体" w:eastAsia="宋体" w:cs="宋体"/>
                <w:color w:val="auto"/>
                <w:sz w:val="24"/>
                <w:szCs w:val="24"/>
                <w:highlight w:val="none"/>
              </w:rPr>
            </w:pPr>
            <w:r>
              <w:rPr>
                <w:rFonts w:hint="eastAsia" w:ascii="宋体" w:hAnsi="宋体" w:eastAsia="宋体" w:cs="宋体"/>
                <w:spacing w:val="10"/>
                <w:sz w:val="24"/>
                <w:szCs w:val="24"/>
                <w:highlight w:val="none"/>
                <w:lang w:eastAsia="zh-CN"/>
              </w:rPr>
              <w:t>本项目的</w:t>
            </w:r>
            <w:r>
              <w:rPr>
                <w:rFonts w:ascii="宋体" w:hAnsi="宋体" w:eastAsia="宋体" w:cs="宋体"/>
                <w:spacing w:val="10"/>
                <w:sz w:val="24"/>
                <w:szCs w:val="24"/>
                <w:highlight w:val="none"/>
              </w:rPr>
              <w:t>特定资格要求</w:t>
            </w:r>
          </w:p>
        </w:tc>
        <w:tc>
          <w:tcPr>
            <w:tcW w:w="2600" w:type="pct"/>
            <w:tcBorders>
              <w:bottom w:val="single" w:color="auto" w:sz="4" w:space="0"/>
            </w:tcBorders>
            <w:vAlign w:val="center"/>
          </w:tcPr>
          <w:p w14:paraId="7EB64E78">
            <w:pPr>
              <w:spacing w:after="50" w:line="360" w:lineRule="auto"/>
              <w:ind w:right="-10" w:rightChars="0"/>
              <w:jc w:val="both"/>
              <w:rPr>
                <w:rFonts w:hint="eastAsia" w:ascii="宋体" w:hAnsi="宋体" w:eastAsia="宋体" w:cs="宋体"/>
                <w:color w:val="auto"/>
                <w:sz w:val="24"/>
                <w:szCs w:val="24"/>
                <w:highlight w:val="none"/>
              </w:rPr>
            </w:pPr>
            <w:r>
              <w:rPr>
                <w:rFonts w:hint="eastAsia" w:ascii="宋体" w:hAnsi="宋体" w:eastAsia="宋体" w:cs="宋体"/>
                <w:spacing w:val="10"/>
                <w:sz w:val="24"/>
                <w:szCs w:val="24"/>
                <w:highlight w:val="none"/>
                <w:lang w:val="en-US" w:eastAsia="zh-CN"/>
              </w:rPr>
              <w:t>如有，</w:t>
            </w:r>
            <w:r>
              <w:rPr>
                <w:rFonts w:ascii="宋体" w:hAnsi="宋体" w:eastAsia="宋体" w:cs="宋体"/>
                <w:spacing w:val="10"/>
                <w:sz w:val="24"/>
                <w:szCs w:val="24"/>
                <w:highlight w:val="none"/>
              </w:rPr>
              <w:t>见第一章《</w:t>
            </w:r>
            <w:r>
              <w:rPr>
                <w:rFonts w:hint="eastAsia" w:ascii="宋体" w:hAnsi="宋体" w:eastAsia="宋体" w:cs="宋体"/>
                <w:spacing w:val="10"/>
                <w:sz w:val="24"/>
                <w:szCs w:val="24"/>
                <w:highlight w:val="none"/>
                <w:lang w:val="en-US" w:eastAsia="zh-CN"/>
              </w:rPr>
              <w:t>磋商</w:t>
            </w:r>
            <w:r>
              <w:rPr>
                <w:rFonts w:ascii="宋体" w:hAnsi="宋体" w:eastAsia="宋体" w:cs="宋体"/>
                <w:spacing w:val="10"/>
                <w:sz w:val="24"/>
                <w:szCs w:val="24"/>
                <w:highlight w:val="none"/>
              </w:rPr>
              <w:t>邀请》</w:t>
            </w:r>
          </w:p>
        </w:tc>
        <w:tc>
          <w:tcPr>
            <w:tcW w:w="1084" w:type="pct"/>
            <w:tcBorders>
              <w:bottom w:val="single" w:color="auto" w:sz="4" w:space="0"/>
            </w:tcBorders>
            <w:vAlign w:val="center"/>
          </w:tcPr>
          <w:p w14:paraId="134288DF">
            <w:pPr>
              <w:spacing w:after="50" w:line="360" w:lineRule="auto"/>
              <w:ind w:right="-10" w:rightChars="0"/>
              <w:jc w:val="left"/>
              <w:rPr>
                <w:rFonts w:hint="eastAsia" w:ascii="宋体" w:hAnsi="宋体" w:eastAsia="宋体"/>
                <w:color w:val="auto"/>
                <w:sz w:val="24"/>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174C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7194B441">
            <w:pPr>
              <w:adjustRightInd w:val="0"/>
              <w:snapToGrid w:val="0"/>
              <w:spacing w:line="360" w:lineRule="auto"/>
              <w:ind w:right="-10"/>
              <w:jc w:val="center"/>
              <w:rPr>
                <w:rFonts w:hint="eastAsia" w:ascii="宋体" w:hAnsi="宋体" w:eastAsia="宋体"/>
                <w:color w:val="auto"/>
                <w:sz w:val="24"/>
                <w:highlight w:val="none"/>
                <w:lang w:eastAsia="zh-CN"/>
              </w:rPr>
            </w:pPr>
            <w:r>
              <w:rPr>
                <w:rFonts w:hint="eastAsia" w:ascii="宋体" w:hAnsi="宋体" w:eastAsia="宋体"/>
                <w:color w:val="auto"/>
                <w:sz w:val="24"/>
                <w:highlight w:val="none"/>
                <w:lang w:val="en-US" w:eastAsia="zh-CN"/>
              </w:rPr>
              <w:t>7</w:t>
            </w:r>
          </w:p>
        </w:tc>
        <w:tc>
          <w:tcPr>
            <w:tcW w:w="942" w:type="pct"/>
            <w:vAlign w:val="center"/>
          </w:tcPr>
          <w:p w14:paraId="3630853D">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磋商响应函</w:t>
            </w:r>
          </w:p>
        </w:tc>
        <w:tc>
          <w:tcPr>
            <w:tcW w:w="2600" w:type="pct"/>
            <w:vAlign w:val="center"/>
          </w:tcPr>
          <w:p w14:paraId="06E7C339">
            <w:pPr>
              <w:spacing w:after="50" w:line="360" w:lineRule="auto"/>
              <w:ind w:right="-10"/>
              <w:jc w:val="left"/>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格式、填写要求符合磋商文件规定并加盖供应商电子签章</w:t>
            </w:r>
          </w:p>
        </w:tc>
        <w:tc>
          <w:tcPr>
            <w:tcW w:w="1084" w:type="pct"/>
            <w:vAlign w:val="center"/>
          </w:tcPr>
          <w:p w14:paraId="29FBFD60">
            <w:pPr>
              <w:adjustRightInd w:val="0"/>
              <w:snapToGrid w:val="0"/>
              <w:spacing w:line="360" w:lineRule="auto"/>
              <w:ind w:right="-10"/>
              <w:jc w:val="left"/>
              <w:rPr>
                <w:rFonts w:asciiTheme="minorEastAsia" w:hAnsiTheme="minorEastAsia" w:eastAsiaTheme="minorEastAsia"/>
                <w:color w:val="auto"/>
                <w:sz w:val="24"/>
                <w:highlight w:val="none"/>
              </w:rPr>
            </w:pPr>
            <w:r>
              <w:rPr>
                <w:rFonts w:hint="eastAsia" w:ascii="宋体" w:hAnsi="宋体" w:eastAsia="宋体"/>
                <w:color w:val="auto"/>
                <w:sz w:val="24"/>
                <w:highlight w:val="none"/>
              </w:rPr>
              <w:t>详见第六章响应文件格式。</w:t>
            </w:r>
          </w:p>
        </w:tc>
      </w:tr>
      <w:tr w14:paraId="7FCD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29F57598">
            <w:pPr>
              <w:adjustRightInd w:val="0"/>
              <w:snapToGrid w:val="0"/>
              <w:spacing w:line="360" w:lineRule="auto"/>
              <w:ind w:right="-10"/>
              <w:jc w:val="center"/>
              <w:rPr>
                <w:rFonts w:hint="eastAsia" w:ascii="宋体" w:hAnsi="宋体" w:eastAsia="宋体"/>
                <w:color w:val="auto"/>
                <w:sz w:val="24"/>
                <w:highlight w:val="none"/>
                <w:lang w:eastAsia="zh-CN"/>
              </w:rPr>
            </w:pPr>
            <w:r>
              <w:rPr>
                <w:rFonts w:hint="eastAsia" w:ascii="宋体" w:hAnsi="宋体" w:eastAsia="宋体"/>
                <w:color w:val="auto"/>
                <w:sz w:val="24"/>
                <w:highlight w:val="none"/>
                <w:lang w:val="en-US" w:eastAsia="zh-CN"/>
              </w:rPr>
              <w:t>8</w:t>
            </w:r>
          </w:p>
        </w:tc>
        <w:tc>
          <w:tcPr>
            <w:tcW w:w="942" w:type="pct"/>
            <w:vAlign w:val="center"/>
          </w:tcPr>
          <w:p w14:paraId="2B9435D8">
            <w:pPr>
              <w:spacing w:after="50" w:line="360" w:lineRule="auto"/>
              <w:ind w:right="-10"/>
              <w:jc w:val="center"/>
              <w:rPr>
                <w:rFonts w:ascii="宋体" w:hAnsi="宋体" w:eastAsia="宋体" w:cs="宋体"/>
                <w:color w:val="auto"/>
                <w:spacing w:val="10"/>
                <w:sz w:val="24"/>
                <w:szCs w:val="24"/>
                <w:highlight w:val="none"/>
              </w:rPr>
            </w:pPr>
            <w:r>
              <w:rPr>
                <w:rFonts w:hint="eastAsia" w:asciiTheme="minorEastAsia" w:hAnsiTheme="minorEastAsia" w:eastAsiaTheme="minorEastAsia"/>
                <w:color w:val="auto"/>
                <w:sz w:val="24"/>
                <w:szCs w:val="28"/>
                <w:highlight w:val="none"/>
              </w:rPr>
              <w:t>授权书</w:t>
            </w:r>
          </w:p>
        </w:tc>
        <w:tc>
          <w:tcPr>
            <w:tcW w:w="2600" w:type="pct"/>
            <w:vAlign w:val="center"/>
          </w:tcPr>
          <w:p w14:paraId="2E8EE41B">
            <w:pPr>
              <w:spacing w:after="50" w:line="360" w:lineRule="auto"/>
              <w:ind w:right="-10"/>
              <w:jc w:val="left"/>
              <w:rPr>
                <w:rFonts w:ascii="宋体" w:hAnsi="宋体" w:eastAsia="宋体" w:cs="宋体"/>
                <w:color w:val="auto"/>
                <w:spacing w:val="10"/>
                <w:sz w:val="24"/>
                <w:szCs w:val="24"/>
                <w:highlight w:val="none"/>
              </w:rPr>
            </w:pPr>
            <w:r>
              <w:rPr>
                <w:rFonts w:hint="eastAsia" w:asciiTheme="minorEastAsia" w:hAnsiTheme="minorEastAsia" w:eastAsiaTheme="minorEastAsia"/>
                <w:color w:val="auto"/>
                <w:sz w:val="24"/>
                <w:szCs w:val="28"/>
                <w:highlight w:val="none"/>
              </w:rPr>
              <w:t>格式、填写要求符合</w:t>
            </w:r>
            <w:r>
              <w:rPr>
                <w:rFonts w:hint="eastAsia" w:ascii="宋体" w:hAnsi="宋体" w:eastAsia="宋体" w:cs="宋体"/>
                <w:color w:val="auto"/>
                <w:spacing w:val="10"/>
                <w:sz w:val="24"/>
                <w:szCs w:val="24"/>
                <w:highlight w:val="none"/>
              </w:rPr>
              <w:t>磋商</w:t>
            </w:r>
            <w:r>
              <w:rPr>
                <w:rFonts w:hint="eastAsia" w:asciiTheme="minorEastAsia" w:hAnsiTheme="minorEastAsia" w:eastAsiaTheme="minorEastAsia"/>
                <w:color w:val="auto"/>
                <w:sz w:val="24"/>
                <w:szCs w:val="28"/>
                <w:highlight w:val="none"/>
              </w:rPr>
              <w:t>文件规定并加盖</w:t>
            </w:r>
            <w:r>
              <w:rPr>
                <w:rFonts w:hint="eastAsia" w:asciiTheme="minorEastAsia" w:hAnsiTheme="minorEastAsia" w:eastAsiaTheme="minorEastAsia"/>
                <w:color w:val="auto"/>
                <w:sz w:val="24"/>
                <w:highlight w:val="none"/>
              </w:rPr>
              <w:t>供应商</w:t>
            </w:r>
            <w:r>
              <w:rPr>
                <w:rFonts w:hint="eastAsia" w:asciiTheme="minorEastAsia" w:hAnsiTheme="minorEastAsia" w:eastAsiaTheme="minorEastAsia"/>
                <w:color w:val="auto"/>
                <w:sz w:val="24"/>
                <w:szCs w:val="28"/>
                <w:highlight w:val="none"/>
              </w:rPr>
              <w:t>电子签章</w:t>
            </w:r>
          </w:p>
        </w:tc>
        <w:tc>
          <w:tcPr>
            <w:tcW w:w="1084" w:type="pct"/>
            <w:vAlign w:val="center"/>
          </w:tcPr>
          <w:p w14:paraId="4099BB60">
            <w:pPr>
              <w:adjustRightInd w:val="0"/>
              <w:snapToGrid w:val="0"/>
              <w:spacing w:line="360" w:lineRule="auto"/>
              <w:ind w:right="-10"/>
              <w:jc w:val="left"/>
              <w:rPr>
                <w:rFonts w:ascii="宋体" w:hAnsi="宋体" w:eastAsia="宋体" w:cs="宋体"/>
                <w:color w:val="auto"/>
                <w:sz w:val="24"/>
                <w:szCs w:val="24"/>
                <w:highlight w:val="none"/>
              </w:rPr>
            </w:pPr>
            <w:r>
              <w:rPr>
                <w:rFonts w:hint="eastAsia" w:asciiTheme="minorEastAsia" w:hAnsiTheme="minorEastAsia" w:eastAsiaTheme="minorEastAsia"/>
                <w:color w:val="auto"/>
                <w:sz w:val="24"/>
                <w:highlight w:val="none"/>
              </w:rPr>
              <w:t>法定代表人参加磋商的无需此件，提供身份证明即可。详见第六章响应文件格式。</w:t>
            </w:r>
          </w:p>
        </w:tc>
      </w:tr>
      <w:tr w14:paraId="7F23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48462D67">
            <w:pPr>
              <w:adjustRightInd w:val="0"/>
              <w:snapToGrid w:val="0"/>
              <w:spacing w:line="360" w:lineRule="auto"/>
              <w:ind w:right="-10"/>
              <w:jc w:val="center"/>
              <w:rPr>
                <w:rFonts w:hint="eastAsia" w:ascii="宋体" w:hAnsi="宋体" w:eastAsia="宋体"/>
                <w:color w:val="auto"/>
                <w:sz w:val="24"/>
                <w:highlight w:val="none"/>
                <w:lang w:eastAsia="zh-CN"/>
              </w:rPr>
            </w:pPr>
            <w:r>
              <w:rPr>
                <w:rFonts w:hint="eastAsia" w:ascii="宋体" w:hAnsi="宋体" w:eastAsia="宋体"/>
                <w:color w:val="auto"/>
                <w:sz w:val="24"/>
                <w:highlight w:val="none"/>
                <w:lang w:val="en-US" w:eastAsia="zh-CN"/>
              </w:rPr>
              <w:t>9</w:t>
            </w:r>
          </w:p>
        </w:tc>
        <w:tc>
          <w:tcPr>
            <w:tcW w:w="942" w:type="pct"/>
            <w:vAlign w:val="center"/>
          </w:tcPr>
          <w:p w14:paraId="72ADE6DE">
            <w:pPr>
              <w:spacing w:after="50" w:line="360" w:lineRule="auto"/>
              <w:ind w:right="-10"/>
              <w:jc w:val="center"/>
              <w:rPr>
                <w:rFonts w:ascii="宋体" w:hAnsi="宋体" w:eastAsia="宋体" w:cs="宋体"/>
                <w:color w:val="auto"/>
                <w:spacing w:val="10"/>
                <w:sz w:val="24"/>
                <w:szCs w:val="24"/>
                <w:highlight w:val="none"/>
              </w:rPr>
            </w:pPr>
            <w:r>
              <w:rPr>
                <w:rFonts w:hint="eastAsia" w:asciiTheme="minorEastAsia" w:hAnsiTheme="minorEastAsia" w:eastAsiaTheme="minorEastAsia"/>
                <w:color w:val="auto"/>
                <w:sz w:val="24"/>
                <w:szCs w:val="28"/>
                <w:highlight w:val="none"/>
              </w:rPr>
              <w:t>磋商报价</w:t>
            </w:r>
          </w:p>
        </w:tc>
        <w:tc>
          <w:tcPr>
            <w:tcW w:w="2600" w:type="pct"/>
            <w:vAlign w:val="center"/>
          </w:tcPr>
          <w:p w14:paraId="12F6F650">
            <w:pPr>
              <w:spacing w:after="50" w:line="360" w:lineRule="auto"/>
              <w:ind w:right="-10"/>
              <w:jc w:val="left"/>
              <w:rPr>
                <w:rFonts w:ascii="宋体" w:hAnsi="宋体" w:eastAsia="宋体" w:cs="宋体"/>
                <w:color w:val="auto"/>
                <w:spacing w:val="10"/>
                <w:sz w:val="24"/>
                <w:szCs w:val="24"/>
                <w:highlight w:val="none"/>
              </w:rPr>
            </w:pPr>
            <w:r>
              <w:rPr>
                <w:rFonts w:hint="eastAsia" w:asciiTheme="minorEastAsia" w:hAnsiTheme="minorEastAsia" w:eastAsiaTheme="minorEastAsia"/>
                <w:color w:val="auto"/>
                <w:sz w:val="24"/>
                <w:szCs w:val="28"/>
                <w:highlight w:val="none"/>
              </w:rPr>
              <w:t>符合</w:t>
            </w:r>
            <w:r>
              <w:rPr>
                <w:rFonts w:hint="eastAsia" w:ascii="宋体" w:hAnsi="宋体" w:eastAsia="宋体" w:cs="宋体"/>
                <w:color w:val="auto"/>
                <w:spacing w:val="10"/>
                <w:sz w:val="24"/>
                <w:szCs w:val="24"/>
                <w:highlight w:val="none"/>
              </w:rPr>
              <w:t>磋商</w:t>
            </w:r>
            <w:r>
              <w:rPr>
                <w:rFonts w:hint="eastAsia" w:asciiTheme="minorEastAsia" w:hAnsiTheme="minorEastAsia" w:eastAsiaTheme="minorEastAsia"/>
                <w:color w:val="auto"/>
                <w:sz w:val="24"/>
                <w:highlight w:val="none"/>
              </w:rPr>
              <w:t>文件供应商须知正文第9条要求</w:t>
            </w:r>
          </w:p>
        </w:tc>
        <w:tc>
          <w:tcPr>
            <w:tcW w:w="1084" w:type="pct"/>
            <w:vAlign w:val="center"/>
          </w:tcPr>
          <w:p w14:paraId="6C138528">
            <w:pPr>
              <w:adjustRightInd w:val="0"/>
              <w:snapToGrid w:val="0"/>
              <w:spacing w:line="360" w:lineRule="auto"/>
              <w:ind w:right="-10"/>
              <w:jc w:val="left"/>
              <w:rPr>
                <w:rFonts w:ascii="宋体" w:hAnsi="宋体" w:eastAsia="宋体" w:cs="宋体"/>
                <w:color w:val="auto"/>
                <w:sz w:val="24"/>
                <w:szCs w:val="24"/>
                <w:highlight w:val="none"/>
              </w:rPr>
            </w:pPr>
            <w:r>
              <w:rPr>
                <w:rFonts w:hint="eastAsia" w:asciiTheme="minorEastAsia" w:hAnsiTheme="minorEastAsia" w:eastAsiaTheme="minorEastAsia"/>
                <w:color w:val="auto"/>
                <w:sz w:val="24"/>
                <w:highlight w:val="none"/>
              </w:rPr>
              <w:t>详见第六章响应文件格式。</w:t>
            </w:r>
          </w:p>
        </w:tc>
      </w:tr>
      <w:tr w14:paraId="0954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1EBFC241">
            <w:pPr>
              <w:adjustRightInd w:val="0"/>
              <w:snapToGrid w:val="0"/>
              <w:spacing w:line="360" w:lineRule="auto"/>
              <w:ind w:right="-1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10</w:t>
            </w:r>
          </w:p>
        </w:tc>
        <w:tc>
          <w:tcPr>
            <w:tcW w:w="1651" w:type="dxa"/>
            <w:vAlign w:val="center"/>
          </w:tcPr>
          <w:p w14:paraId="1382A5C5">
            <w:pPr>
              <w:spacing w:after="50" w:line="360" w:lineRule="auto"/>
              <w:ind w:right="-10" w:rightChars="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sz w:val="24"/>
                <w:szCs w:val="28"/>
                <w:highlight w:val="none"/>
              </w:rPr>
              <w:t>诚信响应承诺书</w:t>
            </w:r>
          </w:p>
        </w:tc>
        <w:tc>
          <w:tcPr>
            <w:tcW w:w="4556" w:type="dxa"/>
            <w:vAlign w:val="center"/>
          </w:tcPr>
          <w:p w14:paraId="1F2C9DED">
            <w:pPr>
              <w:spacing w:after="50" w:line="360" w:lineRule="auto"/>
              <w:ind w:right="-10" w:rightChars="0"/>
              <w:jc w:val="left"/>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sz w:val="24"/>
                <w:szCs w:val="28"/>
                <w:highlight w:val="none"/>
              </w:rPr>
              <w:t>格式、填写要求符合磋商文件规定并加盖供应商电子签章</w:t>
            </w:r>
          </w:p>
        </w:tc>
        <w:tc>
          <w:tcPr>
            <w:tcW w:w="1903" w:type="dxa"/>
            <w:vAlign w:val="center"/>
          </w:tcPr>
          <w:p w14:paraId="6A9DECB6">
            <w:pPr>
              <w:spacing w:after="50" w:line="360" w:lineRule="auto"/>
              <w:ind w:right="-10" w:rightChars="0"/>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sz w:val="24"/>
                <w:szCs w:val="28"/>
                <w:highlight w:val="none"/>
              </w:rPr>
              <w:t>详见第六章响应文件格式。</w:t>
            </w:r>
          </w:p>
        </w:tc>
      </w:tr>
      <w:tr w14:paraId="2D6A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2B872AB6">
            <w:pPr>
              <w:adjustRightInd w:val="0"/>
              <w:snapToGrid w:val="0"/>
              <w:spacing w:line="360" w:lineRule="auto"/>
              <w:ind w:right="-1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11</w:t>
            </w:r>
          </w:p>
        </w:tc>
        <w:tc>
          <w:tcPr>
            <w:tcW w:w="1651" w:type="dxa"/>
            <w:vAlign w:val="center"/>
          </w:tcPr>
          <w:p w14:paraId="3C8F9CDB">
            <w:pPr>
              <w:spacing w:after="50" w:line="360" w:lineRule="auto"/>
              <w:ind w:right="-10" w:rightChars="0"/>
              <w:jc w:val="center"/>
              <w:rPr>
                <w:rFonts w:ascii="宋体" w:hAnsi="宋体" w:eastAsia="宋体" w:cs="宋体"/>
                <w:color w:val="auto"/>
                <w:spacing w:val="10"/>
                <w:sz w:val="24"/>
                <w:szCs w:val="24"/>
                <w:highlight w:val="none"/>
              </w:rPr>
            </w:pPr>
            <w:r>
              <w:rPr>
                <w:rFonts w:hint="eastAsia" w:asciiTheme="minorEastAsia" w:hAnsiTheme="minorEastAsia" w:eastAsiaTheme="minorEastAsia"/>
                <w:sz w:val="24"/>
                <w:szCs w:val="28"/>
                <w:highlight w:val="none"/>
              </w:rPr>
              <w:t>诚信履约承诺函</w:t>
            </w:r>
          </w:p>
        </w:tc>
        <w:tc>
          <w:tcPr>
            <w:tcW w:w="4556" w:type="dxa"/>
            <w:vAlign w:val="center"/>
          </w:tcPr>
          <w:p w14:paraId="79406986">
            <w:pPr>
              <w:spacing w:after="50" w:line="360" w:lineRule="auto"/>
              <w:ind w:right="-10" w:rightChars="0"/>
              <w:jc w:val="left"/>
              <w:rPr>
                <w:rFonts w:ascii="宋体" w:hAnsi="宋体" w:eastAsia="宋体" w:cs="宋体"/>
                <w:color w:val="auto"/>
                <w:spacing w:val="10"/>
                <w:sz w:val="24"/>
                <w:szCs w:val="24"/>
                <w:highlight w:val="none"/>
              </w:rPr>
            </w:pPr>
            <w:r>
              <w:rPr>
                <w:rFonts w:hint="eastAsia" w:asciiTheme="minorEastAsia" w:hAnsiTheme="minorEastAsia" w:eastAsiaTheme="minorEastAsia"/>
                <w:sz w:val="24"/>
                <w:szCs w:val="28"/>
                <w:highlight w:val="none"/>
              </w:rPr>
              <w:t>格式、填写要求符合磋商文件规定并加盖供应商电子签章</w:t>
            </w:r>
          </w:p>
        </w:tc>
        <w:tc>
          <w:tcPr>
            <w:tcW w:w="1903" w:type="dxa"/>
            <w:vAlign w:val="center"/>
          </w:tcPr>
          <w:p w14:paraId="5BFC2B29">
            <w:pPr>
              <w:spacing w:after="50" w:line="360" w:lineRule="auto"/>
              <w:ind w:right="-10" w:rightChars="0"/>
              <w:jc w:val="center"/>
              <w:rPr>
                <w:rFonts w:ascii="宋体" w:hAnsi="宋体" w:eastAsia="宋体" w:cs="宋体"/>
                <w:color w:val="auto"/>
                <w:sz w:val="24"/>
                <w:szCs w:val="24"/>
                <w:highlight w:val="none"/>
              </w:rPr>
            </w:pPr>
            <w:r>
              <w:rPr>
                <w:rFonts w:hint="eastAsia" w:asciiTheme="minorEastAsia" w:hAnsiTheme="minorEastAsia" w:eastAsiaTheme="minorEastAsia"/>
                <w:sz w:val="24"/>
                <w:szCs w:val="28"/>
                <w:highlight w:val="none"/>
              </w:rPr>
              <w:t>详见第六章响应文件格式。</w:t>
            </w:r>
          </w:p>
        </w:tc>
      </w:tr>
      <w:tr w14:paraId="0072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14:paraId="49470243">
            <w:pPr>
              <w:adjustRightInd w:val="0"/>
              <w:snapToGrid w:val="0"/>
              <w:spacing w:line="360" w:lineRule="auto"/>
              <w:ind w:right="-1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12</w:t>
            </w:r>
          </w:p>
        </w:tc>
        <w:tc>
          <w:tcPr>
            <w:tcW w:w="942" w:type="pct"/>
            <w:vAlign w:val="center"/>
          </w:tcPr>
          <w:p w14:paraId="3BDF5EF5">
            <w:pPr>
              <w:spacing w:after="50" w:line="360" w:lineRule="auto"/>
              <w:ind w:right="-10"/>
              <w:jc w:val="center"/>
              <w:rPr>
                <w:rFonts w:ascii="宋体" w:hAnsi="宋体" w:eastAsia="宋体" w:cs="宋体"/>
                <w:color w:val="auto"/>
                <w:spacing w:val="10"/>
                <w:sz w:val="24"/>
                <w:szCs w:val="24"/>
                <w:highlight w:val="none"/>
              </w:rPr>
            </w:pPr>
            <w:r>
              <w:rPr>
                <w:rFonts w:hint="eastAsia" w:asciiTheme="minorEastAsia" w:hAnsiTheme="minorEastAsia" w:eastAsiaTheme="minorEastAsia"/>
                <w:color w:val="auto"/>
                <w:sz w:val="24"/>
                <w:szCs w:val="28"/>
                <w:highlight w:val="none"/>
              </w:rPr>
              <w:t>其他要求</w:t>
            </w:r>
          </w:p>
        </w:tc>
        <w:tc>
          <w:tcPr>
            <w:tcW w:w="2600" w:type="pct"/>
            <w:vAlign w:val="center"/>
          </w:tcPr>
          <w:p w14:paraId="2362F3F6">
            <w:pPr>
              <w:spacing w:after="50" w:line="360" w:lineRule="auto"/>
              <w:ind w:right="-10"/>
              <w:jc w:val="left"/>
              <w:rPr>
                <w:rFonts w:ascii="宋体" w:hAnsi="宋体" w:eastAsia="宋体" w:cs="宋体"/>
                <w:color w:val="auto"/>
                <w:spacing w:val="10"/>
                <w:sz w:val="24"/>
                <w:szCs w:val="24"/>
                <w:highlight w:val="none"/>
              </w:rPr>
            </w:pPr>
            <w:r>
              <w:rPr>
                <w:rFonts w:hint="eastAsia" w:asciiTheme="minorEastAsia" w:hAnsiTheme="minorEastAsia" w:eastAsiaTheme="minorEastAsia"/>
                <w:color w:val="auto"/>
                <w:sz w:val="24"/>
                <w:szCs w:val="28"/>
                <w:highlight w:val="none"/>
              </w:rPr>
              <w:t>符合法律、行政法规规定的其他条件或磋商文件列明的其他实质性要求</w:t>
            </w:r>
          </w:p>
        </w:tc>
        <w:tc>
          <w:tcPr>
            <w:tcW w:w="1084" w:type="pct"/>
            <w:vAlign w:val="center"/>
          </w:tcPr>
          <w:p w14:paraId="5EA51122">
            <w:pPr>
              <w:adjustRightInd w:val="0"/>
              <w:snapToGrid w:val="0"/>
              <w:spacing w:line="360" w:lineRule="auto"/>
              <w:ind w:right="-10"/>
              <w:jc w:val="left"/>
              <w:rPr>
                <w:rFonts w:ascii="宋体" w:hAnsi="宋体" w:eastAsia="宋体" w:cs="宋体"/>
                <w:color w:val="auto"/>
                <w:sz w:val="24"/>
                <w:szCs w:val="24"/>
                <w:highlight w:val="none"/>
              </w:rPr>
            </w:pPr>
          </w:p>
        </w:tc>
      </w:tr>
    </w:tbl>
    <w:p w14:paraId="295FF43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初审指标通过标准：</w:t>
      </w:r>
      <w:r>
        <w:rPr>
          <w:rFonts w:hint="eastAsia" w:asciiTheme="minorEastAsia" w:hAnsiTheme="minorEastAsia" w:eastAsiaTheme="minorEastAsia"/>
          <w:color w:val="auto"/>
          <w:sz w:val="24"/>
          <w:highlight w:val="none"/>
        </w:rPr>
        <w:t>供应商必须通过初审表中的全部评审指标。</w:t>
      </w:r>
    </w:p>
    <w:p w14:paraId="67AA462D">
      <w:pPr>
        <w:spacing w:line="360" w:lineRule="auto"/>
        <w:ind w:firstLine="435"/>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2.2异常低价响应审查</w:t>
      </w:r>
    </w:p>
    <w:tbl>
      <w:tblPr>
        <w:tblStyle w:val="26"/>
        <w:tblW w:w="52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50"/>
        <w:gridCol w:w="4438"/>
        <w:gridCol w:w="2260"/>
      </w:tblGrid>
      <w:tr w14:paraId="6BF2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954" w:type="dxa"/>
            <w:gridSpan w:val="4"/>
            <w:tcBorders>
              <w:bottom w:val="single" w:color="auto" w:sz="4" w:space="0"/>
            </w:tcBorders>
            <w:vAlign w:val="center"/>
          </w:tcPr>
          <w:p w14:paraId="28816093">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s="Times New Roman"/>
                <w:b/>
                <w:bCs/>
                <w:color w:val="auto"/>
                <w:sz w:val="24"/>
                <w:highlight w:val="none"/>
              </w:rPr>
              <w:t>异常低价响应审查表</w:t>
            </w:r>
          </w:p>
        </w:tc>
      </w:tr>
      <w:tr w14:paraId="5EF4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bottom w:val="single" w:color="auto" w:sz="4" w:space="0"/>
            </w:tcBorders>
            <w:vAlign w:val="center"/>
          </w:tcPr>
          <w:p w14:paraId="65E2F2F0">
            <w:pPr>
              <w:spacing w:line="360" w:lineRule="auto"/>
              <w:jc w:val="center"/>
              <w:rPr>
                <w:rFonts w:ascii="宋体" w:hAnsi="宋体" w:eastAsia="宋体"/>
                <w:color w:val="auto"/>
                <w:sz w:val="24"/>
                <w:highlight w:val="none"/>
              </w:rPr>
            </w:pPr>
            <w:r>
              <w:rPr>
                <w:rFonts w:hint="eastAsia" w:ascii="宋体" w:hAnsi="宋体" w:eastAsia="宋体" w:cs="Times New Roman"/>
                <w:color w:val="auto"/>
                <w:sz w:val="24"/>
                <w:highlight w:val="none"/>
              </w:rPr>
              <w:t>序号</w:t>
            </w:r>
          </w:p>
        </w:tc>
        <w:tc>
          <w:tcPr>
            <w:tcW w:w="1450" w:type="dxa"/>
            <w:tcBorders>
              <w:bottom w:val="single" w:color="auto" w:sz="4" w:space="0"/>
            </w:tcBorders>
            <w:vAlign w:val="center"/>
          </w:tcPr>
          <w:p w14:paraId="32493D07">
            <w:pPr>
              <w:spacing w:line="360" w:lineRule="auto"/>
              <w:ind w:firstLine="240" w:firstLineChars="100"/>
              <w:jc w:val="center"/>
              <w:rPr>
                <w:rFonts w:ascii="宋体" w:hAnsi="宋体" w:eastAsia="宋体"/>
                <w:color w:val="auto"/>
                <w:szCs w:val="24"/>
                <w:highlight w:val="none"/>
              </w:rPr>
            </w:pPr>
            <w:r>
              <w:rPr>
                <w:rFonts w:hint="eastAsia" w:ascii="宋体" w:hAnsi="宋体" w:eastAsia="宋体" w:cs="Times New Roman"/>
                <w:color w:val="auto"/>
                <w:sz w:val="24"/>
                <w:highlight w:val="none"/>
              </w:rPr>
              <w:t>评审指标</w:t>
            </w:r>
          </w:p>
        </w:tc>
        <w:tc>
          <w:tcPr>
            <w:tcW w:w="4439" w:type="dxa"/>
            <w:tcBorders>
              <w:bottom w:val="single" w:color="auto" w:sz="4" w:space="0"/>
            </w:tcBorders>
            <w:vAlign w:val="center"/>
          </w:tcPr>
          <w:p w14:paraId="12335FBA">
            <w:pPr>
              <w:spacing w:line="360" w:lineRule="auto"/>
              <w:ind w:firstLine="240" w:firstLineChars="100"/>
              <w:jc w:val="center"/>
              <w:rPr>
                <w:rFonts w:ascii="宋体" w:hAnsi="宋体" w:eastAsia="宋体"/>
                <w:color w:val="auto"/>
                <w:sz w:val="24"/>
                <w:highlight w:val="none"/>
              </w:rPr>
            </w:pPr>
            <w:r>
              <w:rPr>
                <w:rFonts w:hint="eastAsia" w:ascii="宋体" w:hAnsi="宋体" w:eastAsia="宋体" w:cs="Times New Roman"/>
                <w:color w:val="auto"/>
                <w:sz w:val="24"/>
                <w:highlight w:val="none"/>
              </w:rPr>
              <w:t>评审标准</w:t>
            </w:r>
          </w:p>
        </w:tc>
        <w:tc>
          <w:tcPr>
            <w:tcW w:w="2260" w:type="dxa"/>
            <w:tcBorders>
              <w:bottom w:val="single" w:color="auto" w:sz="4" w:space="0"/>
            </w:tcBorders>
            <w:vAlign w:val="center"/>
          </w:tcPr>
          <w:p w14:paraId="4481B09B">
            <w:pPr>
              <w:spacing w:line="360" w:lineRule="auto"/>
              <w:jc w:val="center"/>
              <w:rPr>
                <w:rFonts w:ascii="宋体" w:hAnsi="宋体" w:eastAsia="宋体"/>
                <w:color w:val="auto"/>
                <w:sz w:val="24"/>
                <w:highlight w:val="none"/>
              </w:rPr>
            </w:pPr>
            <w:r>
              <w:rPr>
                <w:rFonts w:hint="eastAsia" w:ascii="宋体" w:hAnsi="宋体" w:eastAsia="宋体" w:cs="Times New Roman"/>
                <w:color w:val="auto"/>
                <w:sz w:val="24"/>
                <w:highlight w:val="none"/>
              </w:rPr>
              <w:t>格式及材料要求</w:t>
            </w:r>
          </w:p>
        </w:tc>
      </w:tr>
      <w:tr w14:paraId="4E31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805" w:type="dxa"/>
            <w:tcBorders>
              <w:bottom w:val="single" w:color="auto" w:sz="4" w:space="0"/>
            </w:tcBorders>
            <w:vAlign w:val="center"/>
          </w:tcPr>
          <w:p w14:paraId="38C27F31">
            <w:pPr>
              <w:spacing w:line="360" w:lineRule="auto"/>
              <w:ind w:firstLine="240" w:firstLineChars="100"/>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1450" w:type="dxa"/>
            <w:tcBorders>
              <w:bottom w:val="single" w:color="auto" w:sz="4" w:space="0"/>
            </w:tcBorders>
            <w:vAlign w:val="center"/>
          </w:tcPr>
          <w:p w14:paraId="03844D24">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highlight w:val="none"/>
              </w:rPr>
              <w:t>异常低价响应审查</w:t>
            </w:r>
          </w:p>
        </w:tc>
        <w:tc>
          <w:tcPr>
            <w:tcW w:w="4439" w:type="dxa"/>
            <w:tcBorders>
              <w:bottom w:val="single" w:color="auto" w:sz="4" w:space="0"/>
            </w:tcBorders>
            <w:vAlign w:val="center"/>
          </w:tcPr>
          <w:p w14:paraId="76A8F500">
            <w:pPr>
              <w:pStyle w:val="9"/>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（1）报价＜全部通过初审供应商响应报价平均值×</w:t>
            </w:r>
            <w:r>
              <w:rPr>
                <w:rFonts w:hint="eastAsia" w:ascii="宋体" w:hAnsi="宋体" w:eastAsia="宋体" w:cs="宋体"/>
                <w:color w:val="auto"/>
                <w:sz w:val="24"/>
                <w:szCs w:val="24"/>
                <w:highlight w:val="none"/>
                <w:u w:val="single"/>
                <w:lang w:val="en-US" w:eastAsia="zh-CN"/>
              </w:rPr>
              <w:t>50</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612E7D74">
            <w:pPr>
              <w:pStyle w:val="9"/>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（2）报价＜通过初审的次低报价供应商响应报价×</w:t>
            </w:r>
            <w:r>
              <w:rPr>
                <w:rFonts w:hint="eastAsia" w:ascii="宋体" w:hAnsi="宋体" w:eastAsia="宋体" w:cs="宋体"/>
                <w:color w:val="auto"/>
                <w:sz w:val="24"/>
                <w:szCs w:val="24"/>
                <w:highlight w:val="none"/>
                <w:u w:val="single"/>
                <w:lang w:val="en-US" w:eastAsia="zh-CN"/>
              </w:rPr>
              <w:t>50</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0D5ADB53">
            <w:pPr>
              <w:pStyle w:val="9"/>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（3）报价＜采购项目最高限价（如采购项目未设定最高限价的，以采购项目预算金额作为最高限价）×</w:t>
            </w:r>
            <w:r>
              <w:rPr>
                <w:rFonts w:hint="eastAsia" w:ascii="宋体" w:hAnsi="宋体" w:eastAsia="宋体" w:cs="宋体"/>
                <w:color w:val="auto"/>
                <w:sz w:val="24"/>
                <w:szCs w:val="24"/>
                <w:highlight w:val="none"/>
                <w:u w:val="single"/>
                <w:lang w:val="en-US" w:eastAsia="zh-CN"/>
              </w:rPr>
              <w:t>45</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310AA514">
            <w:pPr>
              <w:pStyle w:val="9"/>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（4）磋商小组基于专业判断，认为供应商报价过低，有可能影响产品质量或者不能诚信履约的其他情形。</w:t>
            </w:r>
          </w:p>
          <w:p w14:paraId="0774B5D3">
            <w:pPr>
              <w:pStyle w:val="9"/>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提醒：</w:t>
            </w:r>
          </w:p>
          <w:p w14:paraId="33B1C4C6">
            <w:pPr>
              <w:pStyle w:val="9"/>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（1）上述第（1）项数值计算：涉及总价、单价的精确到“分”并四舍五入，涉及费率的精确到小数点后两位，第三位四舍五入（例：如平均值为123.456元，即为123.46元；如平均值为80.126%，即为80.13%）。</w:t>
            </w:r>
          </w:p>
          <w:p w14:paraId="26B79019">
            <w:pPr>
              <w:pStyle w:val="9"/>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（2）上述报价均为供应商最后报价。</w:t>
            </w:r>
          </w:p>
        </w:tc>
        <w:tc>
          <w:tcPr>
            <w:tcW w:w="2260" w:type="dxa"/>
            <w:vAlign w:val="center"/>
          </w:tcPr>
          <w:p w14:paraId="436DC75C">
            <w:pPr>
              <w:spacing w:line="360" w:lineRule="auto"/>
              <w:ind w:firstLine="240" w:firstLineChars="100"/>
              <w:rPr>
                <w:rFonts w:ascii="宋体" w:hAnsi="宋体" w:eastAsia="宋体" w:cs="宋体"/>
                <w:color w:val="auto"/>
                <w:sz w:val="24"/>
                <w:highlight w:val="none"/>
              </w:rPr>
            </w:pPr>
            <w:r>
              <w:rPr>
                <w:rFonts w:hint="eastAsia" w:ascii="宋体" w:hAnsi="宋体" w:eastAsia="宋体" w:cs="宋体"/>
                <w:color w:val="auto"/>
                <w:sz w:val="24"/>
                <w:highlight w:val="none"/>
              </w:rPr>
              <w:t>供应商在评审现场合理的时间内对价格作出解释，提供项目具体成本测算等与报价合理性相关的书面说明及必要的证明材料，包括但不限于原材料成本、人工成本、制造费用等。</w:t>
            </w:r>
          </w:p>
        </w:tc>
      </w:tr>
    </w:tbl>
    <w:p w14:paraId="349D77F2">
      <w:pPr>
        <w:spacing w:line="360" w:lineRule="auto"/>
        <w:rPr>
          <w:rFonts w:ascii="宋体" w:hAnsi="宋体" w:eastAsia="宋体" w:cs="Arial"/>
          <w:color w:val="auto"/>
          <w:sz w:val="24"/>
          <w:highlight w:val="none"/>
        </w:rPr>
      </w:pPr>
      <w:r>
        <w:rPr>
          <w:rFonts w:hint="eastAsia" w:ascii="宋体" w:hAnsi="宋体" w:eastAsia="宋体" w:cs="Times New Roman"/>
          <w:color w:val="auto"/>
          <w:sz w:val="24"/>
          <w:highlight w:val="none"/>
        </w:rPr>
        <w:t>注：</w:t>
      </w:r>
    </w:p>
    <w:p w14:paraId="6E44A1D3">
      <w:pPr>
        <w:pStyle w:val="9"/>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磋商小组启动异常低价响应审查后，属于评审标准中第（1）项至第（4）项情形的，应当要求相关供应商在评审现场合理的时间内（不少于30分钟）对响应价格作出解释，提供项目具体成本测算等与报价合理性相关的书面说明及必要的证明材料，包括但不限于原材料成本、人工成本、制造费用等。其中，属于第（3）项情形，供应商已随响应文件一并提交相关书面说明及必要的证明材料的，在评审现场可不再重复提交。</w:t>
      </w:r>
    </w:p>
    <w:p w14:paraId="6B663FEF">
      <w:pPr>
        <w:pStyle w:val="9"/>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 xml:space="preserve">磋商小组依据专业经验，参考同类项目中标（成交）价格、类似产品市场价格水平、行业人工费用标准、国家有关部门指导行业协会发布的行业平均成本等情况，对报价合理性进行判断。供应商不能提供书面说明、证明材料，或者提供的书面说明、证明材料不能证明其报价合理性的，磋商小组应当将其作为无效响应处理。 </w:t>
      </w:r>
    </w:p>
    <w:p w14:paraId="3B9D632F">
      <w:pPr>
        <w:pStyle w:val="9"/>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磋商小组借助互联网等渠道查询相关信息的，应当严格遵守评审工作纪律，不得实施影响评审公正的行为。异常低价响应审查的启动原因、审查意见和审查结果应当在评审报告中记录，并随供应商提供的相关书面说明及证明材料，以及磋商小组有关互联网浏览、查询历史一并归档。</w:t>
      </w:r>
    </w:p>
    <w:p w14:paraId="3F5A51F8">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2.3综合评分</w:t>
      </w:r>
    </w:p>
    <w:p w14:paraId="73FC15E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磋商小组按照下表对</w:t>
      </w:r>
      <w:r>
        <w:rPr>
          <w:rFonts w:hint="eastAsia" w:ascii="宋体" w:hAnsi="宋体" w:eastAsia="宋体"/>
          <w:color w:val="auto"/>
          <w:sz w:val="24"/>
          <w:highlight w:val="none"/>
        </w:rPr>
        <w:t>进入综合评分的所有供应商的</w:t>
      </w:r>
      <w:r>
        <w:rPr>
          <w:rFonts w:hint="eastAsia" w:asciiTheme="minorEastAsia" w:hAnsiTheme="minorEastAsia" w:eastAsiaTheme="minorEastAsia"/>
          <w:color w:val="auto"/>
          <w:sz w:val="24"/>
          <w:highlight w:val="none"/>
        </w:rPr>
        <w:t>响应文件进行综合评分。</w:t>
      </w:r>
    </w:p>
    <w:p w14:paraId="1552CE10">
      <w:pPr>
        <w:spacing w:line="360" w:lineRule="auto"/>
        <w:ind w:firstLine="435"/>
        <w:rPr>
          <w:color w:val="auto"/>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分，其中：技术资信分值占总分值的权重为</w:t>
      </w:r>
      <w:r>
        <w:rPr>
          <w:rFonts w:hint="eastAsia" w:asciiTheme="minorEastAsia" w:hAnsiTheme="minorEastAsia" w:eastAsiaTheme="minorEastAsia"/>
          <w:color w:val="auto"/>
          <w:sz w:val="24"/>
          <w:highlight w:val="none"/>
          <w:u w:val="single"/>
          <w:lang w:val="en-US" w:eastAsia="zh-CN"/>
        </w:rPr>
        <w:t>90</w:t>
      </w:r>
      <w:r>
        <w:rPr>
          <w:rFonts w:asciiTheme="minorEastAsia" w:hAnsiTheme="minorEastAsia" w:eastAsiaTheme="minorEastAsia"/>
          <w:color w:val="auto"/>
          <w:sz w:val="24"/>
          <w:highlight w:val="none"/>
        </w:rPr>
        <w:t>%，价格分值占总分值的权重为</w:t>
      </w:r>
      <w:r>
        <w:rPr>
          <w:rFonts w:hint="eastAsia" w:asciiTheme="minorEastAsia" w:hAnsiTheme="minorEastAsia" w:eastAsiaTheme="minorEastAsia"/>
          <w:color w:val="auto"/>
          <w:sz w:val="24"/>
          <w:highlight w:val="none"/>
          <w:u w:val="single"/>
          <w:lang w:val="en-US" w:eastAsia="zh-CN"/>
        </w:rPr>
        <w:t>10</w:t>
      </w:r>
      <w:r>
        <w:rPr>
          <w:rFonts w:asciiTheme="minorEastAsia" w:hAnsiTheme="minorEastAsia" w:eastAsiaTheme="minorEastAsia"/>
          <w:color w:val="auto"/>
          <w:sz w:val="24"/>
          <w:highlight w:val="none"/>
        </w:rPr>
        <w:t>%。具体评分细则如下：</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1720"/>
        <w:gridCol w:w="3745"/>
        <w:gridCol w:w="1582"/>
      </w:tblGrid>
      <w:tr w14:paraId="3FF7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65" w:type="pct"/>
            <w:tcBorders>
              <w:top w:val="single" w:color="auto" w:sz="4" w:space="0"/>
              <w:left w:val="single" w:color="auto" w:sz="4" w:space="0"/>
              <w:bottom w:val="single" w:color="auto" w:sz="4" w:space="0"/>
              <w:right w:val="single" w:color="auto" w:sz="4" w:space="0"/>
            </w:tcBorders>
            <w:vAlign w:val="center"/>
          </w:tcPr>
          <w:p w14:paraId="1AC61FEF">
            <w:pPr>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类别</w:t>
            </w:r>
          </w:p>
        </w:tc>
        <w:tc>
          <w:tcPr>
            <w:tcW w:w="1009" w:type="pct"/>
            <w:tcBorders>
              <w:top w:val="single" w:color="auto" w:sz="4" w:space="0"/>
              <w:left w:val="single" w:color="auto" w:sz="4" w:space="0"/>
              <w:bottom w:val="single" w:color="auto" w:sz="4" w:space="0"/>
              <w:right w:val="single" w:color="auto" w:sz="4" w:space="0"/>
            </w:tcBorders>
            <w:vAlign w:val="center"/>
          </w:tcPr>
          <w:p w14:paraId="68604C97">
            <w:pPr>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评分内容</w:t>
            </w:r>
          </w:p>
        </w:tc>
        <w:tc>
          <w:tcPr>
            <w:tcW w:w="2197" w:type="pct"/>
            <w:tcBorders>
              <w:top w:val="single" w:color="auto" w:sz="4" w:space="0"/>
              <w:left w:val="single" w:color="auto" w:sz="4" w:space="0"/>
              <w:bottom w:val="single" w:color="auto" w:sz="4" w:space="0"/>
              <w:right w:val="single" w:color="auto" w:sz="4" w:space="0"/>
            </w:tcBorders>
            <w:vAlign w:val="center"/>
          </w:tcPr>
          <w:p w14:paraId="4CB34534">
            <w:pPr>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评分标准</w:t>
            </w:r>
          </w:p>
        </w:tc>
        <w:tc>
          <w:tcPr>
            <w:tcW w:w="928" w:type="pct"/>
            <w:tcBorders>
              <w:top w:val="single" w:color="auto" w:sz="4" w:space="0"/>
              <w:left w:val="single" w:color="auto" w:sz="4" w:space="0"/>
              <w:bottom w:val="single" w:color="auto" w:sz="4" w:space="0"/>
              <w:right w:val="single" w:color="auto" w:sz="4" w:space="0"/>
            </w:tcBorders>
            <w:vAlign w:val="center"/>
          </w:tcPr>
          <w:p w14:paraId="13B7A2F0">
            <w:pPr>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分值范围</w:t>
            </w:r>
          </w:p>
        </w:tc>
      </w:tr>
      <w:tr w14:paraId="2D7E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tcBorders>
              <w:top w:val="single" w:color="auto" w:sz="4" w:space="0"/>
              <w:left w:val="single" w:color="auto" w:sz="4" w:space="0"/>
              <w:right w:val="single" w:color="auto" w:sz="4" w:space="0"/>
            </w:tcBorders>
            <w:vAlign w:val="center"/>
          </w:tcPr>
          <w:p w14:paraId="0301DC2B">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技术资信分</w:t>
            </w:r>
          </w:p>
          <w:p w14:paraId="67F72AA2">
            <w:pPr>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lang w:val="en-US" w:eastAsia="zh-CN"/>
              </w:rPr>
              <w:t>90</w:t>
            </w:r>
            <w:r>
              <w:rPr>
                <w:rFonts w:hint="eastAsia" w:asciiTheme="minorEastAsia" w:hAnsiTheme="minorEastAsia" w:eastAsiaTheme="minorEastAsia"/>
                <w:color w:val="auto"/>
                <w:sz w:val="24"/>
                <w:highlight w:val="none"/>
              </w:rPr>
              <w:t>分）</w:t>
            </w:r>
          </w:p>
        </w:tc>
        <w:tc>
          <w:tcPr>
            <w:tcW w:w="4134" w:type="pct"/>
            <w:gridSpan w:val="3"/>
            <w:tcBorders>
              <w:top w:val="single" w:color="auto" w:sz="4" w:space="0"/>
              <w:left w:val="single" w:color="auto" w:sz="4" w:space="0"/>
              <w:bottom w:val="single" w:color="auto" w:sz="4" w:space="0"/>
              <w:right w:val="single" w:color="auto" w:sz="4" w:space="0"/>
            </w:tcBorders>
            <w:vAlign w:val="center"/>
          </w:tcPr>
          <w:p w14:paraId="39EB73CB">
            <w:pPr>
              <w:spacing w:line="400" w:lineRule="exact"/>
              <w:jc w:val="center"/>
              <w:rPr>
                <w:rFonts w:hint="eastAsia" w:asciiTheme="minorEastAsia" w:hAnsiTheme="minorEastAsia" w:eastAsiaTheme="minorEastAsia"/>
                <w:b/>
                <w:bCs/>
                <w:color w:val="auto"/>
                <w:sz w:val="24"/>
                <w:highlight w:val="none"/>
                <w:lang w:val="en-US" w:eastAsia="zh-CN"/>
              </w:rPr>
            </w:pPr>
            <w:r>
              <w:rPr>
                <w:rFonts w:hint="eastAsia" w:asciiTheme="minorEastAsia" w:hAnsiTheme="minorEastAsia" w:eastAsiaTheme="minorEastAsia"/>
                <w:b/>
                <w:bCs/>
                <w:color w:val="auto"/>
                <w:sz w:val="24"/>
                <w:highlight w:val="none"/>
                <w:lang w:val="en-US" w:eastAsia="zh-CN"/>
              </w:rPr>
              <w:t>资信部分</w:t>
            </w:r>
          </w:p>
        </w:tc>
      </w:tr>
      <w:tr w14:paraId="38C9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7EB8AEAE">
            <w:pPr>
              <w:spacing w:line="360" w:lineRule="auto"/>
              <w:jc w:val="center"/>
              <w:rPr>
                <w:rFonts w:asciiTheme="minorEastAsia" w:hAnsiTheme="minorEastAsia" w:eastAsiaTheme="minorEastAsia"/>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505077D9">
            <w:pPr>
              <w:spacing w:line="360" w:lineRule="auto"/>
              <w:jc w:val="center"/>
              <w:rPr>
                <w:rFonts w:hint="eastAsia" w:asciiTheme="minorEastAsia" w:hAnsiTheme="minorEastAsia" w:eastAsiaTheme="minorEastAsia"/>
                <w:sz w:val="24"/>
                <w:szCs w:val="24"/>
                <w:highlight w:val="none"/>
                <w:lang w:val="en-US" w:eastAsia="zh-CN"/>
              </w:rPr>
            </w:pPr>
            <w:r>
              <w:rPr>
                <w:rFonts w:hint="eastAsia" w:asciiTheme="minorEastAsia" w:hAnsiTheme="minorEastAsia" w:eastAsiaTheme="minorEastAsia"/>
                <w:bCs/>
                <w:color w:val="auto"/>
                <w:sz w:val="24"/>
                <w:highlight w:val="none"/>
                <w:lang w:val="en-US" w:eastAsia="zh-CN"/>
              </w:rPr>
              <w:t>1.供应商业绩</w:t>
            </w:r>
          </w:p>
        </w:tc>
        <w:tc>
          <w:tcPr>
            <w:tcW w:w="2197" w:type="pct"/>
            <w:tcBorders>
              <w:top w:val="single" w:color="auto" w:sz="4" w:space="0"/>
              <w:left w:val="single" w:color="auto" w:sz="4" w:space="0"/>
              <w:bottom w:val="single" w:color="auto" w:sz="4" w:space="0"/>
              <w:right w:val="single" w:color="auto" w:sz="4" w:space="0"/>
            </w:tcBorders>
            <w:vAlign w:val="center"/>
          </w:tcPr>
          <w:p w14:paraId="71BD704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highlight w:val="none"/>
                <w:lang w:val="zh-CN" w:bidi="ar"/>
              </w:rPr>
            </w:pPr>
            <w:r>
              <w:rPr>
                <w:rFonts w:hint="eastAsia" w:ascii="宋体" w:hAnsi="宋体" w:eastAsia="宋体" w:cs="宋体"/>
                <w:sz w:val="24"/>
                <w:szCs w:val="24"/>
                <w:highlight w:val="none"/>
                <w:lang w:bidi="ar"/>
              </w:rPr>
              <w:t>自202</w:t>
            </w:r>
            <w:r>
              <w:rPr>
                <w:rFonts w:hint="eastAsia" w:ascii="宋体" w:hAnsi="宋体" w:eastAsia="宋体" w:cs="宋体"/>
                <w:sz w:val="24"/>
                <w:szCs w:val="24"/>
                <w:highlight w:val="none"/>
                <w:lang w:val="en-US" w:eastAsia="zh-CN" w:bidi="ar"/>
              </w:rPr>
              <w:t>3</w:t>
            </w:r>
            <w:r>
              <w:rPr>
                <w:rFonts w:hint="eastAsia" w:ascii="宋体" w:hAnsi="宋体" w:eastAsia="宋体" w:cs="宋体"/>
                <w:sz w:val="24"/>
                <w:szCs w:val="24"/>
                <w:highlight w:val="none"/>
                <w:lang w:bidi="ar"/>
              </w:rPr>
              <w:t>年1月1日</w:t>
            </w:r>
            <w:r>
              <w:rPr>
                <w:rFonts w:hint="eastAsia" w:ascii="宋体" w:hAnsi="宋体" w:eastAsia="宋体" w:cs="宋体"/>
                <w:sz w:val="24"/>
                <w:highlight w:val="none"/>
                <w:lang w:val="en-US" w:eastAsia="zh-CN"/>
              </w:rPr>
              <w:t>至</w:t>
            </w:r>
            <w:r>
              <w:rPr>
                <w:rFonts w:hint="eastAsia" w:ascii="宋体" w:hAnsi="宋体" w:eastAsia="宋体" w:cs="宋体"/>
                <w:bCs/>
                <w:sz w:val="24"/>
                <w:szCs w:val="24"/>
                <w:highlight w:val="none"/>
                <w:lang w:bidi="ar"/>
              </w:rPr>
              <w:t>首次响应文件</w:t>
            </w:r>
            <w:r>
              <w:rPr>
                <w:rFonts w:hint="eastAsia" w:ascii="宋体" w:hAnsi="宋体" w:eastAsia="宋体" w:cs="宋体"/>
                <w:bCs/>
                <w:sz w:val="24"/>
                <w:szCs w:val="24"/>
                <w:highlight w:val="none"/>
                <w:lang w:val="en-US" w:eastAsia="zh-CN" w:bidi="ar"/>
              </w:rPr>
              <w:t>递交</w:t>
            </w:r>
            <w:r>
              <w:rPr>
                <w:rFonts w:hint="eastAsia" w:ascii="宋体" w:hAnsi="宋体" w:eastAsia="宋体" w:cs="宋体"/>
                <w:bCs/>
                <w:sz w:val="24"/>
                <w:szCs w:val="24"/>
                <w:highlight w:val="none"/>
                <w:lang w:bidi="ar"/>
              </w:rPr>
              <w:t>截日</w:t>
            </w:r>
            <w:r>
              <w:rPr>
                <w:rFonts w:hint="eastAsia" w:ascii="宋体" w:hAnsi="宋体" w:eastAsia="宋体" w:cs="宋体"/>
                <w:sz w:val="24"/>
                <w:szCs w:val="24"/>
                <w:highlight w:val="none"/>
                <w:lang w:bidi="ar"/>
              </w:rPr>
              <w:t>（以合同签订时间为准）</w:t>
            </w:r>
            <w:r>
              <w:rPr>
                <w:rFonts w:hint="eastAsia" w:ascii="宋体" w:hAnsi="宋体" w:eastAsia="宋体" w:cs="宋体"/>
                <w:sz w:val="24"/>
                <w:szCs w:val="24"/>
                <w:highlight w:val="none"/>
                <w:lang w:val="zh-CN" w:bidi="ar"/>
              </w:rPr>
              <w:t>，</w:t>
            </w:r>
            <w:r>
              <w:rPr>
                <w:rFonts w:hint="eastAsia" w:ascii="宋体" w:hAnsi="宋体" w:eastAsia="宋体" w:cs="宋体"/>
                <w:sz w:val="24"/>
                <w:szCs w:val="24"/>
                <w:highlight w:val="none"/>
                <w:lang w:bidi="ar"/>
              </w:rPr>
              <w:t>供应商</w:t>
            </w:r>
            <w:r>
              <w:rPr>
                <w:rFonts w:hint="eastAsia" w:ascii="宋体" w:hAnsi="宋体" w:eastAsia="宋体" w:cs="宋体"/>
                <w:sz w:val="24"/>
                <w:szCs w:val="24"/>
                <w:highlight w:val="none"/>
                <w:lang w:val="en-US" w:eastAsia="zh-CN" w:bidi="ar"/>
              </w:rPr>
              <w:t>具有</w:t>
            </w:r>
            <w:r>
              <w:rPr>
                <w:rFonts w:hint="eastAsia" w:ascii="宋体" w:hAnsi="宋体" w:eastAsia="宋体" w:cs="宋体"/>
                <w:kern w:val="2"/>
                <w:sz w:val="24"/>
                <w:szCs w:val="24"/>
                <w:highlight w:val="none"/>
                <w:lang w:val="en-US" w:eastAsia="zh-CN" w:bidi="ar-SA"/>
              </w:rPr>
              <w:t>城市阅读空间或公共图书馆运营业绩</w:t>
            </w:r>
            <w:r>
              <w:rPr>
                <w:rFonts w:hint="eastAsia" w:ascii="宋体" w:hAnsi="宋体" w:eastAsia="宋体" w:cs="宋体"/>
                <w:sz w:val="24"/>
                <w:szCs w:val="24"/>
                <w:highlight w:val="none"/>
                <w:lang w:val="zh-CN" w:bidi="ar"/>
              </w:rPr>
              <w:t>，每提供一个得</w:t>
            </w:r>
            <w:r>
              <w:rPr>
                <w:rFonts w:hint="eastAsia" w:ascii="宋体" w:hAnsi="宋体" w:eastAsia="宋体" w:cs="宋体"/>
                <w:sz w:val="24"/>
                <w:szCs w:val="24"/>
                <w:highlight w:val="none"/>
                <w:lang w:bidi="ar"/>
              </w:rPr>
              <w:t>2</w:t>
            </w:r>
            <w:r>
              <w:rPr>
                <w:rFonts w:hint="eastAsia" w:ascii="宋体" w:hAnsi="宋体" w:eastAsia="宋体" w:cs="宋体"/>
                <w:sz w:val="24"/>
                <w:szCs w:val="24"/>
                <w:highlight w:val="none"/>
                <w:lang w:val="zh-CN" w:bidi="ar"/>
              </w:rPr>
              <w:t>分，其他的不得分，最高得</w:t>
            </w:r>
            <w:r>
              <w:rPr>
                <w:rFonts w:hint="eastAsia" w:ascii="宋体" w:hAnsi="宋体" w:eastAsia="宋体" w:cs="宋体"/>
                <w:sz w:val="24"/>
                <w:szCs w:val="24"/>
                <w:highlight w:val="none"/>
                <w:lang w:bidi="ar"/>
              </w:rPr>
              <w:t>4</w:t>
            </w:r>
            <w:r>
              <w:rPr>
                <w:rFonts w:hint="eastAsia" w:ascii="宋体" w:hAnsi="宋体" w:eastAsia="宋体" w:cs="宋体"/>
                <w:sz w:val="24"/>
                <w:szCs w:val="24"/>
                <w:highlight w:val="none"/>
                <w:lang w:val="zh-CN" w:bidi="ar"/>
              </w:rPr>
              <w:t>分。</w:t>
            </w:r>
          </w:p>
          <w:p w14:paraId="3AF732A2">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注：</w:t>
            </w:r>
            <w:r>
              <w:rPr>
                <w:rFonts w:hint="eastAsia" w:ascii="宋体" w:hAnsi="宋体" w:eastAsia="宋体" w:cs="宋体"/>
                <w:sz w:val="24"/>
                <w:szCs w:val="24"/>
                <w:highlight w:val="none"/>
                <w:lang w:val="zh-CN" w:bidi="ar"/>
              </w:rPr>
              <w:t>①</w:t>
            </w:r>
            <w:r>
              <w:rPr>
                <w:rFonts w:hint="eastAsia" w:ascii="宋体" w:hAnsi="宋体" w:eastAsia="宋体" w:cs="宋体"/>
                <w:sz w:val="24"/>
                <w:szCs w:val="24"/>
                <w:highlight w:val="none"/>
                <w:lang w:val="en-US" w:eastAsia="zh-CN" w:bidi="ar"/>
              </w:rPr>
              <w:t>根据《中华人民共和国公共图书馆法》，公共图书馆指：向社会公众免费开放，收集、整理、保存文献信息并提供查询、借阅及相关服务，开展社会教育的公共文化设施。</w:t>
            </w:r>
          </w:p>
          <w:p w14:paraId="76CFB388">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highlight w:val="none"/>
                <w:lang w:val="zh-CN" w:bidi="ar"/>
              </w:rPr>
            </w:pPr>
            <w:r>
              <w:rPr>
                <w:rFonts w:hint="eastAsia" w:ascii="宋体" w:hAnsi="宋体" w:eastAsia="宋体" w:cs="宋体"/>
                <w:sz w:val="24"/>
                <w:szCs w:val="24"/>
                <w:highlight w:val="none"/>
                <w:lang w:bidi="ar"/>
              </w:rPr>
              <w:t>②响应</w:t>
            </w:r>
            <w:r>
              <w:rPr>
                <w:rFonts w:hint="eastAsia" w:ascii="宋体" w:hAnsi="宋体" w:eastAsia="宋体" w:cs="宋体"/>
                <w:sz w:val="24"/>
                <w:szCs w:val="24"/>
                <w:highlight w:val="none"/>
                <w:lang w:val="zh-CN" w:bidi="ar"/>
              </w:rPr>
              <w:t>文件中提供业绩合同扫描件，时间以合同签订时间为准；若合同材料中无法体现签订时间、供货内容等关键评审因素的，须另</w:t>
            </w:r>
            <w:r>
              <w:rPr>
                <w:rFonts w:hint="eastAsia" w:ascii="宋体" w:hAnsi="宋体" w:eastAsia="宋体" w:cs="宋体"/>
                <w:sz w:val="24"/>
                <w:szCs w:val="24"/>
                <w:highlight w:val="none"/>
                <w:lang w:bidi="ar"/>
              </w:rPr>
              <w:t>外提供</w:t>
            </w:r>
            <w:r>
              <w:rPr>
                <w:rFonts w:hint="eastAsia" w:ascii="宋体" w:hAnsi="宋体" w:eastAsia="宋体" w:cs="宋体"/>
                <w:sz w:val="24"/>
                <w:szCs w:val="24"/>
                <w:highlight w:val="none"/>
                <w:lang w:val="zh-CN" w:bidi="ar"/>
              </w:rPr>
              <w:t>业主（合同甲方）出具的证明材料。</w:t>
            </w:r>
          </w:p>
          <w:p w14:paraId="077B4E5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szCs w:val="24"/>
                <w:highlight w:val="none"/>
                <w:lang w:bidi="ar"/>
              </w:rPr>
              <w:t>③提供的项目业绩只计算评审分值对应的项目数量，按照排列顺序从首个业绩开始评审至对应数量，超出部分不进行评审。对应数量内业绩不符合采购文件要求不得分的，不再补充评审超出部分业绩。如：提供2个业绩即得满分的，按照响应文件排序评审第一、第二项业绩，其余超出部分不再评审。</w:t>
            </w:r>
          </w:p>
        </w:tc>
        <w:tc>
          <w:tcPr>
            <w:tcW w:w="928" w:type="pct"/>
            <w:tcBorders>
              <w:top w:val="single" w:color="auto" w:sz="4" w:space="0"/>
              <w:left w:val="single" w:color="auto" w:sz="4" w:space="0"/>
              <w:bottom w:val="single" w:color="auto" w:sz="4" w:space="0"/>
              <w:right w:val="single" w:color="auto" w:sz="4" w:space="0"/>
            </w:tcBorders>
            <w:vAlign w:val="center"/>
          </w:tcPr>
          <w:p w14:paraId="64F2AE3C">
            <w:pPr>
              <w:tabs>
                <w:tab w:val="left" w:pos="318"/>
                <w:tab w:val="center" w:pos="743"/>
              </w:tabs>
              <w:spacing w:line="360" w:lineRule="auto"/>
              <w:jc w:val="left"/>
              <w:rPr>
                <w:rFonts w:hint="eastAsia" w:asciiTheme="minorEastAsia" w:hAnsiTheme="minorEastAsia" w:eastAsiaTheme="minorEastAsia"/>
                <w:sz w:val="24"/>
                <w:szCs w:val="24"/>
                <w:highlight w:val="none"/>
              </w:rPr>
            </w:pPr>
            <w:r>
              <w:rPr>
                <w:rFonts w:hint="eastAsia" w:asciiTheme="minorEastAsia" w:hAnsiTheme="minorEastAsia" w:eastAsiaTheme="minorEastAsia"/>
                <w:b w:val="0"/>
                <w:bCs w:val="0"/>
                <w:color w:val="auto"/>
                <w:sz w:val="24"/>
                <w:highlight w:val="none"/>
                <w:lang w:val="en-US" w:eastAsia="zh-CN"/>
              </w:rPr>
              <w:tab/>
            </w:r>
            <w:r>
              <w:rPr>
                <w:rFonts w:hint="eastAsia" w:asciiTheme="minorEastAsia" w:hAnsiTheme="minorEastAsia" w:eastAsiaTheme="minorEastAsia"/>
                <w:b w:val="0"/>
                <w:bCs w:val="0"/>
                <w:color w:val="auto"/>
                <w:sz w:val="24"/>
                <w:highlight w:val="none"/>
                <w:lang w:val="en-US" w:eastAsia="zh-CN"/>
              </w:rPr>
              <w:tab/>
            </w:r>
            <w:r>
              <w:rPr>
                <w:rFonts w:hint="eastAsia" w:asciiTheme="minorEastAsia" w:hAnsiTheme="minorEastAsia" w:eastAsiaTheme="minorEastAsia"/>
                <w:b w:val="0"/>
                <w:bCs w:val="0"/>
                <w:color w:val="auto"/>
                <w:sz w:val="24"/>
                <w:highlight w:val="none"/>
                <w:lang w:val="en-US" w:eastAsia="zh-CN"/>
              </w:rPr>
              <w:t>0-4分</w:t>
            </w:r>
          </w:p>
        </w:tc>
      </w:tr>
      <w:tr w14:paraId="46FB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64DD2923">
            <w:pPr>
              <w:spacing w:line="360" w:lineRule="auto"/>
              <w:jc w:val="center"/>
              <w:rPr>
                <w:rFonts w:asciiTheme="minorEastAsia" w:hAnsiTheme="minorEastAsia" w:eastAsiaTheme="minorEastAsia"/>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67ECA09D">
            <w:pPr>
              <w:spacing w:line="360" w:lineRule="auto"/>
              <w:jc w:val="center"/>
              <w:rPr>
                <w:rFonts w:hint="default"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2.履约评价</w:t>
            </w:r>
          </w:p>
        </w:tc>
        <w:tc>
          <w:tcPr>
            <w:tcW w:w="2197" w:type="pct"/>
            <w:tcBorders>
              <w:top w:val="single" w:color="auto" w:sz="4" w:space="0"/>
              <w:left w:val="single" w:color="auto" w:sz="4" w:space="0"/>
              <w:bottom w:val="single" w:color="auto" w:sz="4" w:space="0"/>
              <w:right w:val="single" w:color="auto" w:sz="4" w:space="0"/>
            </w:tcBorders>
            <w:vAlign w:val="center"/>
          </w:tcPr>
          <w:p w14:paraId="01E91D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highlight w:val="none"/>
                <w:lang w:val="zh-CN" w:bidi="ar"/>
              </w:rPr>
            </w:pPr>
            <w:r>
              <w:rPr>
                <w:rFonts w:hint="eastAsia" w:ascii="宋体" w:hAnsi="宋体" w:eastAsia="宋体" w:cs="宋体"/>
                <w:sz w:val="24"/>
                <w:szCs w:val="24"/>
                <w:highlight w:val="none"/>
                <w:lang w:val="en-US" w:eastAsia="zh-CN" w:bidi="ar"/>
              </w:rPr>
              <w:t>上述评分内容“供应商业绩”中经磋商小组评审认可得分的业绩，每提供一个合同甲方出具的良好（或满意）或以上评价的得2分，</w:t>
            </w:r>
            <w:r>
              <w:rPr>
                <w:rFonts w:hint="eastAsia" w:ascii="宋体" w:hAnsi="宋体" w:eastAsia="宋体" w:cs="宋体"/>
                <w:sz w:val="24"/>
                <w:szCs w:val="24"/>
                <w:highlight w:val="none"/>
                <w:lang w:val="zh-CN" w:bidi="ar"/>
              </w:rPr>
              <w:t>其他的不得分，最高得</w:t>
            </w:r>
            <w:r>
              <w:rPr>
                <w:rFonts w:hint="eastAsia" w:ascii="宋体" w:hAnsi="宋体" w:eastAsia="宋体" w:cs="宋体"/>
                <w:sz w:val="24"/>
                <w:szCs w:val="24"/>
                <w:highlight w:val="none"/>
                <w:lang w:bidi="ar"/>
              </w:rPr>
              <w:t>4</w:t>
            </w:r>
            <w:r>
              <w:rPr>
                <w:rFonts w:hint="eastAsia" w:ascii="宋体" w:hAnsi="宋体" w:eastAsia="宋体" w:cs="宋体"/>
                <w:sz w:val="24"/>
                <w:szCs w:val="24"/>
                <w:highlight w:val="none"/>
                <w:lang w:val="zh-CN" w:bidi="ar"/>
              </w:rPr>
              <w:t>分。</w:t>
            </w:r>
          </w:p>
          <w:p w14:paraId="384C8D8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highlight w:val="none"/>
                <w:lang w:val="zh-CN" w:bidi="ar"/>
              </w:rPr>
            </w:pPr>
            <w:r>
              <w:rPr>
                <w:rFonts w:hint="eastAsia" w:ascii="宋体" w:hAnsi="宋体" w:eastAsia="宋体" w:cs="宋体"/>
                <w:sz w:val="24"/>
                <w:szCs w:val="24"/>
                <w:highlight w:val="none"/>
                <w:lang w:val="en-US" w:eastAsia="zh-CN" w:bidi="ar"/>
              </w:rPr>
              <w:t>注：</w:t>
            </w:r>
            <w:r>
              <w:rPr>
                <w:rFonts w:hint="eastAsia" w:ascii="宋体" w:hAnsi="宋体" w:eastAsia="宋体" w:cs="宋体"/>
                <w:sz w:val="24"/>
                <w:szCs w:val="24"/>
                <w:highlight w:val="none"/>
                <w:lang w:val="zh-CN" w:bidi="ar"/>
              </w:rPr>
              <w:t>①</w:t>
            </w:r>
            <w:r>
              <w:rPr>
                <w:rFonts w:hint="eastAsia" w:ascii="宋体" w:hAnsi="宋体" w:eastAsia="宋体" w:cs="宋体"/>
                <w:sz w:val="24"/>
                <w:szCs w:val="24"/>
                <w:highlight w:val="none"/>
                <w:lang w:val="en-US" w:eastAsia="zh-CN" w:bidi="ar"/>
              </w:rPr>
              <w:t xml:space="preserve">响应文件中提供的合同甲方出具的有效证明材料（加盖合同甲方公章，合同甲方内设机构公章不予认可）。 </w:t>
            </w:r>
          </w:p>
          <w:p w14:paraId="7070FB7B">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highlight w:val="none"/>
                <w:lang w:val="zh-CN" w:bidi="ar"/>
              </w:rPr>
            </w:pPr>
            <w:r>
              <w:rPr>
                <w:rFonts w:hint="eastAsia" w:ascii="宋体" w:hAnsi="宋体" w:eastAsia="宋体" w:cs="宋体"/>
                <w:sz w:val="24"/>
                <w:szCs w:val="24"/>
                <w:highlight w:val="none"/>
                <w:lang w:bidi="ar"/>
              </w:rPr>
              <w:t>②</w:t>
            </w:r>
            <w:r>
              <w:rPr>
                <w:rFonts w:hint="eastAsia" w:ascii="宋体" w:hAnsi="宋体" w:eastAsia="宋体" w:cs="宋体"/>
                <w:sz w:val="24"/>
                <w:szCs w:val="24"/>
                <w:highlight w:val="none"/>
                <w:lang w:val="en-US" w:eastAsia="zh-CN" w:bidi="ar"/>
              </w:rPr>
              <w:t xml:space="preserve">同一业绩提供多份履约评价的，仅计分一次。 </w:t>
            </w:r>
          </w:p>
          <w:p w14:paraId="258E1213">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bCs/>
                <w:color w:val="auto"/>
                <w:sz w:val="24"/>
                <w:highlight w:val="none"/>
                <w:lang w:val="en-US" w:eastAsia="zh-CN"/>
              </w:rPr>
            </w:pPr>
            <w:r>
              <w:rPr>
                <w:rFonts w:hint="eastAsia" w:ascii="宋体" w:hAnsi="宋体" w:eastAsia="宋体" w:cs="宋体"/>
                <w:sz w:val="24"/>
                <w:szCs w:val="24"/>
                <w:highlight w:val="none"/>
                <w:lang w:bidi="ar"/>
              </w:rPr>
              <w:t>③</w:t>
            </w:r>
            <w:r>
              <w:rPr>
                <w:rFonts w:hint="eastAsia" w:ascii="宋体" w:hAnsi="宋体" w:eastAsia="宋体" w:cs="宋体"/>
                <w:sz w:val="24"/>
                <w:szCs w:val="24"/>
                <w:highlight w:val="none"/>
                <w:lang w:val="en-US" w:eastAsia="zh-CN" w:bidi="ar"/>
              </w:rPr>
              <w:t>上述“良好（或满意）或以上”即达到良好（或满意）或以上的意思即可，同等意思表达如优秀、非常满意、认可、高度认可等均予以认可。</w:t>
            </w:r>
          </w:p>
        </w:tc>
        <w:tc>
          <w:tcPr>
            <w:tcW w:w="928" w:type="pct"/>
            <w:tcBorders>
              <w:top w:val="single" w:color="auto" w:sz="4" w:space="0"/>
              <w:left w:val="single" w:color="auto" w:sz="4" w:space="0"/>
              <w:bottom w:val="single" w:color="auto" w:sz="4" w:space="0"/>
              <w:right w:val="single" w:color="auto" w:sz="4" w:space="0"/>
            </w:tcBorders>
            <w:vAlign w:val="center"/>
          </w:tcPr>
          <w:p w14:paraId="06CA8994">
            <w:pPr>
              <w:spacing w:line="360" w:lineRule="auto"/>
              <w:jc w:val="center"/>
              <w:rPr>
                <w:rFonts w:hint="eastAsia" w:asciiTheme="minorEastAsia" w:hAnsiTheme="minorEastAsia" w:eastAsiaTheme="minorEastAsia"/>
                <w:b w:val="0"/>
                <w:bCs w:val="0"/>
                <w:color w:val="auto"/>
                <w:sz w:val="24"/>
                <w:highlight w:val="none"/>
                <w:lang w:val="en-US" w:eastAsia="zh-CN"/>
              </w:rPr>
            </w:pPr>
            <w:r>
              <w:rPr>
                <w:rFonts w:hint="eastAsia" w:asciiTheme="minorEastAsia" w:hAnsiTheme="minorEastAsia" w:eastAsiaTheme="minorEastAsia"/>
                <w:b w:val="0"/>
                <w:bCs w:val="0"/>
                <w:color w:val="auto"/>
                <w:sz w:val="24"/>
                <w:highlight w:val="none"/>
                <w:lang w:val="en-US" w:eastAsia="zh-CN"/>
              </w:rPr>
              <w:t>0-4分</w:t>
            </w:r>
          </w:p>
        </w:tc>
      </w:tr>
      <w:tr w14:paraId="078B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10CA95AC">
            <w:pPr>
              <w:spacing w:line="360" w:lineRule="auto"/>
              <w:jc w:val="center"/>
              <w:rPr>
                <w:rFonts w:asciiTheme="minorEastAsia" w:hAnsiTheme="minorEastAsia" w:eastAsiaTheme="minorEastAsia"/>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118B311C">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eastAsia="宋体" w:cs="宋体"/>
                <w:bCs/>
                <w:color w:val="auto"/>
                <w:szCs w:val="21"/>
                <w:highlight w:val="none"/>
              </w:rPr>
            </w:pPr>
            <w:r>
              <w:rPr>
                <w:rFonts w:hint="eastAsia" w:asciiTheme="minorEastAsia" w:hAnsiTheme="minorEastAsia" w:eastAsiaTheme="minorEastAsia"/>
                <w:sz w:val="24"/>
                <w:szCs w:val="24"/>
                <w:highlight w:val="none"/>
                <w:lang w:val="en-US" w:eastAsia="zh-CN"/>
              </w:rPr>
              <w:t>3.企业荣誉</w:t>
            </w:r>
          </w:p>
        </w:tc>
        <w:tc>
          <w:tcPr>
            <w:tcW w:w="2197" w:type="pct"/>
            <w:tcBorders>
              <w:top w:val="single" w:color="auto" w:sz="4" w:space="0"/>
              <w:left w:val="single" w:color="auto" w:sz="4" w:space="0"/>
              <w:bottom w:val="single" w:color="auto" w:sz="4" w:space="0"/>
              <w:right w:val="single" w:color="auto" w:sz="4" w:space="0"/>
            </w:tcBorders>
            <w:vAlign w:val="center"/>
          </w:tcPr>
          <w:p w14:paraId="06D9FCE0">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highlight w:val="none"/>
                <w:lang w:val="en-US" w:eastAsia="zh-CN" w:bidi="ar"/>
              </w:rPr>
            </w:pPr>
            <w:r>
              <w:rPr>
                <w:rFonts w:hint="eastAsia" w:ascii="宋体" w:hAnsi="宋体" w:eastAsia="宋体" w:cs="宋体"/>
                <w:sz w:val="24"/>
                <w:szCs w:val="24"/>
                <w:highlight w:val="none"/>
                <w:lang w:val="en-US" w:eastAsia="zh-CN" w:bidi="ar"/>
              </w:rPr>
              <w:t>自2023年1月1日至首次响应文件递交截日（以颁奖文件落款时间或官网发布时间为准），供应商每提供一个获得地市级及以上党政机关（或事业单位）颁发关于公共图书馆（或城市阅读空间）运营项目荣誉的，得2分；其他的不得分，最高得4分。</w:t>
            </w:r>
          </w:p>
          <w:p w14:paraId="14FB05C6">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highlight w:val="none"/>
                <w:lang w:val="en-US" w:eastAsia="zh-CN" w:bidi="ar"/>
              </w:rPr>
            </w:pPr>
            <w:r>
              <w:rPr>
                <w:rFonts w:hint="eastAsia" w:ascii="宋体" w:hAnsi="宋体" w:eastAsia="宋体" w:cs="宋体"/>
                <w:sz w:val="24"/>
                <w:szCs w:val="24"/>
                <w:highlight w:val="none"/>
                <w:lang w:val="en-US" w:eastAsia="zh-CN" w:bidi="ar"/>
              </w:rPr>
              <w:t>注：①响应文件提供加盖颁发机关印章的荣誉证书（或官方网站截图）。</w:t>
            </w:r>
          </w:p>
          <w:p w14:paraId="334922E9">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②本项仅限提供两个荣誉，按照排列顺序从首个业绩开始评审至对应数量，超出部分不进行评审。对应数量内荣誉不符合采购文件要求不得分的，不再补充评审超出部分荣誉。</w:t>
            </w:r>
          </w:p>
          <w:p w14:paraId="76AAE55B">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 xml:space="preserve">③党政机关包括党的机关、人大机关、行政机关、政协机关、审判机关、检察机关，及各级党政机关派出机构、直属事业单位及工会、共青团、妇联等。 </w:t>
            </w:r>
          </w:p>
          <w:p w14:paraId="60B2003F">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eastAsia="宋体" w:cs="宋体"/>
                <w:color w:val="auto"/>
                <w:szCs w:val="21"/>
                <w:highlight w:val="none"/>
              </w:rPr>
            </w:pPr>
            <w:r>
              <w:rPr>
                <w:rFonts w:hint="eastAsia" w:ascii="宋体" w:hAnsi="宋体" w:eastAsia="宋体" w:cs="宋体"/>
                <w:sz w:val="24"/>
                <w:highlight w:val="none"/>
                <w:lang w:val="en-US" w:eastAsia="zh-CN"/>
              </w:rPr>
              <w:t>④党政机关（或事业单位）的级别以国家行政区划为界定，如：地级市、自治州、地区、盟政府部门视为地市级，以此类推。</w:t>
            </w:r>
          </w:p>
        </w:tc>
        <w:tc>
          <w:tcPr>
            <w:tcW w:w="928" w:type="pct"/>
            <w:tcBorders>
              <w:top w:val="single" w:color="auto" w:sz="4" w:space="0"/>
              <w:left w:val="single" w:color="auto" w:sz="4" w:space="0"/>
              <w:bottom w:val="single" w:color="auto" w:sz="4" w:space="0"/>
              <w:right w:val="single" w:color="auto" w:sz="4" w:space="0"/>
            </w:tcBorders>
            <w:vAlign w:val="center"/>
          </w:tcPr>
          <w:p w14:paraId="1DFD676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宋体" w:asciiTheme="minorEastAsia" w:hAnsiTheme="minorEastAsia"/>
                <w:b/>
                <w:bCs/>
                <w:color w:val="auto"/>
                <w:sz w:val="24"/>
                <w:highlight w:val="none"/>
                <w:lang w:val="en-US" w:eastAsia="zh-CN"/>
              </w:rPr>
            </w:pPr>
            <w:r>
              <w:rPr>
                <w:rFonts w:hint="eastAsia" w:asciiTheme="minorEastAsia" w:hAnsiTheme="minorEastAsia" w:eastAsiaTheme="minorEastAsia"/>
                <w:sz w:val="24"/>
                <w:szCs w:val="24"/>
                <w:highlight w:val="none"/>
              </w:rPr>
              <w:t>0-</w:t>
            </w:r>
            <w:r>
              <w:rPr>
                <w:rFonts w:hint="eastAsia" w:asciiTheme="minorEastAsia" w:hAnsiTheme="minorEastAsia" w:eastAsiaTheme="minorEastAsia"/>
                <w:sz w:val="24"/>
                <w:szCs w:val="24"/>
                <w:highlight w:val="none"/>
                <w:lang w:val="en-US" w:eastAsia="zh-CN"/>
              </w:rPr>
              <w:t>4</w:t>
            </w:r>
            <w:r>
              <w:rPr>
                <w:rFonts w:hint="eastAsia" w:asciiTheme="minorEastAsia" w:hAnsiTheme="minorEastAsia" w:eastAsiaTheme="minorEastAsia"/>
                <w:sz w:val="24"/>
                <w:szCs w:val="24"/>
                <w:highlight w:val="none"/>
              </w:rPr>
              <w:t>分</w:t>
            </w:r>
          </w:p>
        </w:tc>
      </w:tr>
      <w:tr w14:paraId="5623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013F21C1">
            <w:pPr>
              <w:spacing w:line="360" w:lineRule="auto"/>
              <w:ind w:firstLine="435"/>
              <w:jc w:val="center"/>
              <w:rPr>
                <w:rFonts w:asciiTheme="minorEastAsia" w:hAnsiTheme="minorEastAsia" w:eastAsiaTheme="minorEastAsia"/>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21011C25">
            <w:pPr>
              <w:keepNext w:val="0"/>
              <w:keepLines w:val="0"/>
              <w:widowControl/>
              <w:suppressLineNumbers w:val="0"/>
              <w:jc w:val="center"/>
              <w:rPr>
                <w:rFonts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lang w:val="en-US" w:eastAsia="zh-CN"/>
              </w:rPr>
              <w:t>4.</w:t>
            </w:r>
            <w:r>
              <w:rPr>
                <w:rFonts w:hint="eastAsia" w:ascii="宋体" w:hAnsi="宋体" w:eastAsia="宋体" w:cs="宋体"/>
                <w:color w:val="auto"/>
                <w:kern w:val="0"/>
                <w:sz w:val="24"/>
                <w:szCs w:val="24"/>
                <w:highlight w:val="none"/>
                <w:lang w:val="en-US" w:eastAsia="zh-CN" w:bidi="ar"/>
              </w:rPr>
              <w:t>媒体报道</w:t>
            </w:r>
          </w:p>
        </w:tc>
        <w:tc>
          <w:tcPr>
            <w:tcW w:w="2197" w:type="pct"/>
            <w:tcBorders>
              <w:top w:val="single" w:color="auto" w:sz="4" w:space="0"/>
              <w:left w:val="single" w:color="auto" w:sz="4" w:space="0"/>
              <w:bottom w:val="single" w:color="auto" w:sz="4" w:space="0"/>
              <w:right w:val="single" w:color="auto" w:sz="4" w:space="0"/>
            </w:tcBorders>
            <w:vAlign w:val="center"/>
          </w:tcPr>
          <w:p w14:paraId="45DFE54A">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自2023年1月1日至首次响应文件递交截日（以媒体报道时间为准），供应商在承接公共图书馆或阅读空间运营服务项目中：获得县（区、县级市）媒体报道的，每提供一个得1分；获得地级市（或以上）媒体报道的， 每提供一个得2分；其他的不得分，最高得4分。</w:t>
            </w:r>
          </w:p>
          <w:p w14:paraId="4FDAB688">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 xml:space="preserve">注：①响应文件须提供媒体报道的相关证明材料，纸质媒体的须提供 </w:t>
            </w:r>
          </w:p>
          <w:p w14:paraId="5063C53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highlight w:val="none"/>
                <w:lang w:val="zh-CN" w:eastAsia="zh-CN"/>
              </w:rPr>
            </w:pPr>
            <w:r>
              <w:rPr>
                <w:rFonts w:hint="eastAsia" w:ascii="宋体" w:hAnsi="宋体" w:eastAsia="宋体" w:cs="宋体"/>
                <w:sz w:val="24"/>
                <w:highlight w:val="none"/>
                <w:lang w:val="en-US" w:eastAsia="zh-CN"/>
              </w:rPr>
              <w:t>相关文字页面或截图影印或扫描件，包括刊号、期号、日期等信息；电视电台报道的须提供播出时间、栏目等信息材料：网络媒体须体现报道的日期、截图、内容、供应商名称等相关评审信息。若证明材料不能体现供应商名称的，除上述证明材料外，另须提供对应的报道媒体出具的相关证明材料（或运营服务合同和加盖合同甲方公章的相关证明材料）。</w:t>
            </w:r>
          </w:p>
          <w:p w14:paraId="0BE1C834">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②本项仅限提供两个媒体报道，按照排列顺序从首个业绩开始评审至对应数量，超出部分不进行评审。对应数量内媒体报道不符合采购文件要求不得分的，不再补充评审超出部分内容。</w:t>
            </w:r>
          </w:p>
          <w:p w14:paraId="700F9DE3">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zh-CN" w:eastAsia="zh-CN"/>
              </w:rPr>
              <w:t>③</w:t>
            </w:r>
            <w:r>
              <w:rPr>
                <w:rFonts w:hint="eastAsia" w:ascii="宋体" w:hAnsi="宋体" w:eastAsia="宋体" w:cs="宋体"/>
                <w:sz w:val="24"/>
                <w:highlight w:val="none"/>
                <w:lang w:val="en-US" w:eastAsia="zh-CN"/>
              </w:rPr>
              <w:t>根据《中华人民共和国公共图书馆法》，公共图书馆指：向社会公众免费开放，收集、整理、保存文献信息并提供查询、借阅及相关服务，开展社会教育的公共文化设施。</w:t>
            </w:r>
          </w:p>
          <w:p w14:paraId="3E612FBE">
            <w:pPr>
              <w:keepNext w:val="0"/>
              <w:keepLines w:val="0"/>
              <w:pageBreakBefore w:val="0"/>
              <w:kinsoku/>
              <w:wordWrap/>
              <w:overflowPunct/>
              <w:topLinePunct w:val="0"/>
              <w:autoSpaceDE/>
              <w:autoSpaceDN/>
              <w:bidi w:val="0"/>
              <w:adjustRightInd/>
              <w:snapToGrid/>
              <w:spacing w:line="400" w:lineRule="exact"/>
              <w:jc w:val="left"/>
              <w:textAlignment w:val="auto"/>
              <w:rPr>
                <w:rFonts w:asciiTheme="minorEastAsia" w:hAnsiTheme="minorEastAsia" w:eastAsiaTheme="minorEastAsia"/>
                <w:color w:val="auto"/>
                <w:sz w:val="24"/>
                <w:highlight w:val="none"/>
              </w:rPr>
            </w:pPr>
            <w:r>
              <w:rPr>
                <w:rFonts w:hint="eastAsia" w:ascii="宋体" w:hAnsi="宋体" w:eastAsia="宋体" w:cs="宋体"/>
                <w:sz w:val="24"/>
                <w:highlight w:val="none"/>
                <w:lang w:val="en-US" w:eastAsia="zh-CN"/>
              </w:rPr>
              <w:t>④同一报道内容不重复计分，以最高级别媒体计分。</w:t>
            </w:r>
          </w:p>
        </w:tc>
        <w:tc>
          <w:tcPr>
            <w:tcW w:w="928" w:type="pct"/>
            <w:tcBorders>
              <w:top w:val="single" w:color="auto" w:sz="4" w:space="0"/>
              <w:left w:val="single" w:color="auto" w:sz="4" w:space="0"/>
              <w:bottom w:val="single" w:color="auto" w:sz="4" w:space="0"/>
              <w:right w:val="single" w:color="auto" w:sz="4" w:space="0"/>
            </w:tcBorders>
            <w:vAlign w:val="center"/>
          </w:tcPr>
          <w:p w14:paraId="41D88CC6">
            <w:pPr>
              <w:spacing w:line="360" w:lineRule="auto"/>
              <w:jc w:val="center"/>
              <w:rPr>
                <w:rFonts w:hint="eastAsia" w:eastAsia="宋体" w:asciiTheme="minorEastAsia" w:hAnsiTheme="minorEastAsia"/>
                <w:b/>
                <w:bCs/>
                <w:color w:val="auto"/>
                <w:sz w:val="24"/>
                <w:highlight w:val="none"/>
                <w:lang w:val="en-US" w:eastAsia="zh-CN"/>
              </w:rPr>
            </w:pPr>
            <w:r>
              <w:rPr>
                <w:rFonts w:hint="eastAsia" w:asciiTheme="minorEastAsia" w:hAnsiTheme="minorEastAsia" w:eastAsiaTheme="minorEastAsia"/>
                <w:b w:val="0"/>
                <w:bCs w:val="0"/>
                <w:color w:val="auto"/>
                <w:sz w:val="24"/>
                <w:highlight w:val="none"/>
                <w:lang w:val="en-US" w:eastAsia="zh-CN"/>
              </w:rPr>
              <w:t>0-4分</w:t>
            </w:r>
          </w:p>
        </w:tc>
      </w:tr>
      <w:tr w14:paraId="3A28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1BB5CCD0">
            <w:pPr>
              <w:spacing w:line="360" w:lineRule="auto"/>
              <w:ind w:firstLine="435"/>
              <w:jc w:val="center"/>
              <w:rPr>
                <w:rFonts w:asciiTheme="minorEastAsia" w:hAnsiTheme="minorEastAsia" w:eastAsiaTheme="minorEastAsia"/>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435386DB">
            <w:pPr>
              <w:keepNext w:val="0"/>
              <w:keepLines w:val="0"/>
              <w:pageBreakBefore w:val="0"/>
              <w:widowControl w:val="0"/>
              <w:kinsoku/>
              <w:wordWrap/>
              <w:overflowPunct/>
              <w:topLinePunct w:val="0"/>
              <w:bidi w:val="0"/>
              <w:spacing w:line="440" w:lineRule="exact"/>
              <w:jc w:val="center"/>
              <w:textAlignment w:val="auto"/>
              <w:rPr>
                <w:rFonts w:asciiTheme="minorEastAsia" w:hAnsiTheme="minorEastAsia" w:eastAsiaTheme="minorEastAsia"/>
                <w:color w:val="auto"/>
                <w:sz w:val="24"/>
                <w:highlight w:val="none"/>
                <w:lang w:eastAsia="zh-CN"/>
              </w:rPr>
            </w:pP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项目人员配备</w:t>
            </w:r>
          </w:p>
        </w:tc>
        <w:tc>
          <w:tcPr>
            <w:tcW w:w="2197" w:type="pct"/>
            <w:tcBorders>
              <w:top w:val="single" w:color="auto" w:sz="4" w:space="0"/>
              <w:left w:val="single" w:color="auto" w:sz="4" w:space="0"/>
              <w:bottom w:val="single" w:color="auto" w:sz="4" w:space="0"/>
              <w:right w:val="single" w:color="auto" w:sz="4" w:space="0"/>
            </w:tcBorders>
            <w:shd w:val="clear" w:color="auto" w:fill="auto"/>
            <w:vAlign w:val="center"/>
          </w:tcPr>
          <w:p w14:paraId="47055DB6">
            <w:pPr>
              <w:keepNext w:val="0"/>
              <w:keepLines w:val="0"/>
              <w:pageBreakBefore w:val="0"/>
              <w:widowControl w:val="0"/>
              <w:kinsoku/>
              <w:wordWrap/>
              <w:overflowPunct/>
              <w:topLinePunct w:val="0"/>
              <w:bidi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rPr>
              <w:t>为本项目拟配备人员中：</w:t>
            </w:r>
          </w:p>
          <w:p w14:paraId="7FD9922B">
            <w:pPr>
              <w:keepNext w:val="0"/>
              <w:keepLines w:val="0"/>
              <w:pageBreakBefore w:val="0"/>
              <w:widowControl w:val="0"/>
              <w:kinsoku/>
              <w:wordWrap/>
              <w:overflowPunct/>
              <w:topLinePunct w:val="0"/>
              <w:bidi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（一）项目负责人（1人）（满分</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分）</w:t>
            </w:r>
          </w:p>
          <w:p w14:paraId="22F02781">
            <w:pPr>
              <w:keepNext w:val="0"/>
              <w:keepLines w:val="0"/>
              <w:pageBreakBefore w:val="0"/>
              <w:widowControl w:val="0"/>
              <w:kinsoku/>
              <w:wordWrap/>
              <w:overflowPunct/>
              <w:topLinePunct w:val="0"/>
              <w:bidi w:val="0"/>
              <w:spacing w:line="440" w:lineRule="exact"/>
              <w:jc w:val="left"/>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具有阅读空间运营管理经验或公共图书馆运营理经验的，得2分；其他的不得分，本项最高得2分。</w:t>
            </w:r>
          </w:p>
          <w:p w14:paraId="440C1280">
            <w:pPr>
              <w:keepNext w:val="0"/>
              <w:keepLines w:val="0"/>
              <w:pageBreakBefore w:val="0"/>
              <w:widowControl w:val="0"/>
              <w:kinsoku/>
              <w:wordWrap/>
              <w:overflowPunct/>
              <w:topLinePunct w:val="0"/>
              <w:bidi w:val="0"/>
              <w:spacing w:line="440" w:lineRule="exact"/>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val="en-US" w:eastAsia="zh-CN"/>
              </w:rPr>
              <w:t>参加过图书馆员在职专业培训并取得证书的</w:t>
            </w:r>
            <w:r>
              <w:rPr>
                <w:rFonts w:hint="eastAsia" w:ascii="宋体" w:hAnsi="宋体" w:eastAsia="宋体" w:cs="宋体"/>
                <w:b w:val="0"/>
                <w:bCs w:val="0"/>
                <w:color w:val="auto"/>
                <w:sz w:val="24"/>
                <w:szCs w:val="24"/>
                <w:highlight w:val="none"/>
              </w:rPr>
              <w:t>得2分；</w:t>
            </w:r>
            <w:r>
              <w:rPr>
                <w:rFonts w:hint="eastAsia" w:ascii="宋体" w:hAnsi="宋体" w:eastAsia="宋体" w:cs="宋体"/>
                <w:b w:val="0"/>
                <w:bCs w:val="0"/>
                <w:color w:val="auto"/>
                <w:sz w:val="24"/>
                <w:szCs w:val="24"/>
                <w:highlight w:val="none"/>
                <w:lang w:val="en-US" w:eastAsia="zh-CN"/>
              </w:rPr>
              <w:t>其他的不得分，本项最高得2分。</w:t>
            </w:r>
          </w:p>
          <w:p w14:paraId="23E9B788">
            <w:pPr>
              <w:keepNext w:val="0"/>
              <w:keepLines w:val="0"/>
              <w:pageBreakBefore w:val="0"/>
              <w:widowControl w:val="0"/>
              <w:kinsoku/>
              <w:wordWrap/>
              <w:overflowPunct/>
              <w:topLinePunct w:val="0"/>
              <w:bidi w:val="0"/>
              <w:spacing w:line="440" w:lineRule="exact"/>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注：响应</w:t>
            </w:r>
            <w:r>
              <w:rPr>
                <w:rFonts w:hint="eastAsia" w:ascii="宋体" w:hAnsi="宋体" w:eastAsia="宋体" w:cs="宋体"/>
                <w:b w:val="0"/>
                <w:bCs w:val="0"/>
                <w:color w:val="auto"/>
                <w:sz w:val="24"/>
                <w:szCs w:val="24"/>
                <w:highlight w:val="none"/>
              </w:rPr>
              <w:t>文件中</w:t>
            </w:r>
            <w:r>
              <w:rPr>
                <w:rFonts w:hint="eastAsia" w:ascii="宋体" w:hAnsi="宋体" w:eastAsia="宋体" w:cs="宋体"/>
                <w:b w:val="0"/>
                <w:bCs w:val="0"/>
                <w:color w:val="auto"/>
                <w:sz w:val="24"/>
                <w:szCs w:val="24"/>
                <w:highlight w:val="none"/>
                <w:lang w:val="en-US" w:eastAsia="zh-CN"/>
              </w:rPr>
              <w:t>同时</w:t>
            </w: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项目负责人的</w:t>
            </w:r>
            <w:r>
              <w:rPr>
                <w:rFonts w:hint="eastAsia" w:ascii="宋体" w:hAnsi="宋体" w:eastAsia="宋体" w:cs="宋体"/>
                <w:sz w:val="24"/>
                <w:szCs w:val="24"/>
                <w:highlight w:val="none"/>
              </w:rPr>
              <w:t>有效身份证扫描件（含正反面）、</w:t>
            </w:r>
            <w:r>
              <w:rPr>
                <w:rFonts w:hint="eastAsia" w:ascii="宋体" w:hAnsi="宋体" w:eastAsia="宋体" w:cs="宋体"/>
                <w:sz w:val="24"/>
                <w:szCs w:val="24"/>
                <w:highlight w:val="none"/>
                <w:lang w:val="en-US" w:eastAsia="zh-CN"/>
              </w:rPr>
              <w:t>经</w:t>
            </w:r>
            <w:r>
              <w:rPr>
                <w:rFonts w:hint="eastAsia" w:ascii="宋体" w:hAnsi="宋体" w:eastAsia="宋体" w:cs="宋体"/>
                <w:b w:val="0"/>
                <w:bCs w:val="0"/>
                <w:color w:val="auto"/>
                <w:sz w:val="24"/>
                <w:szCs w:val="24"/>
                <w:highlight w:val="none"/>
                <w:lang w:val="en-US" w:eastAsia="zh-CN"/>
              </w:rPr>
              <w:t>运营管理经验的服务对象盖章的证明材料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和供应商</w:t>
            </w:r>
            <w:r>
              <w:rPr>
                <w:rFonts w:hint="eastAsia" w:ascii="宋体" w:hAnsi="宋体" w:eastAsia="宋体" w:cs="宋体"/>
                <w:b w:val="0"/>
                <w:bCs w:val="0"/>
                <w:color w:val="auto"/>
                <w:sz w:val="24"/>
                <w:szCs w:val="24"/>
                <w:highlight w:val="none"/>
              </w:rPr>
              <w:t>为其缴纳的近三个月内（任意一个月）的</w:t>
            </w:r>
            <w:r>
              <w:rPr>
                <w:rFonts w:hint="eastAsia" w:ascii="宋体" w:hAnsi="宋体" w:eastAsia="宋体" w:cs="宋体"/>
                <w:sz w:val="24"/>
                <w:szCs w:val="24"/>
                <w:highlight w:val="none"/>
              </w:rPr>
              <w:t>社会保险证明</w:t>
            </w:r>
            <w:r>
              <w:rPr>
                <w:rFonts w:hint="eastAsia" w:ascii="宋体" w:hAnsi="宋体" w:eastAsia="宋体" w:cs="宋体"/>
                <w:b w:val="0"/>
                <w:bCs w:val="0"/>
                <w:color w:val="auto"/>
                <w:sz w:val="24"/>
                <w:szCs w:val="24"/>
                <w:highlight w:val="none"/>
              </w:rPr>
              <w:t>证明或</w:t>
            </w:r>
            <w:r>
              <w:rPr>
                <w:rFonts w:hint="eastAsia" w:ascii="宋体" w:hAnsi="宋体" w:eastAsia="宋体" w:cs="宋体"/>
                <w:sz w:val="24"/>
                <w:szCs w:val="24"/>
                <w:highlight w:val="none"/>
              </w:rPr>
              <w:t>供应商提供承诺已为</w:t>
            </w:r>
            <w:r>
              <w:rPr>
                <w:rFonts w:hint="eastAsia" w:ascii="宋体" w:hAnsi="宋体" w:eastAsia="宋体" w:cs="宋体"/>
                <w:sz w:val="24"/>
                <w:szCs w:val="24"/>
                <w:highlight w:val="none"/>
                <w:lang w:val="en-US" w:eastAsia="zh-CN"/>
              </w:rPr>
              <w:t>其</w:t>
            </w:r>
            <w:r>
              <w:rPr>
                <w:rFonts w:hint="eastAsia" w:ascii="宋体" w:hAnsi="宋体" w:eastAsia="宋体" w:cs="宋体"/>
                <w:sz w:val="24"/>
                <w:szCs w:val="24"/>
                <w:highlight w:val="none"/>
              </w:rPr>
              <w:t>缴纳社会保险证明的承诺书（格式自拟）</w:t>
            </w:r>
            <w:r>
              <w:rPr>
                <w:rFonts w:hint="eastAsia" w:ascii="宋体" w:hAnsi="宋体" w:eastAsia="宋体" w:cs="宋体"/>
                <w:b w:val="0"/>
                <w:bCs w:val="0"/>
                <w:color w:val="auto"/>
                <w:sz w:val="24"/>
                <w:szCs w:val="24"/>
                <w:highlight w:val="none"/>
                <w:lang w:val="en-US" w:eastAsia="zh-CN"/>
              </w:rPr>
              <w:t>。</w:t>
            </w:r>
          </w:p>
          <w:p w14:paraId="1F5B4E92">
            <w:pPr>
              <w:keepNext w:val="0"/>
              <w:keepLines w:val="0"/>
              <w:pageBreakBefore w:val="0"/>
              <w:widowControl w:val="0"/>
              <w:kinsoku/>
              <w:wordWrap/>
              <w:overflowPunct/>
              <w:topLinePunct w:val="0"/>
              <w:bidi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z w:val="24"/>
                <w:szCs w:val="24"/>
                <w:highlight w:val="none"/>
                <w:lang w:val="en-US" w:eastAsia="zh-CN"/>
              </w:rPr>
              <w:t>驻点管理员</w:t>
            </w:r>
            <w:r>
              <w:rPr>
                <w:rFonts w:hint="eastAsia" w:ascii="宋体" w:hAnsi="宋体" w:eastAsia="宋体" w:cs="宋体"/>
                <w:b w:val="0"/>
                <w:bCs w:val="0"/>
                <w:color w:val="auto"/>
                <w:sz w:val="24"/>
                <w:szCs w:val="24"/>
                <w:highlight w:val="none"/>
              </w:rPr>
              <w:t>（项目负责人</w:t>
            </w:r>
            <w:r>
              <w:rPr>
                <w:rFonts w:hint="eastAsia" w:ascii="宋体" w:hAnsi="宋体" w:eastAsia="宋体" w:cs="宋体"/>
                <w:b w:val="0"/>
                <w:bCs w:val="0"/>
                <w:color w:val="auto"/>
                <w:sz w:val="24"/>
                <w:szCs w:val="24"/>
                <w:highlight w:val="none"/>
                <w:lang w:val="en-US" w:eastAsia="zh-CN"/>
              </w:rPr>
              <w:t>除</w:t>
            </w:r>
            <w:r>
              <w:rPr>
                <w:rFonts w:hint="eastAsia" w:ascii="宋体" w:hAnsi="宋体" w:eastAsia="宋体" w:cs="宋体"/>
                <w:b w:val="0"/>
                <w:bCs w:val="0"/>
                <w:color w:val="auto"/>
                <w:sz w:val="24"/>
                <w:szCs w:val="24"/>
                <w:highlight w:val="none"/>
              </w:rPr>
              <w:t>外）（满分</w:t>
            </w:r>
            <w:r>
              <w:rPr>
                <w:rFonts w:hint="eastAsia" w:ascii="宋体" w:hAnsi="宋体"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rPr>
              <w:t>分）</w:t>
            </w:r>
          </w:p>
          <w:p w14:paraId="6D8E714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具有</w:t>
            </w:r>
            <w:r>
              <w:rPr>
                <w:rFonts w:hint="eastAsia" w:ascii="宋体" w:hAnsi="宋体" w:eastAsia="宋体" w:cs="宋体"/>
                <w:sz w:val="24"/>
                <w:szCs w:val="24"/>
                <w:highlight w:val="none"/>
              </w:rPr>
              <w:t>阅读推广</w:t>
            </w:r>
            <w:r>
              <w:rPr>
                <w:rFonts w:hint="eastAsia" w:ascii="宋体" w:hAnsi="宋体" w:eastAsia="宋体" w:cs="宋体"/>
                <w:sz w:val="24"/>
                <w:szCs w:val="24"/>
                <w:highlight w:val="none"/>
                <w:lang w:eastAsia="zh-CN"/>
              </w:rPr>
              <w:t>类证书（</w:t>
            </w:r>
            <w:r>
              <w:rPr>
                <w:rFonts w:hint="eastAsia" w:ascii="宋体" w:hAnsi="宋体" w:eastAsia="宋体" w:cs="宋体"/>
                <w:sz w:val="24"/>
                <w:szCs w:val="24"/>
                <w:highlight w:val="none"/>
                <w:lang w:val="en-US" w:eastAsia="zh-CN"/>
              </w:rPr>
              <w:t>阅读推广人或阅读指导师证书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每提供</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其他的不得分，本项最高得2分。</w:t>
            </w:r>
          </w:p>
          <w:p w14:paraId="00918114">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具有</w:t>
            </w:r>
            <w:r>
              <w:rPr>
                <w:rFonts w:hint="eastAsia" w:ascii="宋体" w:hAnsi="宋体" w:eastAsia="宋体" w:cs="宋体"/>
                <w:sz w:val="24"/>
                <w:szCs w:val="24"/>
                <w:highlight w:val="none"/>
              </w:rPr>
              <w:t>图书馆编目证书，</w:t>
            </w:r>
            <w:r>
              <w:rPr>
                <w:rFonts w:hint="eastAsia" w:ascii="宋体" w:hAnsi="宋体" w:eastAsia="宋体" w:cs="宋体"/>
                <w:sz w:val="24"/>
                <w:szCs w:val="24"/>
                <w:highlight w:val="none"/>
                <w:lang w:eastAsia="zh-CN"/>
              </w:rPr>
              <w:t>每提供</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其他的不得分，本项最高得2分。</w:t>
            </w:r>
          </w:p>
          <w:p w14:paraId="2423C72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3.具有全媒体运营师证书的，</w:t>
            </w:r>
            <w:r>
              <w:rPr>
                <w:rFonts w:hint="eastAsia" w:ascii="宋体" w:hAnsi="宋体" w:eastAsia="宋体" w:cs="宋体"/>
                <w:sz w:val="24"/>
                <w:szCs w:val="24"/>
                <w:highlight w:val="none"/>
              </w:rPr>
              <w:t>每提供</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其他的不得分，本项最高得2分。</w:t>
            </w:r>
          </w:p>
          <w:p w14:paraId="3FB6EBC4">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4.具有活动策划师证书的，</w:t>
            </w:r>
            <w:r>
              <w:rPr>
                <w:rFonts w:hint="eastAsia" w:ascii="宋体" w:hAnsi="宋体" w:eastAsia="宋体" w:cs="宋体"/>
                <w:sz w:val="24"/>
                <w:szCs w:val="24"/>
                <w:highlight w:val="none"/>
              </w:rPr>
              <w:t>每提供</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其他的不得分，本项最高得2分。</w:t>
            </w:r>
          </w:p>
          <w:p w14:paraId="349DEC64">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5.</w:t>
            </w:r>
            <w:r>
              <w:rPr>
                <w:rFonts w:hint="eastAsia" w:ascii="宋体" w:hAnsi="宋体" w:eastAsia="宋体" w:cs="宋体"/>
                <w:color w:val="000000"/>
                <w:kern w:val="0"/>
                <w:sz w:val="24"/>
                <w:szCs w:val="24"/>
                <w:highlight w:val="none"/>
                <w:lang w:val="en-US" w:eastAsia="zh-CN" w:bidi="ar"/>
              </w:rPr>
              <w:t>具有</w:t>
            </w:r>
            <w:r>
              <w:rPr>
                <w:rFonts w:hint="eastAsia" w:ascii="宋体" w:hAnsi="宋体" w:eastAsia="宋体" w:cs="宋体"/>
                <w:color w:val="auto"/>
                <w:sz w:val="24"/>
                <w:szCs w:val="20"/>
                <w:highlight w:val="none"/>
                <w:lang w:val="en-US" w:eastAsia="zh-CN"/>
              </w:rPr>
              <w:t>网络工程师证书</w:t>
            </w:r>
            <w:r>
              <w:rPr>
                <w:rFonts w:hint="eastAsia" w:ascii="宋体" w:hAnsi="宋体" w:eastAsia="宋体" w:cs="宋体"/>
                <w:sz w:val="24"/>
                <w:szCs w:val="24"/>
                <w:highlight w:val="none"/>
                <w:lang w:val="en-US" w:eastAsia="zh-CN" w:bidi="ar"/>
              </w:rPr>
              <w:t>（计算机技术与软件专业技术资格（水平）考试）</w:t>
            </w:r>
            <w:r>
              <w:rPr>
                <w:rFonts w:hint="eastAsia" w:ascii="宋体" w:hAnsi="宋体" w:eastAsia="宋体" w:cs="宋体"/>
                <w:color w:val="000000"/>
                <w:kern w:val="0"/>
                <w:sz w:val="24"/>
                <w:szCs w:val="24"/>
                <w:highlight w:val="none"/>
                <w:lang w:val="en-US" w:eastAsia="zh-CN" w:bidi="ar"/>
              </w:rPr>
              <w:t>，</w:t>
            </w:r>
            <w:r>
              <w:rPr>
                <w:rFonts w:hint="eastAsia" w:ascii="宋体" w:hAnsi="宋体" w:eastAsia="宋体" w:cs="宋体"/>
                <w:sz w:val="24"/>
                <w:szCs w:val="24"/>
                <w:highlight w:val="none"/>
              </w:rPr>
              <w:t>每提供</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其他的不得分，本项最高得2分。</w:t>
            </w:r>
          </w:p>
          <w:p w14:paraId="0DFD2268">
            <w:pPr>
              <w:keepNext w:val="0"/>
              <w:keepLines w:val="0"/>
              <w:pageBreakBefore w:val="0"/>
              <w:widowControl w:val="0"/>
              <w:kinsoku/>
              <w:wordWrap/>
              <w:overflowPunct/>
              <w:topLinePunct w:val="0"/>
              <w:bidi w:val="0"/>
              <w:spacing w:line="440" w:lineRule="exact"/>
              <w:jc w:val="left"/>
              <w:textAlignment w:val="auto"/>
              <w:rPr>
                <w:rFonts w:hint="eastAsia" w:ascii="宋体" w:hAnsi="宋体" w:eastAsia="宋体" w:cs="宋体"/>
                <w:sz w:val="24"/>
                <w:szCs w:val="24"/>
                <w:highlight w:val="none"/>
                <w:lang w:eastAsia="zh-CN"/>
              </w:rPr>
            </w:pPr>
            <w:r>
              <w:rPr>
                <w:rFonts w:hint="eastAsia" w:ascii="宋体" w:hAnsi="宋体" w:eastAsia="宋体" w:cs="宋体"/>
                <w:b w:val="0"/>
                <w:bCs w:val="0"/>
                <w:color w:val="auto"/>
                <w:sz w:val="24"/>
                <w:szCs w:val="24"/>
                <w:highlight w:val="none"/>
              </w:rPr>
              <w:t>注：①</w:t>
            </w:r>
            <w:r>
              <w:rPr>
                <w:rFonts w:hint="eastAsia" w:ascii="宋体" w:hAnsi="宋体" w:eastAsia="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rPr>
              <w:t>文件中</w:t>
            </w:r>
            <w:r>
              <w:rPr>
                <w:rFonts w:hint="eastAsia" w:ascii="宋体" w:hAnsi="宋体" w:eastAsia="宋体" w:cs="宋体"/>
                <w:b w:val="0"/>
                <w:bCs w:val="0"/>
                <w:color w:val="auto"/>
                <w:sz w:val="24"/>
                <w:szCs w:val="24"/>
                <w:highlight w:val="none"/>
                <w:lang w:val="en-US" w:eastAsia="zh-CN"/>
              </w:rPr>
              <w:t>同时</w:t>
            </w:r>
            <w:r>
              <w:rPr>
                <w:rFonts w:hint="eastAsia" w:ascii="宋体" w:hAnsi="宋体" w:eastAsia="宋体" w:cs="宋体"/>
                <w:b w:val="0"/>
                <w:bCs w:val="0"/>
                <w:color w:val="auto"/>
                <w:sz w:val="24"/>
                <w:szCs w:val="24"/>
                <w:highlight w:val="none"/>
              </w:rPr>
              <w:t>提供上述人员名单（格式自拟）、</w:t>
            </w:r>
            <w:r>
              <w:rPr>
                <w:rFonts w:hint="eastAsia" w:ascii="宋体" w:hAnsi="宋体" w:eastAsia="宋体" w:cs="宋体"/>
                <w:sz w:val="24"/>
                <w:szCs w:val="24"/>
                <w:highlight w:val="none"/>
              </w:rPr>
              <w:t>有效身份证扫描件（含正反面）、</w:t>
            </w:r>
            <w:r>
              <w:rPr>
                <w:rFonts w:hint="eastAsia" w:ascii="宋体" w:hAnsi="宋体" w:eastAsia="宋体" w:cs="宋体"/>
                <w:b w:val="0"/>
                <w:bCs w:val="0"/>
                <w:color w:val="auto"/>
                <w:sz w:val="24"/>
                <w:szCs w:val="24"/>
                <w:highlight w:val="none"/>
              </w:rPr>
              <w:t>相</w:t>
            </w:r>
            <w:r>
              <w:rPr>
                <w:rFonts w:hint="eastAsia" w:ascii="宋体" w:hAnsi="宋体" w:eastAsia="宋体" w:cs="宋体"/>
                <w:b w:val="0"/>
                <w:bCs w:val="0"/>
                <w:color w:val="auto"/>
                <w:sz w:val="24"/>
                <w:szCs w:val="24"/>
                <w:highlight w:val="none"/>
                <w:lang w:val="en-US" w:eastAsia="zh-CN"/>
              </w:rPr>
              <w:t>应</w:t>
            </w:r>
            <w:r>
              <w:rPr>
                <w:rFonts w:hint="eastAsia" w:ascii="宋体" w:hAnsi="宋体" w:eastAsia="宋体" w:cs="宋体"/>
                <w:b w:val="0"/>
                <w:bCs w:val="0"/>
                <w:color w:val="auto"/>
                <w:sz w:val="24"/>
                <w:szCs w:val="24"/>
                <w:highlight w:val="none"/>
              </w:rPr>
              <w:t>证书扫描件</w:t>
            </w:r>
            <w:r>
              <w:rPr>
                <w:rFonts w:hint="eastAsia" w:ascii="宋体" w:hAnsi="宋体" w:eastAsia="宋体" w:cs="宋体"/>
                <w:b w:val="0"/>
                <w:bCs w:val="0"/>
                <w:color w:val="auto"/>
                <w:sz w:val="24"/>
                <w:szCs w:val="24"/>
                <w:highlight w:val="none"/>
                <w:lang w:val="en-US" w:eastAsia="zh-CN"/>
              </w:rPr>
              <w:t>和供应商</w:t>
            </w:r>
            <w:r>
              <w:rPr>
                <w:rFonts w:hint="eastAsia" w:ascii="宋体" w:hAnsi="宋体" w:eastAsia="宋体" w:cs="宋体"/>
                <w:b w:val="0"/>
                <w:bCs w:val="0"/>
                <w:color w:val="auto"/>
                <w:sz w:val="24"/>
                <w:szCs w:val="24"/>
                <w:highlight w:val="none"/>
              </w:rPr>
              <w:t>为其缴纳的近三个月内（任意一个月）的</w:t>
            </w:r>
            <w:r>
              <w:rPr>
                <w:rFonts w:hint="eastAsia" w:ascii="宋体" w:hAnsi="宋体" w:eastAsia="宋体" w:cs="宋体"/>
                <w:sz w:val="24"/>
                <w:szCs w:val="24"/>
                <w:highlight w:val="none"/>
              </w:rPr>
              <w:t>社会保险证明</w:t>
            </w:r>
            <w:r>
              <w:rPr>
                <w:rFonts w:hint="eastAsia" w:ascii="宋体" w:hAnsi="宋体" w:eastAsia="宋体" w:cs="宋体"/>
                <w:b w:val="0"/>
                <w:bCs w:val="0"/>
                <w:color w:val="auto"/>
                <w:sz w:val="24"/>
                <w:szCs w:val="24"/>
                <w:highlight w:val="none"/>
              </w:rPr>
              <w:t>证明或</w:t>
            </w:r>
            <w:r>
              <w:rPr>
                <w:rFonts w:hint="eastAsia" w:ascii="宋体" w:hAnsi="宋体" w:eastAsia="宋体" w:cs="宋体"/>
                <w:sz w:val="24"/>
                <w:szCs w:val="24"/>
                <w:highlight w:val="none"/>
              </w:rPr>
              <w:t>供应商提供承诺已为上述人员缴纳社会保险证明的承诺书（格式自拟）</w:t>
            </w:r>
            <w:r>
              <w:rPr>
                <w:rFonts w:hint="eastAsia" w:ascii="宋体" w:hAnsi="宋体" w:eastAsia="宋体" w:cs="宋体"/>
                <w:sz w:val="24"/>
                <w:szCs w:val="24"/>
                <w:highlight w:val="none"/>
                <w:lang w:eastAsia="zh-CN"/>
              </w:rPr>
              <w:t>；</w:t>
            </w:r>
          </w:p>
          <w:p w14:paraId="0320A462">
            <w:pPr>
              <w:keepNext w:val="0"/>
              <w:keepLines w:val="0"/>
              <w:pageBreakBefore w:val="0"/>
              <w:widowControl w:val="0"/>
              <w:kinsoku/>
              <w:wordWrap/>
              <w:overflowPunct/>
              <w:topLinePunct w:val="0"/>
              <w:bidi w:val="0"/>
              <w:spacing w:line="440" w:lineRule="exact"/>
              <w:jc w:val="left"/>
              <w:textAlignment w:val="auto"/>
              <w:rPr>
                <w:rFonts w:hint="default" w:ascii="宋体" w:hAnsi="宋体" w:eastAsia="宋体" w:cs="宋体"/>
                <w:color w:val="auto"/>
                <w:spacing w:val="4"/>
                <w:highlight w:val="none"/>
                <w:lang w:val="en-US" w:eastAsia="zh-CN"/>
              </w:rPr>
            </w:pPr>
            <w:r>
              <w:rPr>
                <w:rFonts w:hint="eastAsia" w:ascii="宋体" w:hAnsi="宋体" w:eastAsia="宋体" w:cs="宋体"/>
                <w:sz w:val="24"/>
                <w:szCs w:val="24"/>
                <w:highlight w:val="none"/>
              </w:rPr>
              <w:t>②</w:t>
            </w:r>
            <w:r>
              <w:rPr>
                <w:rFonts w:hint="eastAsia" w:ascii="宋体" w:hAnsi="宋体" w:eastAsia="宋体" w:cs="宋体"/>
                <w:sz w:val="24"/>
                <w:szCs w:val="24"/>
                <w:highlight w:val="none"/>
                <w:lang w:val="en-US" w:eastAsia="zh-CN"/>
              </w:rPr>
              <w:t>上述驻点管理员</w:t>
            </w:r>
            <w:r>
              <w:rPr>
                <w:rFonts w:hint="eastAsia" w:ascii="宋体" w:hAnsi="宋体" w:eastAsia="宋体" w:cs="宋体"/>
                <w:sz w:val="24"/>
                <w:szCs w:val="24"/>
                <w:highlight w:val="none"/>
              </w:rPr>
              <w:t>（项目负责人</w:t>
            </w:r>
            <w:r>
              <w:rPr>
                <w:rFonts w:hint="eastAsia" w:ascii="宋体" w:hAnsi="宋体" w:eastAsia="宋体" w:cs="宋体"/>
                <w:sz w:val="24"/>
                <w:szCs w:val="24"/>
                <w:highlight w:val="none"/>
                <w:lang w:val="en-US" w:eastAsia="zh-CN"/>
              </w:rPr>
              <w:t>除</w:t>
            </w:r>
            <w:r>
              <w:rPr>
                <w:rFonts w:hint="eastAsia" w:ascii="宋体" w:hAnsi="宋体" w:eastAsia="宋体" w:cs="宋体"/>
                <w:sz w:val="24"/>
                <w:szCs w:val="24"/>
                <w:highlight w:val="none"/>
              </w:rPr>
              <w:t>外）</w:t>
            </w:r>
            <w:r>
              <w:rPr>
                <w:rFonts w:hint="eastAsia" w:ascii="宋体" w:hAnsi="宋体" w:eastAsia="宋体" w:cs="宋体"/>
                <w:sz w:val="24"/>
                <w:szCs w:val="24"/>
                <w:highlight w:val="none"/>
                <w:lang w:val="en-US" w:eastAsia="zh-CN"/>
              </w:rPr>
              <w:t>同一人具有多个证书的最多按两个证书计算</w:t>
            </w:r>
            <w:r>
              <w:rPr>
                <w:rFonts w:hint="eastAsia" w:ascii="宋体" w:hAnsi="宋体" w:eastAsia="宋体" w:cs="宋体"/>
                <w:sz w:val="24"/>
                <w:szCs w:val="24"/>
                <w:highlight w:val="none"/>
              </w:rPr>
              <w:t>。</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15202B6F">
            <w:pPr>
              <w:keepNext w:val="0"/>
              <w:keepLines w:val="0"/>
              <w:pageBreakBefore w:val="0"/>
              <w:widowControl w:val="0"/>
              <w:kinsoku/>
              <w:wordWrap/>
              <w:overflowPunct/>
              <w:topLinePunct w:val="0"/>
              <w:bidi w:val="0"/>
              <w:spacing w:line="440" w:lineRule="exact"/>
              <w:jc w:val="center"/>
              <w:textAlignment w:val="auto"/>
              <w:rPr>
                <w:rFonts w:hint="eastAsia" w:eastAsia="宋体" w:asciiTheme="minorEastAsia" w:hAnsiTheme="minorEastAsia"/>
                <w:b/>
                <w:bCs/>
                <w:color w:val="auto"/>
                <w:sz w:val="24"/>
                <w:highlight w:val="none"/>
                <w:lang w:val="en-US" w:eastAsia="zh-CN"/>
              </w:rPr>
            </w:pPr>
            <w:r>
              <w:rPr>
                <w:rFonts w:hint="eastAsia" w:ascii="宋体" w:hAnsi="宋体" w:eastAsia="宋体" w:cs="宋体"/>
                <w:b w:val="0"/>
                <w:bCs w:val="0"/>
                <w:color w:val="auto"/>
                <w:sz w:val="24"/>
                <w:szCs w:val="24"/>
                <w:highlight w:val="none"/>
              </w:rPr>
              <w:t>0-</w:t>
            </w:r>
            <w:r>
              <w:rPr>
                <w:rFonts w:hint="eastAsia" w:ascii="宋体" w:hAnsi="宋体" w:eastAsia="宋体" w:cs="宋体"/>
                <w:b w:val="0"/>
                <w:bCs w:val="0"/>
                <w:color w:val="auto"/>
                <w:sz w:val="24"/>
                <w:szCs w:val="24"/>
                <w:highlight w:val="none"/>
                <w:lang w:val="en-US" w:eastAsia="zh-CN"/>
              </w:rPr>
              <w:t>14分</w:t>
            </w:r>
          </w:p>
        </w:tc>
      </w:tr>
      <w:tr w14:paraId="0768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0669FC3F">
            <w:pPr>
              <w:spacing w:line="360" w:lineRule="auto"/>
              <w:ind w:firstLine="435"/>
              <w:jc w:val="center"/>
              <w:rPr>
                <w:rFonts w:asciiTheme="minorEastAsia" w:hAnsiTheme="minorEastAsia" w:eastAsiaTheme="minorEastAsia"/>
                <w:b/>
                <w:bCs/>
                <w:color w:val="auto"/>
                <w:sz w:val="24"/>
                <w:highlight w:val="none"/>
              </w:rPr>
            </w:pPr>
          </w:p>
        </w:tc>
        <w:tc>
          <w:tcPr>
            <w:tcW w:w="413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646A892">
            <w:pPr>
              <w:pStyle w:val="70"/>
              <w:spacing w:before="241" w:line="358" w:lineRule="auto"/>
              <w:ind w:left="111" w:right="95"/>
              <w:jc w:val="center"/>
              <w:rPr>
                <w:rFonts w:hint="eastAsia" w:asciiTheme="minorEastAsia" w:hAnsiTheme="minorEastAsia" w:eastAsiaTheme="minorEastAsia"/>
                <w:b/>
                <w:bCs/>
                <w:color w:val="auto"/>
                <w:sz w:val="24"/>
                <w:highlight w:val="none"/>
                <w:lang w:val="en-US" w:eastAsia="zh-CN"/>
              </w:rPr>
            </w:pPr>
            <w:r>
              <w:rPr>
                <w:rFonts w:hint="eastAsia" w:asciiTheme="minorEastAsia" w:hAnsiTheme="minorEastAsia" w:eastAsiaTheme="minorEastAsia"/>
                <w:b/>
                <w:bCs/>
                <w:color w:val="auto"/>
                <w:sz w:val="24"/>
                <w:highlight w:val="none"/>
                <w:lang w:val="en-US" w:eastAsia="zh-CN"/>
              </w:rPr>
              <w:t>技术部分</w:t>
            </w:r>
          </w:p>
        </w:tc>
      </w:tr>
      <w:tr w14:paraId="600D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750F9275">
            <w:pPr>
              <w:spacing w:line="360" w:lineRule="auto"/>
              <w:ind w:firstLine="435"/>
              <w:jc w:val="center"/>
              <w:rPr>
                <w:rFonts w:asciiTheme="minorEastAsia" w:hAnsiTheme="minorEastAsia" w:eastAsiaTheme="minorEastAsia"/>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045219A8">
            <w:pPr>
              <w:keepNext w:val="0"/>
              <w:keepLines w:val="0"/>
              <w:pageBreakBefore w:val="0"/>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color w:val="auto"/>
                <w:sz w:val="24"/>
                <w:highlight w:val="none"/>
                <w:lang w:eastAsia="zh-CN"/>
              </w:rPr>
            </w:pPr>
            <w:r>
              <w:rPr>
                <w:rFonts w:hint="eastAsia" w:ascii="宋体" w:hAnsi="宋体" w:eastAsia="宋体"/>
                <w:bCs/>
                <w:sz w:val="24"/>
                <w:highlight w:val="none"/>
                <w:lang w:val="en-US" w:eastAsia="zh-CN"/>
              </w:rPr>
              <w:t>1.运营服务方案</w:t>
            </w:r>
          </w:p>
        </w:tc>
        <w:tc>
          <w:tcPr>
            <w:tcW w:w="2197" w:type="pct"/>
            <w:tcBorders>
              <w:top w:val="single" w:color="auto" w:sz="4" w:space="0"/>
              <w:left w:val="single" w:color="auto" w:sz="4" w:space="0"/>
              <w:bottom w:val="single" w:color="auto" w:sz="4" w:space="0"/>
              <w:right w:val="single" w:color="auto" w:sz="4" w:space="0"/>
            </w:tcBorders>
            <w:shd w:val="clear" w:color="auto" w:fill="auto"/>
            <w:vAlign w:val="center"/>
          </w:tcPr>
          <w:p w14:paraId="2E0303E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根据城市阅读空间功能定位、区域特征、地方文化、服务人群等，制定城市阅读空间及书柜的服务方案及目标，包括场所管理、团队建设、开展服务、读者满意度测评等，</w:t>
            </w:r>
            <w:r>
              <w:rPr>
                <w:rFonts w:hint="eastAsia" w:ascii="宋体" w:hAnsi="宋体" w:eastAsia="宋体" w:cs="宋体"/>
                <w:color w:val="auto"/>
                <w:kern w:val="0"/>
                <w:sz w:val="24"/>
                <w:szCs w:val="24"/>
                <w:highlight w:val="none"/>
                <w:lang w:val="en-US" w:eastAsia="zh-CN" w:bidi="ar"/>
              </w:rPr>
              <w:t>由磋商小组进行综合评审</w:t>
            </w:r>
            <w:r>
              <w:rPr>
                <w:rFonts w:hint="eastAsia" w:ascii="宋体" w:hAnsi="宋体" w:eastAsia="宋体" w:cs="宋体"/>
                <w:color w:val="auto"/>
                <w:spacing w:val="1"/>
                <w:kern w:val="0"/>
                <w:sz w:val="24"/>
                <w:szCs w:val="24"/>
                <w:highlight w:val="none"/>
                <w:lang w:val="en-US" w:eastAsia="zh-CN"/>
              </w:rPr>
              <w:t xml:space="preserve">： </w:t>
            </w:r>
          </w:p>
          <w:p w14:paraId="0BCC85E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（1）对本项目的运营要求理解准 </w:t>
            </w:r>
          </w:p>
          <w:p w14:paraId="5C49FFF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确，内容全面，充分体现承接本项目优势的，得5分； </w:t>
            </w:r>
          </w:p>
          <w:p w14:paraId="28268F6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（2）对本项目的运营要求理解准确，内容完善，方案切实可行，得 3分； </w:t>
            </w:r>
          </w:p>
          <w:p w14:paraId="1652FFE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（3）对本项目的运营要求理解有 </w:t>
            </w:r>
          </w:p>
          <w:p w14:paraId="3C3944C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待提升，满足项目实际需求的，得1分； </w:t>
            </w:r>
          </w:p>
          <w:p w14:paraId="6655F4F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（4）存在明显缺陷的或未提供相 </w:t>
            </w:r>
          </w:p>
          <w:p w14:paraId="6ACA7C1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宋体" w:hAnsi="宋体" w:eastAsia="宋体" w:cs="宋体"/>
                <w:color w:val="auto"/>
                <w:spacing w:val="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关内容的，不得分。 </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4015D5C5">
            <w:pPr>
              <w:keepNext w:val="0"/>
              <w:keepLines w:val="0"/>
              <w:pageBreakBefore w:val="0"/>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b/>
                <w:bCs/>
                <w:color w:val="auto"/>
                <w:sz w:val="24"/>
                <w:highlight w:val="none"/>
              </w:rPr>
            </w:pPr>
            <w:r>
              <w:rPr>
                <w:rFonts w:hint="eastAsia" w:ascii="宋体" w:hAnsi="宋体" w:eastAsia="宋体"/>
                <w:b w:val="0"/>
                <w:bCs w:val="0"/>
                <w:sz w:val="24"/>
                <w:highlight w:val="none"/>
              </w:rPr>
              <w:t>0-</w:t>
            </w:r>
            <w:r>
              <w:rPr>
                <w:rFonts w:hint="eastAsia" w:ascii="宋体" w:hAnsi="宋体" w:eastAsia="宋体"/>
                <w:b w:val="0"/>
                <w:bCs w:val="0"/>
                <w:sz w:val="24"/>
                <w:highlight w:val="none"/>
                <w:lang w:val="en-US" w:eastAsia="zh-CN"/>
              </w:rPr>
              <w:t>5</w:t>
            </w:r>
            <w:r>
              <w:rPr>
                <w:rFonts w:hint="eastAsia" w:ascii="宋体" w:hAnsi="宋体" w:eastAsia="宋体"/>
                <w:b w:val="0"/>
                <w:bCs w:val="0"/>
                <w:sz w:val="24"/>
                <w:highlight w:val="none"/>
              </w:rPr>
              <w:t>分</w:t>
            </w:r>
          </w:p>
        </w:tc>
      </w:tr>
      <w:tr w14:paraId="7BCA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5" w:hRule="atLeast"/>
          <w:jc w:val="center"/>
        </w:trPr>
        <w:tc>
          <w:tcPr>
            <w:tcW w:w="865" w:type="pct"/>
            <w:vMerge w:val="continue"/>
            <w:tcBorders>
              <w:left w:val="single" w:color="auto" w:sz="4" w:space="0"/>
              <w:right w:val="single" w:color="auto" w:sz="4" w:space="0"/>
            </w:tcBorders>
            <w:vAlign w:val="center"/>
          </w:tcPr>
          <w:p w14:paraId="4D6C499C">
            <w:pPr>
              <w:spacing w:line="360" w:lineRule="auto"/>
              <w:ind w:firstLine="435"/>
              <w:jc w:val="center"/>
              <w:rPr>
                <w:rFonts w:asciiTheme="minorEastAsia" w:hAnsiTheme="minorEastAsia" w:eastAsiaTheme="minorEastAsia"/>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7B7931E1">
            <w:pPr>
              <w:keepNext w:val="0"/>
              <w:keepLines w:val="0"/>
              <w:pageBreakBefore w:val="0"/>
              <w:widowControl w:val="0"/>
              <w:kinsoku/>
              <w:wordWrap/>
              <w:overflowPunct/>
              <w:topLinePunct w:val="0"/>
              <w:bidi w:val="0"/>
              <w:spacing w:line="440" w:lineRule="exact"/>
              <w:jc w:val="center"/>
              <w:textAlignment w:val="auto"/>
              <w:rPr>
                <w:rFonts w:hint="default" w:asciiTheme="minorEastAsia" w:hAnsiTheme="minorEastAsia" w:eastAsiaTheme="minorEastAsia"/>
                <w:color w:val="auto"/>
                <w:sz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bCs/>
                <w:sz w:val="24"/>
                <w:highlight w:val="none"/>
                <w:lang w:val="en-US" w:eastAsia="zh-CN"/>
              </w:rPr>
              <w:t>团队管理方案</w:t>
            </w:r>
          </w:p>
        </w:tc>
        <w:tc>
          <w:tcPr>
            <w:tcW w:w="2197" w:type="pct"/>
            <w:tcBorders>
              <w:top w:val="single" w:color="auto" w:sz="4" w:space="0"/>
              <w:left w:val="single" w:color="auto" w:sz="4" w:space="0"/>
              <w:bottom w:val="single" w:color="auto" w:sz="4" w:space="0"/>
              <w:right w:val="single" w:color="auto" w:sz="4" w:space="0"/>
            </w:tcBorders>
            <w:shd w:val="clear" w:color="auto" w:fill="auto"/>
            <w:vAlign w:val="center"/>
          </w:tcPr>
          <w:p w14:paraId="4DC9A2A8">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bCs/>
                <w:sz w:val="24"/>
                <w:highlight w:val="none"/>
              </w:rPr>
            </w:pPr>
            <w:r>
              <w:rPr>
                <w:rFonts w:hint="eastAsia" w:ascii="宋体" w:hAnsi="宋体" w:eastAsia="宋体" w:cs="宋体"/>
                <w:color w:val="auto"/>
                <w:spacing w:val="1"/>
                <w:kern w:val="0"/>
                <w:sz w:val="24"/>
                <w:szCs w:val="24"/>
                <w:highlight w:val="none"/>
                <w:lang w:val="en-US" w:eastAsia="zh-CN"/>
              </w:rPr>
              <w:t>根据供应商</w:t>
            </w:r>
            <w:r>
              <w:rPr>
                <w:rFonts w:hint="eastAsia" w:ascii="宋体" w:hAnsi="宋体" w:eastAsia="宋体"/>
                <w:bCs/>
                <w:sz w:val="24"/>
                <w:highlight w:val="none"/>
              </w:rPr>
              <w:t>提供</w:t>
            </w:r>
            <w:r>
              <w:rPr>
                <w:rFonts w:hint="eastAsia" w:ascii="宋体" w:hAnsi="宋体" w:eastAsia="宋体"/>
                <w:bCs/>
                <w:sz w:val="24"/>
                <w:highlight w:val="none"/>
                <w:lang w:val="en-US" w:eastAsia="zh-CN"/>
              </w:rPr>
              <w:t>的</w:t>
            </w:r>
            <w:r>
              <w:rPr>
                <w:rFonts w:hint="eastAsia" w:ascii="宋体" w:hAnsi="宋体" w:eastAsia="宋体"/>
                <w:bCs/>
                <w:sz w:val="24"/>
                <w:highlight w:val="none"/>
              </w:rPr>
              <w:t>运营团队管理方案情况进行</w:t>
            </w:r>
            <w:r>
              <w:rPr>
                <w:rFonts w:hint="eastAsia" w:ascii="宋体" w:hAnsi="宋体" w:eastAsia="宋体"/>
                <w:bCs/>
                <w:sz w:val="24"/>
                <w:highlight w:val="none"/>
                <w:lang w:val="en-US" w:eastAsia="zh-CN"/>
              </w:rPr>
              <w:t>综合</w:t>
            </w:r>
            <w:r>
              <w:rPr>
                <w:rFonts w:hint="eastAsia" w:ascii="宋体" w:hAnsi="宋体" w:eastAsia="宋体"/>
                <w:bCs/>
                <w:sz w:val="24"/>
                <w:highlight w:val="none"/>
              </w:rPr>
              <w:t>评</w:t>
            </w:r>
            <w:r>
              <w:rPr>
                <w:rFonts w:hint="eastAsia" w:ascii="宋体" w:hAnsi="宋体" w:eastAsia="宋体"/>
                <w:bCs/>
                <w:sz w:val="24"/>
                <w:highlight w:val="none"/>
                <w:lang w:val="en-US" w:eastAsia="zh-CN"/>
              </w:rPr>
              <w:t>分</w:t>
            </w:r>
            <w:r>
              <w:rPr>
                <w:rFonts w:hint="eastAsia" w:ascii="宋体" w:hAnsi="宋体" w:eastAsia="宋体"/>
                <w:bCs/>
                <w:sz w:val="24"/>
                <w:highlight w:val="none"/>
                <w:lang w:eastAsia="zh-CN"/>
              </w:rPr>
              <w:t>，</w:t>
            </w:r>
            <w:r>
              <w:rPr>
                <w:rFonts w:hint="eastAsia" w:ascii="宋体" w:hAnsi="宋体" w:eastAsia="宋体"/>
                <w:bCs/>
                <w:sz w:val="24"/>
                <w:highlight w:val="none"/>
                <w:lang w:val="en-US" w:eastAsia="zh-CN"/>
              </w:rPr>
              <w:t>包括但不限于对人员的配置、培训、考勤、薪酬、奖惩等内容</w:t>
            </w:r>
            <w:r>
              <w:rPr>
                <w:rFonts w:hint="eastAsia" w:ascii="宋体" w:hAnsi="宋体" w:eastAsia="宋体"/>
                <w:bCs/>
                <w:sz w:val="24"/>
                <w:highlight w:val="none"/>
              </w:rPr>
              <w:t xml:space="preserve">： </w:t>
            </w:r>
          </w:p>
          <w:p w14:paraId="48D9954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bCs/>
                <w:sz w:val="24"/>
                <w:highlight w:val="none"/>
              </w:rPr>
            </w:pPr>
            <w:r>
              <w:rPr>
                <w:rFonts w:hint="eastAsia" w:ascii="宋体" w:hAnsi="宋体" w:eastAsia="宋体"/>
                <w:bCs/>
                <w:sz w:val="24"/>
                <w:highlight w:val="none"/>
              </w:rPr>
              <w:t>（1）</w:t>
            </w:r>
            <w:r>
              <w:rPr>
                <w:rFonts w:hint="eastAsia" w:ascii="宋体" w:hAnsi="宋体" w:eastAsia="宋体"/>
                <w:bCs/>
                <w:sz w:val="24"/>
                <w:highlight w:val="none"/>
                <w:lang w:val="en-US" w:eastAsia="zh-CN"/>
              </w:rPr>
              <w:t>方案详尽，制度健全，内容全面的，</w:t>
            </w:r>
            <w:r>
              <w:rPr>
                <w:rFonts w:hint="eastAsia" w:ascii="宋体" w:hAnsi="宋体" w:eastAsia="宋体"/>
                <w:bCs/>
                <w:sz w:val="24"/>
                <w:highlight w:val="none"/>
              </w:rPr>
              <w:t xml:space="preserve">得5分； </w:t>
            </w:r>
          </w:p>
          <w:p w14:paraId="5FD7CF9A">
            <w:pPr>
              <w:keepNext w:val="0"/>
              <w:keepLines w:val="0"/>
              <w:widowControl/>
              <w:suppressLineNumbers w:val="0"/>
              <w:jc w:val="left"/>
              <w:rPr>
                <w:rFonts w:hint="eastAsia" w:ascii="宋体" w:hAnsi="宋体" w:eastAsia="宋体"/>
                <w:bCs/>
                <w:sz w:val="24"/>
                <w:highlight w:val="none"/>
              </w:rPr>
            </w:pPr>
            <w:r>
              <w:rPr>
                <w:rFonts w:hint="eastAsia" w:ascii="宋体" w:hAnsi="宋体" w:eastAsia="宋体"/>
                <w:bCs/>
                <w:sz w:val="24"/>
                <w:highlight w:val="none"/>
              </w:rPr>
              <w:t>（2）</w:t>
            </w:r>
            <w:r>
              <w:rPr>
                <w:rFonts w:hint="eastAsia" w:ascii="宋体" w:hAnsi="宋体" w:eastAsia="宋体" w:cs="宋体"/>
                <w:color w:val="000000"/>
                <w:kern w:val="0"/>
                <w:sz w:val="24"/>
                <w:szCs w:val="24"/>
                <w:highlight w:val="none"/>
                <w:lang w:val="en-US" w:eastAsia="zh-CN" w:bidi="ar"/>
              </w:rPr>
              <w:t>方案</w:t>
            </w:r>
            <w:r>
              <w:rPr>
                <w:rFonts w:hint="eastAsia" w:ascii="宋体" w:hAnsi="宋体" w:eastAsia="宋体" w:cs="宋体"/>
                <w:sz w:val="24"/>
                <w:szCs w:val="24"/>
                <w:highlight w:val="none"/>
                <w:lang w:val="en-US" w:eastAsia="zh-CN"/>
              </w:rPr>
              <w:t>内容完整，符合项目实施的</w:t>
            </w:r>
            <w:r>
              <w:rPr>
                <w:rFonts w:hint="eastAsia" w:ascii="宋体" w:hAnsi="宋体" w:eastAsia="宋体" w:cs="宋体"/>
                <w:color w:val="000000"/>
                <w:kern w:val="0"/>
                <w:sz w:val="24"/>
                <w:szCs w:val="24"/>
                <w:highlight w:val="none"/>
                <w:lang w:val="en-US" w:eastAsia="zh-CN" w:bidi="ar"/>
              </w:rPr>
              <w:t>，</w:t>
            </w:r>
            <w:r>
              <w:rPr>
                <w:rFonts w:hint="eastAsia" w:ascii="宋体" w:hAnsi="宋体" w:eastAsia="宋体"/>
                <w:bCs/>
                <w:sz w:val="24"/>
                <w:highlight w:val="none"/>
              </w:rPr>
              <w:t xml:space="preserve">得3分； </w:t>
            </w:r>
          </w:p>
          <w:p w14:paraId="0AE7F31E">
            <w:pPr>
              <w:keepNext w:val="0"/>
              <w:keepLines w:val="0"/>
              <w:widowControl/>
              <w:suppressLineNumbers w:val="0"/>
              <w:jc w:val="left"/>
              <w:rPr>
                <w:rFonts w:hint="eastAsia" w:ascii="宋体" w:hAnsi="宋体" w:eastAsia="宋体"/>
                <w:bCs/>
                <w:sz w:val="24"/>
                <w:highlight w:val="none"/>
              </w:rPr>
            </w:pPr>
            <w:r>
              <w:rPr>
                <w:rFonts w:hint="eastAsia" w:ascii="宋体" w:hAnsi="宋体" w:eastAsia="宋体"/>
                <w:bCs/>
                <w:sz w:val="24"/>
                <w:highlight w:val="none"/>
              </w:rPr>
              <w:t>（3）</w:t>
            </w:r>
            <w:r>
              <w:rPr>
                <w:rFonts w:hint="eastAsia" w:ascii="宋体" w:hAnsi="宋体" w:eastAsia="宋体" w:cs="宋体"/>
                <w:color w:val="000000"/>
                <w:kern w:val="0"/>
                <w:sz w:val="24"/>
                <w:szCs w:val="24"/>
                <w:highlight w:val="none"/>
                <w:lang w:val="en-US" w:eastAsia="zh-CN" w:bidi="ar"/>
              </w:rPr>
              <w:t>方案内容不足，可执行性有待改善的，</w:t>
            </w:r>
            <w:r>
              <w:rPr>
                <w:rFonts w:hint="eastAsia" w:ascii="宋体" w:hAnsi="宋体" w:eastAsia="宋体"/>
                <w:bCs/>
                <w:sz w:val="24"/>
                <w:highlight w:val="none"/>
              </w:rPr>
              <w:t xml:space="preserve">得1分； </w:t>
            </w:r>
          </w:p>
          <w:p w14:paraId="17C4CCBC">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宋体" w:hAnsi="宋体" w:eastAsia="宋体" w:cs="宋体"/>
                <w:color w:val="auto"/>
                <w:spacing w:val="4"/>
                <w:highlight w:val="none"/>
                <w:lang w:val="en-US" w:eastAsia="zh-CN"/>
              </w:rPr>
            </w:pPr>
            <w:r>
              <w:rPr>
                <w:rFonts w:hint="eastAsia" w:ascii="宋体" w:hAnsi="宋体" w:eastAsia="宋体"/>
                <w:bCs/>
                <w:sz w:val="24"/>
                <w:highlight w:val="none"/>
              </w:rPr>
              <w:t>（4）未提供相关内容的不得分。</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CA44666">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olor w:val="auto"/>
                <w:sz w:val="24"/>
                <w:szCs w:val="24"/>
                <w:highlight w:val="none"/>
              </w:rPr>
            </w:pPr>
          </w:p>
          <w:p w14:paraId="1B6375C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b/>
                <w:bCs/>
                <w:color w:val="auto"/>
                <w:sz w:val="24"/>
                <w:highlight w:val="none"/>
              </w:rPr>
            </w:pPr>
            <w:r>
              <w:rPr>
                <w:rFonts w:hint="eastAsia" w:ascii="宋体" w:hAnsi="宋体" w:eastAsia="宋体"/>
                <w:color w:val="auto"/>
                <w:sz w:val="24"/>
                <w:szCs w:val="24"/>
                <w:highlight w:val="none"/>
              </w:rPr>
              <w:t>0-5分</w:t>
            </w:r>
          </w:p>
        </w:tc>
      </w:tr>
      <w:tr w14:paraId="7F30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1B4B60CB">
            <w:pPr>
              <w:spacing w:line="360" w:lineRule="auto"/>
              <w:ind w:firstLine="435"/>
              <w:jc w:val="center"/>
              <w:rPr>
                <w:rFonts w:asciiTheme="minorEastAsia" w:hAnsiTheme="minorEastAsia" w:eastAsiaTheme="minorEastAsia"/>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0F163FB9">
            <w:pPr>
              <w:keepNext w:val="0"/>
              <w:keepLines w:val="0"/>
              <w:pageBreakBefore w:val="0"/>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color w:val="auto"/>
                <w:sz w:val="24"/>
                <w:highlight w:val="none"/>
                <w:lang w:eastAsia="zh-CN"/>
              </w:rPr>
            </w:pPr>
            <w:r>
              <w:rPr>
                <w:rFonts w:hint="eastAsia" w:ascii="宋体" w:hAnsi="宋体" w:eastAsia="宋体" w:cs="宋体"/>
                <w:color w:val="auto"/>
                <w:sz w:val="24"/>
                <w:szCs w:val="24"/>
                <w:highlight w:val="none"/>
                <w:lang w:val="en-US" w:eastAsia="zh-CN"/>
              </w:rPr>
              <w:t>3.品牌建设方案</w:t>
            </w:r>
          </w:p>
        </w:tc>
        <w:tc>
          <w:tcPr>
            <w:tcW w:w="2197" w:type="pct"/>
            <w:tcBorders>
              <w:top w:val="single" w:color="auto" w:sz="4" w:space="0"/>
              <w:left w:val="single" w:color="auto" w:sz="4" w:space="0"/>
              <w:bottom w:val="single" w:color="auto" w:sz="4" w:space="0"/>
              <w:right w:val="single" w:color="auto" w:sz="4" w:space="0"/>
            </w:tcBorders>
            <w:shd w:val="clear" w:color="auto" w:fill="auto"/>
            <w:vAlign w:val="center"/>
          </w:tcPr>
          <w:p w14:paraId="75EA6E54">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rPr>
            </w:pPr>
            <w:r>
              <w:rPr>
                <w:rFonts w:hint="eastAsia" w:ascii="宋体" w:hAnsi="宋体" w:eastAsia="宋体"/>
                <w:sz w:val="24"/>
                <w:highlight w:val="none"/>
                <w:lang w:val="en-US" w:eastAsia="zh-CN"/>
              </w:rPr>
              <w:t>根据供应商</w:t>
            </w:r>
            <w:r>
              <w:rPr>
                <w:rFonts w:hint="eastAsia" w:ascii="宋体" w:hAnsi="宋体" w:eastAsia="宋体"/>
                <w:sz w:val="24"/>
                <w:highlight w:val="none"/>
              </w:rPr>
              <w:t>提供的品牌建设方案情况进行</w:t>
            </w:r>
            <w:r>
              <w:rPr>
                <w:rFonts w:hint="eastAsia" w:ascii="宋体" w:hAnsi="宋体" w:eastAsia="宋体"/>
                <w:sz w:val="24"/>
                <w:highlight w:val="none"/>
                <w:lang w:val="en-US" w:eastAsia="zh-CN"/>
              </w:rPr>
              <w:t>综合</w:t>
            </w:r>
            <w:r>
              <w:rPr>
                <w:rFonts w:hint="eastAsia" w:ascii="宋体" w:hAnsi="宋体" w:eastAsia="宋体"/>
                <w:sz w:val="24"/>
                <w:highlight w:val="none"/>
              </w:rPr>
              <w:t xml:space="preserve">评分： </w:t>
            </w:r>
          </w:p>
          <w:p w14:paraId="2BE1DBA8">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rPr>
            </w:pPr>
            <w:r>
              <w:rPr>
                <w:rFonts w:hint="eastAsia" w:ascii="宋体" w:hAnsi="宋体" w:eastAsia="宋体"/>
                <w:sz w:val="24"/>
                <w:highlight w:val="none"/>
              </w:rPr>
              <w:t>（1）品牌活动</w:t>
            </w:r>
            <w:r>
              <w:rPr>
                <w:rFonts w:hint="eastAsia" w:ascii="宋体" w:hAnsi="宋体" w:eastAsia="宋体"/>
                <w:sz w:val="24"/>
                <w:highlight w:val="none"/>
                <w:lang w:val="en-US" w:eastAsia="zh-CN"/>
              </w:rPr>
              <w:t>建设方案</w:t>
            </w:r>
            <w:r>
              <w:rPr>
                <w:rFonts w:hint="eastAsia" w:ascii="宋体" w:hAnsi="宋体" w:eastAsia="宋体" w:cs="宋体"/>
                <w:color w:val="auto"/>
                <w:spacing w:val="1"/>
                <w:kern w:val="0"/>
                <w:sz w:val="24"/>
                <w:szCs w:val="24"/>
                <w:highlight w:val="none"/>
                <w:lang w:val="en-US" w:eastAsia="zh-CN"/>
              </w:rPr>
              <w:t>内容完整、清晰，</w:t>
            </w:r>
            <w:r>
              <w:rPr>
                <w:rFonts w:hint="eastAsia" w:ascii="宋体" w:hAnsi="宋体" w:eastAsia="宋体"/>
                <w:sz w:val="24"/>
                <w:highlight w:val="none"/>
                <w:lang w:val="en-US" w:eastAsia="zh-CN"/>
              </w:rPr>
              <w:t>易推广，</w:t>
            </w:r>
            <w:r>
              <w:rPr>
                <w:rFonts w:hint="eastAsia" w:ascii="宋体" w:hAnsi="宋体" w:eastAsia="宋体"/>
                <w:sz w:val="24"/>
                <w:highlight w:val="none"/>
              </w:rPr>
              <w:t xml:space="preserve">体现不同阅读空间特色，做到一空间一特色，得5分； </w:t>
            </w:r>
          </w:p>
          <w:p w14:paraId="3EC371AE">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rPr>
            </w:pPr>
            <w:r>
              <w:rPr>
                <w:rFonts w:hint="eastAsia" w:ascii="宋体" w:hAnsi="宋体" w:eastAsia="宋体"/>
                <w:sz w:val="24"/>
                <w:highlight w:val="none"/>
              </w:rPr>
              <w:t>（2）品牌活动</w:t>
            </w:r>
            <w:r>
              <w:rPr>
                <w:rFonts w:hint="eastAsia" w:ascii="宋体" w:hAnsi="宋体" w:eastAsia="宋体"/>
                <w:sz w:val="24"/>
                <w:highlight w:val="none"/>
                <w:lang w:val="en-US" w:eastAsia="zh-CN"/>
              </w:rPr>
              <w:t>建设方案</w:t>
            </w:r>
            <w:r>
              <w:rPr>
                <w:rFonts w:hint="eastAsia" w:ascii="宋体" w:hAnsi="宋体" w:eastAsia="宋体" w:cs="宋体"/>
                <w:color w:val="auto"/>
                <w:spacing w:val="1"/>
                <w:kern w:val="0"/>
                <w:sz w:val="24"/>
                <w:szCs w:val="24"/>
                <w:highlight w:val="none"/>
                <w:lang w:val="en-US" w:eastAsia="zh-CN"/>
              </w:rPr>
              <w:t>内容不缺项</w:t>
            </w:r>
            <w:r>
              <w:rPr>
                <w:rFonts w:hint="eastAsia" w:ascii="宋体" w:hAnsi="宋体" w:eastAsia="宋体"/>
                <w:sz w:val="24"/>
                <w:highlight w:val="none"/>
                <w:lang w:val="en-US" w:eastAsia="zh-CN"/>
              </w:rPr>
              <w:t>，</w:t>
            </w:r>
            <w:r>
              <w:rPr>
                <w:rFonts w:hint="eastAsia" w:ascii="宋体" w:hAnsi="宋体" w:eastAsia="宋体"/>
                <w:sz w:val="24"/>
                <w:highlight w:val="none"/>
              </w:rPr>
              <w:t xml:space="preserve">能够体现不同项目亮点的，得 3分； </w:t>
            </w:r>
          </w:p>
          <w:p w14:paraId="09C05F13">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rPr>
            </w:pPr>
            <w:r>
              <w:rPr>
                <w:rFonts w:hint="eastAsia" w:ascii="宋体" w:hAnsi="宋体" w:eastAsia="宋体"/>
                <w:sz w:val="24"/>
                <w:highlight w:val="none"/>
              </w:rPr>
              <w:t>（3</w:t>
            </w:r>
            <w:r>
              <w:rPr>
                <w:rFonts w:hint="eastAsia" w:ascii="宋体" w:hAnsi="宋体" w:eastAsia="宋体"/>
                <w:sz w:val="24"/>
                <w:highlight w:val="none"/>
                <w:lang w:eastAsia="zh-CN"/>
              </w:rPr>
              <w:t>）</w:t>
            </w:r>
            <w:r>
              <w:rPr>
                <w:rFonts w:hint="eastAsia" w:ascii="宋体" w:hAnsi="宋体" w:eastAsia="宋体"/>
                <w:sz w:val="24"/>
                <w:highlight w:val="none"/>
              </w:rPr>
              <w:t>品牌活动</w:t>
            </w:r>
            <w:r>
              <w:rPr>
                <w:rFonts w:hint="eastAsia" w:ascii="宋体" w:hAnsi="宋体" w:eastAsia="宋体"/>
                <w:sz w:val="24"/>
                <w:highlight w:val="none"/>
                <w:lang w:val="en-US" w:eastAsia="zh-CN"/>
              </w:rPr>
              <w:t>建设方案</w:t>
            </w:r>
            <w:r>
              <w:rPr>
                <w:rFonts w:hint="eastAsia" w:ascii="宋体" w:hAnsi="宋体" w:eastAsia="宋体" w:cs="宋体"/>
                <w:color w:val="auto"/>
                <w:spacing w:val="1"/>
                <w:kern w:val="0"/>
                <w:sz w:val="24"/>
                <w:szCs w:val="24"/>
                <w:highlight w:val="none"/>
                <w:lang w:val="en-US" w:eastAsia="zh-CN"/>
              </w:rPr>
              <w:t>内容不全面、具体细节有待完善的</w:t>
            </w:r>
            <w:r>
              <w:rPr>
                <w:rFonts w:hint="eastAsia" w:ascii="宋体" w:hAnsi="宋体" w:eastAsia="宋体"/>
                <w:sz w:val="24"/>
                <w:highlight w:val="none"/>
              </w:rPr>
              <w:t>，得1</w:t>
            </w:r>
            <w:r>
              <w:rPr>
                <w:rFonts w:hint="eastAsia" w:ascii="宋体" w:hAnsi="宋体" w:eastAsia="宋体"/>
                <w:sz w:val="24"/>
                <w:highlight w:val="none"/>
                <w:lang w:val="en-US" w:eastAsia="zh-CN"/>
              </w:rPr>
              <w:t>分</w:t>
            </w:r>
            <w:r>
              <w:rPr>
                <w:rFonts w:hint="eastAsia" w:ascii="宋体" w:hAnsi="宋体" w:eastAsia="宋体"/>
                <w:sz w:val="24"/>
                <w:highlight w:val="none"/>
              </w:rPr>
              <w:t xml:space="preserve">； </w:t>
            </w:r>
          </w:p>
          <w:p w14:paraId="784ECC15">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宋体" w:hAnsi="宋体" w:eastAsia="宋体" w:cs="宋体"/>
                <w:color w:val="auto"/>
                <w:spacing w:val="4"/>
                <w:highlight w:val="none"/>
                <w:lang w:val="en-US" w:eastAsia="zh-CN"/>
              </w:rPr>
            </w:pPr>
            <w:r>
              <w:rPr>
                <w:rFonts w:hint="eastAsia" w:ascii="宋体" w:hAnsi="宋体" w:eastAsia="宋体"/>
                <w:sz w:val="24"/>
                <w:highlight w:val="none"/>
              </w:rPr>
              <w:t xml:space="preserve">（4）未提供相关内容的不得分。 </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98B6D9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b/>
                <w:bCs/>
                <w:color w:val="auto"/>
                <w:sz w:val="24"/>
                <w:highlight w:val="none"/>
              </w:rPr>
            </w:pPr>
            <w:r>
              <w:rPr>
                <w:rFonts w:hint="eastAsia" w:ascii="宋体" w:hAnsi="宋体" w:eastAsia="宋体"/>
                <w:color w:val="auto"/>
                <w:sz w:val="24"/>
                <w:szCs w:val="24"/>
                <w:highlight w:val="none"/>
              </w:rPr>
              <w:t>0-5分</w:t>
            </w:r>
          </w:p>
        </w:tc>
      </w:tr>
      <w:tr w14:paraId="55C8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2FDE1996">
            <w:pPr>
              <w:spacing w:line="360" w:lineRule="auto"/>
              <w:ind w:firstLine="435"/>
              <w:jc w:val="center"/>
              <w:rPr>
                <w:rFonts w:asciiTheme="minorEastAsia" w:hAnsiTheme="minorEastAsia" w:eastAsiaTheme="minorEastAsia"/>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559FA528">
            <w:pPr>
              <w:keepNext w:val="0"/>
              <w:keepLines w:val="0"/>
              <w:pageBreakBefore w:val="0"/>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color w:val="auto"/>
                <w:sz w:val="24"/>
                <w:highlight w:val="none"/>
                <w:lang w:eastAsia="zh-CN"/>
              </w:rPr>
            </w:pPr>
            <w:r>
              <w:rPr>
                <w:rFonts w:hint="eastAsia" w:ascii="宋体" w:hAnsi="宋体" w:eastAsia="宋体" w:cs="宋体"/>
                <w:color w:val="auto"/>
                <w:sz w:val="24"/>
                <w:szCs w:val="24"/>
                <w:highlight w:val="none"/>
                <w:lang w:val="en-US" w:eastAsia="zh-CN"/>
              </w:rPr>
              <w:t>4.图书流转方案</w:t>
            </w:r>
          </w:p>
        </w:tc>
        <w:tc>
          <w:tcPr>
            <w:tcW w:w="2197" w:type="pct"/>
            <w:tcBorders>
              <w:top w:val="single" w:color="auto" w:sz="4" w:space="0"/>
              <w:left w:val="single" w:color="auto" w:sz="4" w:space="0"/>
              <w:bottom w:val="single" w:color="auto" w:sz="4" w:space="0"/>
              <w:right w:val="single" w:color="auto" w:sz="4" w:space="0"/>
            </w:tcBorders>
            <w:shd w:val="clear" w:color="auto" w:fill="auto"/>
            <w:vAlign w:val="center"/>
          </w:tcPr>
          <w:p w14:paraId="3DED0A70">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val="en-US" w:eastAsia="zh-CN"/>
              </w:rPr>
              <w:t>根据供应商</w:t>
            </w:r>
            <w:r>
              <w:rPr>
                <w:rFonts w:hint="eastAsia" w:ascii="宋体" w:hAnsi="宋体" w:eastAsia="宋体"/>
                <w:sz w:val="24"/>
                <w:highlight w:val="none"/>
              </w:rPr>
              <w:t>提供的</w:t>
            </w:r>
            <w:r>
              <w:rPr>
                <w:rFonts w:hint="eastAsia" w:ascii="宋体" w:hAnsi="宋体" w:eastAsia="宋体"/>
                <w:sz w:val="24"/>
                <w:highlight w:val="none"/>
                <w:lang w:val="en-US" w:eastAsia="zh-CN"/>
              </w:rPr>
              <w:t>图书流转</w:t>
            </w:r>
            <w:r>
              <w:rPr>
                <w:rFonts w:hint="eastAsia" w:ascii="宋体" w:hAnsi="宋体" w:eastAsia="宋体"/>
                <w:sz w:val="24"/>
                <w:highlight w:val="none"/>
              </w:rPr>
              <w:t>方案情况进行综合评分</w:t>
            </w:r>
            <w:r>
              <w:rPr>
                <w:rFonts w:hint="eastAsia" w:ascii="宋体" w:hAnsi="宋体" w:eastAsia="宋体"/>
                <w:sz w:val="24"/>
                <w:highlight w:val="none"/>
                <w:lang w:eastAsia="zh-CN"/>
              </w:rPr>
              <w:t>，</w:t>
            </w:r>
            <w:r>
              <w:rPr>
                <w:rFonts w:hint="eastAsia" w:ascii="宋体" w:hAnsi="宋体" w:eastAsia="宋体"/>
                <w:sz w:val="24"/>
                <w:highlight w:val="none"/>
                <w:lang w:val="en-US" w:eastAsia="zh-CN"/>
              </w:rPr>
              <w:t>包括但不限于</w:t>
            </w:r>
            <w:r>
              <w:rPr>
                <w:rFonts w:hint="eastAsia" w:ascii="宋体" w:hAnsi="宋体" w:eastAsia="宋体"/>
                <w:sz w:val="24"/>
                <w:highlight w:val="none"/>
              </w:rPr>
              <w:t>制定城市阅读空间、</w:t>
            </w:r>
            <w:r>
              <w:rPr>
                <w:rFonts w:hint="eastAsia" w:ascii="宋体" w:hAnsi="宋体" w:eastAsia="宋体"/>
                <w:sz w:val="24"/>
                <w:highlight w:val="none"/>
                <w:lang w:val="en-US" w:eastAsia="zh-CN"/>
              </w:rPr>
              <w:t>城市</w:t>
            </w:r>
            <w:r>
              <w:rPr>
                <w:rFonts w:hint="eastAsia" w:ascii="宋体" w:hAnsi="宋体" w:eastAsia="宋体"/>
                <w:sz w:val="24"/>
                <w:highlight w:val="none"/>
              </w:rPr>
              <w:t>书柜等图书流通配送服务方案，提供图书交接、图书分类上架、图书日常流转调配等服务</w:t>
            </w:r>
            <w:r>
              <w:rPr>
                <w:rFonts w:hint="eastAsia" w:ascii="宋体" w:hAnsi="宋体" w:eastAsia="宋体"/>
                <w:sz w:val="24"/>
                <w:highlight w:val="none"/>
                <w:lang w:eastAsia="zh-CN"/>
              </w:rPr>
              <w:t>：</w:t>
            </w:r>
          </w:p>
          <w:p w14:paraId="69EEE1E6">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（1）方案程序合理，措施有效，阐述详细，</w:t>
            </w:r>
            <w:r>
              <w:rPr>
                <w:rFonts w:hint="eastAsia" w:ascii="宋体" w:hAnsi="宋体" w:eastAsia="宋体"/>
                <w:sz w:val="24"/>
                <w:highlight w:val="none"/>
                <w:lang w:val="en-US" w:eastAsia="zh-CN"/>
              </w:rPr>
              <w:t>具有</w:t>
            </w:r>
            <w:r>
              <w:rPr>
                <w:rFonts w:hint="eastAsia" w:ascii="宋体" w:hAnsi="宋体" w:eastAsia="宋体"/>
                <w:sz w:val="24"/>
                <w:highlight w:val="none"/>
                <w:lang w:eastAsia="zh-CN"/>
              </w:rPr>
              <w:t>专业性</w:t>
            </w:r>
            <w:r>
              <w:rPr>
                <w:rFonts w:hint="eastAsia" w:ascii="宋体" w:hAnsi="宋体" w:eastAsia="宋体"/>
                <w:sz w:val="24"/>
                <w:highlight w:val="none"/>
                <w:lang w:val="en-US" w:eastAsia="zh-CN"/>
              </w:rPr>
              <w:t>的</w:t>
            </w:r>
            <w:r>
              <w:rPr>
                <w:rFonts w:hint="eastAsia" w:ascii="宋体" w:hAnsi="宋体" w:eastAsia="宋体"/>
                <w:sz w:val="24"/>
                <w:highlight w:val="none"/>
                <w:lang w:eastAsia="zh-CN"/>
              </w:rPr>
              <w:t>，得5分；</w:t>
            </w:r>
          </w:p>
          <w:p w14:paraId="6E0ABBB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（2）方案符合需求，有程序，有措施</w:t>
            </w:r>
            <w:r>
              <w:rPr>
                <w:rFonts w:hint="eastAsia" w:ascii="宋体" w:hAnsi="宋体" w:eastAsia="宋体"/>
                <w:sz w:val="24"/>
                <w:highlight w:val="none"/>
                <w:lang w:val="en-US" w:eastAsia="zh-CN"/>
              </w:rPr>
              <w:t>的</w:t>
            </w:r>
            <w:r>
              <w:rPr>
                <w:rFonts w:hint="eastAsia" w:ascii="宋体" w:hAnsi="宋体" w:eastAsia="宋体"/>
                <w:sz w:val="24"/>
                <w:highlight w:val="none"/>
                <w:lang w:eastAsia="zh-CN"/>
              </w:rPr>
              <w:t>，得</w:t>
            </w:r>
            <w:r>
              <w:rPr>
                <w:rFonts w:hint="eastAsia" w:ascii="宋体" w:hAnsi="宋体" w:eastAsia="宋体"/>
                <w:sz w:val="24"/>
                <w:highlight w:val="none"/>
                <w:lang w:val="en-US" w:eastAsia="zh-CN"/>
              </w:rPr>
              <w:t>3</w:t>
            </w:r>
            <w:r>
              <w:rPr>
                <w:rFonts w:hint="eastAsia" w:ascii="宋体" w:hAnsi="宋体" w:eastAsia="宋体"/>
                <w:sz w:val="24"/>
                <w:highlight w:val="none"/>
                <w:lang w:eastAsia="zh-CN"/>
              </w:rPr>
              <w:t>分；</w:t>
            </w:r>
          </w:p>
          <w:p w14:paraId="0C6F6D0B">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（3）方案有待于提升，内容、措施不缺项</w:t>
            </w:r>
            <w:r>
              <w:rPr>
                <w:rFonts w:hint="eastAsia" w:ascii="宋体" w:hAnsi="宋体" w:eastAsia="宋体"/>
                <w:sz w:val="24"/>
                <w:highlight w:val="none"/>
                <w:lang w:val="en-US" w:eastAsia="zh-CN"/>
              </w:rPr>
              <w:t>的</w:t>
            </w:r>
            <w:r>
              <w:rPr>
                <w:rFonts w:hint="eastAsia" w:ascii="宋体" w:hAnsi="宋体" w:eastAsia="宋体"/>
                <w:sz w:val="24"/>
                <w:highlight w:val="none"/>
                <w:lang w:eastAsia="zh-CN"/>
              </w:rPr>
              <w:t>，得</w:t>
            </w:r>
            <w:r>
              <w:rPr>
                <w:rFonts w:hint="eastAsia" w:ascii="宋体" w:hAnsi="宋体" w:eastAsia="宋体"/>
                <w:sz w:val="24"/>
                <w:highlight w:val="none"/>
                <w:lang w:val="en-US" w:eastAsia="zh-CN"/>
              </w:rPr>
              <w:t>1</w:t>
            </w:r>
            <w:r>
              <w:rPr>
                <w:rFonts w:hint="eastAsia" w:ascii="宋体" w:hAnsi="宋体" w:eastAsia="宋体"/>
                <w:sz w:val="24"/>
                <w:highlight w:val="none"/>
                <w:lang w:eastAsia="zh-CN"/>
              </w:rPr>
              <w:t>分；</w:t>
            </w:r>
          </w:p>
          <w:p w14:paraId="5B45409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rPr>
            </w:pPr>
            <w:r>
              <w:rPr>
                <w:rFonts w:hint="eastAsia" w:ascii="宋体" w:hAnsi="宋体" w:eastAsia="宋体"/>
                <w:sz w:val="24"/>
                <w:highlight w:val="none"/>
                <w:lang w:eastAsia="zh-CN"/>
              </w:rPr>
              <w:t>（4）</w:t>
            </w:r>
            <w:r>
              <w:rPr>
                <w:rFonts w:hint="eastAsia" w:ascii="宋体" w:hAnsi="宋体" w:eastAsia="宋体"/>
                <w:sz w:val="24"/>
                <w:highlight w:val="none"/>
              </w:rPr>
              <w:t xml:space="preserve">存在明显缺陷的或未提供相 </w:t>
            </w:r>
          </w:p>
          <w:p w14:paraId="3FD9828C">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宋体" w:hAnsi="宋体" w:eastAsia="宋体" w:cs="宋体"/>
                <w:color w:val="auto"/>
                <w:spacing w:val="4"/>
                <w:highlight w:val="none"/>
                <w:lang w:val="en-US" w:eastAsia="zh-CN"/>
              </w:rPr>
            </w:pPr>
            <w:r>
              <w:rPr>
                <w:rFonts w:hint="eastAsia" w:ascii="宋体" w:hAnsi="宋体" w:eastAsia="宋体"/>
                <w:sz w:val="24"/>
                <w:highlight w:val="none"/>
              </w:rPr>
              <w:t>关内容的，不得分。</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5A637834">
            <w:pPr>
              <w:keepNext w:val="0"/>
              <w:keepLines w:val="0"/>
              <w:pageBreakBefore w:val="0"/>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b/>
                <w:bCs/>
                <w:color w:val="auto"/>
                <w:sz w:val="24"/>
                <w:highlight w:val="none"/>
              </w:rPr>
            </w:pPr>
            <w:r>
              <w:rPr>
                <w:rFonts w:hint="eastAsia" w:ascii="宋体" w:hAnsi="宋体" w:eastAsia="宋体"/>
                <w:b w:val="0"/>
                <w:bCs w:val="0"/>
                <w:sz w:val="24"/>
                <w:highlight w:val="none"/>
              </w:rPr>
              <w:t>0-5分</w:t>
            </w:r>
          </w:p>
        </w:tc>
      </w:tr>
      <w:tr w14:paraId="1431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1E99FB13">
            <w:pPr>
              <w:spacing w:line="360" w:lineRule="auto"/>
              <w:ind w:firstLine="435"/>
              <w:jc w:val="center"/>
              <w:rPr>
                <w:rFonts w:asciiTheme="minorEastAsia" w:hAnsiTheme="minorEastAsia" w:eastAsiaTheme="minorEastAsia"/>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2B2927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color w:val="auto"/>
                <w:sz w:val="24"/>
                <w:highlight w:val="none"/>
                <w:lang w:eastAsia="zh-CN"/>
              </w:rPr>
            </w:pPr>
            <w:r>
              <w:rPr>
                <w:rFonts w:hint="eastAsia" w:ascii="宋体" w:hAnsi="宋体" w:eastAsia="宋体"/>
                <w:sz w:val="24"/>
                <w:highlight w:val="none"/>
                <w:lang w:val="en-US" w:eastAsia="zh-CN"/>
              </w:rPr>
              <w:t>5.活动策划方案</w:t>
            </w:r>
          </w:p>
        </w:tc>
        <w:tc>
          <w:tcPr>
            <w:tcW w:w="2197" w:type="pct"/>
            <w:tcBorders>
              <w:top w:val="single" w:color="auto" w:sz="4" w:space="0"/>
              <w:left w:val="single" w:color="auto" w:sz="4" w:space="0"/>
              <w:bottom w:val="single" w:color="auto" w:sz="4" w:space="0"/>
              <w:right w:val="single" w:color="auto" w:sz="4" w:space="0"/>
            </w:tcBorders>
            <w:shd w:val="clear" w:color="auto" w:fill="auto"/>
            <w:vAlign w:val="center"/>
          </w:tcPr>
          <w:p w14:paraId="137D3AA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val="en-US" w:eastAsia="zh-CN"/>
              </w:rPr>
              <w:t>根据供应商</w:t>
            </w:r>
            <w:r>
              <w:rPr>
                <w:rFonts w:hint="eastAsia" w:ascii="宋体" w:hAnsi="宋体" w:eastAsia="宋体"/>
                <w:sz w:val="24"/>
                <w:highlight w:val="none"/>
              </w:rPr>
              <w:t>提供的</w:t>
            </w:r>
            <w:r>
              <w:rPr>
                <w:rFonts w:hint="eastAsia" w:ascii="宋体" w:hAnsi="宋体" w:eastAsia="宋体"/>
                <w:sz w:val="24"/>
                <w:highlight w:val="none"/>
                <w:lang w:val="en-US" w:eastAsia="zh-CN"/>
              </w:rPr>
              <w:t>活动策划</w:t>
            </w:r>
            <w:r>
              <w:rPr>
                <w:rFonts w:hint="eastAsia" w:ascii="宋体" w:hAnsi="宋体" w:eastAsia="宋体"/>
                <w:sz w:val="24"/>
                <w:highlight w:val="none"/>
              </w:rPr>
              <w:t>方案情况进行综合评分</w:t>
            </w:r>
            <w:r>
              <w:rPr>
                <w:rFonts w:hint="eastAsia" w:ascii="宋体" w:hAnsi="宋体" w:eastAsia="宋体"/>
                <w:sz w:val="24"/>
                <w:highlight w:val="none"/>
                <w:lang w:eastAsia="zh-CN"/>
              </w:rPr>
              <w:t>，制定每年活动</w:t>
            </w:r>
            <w:r>
              <w:rPr>
                <w:rFonts w:hint="eastAsia" w:ascii="宋体" w:hAnsi="宋体" w:eastAsia="宋体"/>
                <w:sz w:val="24"/>
                <w:highlight w:val="none"/>
                <w:lang w:val="en-US" w:eastAsia="zh-CN"/>
              </w:rPr>
              <w:t>策划</w:t>
            </w:r>
            <w:r>
              <w:rPr>
                <w:rFonts w:hint="eastAsia" w:ascii="宋体" w:hAnsi="宋体" w:eastAsia="宋体"/>
                <w:sz w:val="24"/>
                <w:highlight w:val="none"/>
                <w:lang w:eastAsia="zh-CN"/>
              </w:rPr>
              <w:t>方案（主办或主承办的活动，有活动名称、时间等内容），</w:t>
            </w:r>
            <w:r>
              <w:rPr>
                <w:rFonts w:hint="eastAsia" w:ascii="宋体" w:hAnsi="宋体" w:eastAsia="宋体"/>
                <w:sz w:val="24"/>
                <w:highlight w:val="none"/>
                <w:lang w:val="en-US" w:eastAsia="zh-CN"/>
              </w:rPr>
              <w:t>需包含文旅融合活动项目，体现“以文促旅，以旅彰文”</w:t>
            </w:r>
            <w:r>
              <w:rPr>
                <w:rFonts w:hint="eastAsia" w:ascii="宋体" w:hAnsi="宋体" w:eastAsia="宋体"/>
                <w:sz w:val="24"/>
                <w:highlight w:val="none"/>
                <w:lang w:eastAsia="zh-CN"/>
              </w:rPr>
              <w:t>：</w:t>
            </w:r>
          </w:p>
          <w:p w14:paraId="649AD4A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（1）方案详实、内容新颖</w:t>
            </w:r>
            <w:r>
              <w:rPr>
                <w:rFonts w:hint="eastAsia" w:ascii="宋体" w:hAnsi="宋体" w:eastAsia="宋体"/>
                <w:sz w:val="24"/>
                <w:highlight w:val="none"/>
                <w:lang w:val="en-US" w:eastAsia="zh-CN"/>
              </w:rPr>
              <w:t>丰富</w:t>
            </w:r>
            <w:r>
              <w:rPr>
                <w:rFonts w:hint="eastAsia" w:ascii="宋体" w:hAnsi="宋体" w:eastAsia="宋体"/>
                <w:sz w:val="24"/>
                <w:highlight w:val="none"/>
                <w:lang w:eastAsia="zh-CN"/>
              </w:rPr>
              <w:t>，条理清晰，思路开阔，</w:t>
            </w:r>
            <w:r>
              <w:rPr>
                <w:rFonts w:hint="eastAsia" w:ascii="宋体" w:hAnsi="宋体" w:eastAsia="宋体"/>
                <w:sz w:val="24"/>
                <w:highlight w:val="none"/>
                <w:lang w:val="en-US" w:eastAsia="zh-CN"/>
              </w:rPr>
              <w:t>专业且可行的</w:t>
            </w:r>
            <w:r>
              <w:rPr>
                <w:rFonts w:hint="eastAsia" w:ascii="宋体" w:hAnsi="宋体" w:eastAsia="宋体"/>
                <w:sz w:val="24"/>
                <w:highlight w:val="none"/>
                <w:lang w:eastAsia="zh-CN"/>
              </w:rPr>
              <w:t>，得5分；</w:t>
            </w:r>
          </w:p>
          <w:p w14:paraId="2C13A4D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（2）方案内容丰富，有条理性，</w:t>
            </w:r>
            <w:r>
              <w:rPr>
                <w:rFonts w:hint="eastAsia" w:ascii="宋体" w:hAnsi="宋体" w:eastAsia="宋体"/>
                <w:sz w:val="24"/>
                <w:highlight w:val="none"/>
                <w:lang w:val="en-US" w:eastAsia="zh-CN"/>
              </w:rPr>
              <w:t>符合实际需求的</w:t>
            </w:r>
            <w:r>
              <w:rPr>
                <w:rFonts w:hint="eastAsia" w:ascii="宋体" w:hAnsi="宋体" w:eastAsia="宋体"/>
                <w:sz w:val="24"/>
                <w:highlight w:val="none"/>
                <w:lang w:eastAsia="zh-CN"/>
              </w:rPr>
              <w:t>，得</w:t>
            </w:r>
            <w:r>
              <w:rPr>
                <w:rFonts w:hint="eastAsia" w:ascii="宋体" w:hAnsi="宋体" w:eastAsia="宋体"/>
                <w:sz w:val="24"/>
                <w:highlight w:val="none"/>
                <w:lang w:val="en-US" w:eastAsia="zh-CN"/>
              </w:rPr>
              <w:t>3</w:t>
            </w:r>
            <w:r>
              <w:rPr>
                <w:rFonts w:hint="eastAsia" w:ascii="宋体" w:hAnsi="宋体" w:eastAsia="宋体"/>
                <w:sz w:val="24"/>
                <w:highlight w:val="none"/>
                <w:lang w:eastAsia="zh-CN"/>
              </w:rPr>
              <w:t>分；</w:t>
            </w:r>
          </w:p>
          <w:p w14:paraId="3CEC23C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（3）方案</w:t>
            </w:r>
            <w:r>
              <w:rPr>
                <w:rFonts w:hint="eastAsia" w:ascii="宋体" w:hAnsi="宋体" w:eastAsia="宋体"/>
                <w:sz w:val="24"/>
                <w:highlight w:val="none"/>
                <w:lang w:val="en-US" w:eastAsia="zh-CN"/>
              </w:rPr>
              <w:t>空洞</w:t>
            </w:r>
            <w:r>
              <w:rPr>
                <w:rFonts w:hint="eastAsia" w:ascii="宋体" w:hAnsi="宋体" w:eastAsia="宋体"/>
                <w:sz w:val="24"/>
                <w:highlight w:val="none"/>
                <w:lang w:eastAsia="zh-CN"/>
              </w:rPr>
              <w:t>，内容、措施、有待于改善，得</w:t>
            </w:r>
            <w:r>
              <w:rPr>
                <w:rFonts w:hint="eastAsia" w:ascii="宋体" w:hAnsi="宋体" w:eastAsia="宋体"/>
                <w:sz w:val="24"/>
                <w:highlight w:val="none"/>
                <w:lang w:val="en-US" w:eastAsia="zh-CN"/>
              </w:rPr>
              <w:t>1</w:t>
            </w:r>
            <w:r>
              <w:rPr>
                <w:rFonts w:hint="eastAsia" w:ascii="宋体" w:hAnsi="宋体" w:eastAsia="宋体"/>
                <w:sz w:val="24"/>
                <w:highlight w:val="none"/>
                <w:lang w:eastAsia="zh-CN"/>
              </w:rPr>
              <w:t>分；</w:t>
            </w:r>
          </w:p>
          <w:p w14:paraId="05EA10A2">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宋体" w:hAnsi="宋体" w:eastAsia="宋体" w:cs="宋体"/>
                <w:color w:val="auto"/>
                <w:spacing w:val="4"/>
                <w:highlight w:val="none"/>
                <w:lang w:val="en-US" w:eastAsia="zh-CN"/>
              </w:rPr>
            </w:pPr>
            <w:r>
              <w:rPr>
                <w:rFonts w:hint="eastAsia" w:ascii="宋体" w:hAnsi="宋体" w:eastAsia="宋体"/>
                <w:sz w:val="24"/>
                <w:highlight w:val="none"/>
                <w:lang w:eastAsia="zh-CN"/>
              </w:rPr>
              <w:t>（4）</w:t>
            </w:r>
            <w:r>
              <w:rPr>
                <w:rFonts w:hint="eastAsia" w:ascii="宋体" w:hAnsi="宋体" w:eastAsia="宋体"/>
                <w:sz w:val="24"/>
                <w:highlight w:val="none"/>
              </w:rPr>
              <w:t>未提供相关内容的不得分。</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4AE87203">
            <w:pPr>
              <w:keepNext w:val="0"/>
              <w:keepLines w:val="0"/>
              <w:pageBreakBefore w:val="0"/>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b/>
                <w:bCs/>
                <w:color w:val="auto"/>
                <w:sz w:val="24"/>
                <w:highlight w:val="none"/>
              </w:rPr>
            </w:pPr>
            <w:r>
              <w:rPr>
                <w:rFonts w:hint="eastAsia" w:ascii="宋体" w:hAnsi="宋体" w:eastAsia="宋体"/>
                <w:b w:val="0"/>
                <w:bCs w:val="0"/>
                <w:sz w:val="24"/>
                <w:highlight w:val="none"/>
              </w:rPr>
              <w:t>0-5分</w:t>
            </w:r>
          </w:p>
        </w:tc>
      </w:tr>
      <w:tr w14:paraId="1D43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64DCDDB6">
            <w:pPr>
              <w:spacing w:line="360" w:lineRule="auto"/>
              <w:ind w:firstLine="435"/>
              <w:jc w:val="center"/>
              <w:rPr>
                <w:rFonts w:asciiTheme="minorEastAsia" w:hAnsiTheme="minorEastAsia" w:eastAsiaTheme="minorEastAsia"/>
                <w:b/>
                <w:bCs/>
                <w:color w:val="auto"/>
                <w:sz w:val="24"/>
                <w:highlight w:val="none"/>
              </w:rPr>
            </w:pP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2208B8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color w:val="auto"/>
                <w:sz w:val="24"/>
                <w:highlight w:val="none"/>
                <w:lang w:eastAsia="zh-CN"/>
              </w:rPr>
            </w:pPr>
            <w:r>
              <w:rPr>
                <w:rFonts w:hint="eastAsia" w:ascii="宋体" w:hAnsi="宋体" w:eastAsia="宋体" w:cs="宋体"/>
                <w:sz w:val="24"/>
                <w:szCs w:val="24"/>
                <w:highlight w:val="none"/>
                <w:shd w:val="clear" w:color="auto" w:fill="FFFFFF"/>
                <w:lang w:val="en-US" w:eastAsia="zh-CN"/>
              </w:rPr>
              <w:t>6.宣传推广方案</w:t>
            </w:r>
          </w:p>
        </w:tc>
        <w:tc>
          <w:tcPr>
            <w:tcW w:w="2197" w:type="pct"/>
            <w:tcBorders>
              <w:top w:val="single" w:color="auto" w:sz="4" w:space="0"/>
              <w:left w:val="single" w:color="auto" w:sz="4" w:space="0"/>
              <w:bottom w:val="single" w:color="auto" w:sz="4" w:space="0"/>
              <w:right w:val="single" w:color="auto" w:sz="4" w:space="0"/>
            </w:tcBorders>
            <w:shd w:val="clear" w:color="auto" w:fill="auto"/>
            <w:vAlign w:val="center"/>
          </w:tcPr>
          <w:p w14:paraId="19E25446">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rPr>
            </w:pPr>
            <w:r>
              <w:rPr>
                <w:rFonts w:hint="eastAsia" w:ascii="宋体" w:hAnsi="宋体" w:eastAsia="宋体"/>
                <w:sz w:val="24"/>
                <w:highlight w:val="none"/>
                <w:lang w:val="en-US" w:eastAsia="zh-CN"/>
              </w:rPr>
              <w:t>根据供应商</w:t>
            </w:r>
            <w:r>
              <w:rPr>
                <w:rFonts w:hint="eastAsia" w:ascii="宋体" w:hAnsi="宋体" w:eastAsia="宋体"/>
                <w:sz w:val="24"/>
                <w:highlight w:val="none"/>
              </w:rPr>
              <w:t>提供的</w:t>
            </w:r>
            <w:r>
              <w:rPr>
                <w:rFonts w:hint="eastAsia" w:ascii="宋体" w:hAnsi="宋体" w:eastAsia="宋体"/>
                <w:sz w:val="24"/>
                <w:highlight w:val="none"/>
                <w:lang w:val="en-US" w:eastAsia="zh-CN"/>
              </w:rPr>
              <w:t>活动宣传推广</w:t>
            </w:r>
            <w:r>
              <w:rPr>
                <w:rFonts w:hint="eastAsia" w:ascii="宋体" w:hAnsi="宋体" w:eastAsia="宋体"/>
                <w:sz w:val="24"/>
                <w:highlight w:val="none"/>
              </w:rPr>
              <w:t>方案情况进行综合评分（包括但</w:t>
            </w:r>
          </w:p>
          <w:p w14:paraId="1FCD3DF9">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rPr>
              <w:t>不限于互动性、创意性、广泛性、时效性）</w:t>
            </w:r>
            <w:r>
              <w:rPr>
                <w:rFonts w:hint="eastAsia" w:ascii="宋体" w:hAnsi="宋体" w:eastAsia="宋体"/>
                <w:sz w:val="24"/>
                <w:highlight w:val="none"/>
                <w:lang w:eastAsia="zh-CN"/>
              </w:rPr>
              <w:t>：</w:t>
            </w:r>
          </w:p>
          <w:p w14:paraId="3E034BAB">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宋体" w:hAnsi="宋体" w:eastAsia="宋体"/>
                <w:sz w:val="24"/>
                <w:highlight w:val="none"/>
                <w:lang w:val="en-US" w:eastAsia="zh-CN"/>
              </w:rPr>
            </w:pPr>
            <w:r>
              <w:rPr>
                <w:rFonts w:hint="eastAsia" w:ascii="宋体" w:hAnsi="宋体" w:eastAsia="宋体"/>
                <w:sz w:val="24"/>
                <w:highlight w:val="none"/>
                <w:lang w:eastAsia="zh-CN"/>
              </w:rPr>
              <w:t>（</w:t>
            </w:r>
            <w:r>
              <w:rPr>
                <w:rFonts w:hint="eastAsia" w:ascii="宋体" w:hAnsi="宋体" w:eastAsia="宋体"/>
                <w:sz w:val="24"/>
                <w:highlight w:val="none"/>
                <w:lang w:val="en-US" w:eastAsia="zh-CN"/>
              </w:rPr>
              <w:t>1</w:t>
            </w:r>
            <w:r>
              <w:rPr>
                <w:rFonts w:hint="eastAsia" w:ascii="宋体" w:hAnsi="宋体" w:eastAsia="宋体"/>
                <w:sz w:val="24"/>
                <w:highlight w:val="none"/>
                <w:lang w:eastAsia="zh-CN"/>
              </w:rPr>
              <w:t>）</w:t>
            </w:r>
            <w:r>
              <w:rPr>
                <w:rFonts w:hint="eastAsia" w:ascii="宋体" w:hAnsi="宋体" w:eastAsia="宋体"/>
                <w:sz w:val="24"/>
                <w:highlight w:val="none"/>
                <w:lang w:val="en-US" w:eastAsia="zh-CN"/>
              </w:rPr>
              <w:t>方案内容完善，目标定位清晰，策略可行，途径多样的，得5分；</w:t>
            </w:r>
          </w:p>
          <w:p w14:paraId="2B7F804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eastAsia="zh-CN"/>
              </w:rPr>
              <w:t>（</w:t>
            </w:r>
            <w:r>
              <w:rPr>
                <w:rFonts w:hint="eastAsia" w:ascii="宋体" w:hAnsi="宋体" w:eastAsia="宋体"/>
                <w:sz w:val="24"/>
                <w:highlight w:val="none"/>
                <w:lang w:val="en-US" w:eastAsia="zh-CN"/>
              </w:rPr>
              <w:t>2</w:t>
            </w:r>
            <w:r>
              <w:rPr>
                <w:rFonts w:hint="eastAsia" w:ascii="宋体" w:hAnsi="宋体" w:eastAsia="宋体"/>
                <w:sz w:val="24"/>
                <w:highlight w:val="none"/>
                <w:lang w:eastAsia="zh-CN"/>
              </w:rPr>
              <w:t>）</w:t>
            </w:r>
            <w:r>
              <w:rPr>
                <w:rFonts w:hint="eastAsia" w:ascii="宋体" w:hAnsi="宋体" w:eastAsia="宋体"/>
                <w:sz w:val="24"/>
                <w:highlight w:val="none"/>
                <w:lang w:val="en-US" w:eastAsia="zh-CN"/>
              </w:rPr>
              <w:t>方案目标定位明确，策略合理的，得3分；</w:t>
            </w:r>
          </w:p>
          <w:p w14:paraId="2348484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（3）</w:t>
            </w:r>
            <w:r>
              <w:rPr>
                <w:rFonts w:hint="eastAsia" w:ascii="宋体" w:hAnsi="宋体" w:eastAsia="宋体"/>
                <w:sz w:val="24"/>
                <w:highlight w:val="none"/>
                <w:lang w:eastAsia="zh-CN"/>
              </w:rPr>
              <w:t>方案</w:t>
            </w:r>
            <w:r>
              <w:rPr>
                <w:rFonts w:hint="eastAsia" w:ascii="宋体" w:hAnsi="宋体" w:eastAsia="宋体" w:cs="宋体"/>
                <w:color w:val="auto"/>
                <w:spacing w:val="1"/>
                <w:kern w:val="0"/>
                <w:sz w:val="24"/>
                <w:szCs w:val="24"/>
                <w:highlight w:val="none"/>
                <w:lang w:val="en-US" w:eastAsia="zh-CN"/>
              </w:rPr>
              <w:t>不完善、无有效应对策略的，</w:t>
            </w:r>
            <w:r>
              <w:rPr>
                <w:rFonts w:hint="eastAsia" w:ascii="宋体" w:hAnsi="宋体" w:eastAsia="宋体"/>
                <w:sz w:val="24"/>
                <w:highlight w:val="none"/>
                <w:lang w:eastAsia="zh-CN"/>
              </w:rPr>
              <w:t>得</w:t>
            </w:r>
            <w:r>
              <w:rPr>
                <w:rFonts w:hint="eastAsia" w:ascii="宋体" w:hAnsi="宋体" w:eastAsia="宋体"/>
                <w:sz w:val="24"/>
                <w:highlight w:val="none"/>
                <w:lang w:val="en-US" w:eastAsia="zh-CN"/>
              </w:rPr>
              <w:t>1</w:t>
            </w:r>
            <w:r>
              <w:rPr>
                <w:rFonts w:hint="eastAsia" w:ascii="宋体" w:hAnsi="宋体" w:eastAsia="宋体"/>
                <w:sz w:val="24"/>
                <w:highlight w:val="none"/>
                <w:lang w:eastAsia="zh-CN"/>
              </w:rPr>
              <w:t>分；</w:t>
            </w:r>
          </w:p>
          <w:p w14:paraId="5AA06832">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宋体" w:hAnsi="宋体" w:eastAsia="宋体" w:cs="宋体"/>
                <w:color w:val="auto"/>
                <w:spacing w:val="4"/>
                <w:highlight w:val="none"/>
                <w:lang w:val="en-US" w:eastAsia="zh-CN"/>
              </w:rPr>
            </w:pPr>
            <w:r>
              <w:rPr>
                <w:rFonts w:hint="eastAsia" w:ascii="宋体" w:hAnsi="宋体" w:eastAsia="宋体"/>
                <w:sz w:val="24"/>
                <w:highlight w:val="none"/>
                <w:lang w:eastAsia="zh-CN"/>
              </w:rPr>
              <w:t>（4）</w:t>
            </w:r>
            <w:r>
              <w:rPr>
                <w:rFonts w:hint="eastAsia" w:ascii="宋体" w:hAnsi="宋体" w:eastAsia="宋体"/>
                <w:sz w:val="24"/>
                <w:highlight w:val="none"/>
              </w:rPr>
              <w:t>未提供的不得分。</w:t>
            </w:r>
          </w:p>
        </w:tc>
        <w:tc>
          <w:tcPr>
            <w:tcW w:w="928" w:type="pct"/>
            <w:tcBorders>
              <w:top w:val="single" w:color="auto" w:sz="4" w:space="0"/>
              <w:left w:val="single" w:color="auto" w:sz="4" w:space="0"/>
              <w:bottom w:val="single" w:color="auto" w:sz="4" w:space="0"/>
              <w:right w:val="single" w:color="auto" w:sz="4" w:space="0"/>
            </w:tcBorders>
            <w:shd w:val="clear" w:color="auto" w:fill="auto"/>
            <w:vAlign w:val="center"/>
          </w:tcPr>
          <w:p w14:paraId="3B90AA1B">
            <w:pPr>
              <w:keepNext w:val="0"/>
              <w:keepLines w:val="0"/>
              <w:pageBreakBefore w:val="0"/>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b/>
                <w:bCs/>
                <w:color w:val="auto"/>
                <w:sz w:val="24"/>
                <w:highlight w:val="none"/>
              </w:rPr>
            </w:pPr>
            <w:r>
              <w:rPr>
                <w:rFonts w:hint="eastAsia" w:ascii="宋体" w:hAnsi="宋体" w:eastAsia="宋体"/>
                <w:b w:val="0"/>
                <w:bCs w:val="0"/>
                <w:sz w:val="24"/>
                <w:highlight w:val="none"/>
              </w:rPr>
              <w:t>0-5分</w:t>
            </w:r>
          </w:p>
        </w:tc>
      </w:tr>
      <w:tr w14:paraId="38E6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491E1619">
            <w:pPr>
              <w:spacing w:line="360" w:lineRule="auto"/>
              <w:ind w:firstLine="435"/>
              <w:jc w:val="center"/>
              <w:rPr>
                <w:rFonts w:asciiTheme="minorEastAsia" w:hAnsiTheme="minorEastAsia" w:eastAsiaTheme="minorEastAsia"/>
                <w:b/>
                <w:bCs/>
                <w:color w:val="auto"/>
                <w:sz w:val="24"/>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14:paraId="12B3AD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highlight w:val="none"/>
                <w:shd w:val="clear" w:color="auto" w:fill="FFFFFF"/>
                <w:lang w:val="en-US" w:eastAsia="zh-CN"/>
              </w:rPr>
            </w:pPr>
            <w:r>
              <w:rPr>
                <w:rFonts w:hint="eastAsia" w:ascii="宋体" w:hAnsi="宋体" w:eastAsia="宋体" w:cs="宋体"/>
                <w:color w:val="000000"/>
                <w:kern w:val="0"/>
                <w:sz w:val="24"/>
                <w:szCs w:val="24"/>
                <w:highlight w:val="none"/>
                <w:lang w:val="en-US" w:eastAsia="zh-CN" w:bidi="ar"/>
              </w:rPr>
              <w:t>7.城市书柜重新布点及迁移方案</w:t>
            </w:r>
          </w:p>
        </w:tc>
        <w:tc>
          <w:tcPr>
            <w:tcW w:w="3745" w:type="dxa"/>
            <w:tcBorders>
              <w:top w:val="single" w:color="auto" w:sz="4" w:space="0"/>
              <w:left w:val="single" w:color="auto" w:sz="4" w:space="0"/>
              <w:bottom w:val="single" w:color="auto" w:sz="4" w:space="0"/>
              <w:right w:val="single" w:color="auto" w:sz="4" w:space="0"/>
            </w:tcBorders>
            <w:shd w:val="clear" w:color="auto" w:fill="auto"/>
            <w:vAlign w:val="center"/>
          </w:tcPr>
          <w:p w14:paraId="482134BC">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根据供应商</w:t>
            </w:r>
            <w:r>
              <w:rPr>
                <w:rFonts w:hint="eastAsia" w:ascii="宋体" w:hAnsi="宋体" w:eastAsia="宋体"/>
                <w:sz w:val="24"/>
                <w:highlight w:val="none"/>
              </w:rPr>
              <w:t>提供的</w:t>
            </w:r>
            <w:r>
              <w:rPr>
                <w:rFonts w:hint="eastAsia" w:ascii="宋体" w:hAnsi="宋体" w:eastAsia="宋体" w:cs="宋体"/>
                <w:color w:val="000000"/>
                <w:kern w:val="0"/>
                <w:sz w:val="24"/>
                <w:szCs w:val="24"/>
                <w:highlight w:val="none"/>
                <w:lang w:val="en-US" w:eastAsia="zh-CN" w:bidi="ar"/>
              </w:rPr>
              <w:t>城市书柜重新布点及迁移</w:t>
            </w:r>
            <w:r>
              <w:rPr>
                <w:rFonts w:hint="eastAsia" w:ascii="宋体" w:hAnsi="宋体" w:eastAsia="宋体"/>
                <w:sz w:val="24"/>
                <w:highlight w:val="none"/>
              </w:rPr>
              <w:t>方案进行综合评分</w:t>
            </w:r>
            <w:r>
              <w:rPr>
                <w:rFonts w:hint="eastAsia" w:ascii="宋体" w:hAnsi="宋体" w:eastAsia="宋体"/>
                <w:sz w:val="24"/>
                <w:highlight w:val="none"/>
                <w:lang w:eastAsia="zh-CN"/>
              </w:rPr>
              <w:t>，</w:t>
            </w:r>
            <w:r>
              <w:rPr>
                <w:rFonts w:hint="eastAsia" w:ascii="宋体" w:hAnsi="宋体" w:eastAsia="宋体"/>
                <w:sz w:val="24"/>
                <w:highlight w:val="none"/>
                <w:lang w:val="en-US" w:eastAsia="zh-CN"/>
              </w:rPr>
              <w:t>包括但不限于书柜的使用情况调研、选址的科学性可行性分析、迁移设备的拆卸、安装和调试等。</w:t>
            </w:r>
          </w:p>
          <w:p w14:paraId="4EC2FDD3">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（1）方案科学合理、完整详实，实施措施有效的得5分；</w:t>
            </w:r>
          </w:p>
          <w:p w14:paraId="76569CE0">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（2）方案内容简单，实施措施有待改善，得3分；</w:t>
            </w:r>
          </w:p>
          <w:p w14:paraId="6E4344F0">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（3）方案内容粗糙，条理不清晰，存在不足，得1分；</w:t>
            </w:r>
          </w:p>
          <w:p w14:paraId="0A4003DA">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val="en-US" w:eastAsia="zh-CN"/>
              </w:rPr>
              <w:t>（4）未提供不得分。</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7338F77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b w:val="0"/>
                <w:bCs w:val="0"/>
                <w:sz w:val="24"/>
                <w:highlight w:val="none"/>
              </w:rPr>
            </w:pPr>
            <w:r>
              <w:rPr>
                <w:rFonts w:hint="eastAsia" w:ascii="宋体" w:hAnsi="宋体" w:eastAsia="宋体"/>
                <w:b w:val="0"/>
                <w:bCs w:val="0"/>
                <w:sz w:val="24"/>
                <w:highlight w:val="none"/>
              </w:rPr>
              <w:t>0-5分</w:t>
            </w:r>
          </w:p>
        </w:tc>
      </w:tr>
      <w:tr w14:paraId="1705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03F39CF7">
            <w:pPr>
              <w:spacing w:line="360" w:lineRule="auto"/>
              <w:ind w:firstLine="435"/>
              <w:jc w:val="center"/>
              <w:rPr>
                <w:rFonts w:asciiTheme="minorEastAsia" w:hAnsiTheme="minorEastAsia" w:eastAsiaTheme="minorEastAsia"/>
                <w:b/>
                <w:bCs/>
                <w:color w:val="auto"/>
                <w:sz w:val="24"/>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14:paraId="70E371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highlight w:val="none"/>
                <w:shd w:val="clear" w:color="auto" w:fill="FFFFFF"/>
                <w:lang w:val="en-US" w:eastAsia="zh-CN"/>
              </w:rPr>
            </w:pPr>
            <w:r>
              <w:rPr>
                <w:rFonts w:hint="eastAsia" w:ascii="宋体" w:hAnsi="宋体" w:eastAsia="宋体" w:cs="宋体"/>
                <w:color w:val="000000"/>
                <w:kern w:val="0"/>
                <w:sz w:val="24"/>
                <w:szCs w:val="24"/>
                <w:highlight w:val="none"/>
                <w:lang w:val="en-US" w:eastAsia="zh-CN" w:bidi="ar"/>
              </w:rPr>
              <w:t>8.文创运营方案</w:t>
            </w:r>
          </w:p>
        </w:tc>
        <w:tc>
          <w:tcPr>
            <w:tcW w:w="3745" w:type="dxa"/>
            <w:tcBorders>
              <w:top w:val="single" w:color="auto" w:sz="4" w:space="0"/>
              <w:left w:val="single" w:color="auto" w:sz="4" w:space="0"/>
              <w:bottom w:val="single" w:color="auto" w:sz="4" w:space="0"/>
              <w:right w:val="single" w:color="auto" w:sz="4" w:space="0"/>
            </w:tcBorders>
            <w:shd w:val="clear" w:color="auto" w:fill="auto"/>
            <w:vAlign w:val="center"/>
          </w:tcPr>
          <w:p w14:paraId="7574C6D2">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val="en-US" w:eastAsia="zh-CN"/>
              </w:rPr>
              <w:t>根据供应商</w:t>
            </w:r>
            <w:r>
              <w:rPr>
                <w:rFonts w:hint="eastAsia" w:ascii="宋体" w:hAnsi="宋体" w:eastAsia="宋体"/>
                <w:sz w:val="24"/>
                <w:highlight w:val="none"/>
                <w:lang w:eastAsia="zh-CN"/>
              </w:rPr>
              <w:t>提供的</w:t>
            </w:r>
            <w:r>
              <w:rPr>
                <w:rFonts w:hint="eastAsia" w:ascii="宋体" w:hAnsi="宋体" w:eastAsia="宋体"/>
                <w:sz w:val="24"/>
                <w:highlight w:val="none"/>
                <w:lang w:val="en-US" w:eastAsia="zh-CN"/>
              </w:rPr>
              <w:t>文创运营</w:t>
            </w:r>
            <w:r>
              <w:rPr>
                <w:rFonts w:hint="eastAsia" w:ascii="宋体" w:hAnsi="宋体" w:eastAsia="宋体"/>
                <w:sz w:val="24"/>
                <w:highlight w:val="none"/>
                <w:lang w:eastAsia="zh-CN"/>
              </w:rPr>
              <w:t>方案情况进行综合评分，</w:t>
            </w:r>
            <w:r>
              <w:rPr>
                <w:rFonts w:hint="eastAsia" w:ascii="宋体" w:hAnsi="宋体" w:eastAsia="宋体"/>
                <w:sz w:val="24"/>
                <w:highlight w:val="none"/>
                <w:lang w:val="en-US" w:eastAsia="zh-CN"/>
              </w:rPr>
              <w:t>品质优，价格适中。</w:t>
            </w:r>
          </w:p>
          <w:p w14:paraId="1EF59C49">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（1）方案思路清晰，内容丰富，产品设计具有创新性，得 5 分；</w:t>
            </w:r>
          </w:p>
          <w:p w14:paraId="1C85CF3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（2）方案完整，具有专业性，产品内容、设计合理的，得 3分；</w:t>
            </w:r>
          </w:p>
          <w:p w14:paraId="7679A342">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（3）方案、内容、设计、创新性有待于提升，符合项目采购需求的，得1分；</w:t>
            </w:r>
          </w:p>
          <w:p w14:paraId="5011AB2A">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 xml:space="preserve">（4）存在明显缺陷的或未提供相 </w:t>
            </w:r>
          </w:p>
          <w:p w14:paraId="60BE5E3A">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关内容的不得分。</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3945D61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b w:val="0"/>
                <w:bCs w:val="0"/>
                <w:sz w:val="24"/>
                <w:highlight w:val="none"/>
              </w:rPr>
            </w:pPr>
            <w:r>
              <w:rPr>
                <w:rFonts w:hint="eastAsia" w:ascii="宋体" w:hAnsi="宋体" w:eastAsia="宋体"/>
                <w:b w:val="0"/>
                <w:bCs w:val="0"/>
                <w:sz w:val="24"/>
                <w:highlight w:val="none"/>
              </w:rPr>
              <w:t>0-5分</w:t>
            </w:r>
          </w:p>
        </w:tc>
      </w:tr>
      <w:tr w14:paraId="4BE4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4D0149EB">
            <w:pPr>
              <w:spacing w:line="360" w:lineRule="auto"/>
              <w:ind w:firstLine="435"/>
              <w:jc w:val="center"/>
              <w:rPr>
                <w:rFonts w:asciiTheme="minorEastAsia" w:hAnsiTheme="minorEastAsia" w:eastAsiaTheme="minorEastAsia"/>
                <w:b/>
                <w:bCs/>
                <w:color w:val="auto"/>
                <w:sz w:val="24"/>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14:paraId="30FCE12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highlight w:val="none"/>
                <w:shd w:val="clear" w:color="auto" w:fill="FFFFFF"/>
                <w:lang w:val="en-US" w:eastAsia="zh-CN"/>
              </w:rPr>
            </w:pPr>
            <w:r>
              <w:rPr>
                <w:rFonts w:hint="eastAsia" w:ascii="宋体" w:hAnsi="宋体" w:eastAsia="宋体" w:cs="宋体"/>
                <w:b w:val="0"/>
                <w:bCs w:val="0"/>
                <w:spacing w:val="0"/>
                <w:w w:val="100"/>
                <w:kern w:val="21"/>
                <w:sz w:val="24"/>
                <w:szCs w:val="24"/>
                <w:highlight w:val="none"/>
                <w:lang w:val="en-US" w:eastAsia="zh-CN"/>
              </w:rPr>
              <w:t>9.服务团队交接和资产盘点清查工作方案</w:t>
            </w:r>
          </w:p>
        </w:tc>
        <w:tc>
          <w:tcPr>
            <w:tcW w:w="3745" w:type="dxa"/>
            <w:tcBorders>
              <w:top w:val="single" w:color="auto" w:sz="4" w:space="0"/>
              <w:left w:val="single" w:color="auto" w:sz="4" w:space="0"/>
              <w:bottom w:val="single" w:color="auto" w:sz="4" w:space="0"/>
              <w:right w:val="single" w:color="auto" w:sz="4" w:space="0"/>
            </w:tcBorders>
            <w:shd w:val="clear" w:color="auto" w:fill="auto"/>
            <w:vAlign w:val="center"/>
          </w:tcPr>
          <w:p w14:paraId="129E1C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pacing w:val="0"/>
                <w:w w:val="100"/>
                <w:kern w:val="21"/>
                <w:sz w:val="24"/>
                <w:szCs w:val="24"/>
                <w:highlight w:val="none"/>
                <w:lang w:val="en-US" w:eastAsia="zh-CN"/>
              </w:rPr>
            </w:pPr>
            <w:r>
              <w:rPr>
                <w:rFonts w:hint="eastAsia" w:ascii="宋体" w:hAnsi="宋体" w:eastAsia="宋体"/>
                <w:sz w:val="24"/>
                <w:highlight w:val="none"/>
                <w:lang w:val="en-US" w:eastAsia="zh-CN"/>
              </w:rPr>
              <w:t>根据供应商</w:t>
            </w:r>
            <w:r>
              <w:rPr>
                <w:rFonts w:hint="eastAsia" w:ascii="宋体" w:hAnsi="宋体" w:eastAsia="宋体"/>
                <w:sz w:val="24"/>
                <w:highlight w:val="none"/>
              </w:rPr>
              <w:t>提供的</w:t>
            </w:r>
            <w:r>
              <w:rPr>
                <w:rFonts w:hint="eastAsia" w:ascii="宋体" w:hAnsi="宋体" w:eastAsia="宋体" w:cs="宋体"/>
                <w:b w:val="0"/>
                <w:bCs w:val="0"/>
                <w:spacing w:val="0"/>
                <w:w w:val="100"/>
                <w:kern w:val="21"/>
                <w:sz w:val="24"/>
                <w:szCs w:val="24"/>
                <w:highlight w:val="none"/>
                <w:lang w:val="en-US" w:eastAsia="zh-CN"/>
              </w:rPr>
              <w:t>服务团队交接和资产盘点清查工作方案</w:t>
            </w:r>
            <w:r>
              <w:rPr>
                <w:rFonts w:hint="eastAsia" w:ascii="宋体" w:hAnsi="宋体" w:eastAsia="宋体"/>
                <w:sz w:val="24"/>
                <w:highlight w:val="none"/>
              </w:rPr>
              <w:t>进行综合评分</w:t>
            </w:r>
            <w:r>
              <w:rPr>
                <w:rFonts w:hint="eastAsia" w:ascii="宋体" w:hAnsi="宋体" w:eastAsia="宋体"/>
                <w:sz w:val="24"/>
                <w:highlight w:val="none"/>
                <w:lang w:eastAsia="zh-CN"/>
              </w:rPr>
              <w:t>，</w:t>
            </w:r>
            <w:r>
              <w:rPr>
                <w:rFonts w:hint="eastAsia" w:ascii="宋体" w:hAnsi="宋体" w:eastAsia="宋体" w:cs="宋体"/>
                <w:color w:val="000000"/>
                <w:kern w:val="0"/>
                <w:sz w:val="24"/>
                <w:szCs w:val="24"/>
                <w:highlight w:val="none"/>
                <w:lang w:val="en-US" w:eastAsia="zh-CN" w:bidi="ar"/>
              </w:rPr>
              <w:t>包括但不限于运营服务期满时，协助采购人与下一轮运营服务单位的交接方案。制定图书、设施设备等资产盘点清查计划，盘点清查的图书范围包括阅读空间、城市书</w:t>
            </w:r>
            <w:r>
              <w:rPr>
                <w:rFonts w:hint="eastAsia" w:ascii="宋体" w:hAnsi="宋体" w:eastAsia="宋体" w:cs="宋体"/>
                <w:b w:val="0"/>
                <w:bCs w:val="0"/>
                <w:spacing w:val="0"/>
                <w:w w:val="100"/>
                <w:kern w:val="21"/>
                <w:sz w:val="24"/>
                <w:szCs w:val="24"/>
                <w:highlight w:val="none"/>
                <w:lang w:val="en-US" w:eastAsia="zh-CN"/>
              </w:rPr>
              <w:t>柜、流通图书以及读者账户长期未归还图书等，在运营服务期满前完成资产盘点清查工作。</w:t>
            </w:r>
          </w:p>
          <w:p w14:paraId="37B267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pacing w:val="0"/>
                <w:w w:val="100"/>
                <w:kern w:val="21"/>
                <w:sz w:val="24"/>
                <w:szCs w:val="24"/>
                <w:highlight w:val="none"/>
                <w:lang w:val="en-US" w:eastAsia="zh-CN"/>
              </w:rPr>
            </w:pPr>
            <w:r>
              <w:rPr>
                <w:rFonts w:hint="eastAsia" w:ascii="宋体" w:hAnsi="宋体" w:eastAsia="宋体" w:cs="宋体"/>
                <w:b w:val="0"/>
                <w:bCs w:val="0"/>
                <w:spacing w:val="0"/>
                <w:w w:val="100"/>
                <w:kern w:val="21"/>
                <w:sz w:val="24"/>
                <w:szCs w:val="24"/>
                <w:highlight w:val="none"/>
                <w:lang w:val="en-US" w:eastAsia="zh-CN"/>
              </w:rPr>
              <w:t>（1）方案详尽完整，措施详细，目标明确，可直观体现实施效果的得5分；</w:t>
            </w:r>
          </w:p>
          <w:p w14:paraId="654B46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pacing w:val="0"/>
                <w:w w:val="100"/>
                <w:kern w:val="21"/>
                <w:sz w:val="24"/>
                <w:szCs w:val="24"/>
                <w:highlight w:val="none"/>
                <w:lang w:val="en-US" w:eastAsia="zh-CN"/>
              </w:rPr>
            </w:pPr>
            <w:r>
              <w:rPr>
                <w:rFonts w:hint="eastAsia" w:ascii="宋体" w:hAnsi="宋体" w:eastAsia="宋体" w:cs="宋体"/>
                <w:b w:val="0"/>
                <w:bCs w:val="0"/>
                <w:spacing w:val="0"/>
                <w:w w:val="100"/>
                <w:kern w:val="21"/>
                <w:sz w:val="24"/>
                <w:szCs w:val="24"/>
                <w:highlight w:val="none"/>
                <w:lang w:val="en-US" w:eastAsia="zh-CN"/>
              </w:rPr>
              <w:t>（2）方案简单，目标明确，可直观体现实施效果的得3分；</w:t>
            </w:r>
          </w:p>
          <w:p w14:paraId="0212EC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pacing w:val="0"/>
                <w:w w:val="100"/>
                <w:kern w:val="21"/>
                <w:sz w:val="24"/>
                <w:szCs w:val="24"/>
                <w:highlight w:val="none"/>
                <w:lang w:val="en-US" w:eastAsia="zh-CN"/>
              </w:rPr>
            </w:pPr>
            <w:r>
              <w:rPr>
                <w:rFonts w:hint="eastAsia" w:ascii="宋体" w:hAnsi="宋体" w:eastAsia="宋体" w:cs="宋体"/>
                <w:b w:val="0"/>
                <w:bCs w:val="0"/>
                <w:spacing w:val="0"/>
                <w:w w:val="100"/>
                <w:kern w:val="21"/>
                <w:sz w:val="24"/>
                <w:szCs w:val="24"/>
                <w:highlight w:val="none"/>
                <w:lang w:val="en-US" w:eastAsia="zh-CN"/>
              </w:rPr>
              <w:t>（3）方案不完整但满足实际需求的得1分；</w:t>
            </w:r>
          </w:p>
          <w:p w14:paraId="5B446E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cs="宋体"/>
                <w:b w:val="0"/>
                <w:bCs w:val="0"/>
                <w:spacing w:val="0"/>
                <w:w w:val="100"/>
                <w:kern w:val="21"/>
                <w:sz w:val="24"/>
                <w:szCs w:val="24"/>
                <w:highlight w:val="none"/>
                <w:lang w:val="en-US" w:eastAsia="zh-CN"/>
              </w:rPr>
              <w:t>（4）未提供的不得分。</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66D2C9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 w:val="0"/>
                <w:bCs w:val="0"/>
                <w:sz w:val="24"/>
                <w:highlight w:val="none"/>
              </w:rPr>
            </w:pPr>
            <w:r>
              <w:rPr>
                <w:rFonts w:hint="eastAsia" w:ascii="宋体" w:hAnsi="宋体" w:eastAsia="宋体" w:cs="宋体"/>
                <w:b w:val="0"/>
                <w:bCs w:val="0"/>
                <w:color w:val="auto"/>
                <w:sz w:val="24"/>
                <w:highlight w:val="none"/>
                <w:lang w:val="en-US" w:eastAsia="zh-CN"/>
              </w:rPr>
              <w:t>0-5分</w:t>
            </w:r>
          </w:p>
        </w:tc>
      </w:tr>
      <w:tr w14:paraId="29F9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6" w:hRule="atLeast"/>
          <w:jc w:val="center"/>
        </w:trPr>
        <w:tc>
          <w:tcPr>
            <w:tcW w:w="865" w:type="pct"/>
            <w:vMerge w:val="continue"/>
            <w:tcBorders>
              <w:left w:val="single" w:color="auto" w:sz="4" w:space="0"/>
              <w:right w:val="single" w:color="auto" w:sz="4" w:space="0"/>
            </w:tcBorders>
            <w:vAlign w:val="center"/>
          </w:tcPr>
          <w:p w14:paraId="4333D664">
            <w:pPr>
              <w:spacing w:line="360" w:lineRule="auto"/>
              <w:ind w:firstLine="435"/>
              <w:jc w:val="center"/>
              <w:rPr>
                <w:rFonts w:asciiTheme="minorEastAsia" w:hAnsiTheme="minorEastAsia" w:eastAsiaTheme="minorEastAsia"/>
                <w:b/>
                <w:bCs/>
                <w:color w:val="auto"/>
                <w:sz w:val="24"/>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14:paraId="135A9EF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highlight w:val="none"/>
                <w:shd w:val="clear" w:color="auto" w:fill="FFFFFF"/>
                <w:lang w:val="en-US" w:eastAsia="zh-CN"/>
              </w:rPr>
            </w:pPr>
            <w:r>
              <w:rPr>
                <w:rFonts w:hint="eastAsia" w:ascii="宋体" w:hAnsi="宋体" w:eastAsia="宋体" w:cs="宋体"/>
                <w:b w:val="0"/>
                <w:bCs w:val="0"/>
                <w:spacing w:val="0"/>
                <w:w w:val="100"/>
                <w:kern w:val="21"/>
                <w:sz w:val="24"/>
                <w:szCs w:val="24"/>
                <w:highlight w:val="none"/>
                <w:lang w:val="en-US" w:eastAsia="zh-CN"/>
              </w:rPr>
              <w:t>10.增值服务方案</w:t>
            </w:r>
          </w:p>
        </w:tc>
        <w:tc>
          <w:tcPr>
            <w:tcW w:w="3745" w:type="dxa"/>
            <w:tcBorders>
              <w:top w:val="single" w:color="auto" w:sz="4" w:space="0"/>
              <w:left w:val="single" w:color="auto" w:sz="4" w:space="0"/>
              <w:bottom w:val="single" w:color="auto" w:sz="4" w:space="0"/>
              <w:right w:val="single" w:color="auto" w:sz="4" w:space="0"/>
            </w:tcBorders>
            <w:shd w:val="clear" w:color="auto" w:fill="auto"/>
            <w:vAlign w:val="center"/>
          </w:tcPr>
          <w:p w14:paraId="16A139B5">
            <w:pPr>
              <w:keepNext w:val="0"/>
              <w:keepLines w:val="0"/>
              <w:pageBreakBefore w:val="0"/>
              <w:widowControl w:val="0"/>
              <w:tabs>
                <w:tab w:val="left" w:pos="730"/>
              </w:tabs>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根据供应商</w:t>
            </w:r>
            <w:r>
              <w:rPr>
                <w:rFonts w:hint="eastAsia" w:ascii="宋体" w:hAnsi="宋体" w:eastAsia="宋体"/>
                <w:sz w:val="24"/>
                <w:highlight w:val="none"/>
              </w:rPr>
              <w:t>提供</w:t>
            </w:r>
            <w:r>
              <w:rPr>
                <w:rFonts w:hint="eastAsia" w:ascii="宋体" w:hAnsi="宋体" w:eastAsia="宋体"/>
                <w:sz w:val="24"/>
                <w:highlight w:val="none"/>
                <w:lang w:val="en-US" w:eastAsia="zh-CN"/>
              </w:rPr>
              <w:t>的增值方案进行综合评分，包括但不限于阅读空间布局的优化升级、轻食餐饮服务的配置等内容。</w:t>
            </w:r>
          </w:p>
          <w:p w14:paraId="2D99485C">
            <w:pPr>
              <w:keepNext w:val="0"/>
              <w:keepLines w:val="0"/>
              <w:pageBreakBefore w:val="0"/>
              <w:widowControl w:val="0"/>
              <w:tabs>
                <w:tab w:val="left" w:pos="730"/>
              </w:tabs>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（1）优于采购需求、思路清晰，脉络分明，规划定位准确且能结合项目实际情况的，得5分；</w:t>
            </w:r>
          </w:p>
          <w:p w14:paraId="21BB7821">
            <w:pPr>
              <w:keepNext w:val="0"/>
              <w:keepLines w:val="0"/>
              <w:pageBreakBefore w:val="0"/>
              <w:widowControl w:val="0"/>
              <w:tabs>
                <w:tab w:val="left" w:pos="730"/>
              </w:tabs>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（2）服务方案符合采购需求且详尽完备，方案明确的，得3分；</w:t>
            </w:r>
          </w:p>
          <w:p w14:paraId="62220B43">
            <w:pPr>
              <w:keepNext w:val="0"/>
              <w:keepLines w:val="0"/>
              <w:pageBreakBefore w:val="0"/>
              <w:widowControl w:val="0"/>
              <w:tabs>
                <w:tab w:val="left" w:pos="730"/>
              </w:tabs>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（3）服务方案细致性有待提升的，得1分；</w:t>
            </w:r>
          </w:p>
          <w:p w14:paraId="6530CE48">
            <w:pPr>
              <w:keepNext w:val="0"/>
              <w:keepLines w:val="0"/>
              <w:pageBreakBefore w:val="0"/>
              <w:widowControl w:val="0"/>
              <w:tabs>
                <w:tab w:val="left" w:pos="730"/>
              </w:tabs>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val="en-US" w:eastAsia="zh-CN"/>
              </w:rPr>
              <w:t>（4）未能提供相应内容的不得分。</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051935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 w:val="0"/>
                <w:bCs w:val="0"/>
                <w:sz w:val="24"/>
                <w:highlight w:val="none"/>
              </w:rPr>
            </w:pPr>
            <w:r>
              <w:rPr>
                <w:rFonts w:hint="eastAsia" w:ascii="宋体" w:hAnsi="宋体" w:eastAsia="宋体" w:cs="宋体"/>
                <w:b w:val="0"/>
                <w:bCs w:val="0"/>
                <w:color w:val="auto"/>
                <w:sz w:val="24"/>
                <w:highlight w:val="none"/>
                <w:lang w:val="en-US" w:eastAsia="zh-CN"/>
              </w:rPr>
              <w:t>0-5分</w:t>
            </w:r>
          </w:p>
        </w:tc>
      </w:tr>
      <w:tr w14:paraId="62F0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5FF9E55F">
            <w:pPr>
              <w:spacing w:line="360" w:lineRule="auto"/>
              <w:ind w:firstLine="435"/>
              <w:jc w:val="center"/>
              <w:rPr>
                <w:rFonts w:asciiTheme="minorEastAsia" w:hAnsiTheme="minorEastAsia" w:eastAsiaTheme="minorEastAsia"/>
                <w:b/>
                <w:bCs/>
                <w:color w:val="auto"/>
                <w:sz w:val="24"/>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14:paraId="070622E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highlight w:val="none"/>
                <w:shd w:val="clear" w:color="auto" w:fill="FFFFFF"/>
                <w:lang w:val="en-US" w:eastAsia="zh-CN"/>
              </w:rPr>
            </w:pPr>
            <w:r>
              <w:rPr>
                <w:rFonts w:hint="eastAsia" w:ascii="宋体" w:hAnsi="宋体" w:eastAsia="宋体"/>
                <w:bCs/>
                <w:kern w:val="0"/>
                <w:sz w:val="24"/>
                <w:szCs w:val="24"/>
                <w:highlight w:val="none"/>
                <w:lang w:val="en-US" w:eastAsia="zh-CN"/>
              </w:rPr>
              <w:t>11.应急处置</w:t>
            </w:r>
            <w:r>
              <w:rPr>
                <w:rFonts w:hint="eastAsia" w:ascii="宋体" w:hAnsi="宋体" w:eastAsia="宋体"/>
                <w:bCs/>
                <w:kern w:val="0"/>
                <w:sz w:val="24"/>
                <w:szCs w:val="24"/>
                <w:highlight w:val="none"/>
              </w:rPr>
              <w:t>方案</w:t>
            </w:r>
          </w:p>
        </w:tc>
        <w:tc>
          <w:tcPr>
            <w:tcW w:w="3745" w:type="dxa"/>
            <w:tcBorders>
              <w:top w:val="single" w:color="auto" w:sz="4" w:space="0"/>
              <w:left w:val="single" w:color="auto" w:sz="4" w:space="0"/>
              <w:bottom w:val="single" w:color="auto" w:sz="4" w:space="0"/>
              <w:right w:val="single" w:color="auto" w:sz="4" w:space="0"/>
            </w:tcBorders>
            <w:shd w:val="clear" w:color="auto" w:fill="auto"/>
            <w:vAlign w:val="center"/>
          </w:tcPr>
          <w:p w14:paraId="729E92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根据供应商提供的</w:t>
            </w:r>
            <w:r>
              <w:rPr>
                <w:rFonts w:hint="eastAsia" w:ascii="宋体" w:hAnsi="宋体" w:eastAsia="宋体"/>
                <w:sz w:val="24"/>
                <w:highlight w:val="none"/>
                <w:lang w:val="en-US" w:eastAsia="zh-CN"/>
              </w:rPr>
              <w:t>运营</w:t>
            </w:r>
            <w:r>
              <w:rPr>
                <w:rFonts w:hint="eastAsia" w:ascii="宋体" w:hAnsi="宋体" w:eastAsia="宋体"/>
                <w:sz w:val="24"/>
                <w:highlight w:val="none"/>
                <w:lang w:eastAsia="zh-CN"/>
              </w:rPr>
              <w:t>过程中可能遇到的各类突发事件（如特定公共事件、恶劣天气、停水停电、安全责任事故、媒体曝光、读者冲突等）的应急受理处置建立制度及相应措施进行评审，应急预案包括：应急服务保障措施、应急服务响应时间、重大或突发事件的人员配合、控制失误及其他相关服务等。</w:t>
            </w:r>
          </w:p>
          <w:p w14:paraId="1FC4D9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（1）各项方案及处置措施详细完善、应急处理流程清晰，处理措施有效，能及时妥善解决各类突发事件、常态化进行日常演练的，得 5 分；</w:t>
            </w:r>
          </w:p>
          <w:p w14:paraId="523193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 xml:space="preserve">（2）各项方案及处置措施完善、符合项目实施要求的，方案内容适合本项目采购需求的，得 </w:t>
            </w:r>
            <w:r>
              <w:rPr>
                <w:rFonts w:hint="eastAsia" w:ascii="宋体" w:hAnsi="宋体" w:eastAsia="宋体"/>
                <w:sz w:val="24"/>
                <w:highlight w:val="none"/>
                <w:lang w:val="en-US" w:eastAsia="zh-CN"/>
              </w:rPr>
              <w:t>3</w:t>
            </w:r>
            <w:r>
              <w:rPr>
                <w:rFonts w:hint="eastAsia" w:ascii="宋体" w:hAnsi="宋体" w:eastAsia="宋体"/>
                <w:sz w:val="24"/>
                <w:highlight w:val="none"/>
                <w:lang w:eastAsia="zh-CN"/>
              </w:rPr>
              <w:t>分；</w:t>
            </w:r>
          </w:p>
          <w:p w14:paraId="5477C1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 xml:space="preserve">（3）应急事故类型描述有缺失或应急措施缺少可实施性或缺少日常应急演练的，得 </w:t>
            </w:r>
            <w:r>
              <w:rPr>
                <w:rFonts w:hint="eastAsia" w:ascii="宋体" w:hAnsi="宋体" w:eastAsia="宋体"/>
                <w:sz w:val="24"/>
                <w:highlight w:val="none"/>
                <w:lang w:val="en-US" w:eastAsia="zh-CN"/>
              </w:rPr>
              <w:t>1</w:t>
            </w:r>
            <w:r>
              <w:rPr>
                <w:rFonts w:hint="eastAsia" w:ascii="宋体" w:hAnsi="宋体" w:eastAsia="宋体"/>
                <w:sz w:val="24"/>
                <w:highlight w:val="none"/>
                <w:lang w:eastAsia="zh-CN"/>
              </w:rPr>
              <w:t xml:space="preserve"> 分；</w:t>
            </w:r>
          </w:p>
          <w:p w14:paraId="4A0152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eastAsia="zh-CN"/>
              </w:rPr>
              <w:t>（4）</w:t>
            </w:r>
            <w:r>
              <w:rPr>
                <w:rFonts w:hint="eastAsia" w:ascii="宋体" w:hAnsi="宋体" w:eastAsia="宋体"/>
                <w:sz w:val="24"/>
                <w:highlight w:val="none"/>
                <w:lang w:val="en-US" w:eastAsia="zh-CN"/>
              </w:rPr>
              <w:t>未能提供相应内容的不得分。</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2CD710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 w:val="0"/>
                <w:bCs w:val="0"/>
                <w:sz w:val="24"/>
                <w:highlight w:val="none"/>
              </w:rPr>
            </w:pPr>
            <w:r>
              <w:rPr>
                <w:rFonts w:hint="eastAsia" w:ascii="宋体" w:hAnsi="宋体" w:eastAsia="宋体" w:cs="宋体"/>
                <w:b w:val="0"/>
                <w:bCs w:val="0"/>
                <w:color w:val="auto"/>
                <w:sz w:val="24"/>
                <w:highlight w:val="none"/>
                <w:lang w:val="en-US" w:eastAsia="zh-CN"/>
              </w:rPr>
              <w:t>0-5分</w:t>
            </w:r>
          </w:p>
        </w:tc>
      </w:tr>
      <w:tr w14:paraId="26F7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7B9299C8">
            <w:pPr>
              <w:spacing w:line="360" w:lineRule="auto"/>
              <w:ind w:firstLine="435"/>
              <w:jc w:val="center"/>
              <w:rPr>
                <w:rFonts w:asciiTheme="minorEastAsia" w:hAnsiTheme="minorEastAsia" w:eastAsiaTheme="minorEastAsia"/>
                <w:b/>
                <w:bCs/>
                <w:color w:val="auto"/>
                <w:sz w:val="24"/>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14:paraId="621041B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highlight w:val="none"/>
                <w:shd w:val="clear" w:color="auto" w:fill="FFFFFF"/>
                <w:lang w:val="en-US" w:eastAsia="zh-CN"/>
              </w:rPr>
            </w:pPr>
            <w:r>
              <w:rPr>
                <w:rFonts w:hint="eastAsia" w:ascii="宋体" w:hAnsi="宋体" w:eastAsia="宋体" w:cs="宋体"/>
                <w:b w:val="0"/>
                <w:bCs w:val="0"/>
                <w:spacing w:val="0"/>
                <w:w w:val="100"/>
                <w:kern w:val="21"/>
                <w:sz w:val="24"/>
                <w:szCs w:val="24"/>
                <w:highlight w:val="none"/>
                <w:lang w:val="en-US" w:eastAsia="zh-CN"/>
              </w:rPr>
              <w:t>12.地方文化推广方案</w:t>
            </w:r>
          </w:p>
        </w:tc>
        <w:tc>
          <w:tcPr>
            <w:tcW w:w="3745" w:type="dxa"/>
            <w:tcBorders>
              <w:top w:val="single" w:color="auto" w:sz="4" w:space="0"/>
              <w:left w:val="single" w:color="auto" w:sz="4" w:space="0"/>
              <w:bottom w:val="single" w:color="auto" w:sz="4" w:space="0"/>
              <w:right w:val="single" w:color="auto" w:sz="4" w:space="0"/>
            </w:tcBorders>
            <w:shd w:val="clear" w:color="auto" w:fill="auto"/>
            <w:vAlign w:val="center"/>
          </w:tcPr>
          <w:p w14:paraId="2042DF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根据供应商提供的地方文化推广方案情况进行综合评分，包括但不限于征集地方文献资料、打造地方文献特色空间、开展地方文献宣传活动等内容。</w:t>
            </w:r>
          </w:p>
          <w:p w14:paraId="543B8D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（1）内容详细完善、表述清晰，合理可行的，得5分；</w:t>
            </w:r>
          </w:p>
          <w:p w14:paraId="14BD06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（2）内容完整合理、符合项目实际的，得3分；</w:t>
            </w:r>
          </w:p>
          <w:p w14:paraId="3120D9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（3）内容完整性欠缺或实施性有待提高的，得1分；</w:t>
            </w:r>
          </w:p>
          <w:p w14:paraId="425AEC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highlight w:val="none"/>
                <w:lang w:eastAsia="zh-CN"/>
              </w:rPr>
            </w:pPr>
            <w:r>
              <w:rPr>
                <w:rFonts w:hint="eastAsia" w:ascii="宋体" w:hAnsi="宋体" w:eastAsia="宋体"/>
                <w:sz w:val="24"/>
                <w:highlight w:val="none"/>
                <w:lang w:val="en-US" w:eastAsia="zh-CN"/>
              </w:rPr>
              <w:t>（4）未提供相应内容的不得分。</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2D10E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 w:val="0"/>
                <w:bCs w:val="0"/>
                <w:sz w:val="24"/>
                <w:highlight w:val="none"/>
              </w:rPr>
            </w:pPr>
            <w:r>
              <w:rPr>
                <w:rFonts w:hint="eastAsia" w:ascii="宋体" w:hAnsi="宋体" w:eastAsia="宋体" w:cs="宋体"/>
                <w:b w:val="0"/>
                <w:bCs w:val="0"/>
                <w:color w:val="auto"/>
                <w:sz w:val="24"/>
                <w:highlight w:val="none"/>
                <w:lang w:val="en-US" w:eastAsia="zh-CN"/>
              </w:rPr>
              <w:t>0-5分</w:t>
            </w:r>
          </w:p>
        </w:tc>
      </w:tr>
      <w:tr w14:paraId="71C5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tcBorders>
              <w:left w:val="single" w:color="auto" w:sz="4" w:space="0"/>
              <w:right w:val="single" w:color="auto" w:sz="4" w:space="0"/>
            </w:tcBorders>
            <w:vAlign w:val="center"/>
          </w:tcPr>
          <w:p w14:paraId="002D6ED8">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价格分</w:t>
            </w:r>
          </w:p>
          <w:p w14:paraId="6C6FDCA5">
            <w:pPr>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lang w:val="en-US" w:eastAsia="zh-CN"/>
              </w:rPr>
              <w:t>10</w:t>
            </w:r>
            <w:r>
              <w:rPr>
                <w:rFonts w:hint="eastAsia" w:asciiTheme="minorEastAsia" w:hAnsiTheme="minorEastAsia" w:eastAsiaTheme="minorEastAsia"/>
                <w:color w:val="auto"/>
                <w:sz w:val="24"/>
                <w:highlight w:val="none"/>
              </w:rPr>
              <w:t>分）</w:t>
            </w:r>
          </w:p>
        </w:tc>
        <w:tc>
          <w:tcPr>
            <w:tcW w:w="4134" w:type="pct"/>
            <w:gridSpan w:val="3"/>
            <w:tcBorders>
              <w:top w:val="single" w:color="auto" w:sz="4" w:space="0"/>
              <w:left w:val="single" w:color="auto" w:sz="4" w:space="0"/>
              <w:bottom w:val="single" w:color="auto" w:sz="4" w:space="0"/>
              <w:right w:val="single" w:color="auto" w:sz="4" w:space="0"/>
            </w:tcBorders>
            <w:vAlign w:val="center"/>
          </w:tcPr>
          <w:p w14:paraId="1CD76273">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价格分统一采用低价优先法，即满足磋商文件要求且最后报价最低的供应商的价格为磋商基准价，其价格分为满分</w:t>
            </w:r>
            <w:r>
              <w:rPr>
                <w:rFonts w:hint="eastAsia" w:asciiTheme="minorEastAsia" w:hAnsiTheme="minorEastAsia" w:eastAsiaTheme="minorEastAsia"/>
                <w:color w:val="auto"/>
                <w:sz w:val="24"/>
                <w:highlight w:val="none"/>
                <w:u w:val="single"/>
                <w:lang w:val="en-US" w:eastAsia="zh-CN"/>
              </w:rPr>
              <w:t>10</w:t>
            </w:r>
            <w:r>
              <w:rPr>
                <w:rFonts w:hint="eastAsia" w:asciiTheme="minorEastAsia" w:hAnsiTheme="minorEastAsia" w:eastAsiaTheme="minorEastAsia"/>
                <w:color w:val="auto"/>
                <w:sz w:val="24"/>
                <w:highlight w:val="none"/>
              </w:rPr>
              <w:t>分。其他供应商的价格分统一按照下列公式计算：</w:t>
            </w:r>
          </w:p>
          <w:p w14:paraId="38C86FFE">
            <w:pPr>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磋商报价得分＝（磋商基准价/</w:t>
            </w:r>
            <w:r>
              <w:rPr>
                <w:rFonts w:hint="eastAsia" w:ascii="宋体" w:hAnsi="宋体" w:eastAsia="宋体"/>
                <w:color w:val="auto"/>
                <w:sz w:val="24"/>
                <w:highlight w:val="none"/>
              </w:rPr>
              <w:t>最后磋商</w:t>
            </w:r>
            <w:r>
              <w:rPr>
                <w:rFonts w:hint="eastAsia" w:asciiTheme="minorEastAsia" w:hAnsiTheme="minorEastAsia" w:eastAsiaTheme="minorEastAsia"/>
                <w:color w:val="auto"/>
                <w:sz w:val="24"/>
                <w:highlight w:val="none"/>
              </w:rPr>
              <w:t>报价）×</w:t>
            </w:r>
            <w:r>
              <w:rPr>
                <w:rFonts w:hint="eastAsia" w:asciiTheme="minorEastAsia" w:hAnsiTheme="minorEastAsia" w:eastAsiaTheme="minorEastAsia"/>
                <w:color w:val="auto"/>
                <w:sz w:val="24"/>
                <w:highlight w:val="none"/>
                <w:u w:val="single"/>
                <w:lang w:val="en-US" w:eastAsia="zh-CN"/>
              </w:rPr>
              <w:t>10</w:t>
            </w:r>
            <w:r>
              <w:rPr>
                <w:rFonts w:hint="eastAsia" w:asciiTheme="minorEastAsia" w:hAnsiTheme="minorEastAsia" w:eastAsiaTheme="minorEastAsia"/>
                <w:color w:val="auto"/>
                <w:sz w:val="24"/>
                <w:highlight w:val="none"/>
              </w:rPr>
              <w:t>％×100</w:t>
            </w:r>
          </w:p>
        </w:tc>
      </w:tr>
    </w:tbl>
    <w:p w14:paraId="0FCA1D3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分值汇总</w:t>
      </w:r>
    </w:p>
    <w:p w14:paraId="0AC5936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1）磋商小组各成员应当独立对每个有效响应的文件进行评价、打分，然后汇总每个供应商每项评分因素的得分，再取各位评委评分之平均值，四舍五入保留至小数点后两位数，得到该供应商的技术资信分。</w:t>
      </w:r>
    </w:p>
    <w:p w14:paraId="1BCEA9E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2）将每个供应商的技术资信分加上根据上述标准计算出的价格分，即为该供应商的综合总得分。</w:t>
      </w:r>
    </w:p>
    <w:p w14:paraId="468F476B">
      <w:pPr>
        <w:spacing w:line="360" w:lineRule="auto"/>
        <w:ind w:firstLine="435"/>
        <w:rPr>
          <w:rFonts w:ascii="宋体" w:hAnsi="宋体" w:eastAsia="宋体" w:cs="宋体"/>
          <w:b/>
          <w:bCs/>
          <w:color w:val="auto"/>
          <w:sz w:val="24"/>
          <w:highlight w:val="none"/>
        </w:rPr>
      </w:pPr>
      <w:r>
        <w:rPr>
          <w:rFonts w:hint="eastAsia" w:ascii="宋体" w:hAnsi="宋体" w:eastAsia="宋体" w:cs="宋体"/>
          <w:b/>
          <w:bCs/>
          <w:color w:val="auto"/>
          <w:sz w:val="24"/>
          <w:highlight w:val="none"/>
        </w:rPr>
        <w:t>三、无效条款</w:t>
      </w:r>
    </w:p>
    <w:p w14:paraId="7F1B822E">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3.1响应文件有下列情形之一的,其响应文件拒收:</w:t>
      </w:r>
    </w:p>
    <w:p w14:paraId="0C2C2887">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（1）未在提交首次响应文件截止时间前通过网上招标投标系统递交有效电子响应文件的，网上开标系统不予接收。出现上述情况的，响应将被拒绝。</w:t>
      </w:r>
    </w:p>
    <w:p w14:paraId="6FFE779E">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2）供应商接到远程解密指令后，须在规定时间内解密。因供应商自身原因导致响应文件在规定时间内未能解密、解密失败或解密超时，响应文件无效；解密时间：从本项目响应文件提交截止时间开始计时，至完成响应文件解密时间，不得超过60分钟，否则响应文件将被拒绝。</w:t>
      </w:r>
    </w:p>
    <w:p w14:paraId="5781E38A">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.2供应商有下列情形之一的,资格审查后其</w:t>
      </w:r>
      <w:r>
        <w:rPr>
          <w:rFonts w:hint="eastAsia" w:ascii="宋体" w:hAnsi="宋体" w:eastAsia="宋体"/>
          <w:color w:val="auto"/>
          <w:sz w:val="24"/>
          <w:highlight w:val="none"/>
          <w:lang w:val="en-US" w:eastAsia="zh-CN"/>
        </w:rPr>
        <w:t>按</w:t>
      </w:r>
      <w:r>
        <w:rPr>
          <w:rFonts w:hint="eastAsia" w:ascii="宋体" w:hAnsi="宋体" w:eastAsia="宋体"/>
          <w:color w:val="auto"/>
          <w:sz w:val="24"/>
          <w:highlight w:val="none"/>
        </w:rPr>
        <w:t>无效响应处理：</w:t>
      </w:r>
    </w:p>
    <w:p w14:paraId="3308AE0C">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（1）为本项目提供采购代理服务的；</w:t>
      </w:r>
    </w:p>
    <w:p w14:paraId="26CB9C54">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（2）供应商与在本项目代理机构存在相互任职或工作的；</w:t>
      </w:r>
    </w:p>
    <w:p w14:paraId="5159A046">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（3）与采购人存在利害关系可能影响采购公正性的法人、其他组织或者个人；</w:t>
      </w:r>
    </w:p>
    <w:p w14:paraId="7A0CFE01">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（4）磋商公告写明专门面向中小企业采购，供应商提供的服务非中小企业承接的；</w:t>
      </w:r>
    </w:p>
    <w:p w14:paraId="588D6B3D">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（5）要求供应商以联合体形式参加采购活动，供应商非联合体或者联合协议中中小企业合同金额未达到应当达到的比例；</w:t>
      </w:r>
    </w:p>
    <w:p w14:paraId="55E4544A">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（6）要求获得采购合同的供应商向中小企业分包，供应商未提供分包意向协议或者分包意向协议中中小企业合同金额未达到应当达到的比例；</w:t>
      </w:r>
    </w:p>
    <w:p w14:paraId="01C73FAA">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（7）评标专家无法查看并检验电子响应文件中相关资料的；</w:t>
      </w:r>
    </w:p>
    <w:p w14:paraId="32493CB1">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（8）联合体</w:t>
      </w:r>
      <w:r>
        <w:rPr>
          <w:rFonts w:hint="eastAsia" w:ascii="宋体" w:hAnsi="宋体" w:eastAsia="宋体"/>
          <w:color w:val="auto"/>
          <w:sz w:val="24"/>
          <w:highlight w:val="none"/>
          <w:lang w:val="en-US" w:eastAsia="zh-CN"/>
        </w:rPr>
        <w:t>参与</w:t>
      </w:r>
      <w:r>
        <w:rPr>
          <w:rFonts w:hint="eastAsia" w:ascii="宋体" w:hAnsi="宋体" w:eastAsia="宋体"/>
          <w:color w:val="auto"/>
          <w:sz w:val="24"/>
          <w:highlight w:val="none"/>
        </w:rPr>
        <w:t>未提交联合体协议的；</w:t>
      </w:r>
    </w:p>
    <w:p w14:paraId="50039091">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（9）责令停产停业的；</w:t>
      </w:r>
    </w:p>
    <w:p w14:paraId="72C25E26">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（10）暂停或取消参与政府采购项目资格的；</w:t>
      </w:r>
    </w:p>
    <w:p w14:paraId="2FB86B41">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（11）供应商单位负责人为同一人或者存在直接控股、管理关系的不同单位的；</w:t>
      </w:r>
    </w:p>
    <w:p w14:paraId="723EDDBC">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（12）供应商基本资格条件和特定资格条件中有一项及以上不符合要求的；</w:t>
      </w:r>
    </w:p>
    <w:p w14:paraId="56B6D127">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 xml:space="preserve">（13）评审时查询响应文件制作机器码、文件创建标识码及造价软件加密锁号。若存在响应文件制作机器码或创建标识码或造价软件加密锁号信息与其他供应商雷同的，响应无效、进行信用信息披露，行政监管部门将依据线索依法查处； </w:t>
      </w:r>
    </w:p>
    <w:p w14:paraId="02F6A0DF">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（14）其它情形按无效响应处理，并经公共资源交易监督部门核准的；</w:t>
      </w:r>
    </w:p>
    <w:p w14:paraId="7FABEE4A">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（15）供应商响应MAC地址一致，由磋商小组否决其响应资格；</w:t>
      </w:r>
    </w:p>
    <w:p w14:paraId="090B8119">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（16）供应商单方面出现其他供应商材料的（组成联合体响应的除外）；</w:t>
      </w:r>
    </w:p>
    <w:p w14:paraId="74DDFB6B">
      <w:pPr>
        <w:pStyle w:val="9"/>
        <w:spacing w:line="360" w:lineRule="auto"/>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（17）供应商联系人或联系电话相同的，由磋商小组否决其响应资格，并报告监管部门作不良行为处理和进一步调查；</w:t>
      </w:r>
    </w:p>
    <w:p w14:paraId="138FA3CE">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（18）竞争性磋商公告未写明允许采购进口产品，供应商所投产品为进口产品的；</w:t>
      </w:r>
    </w:p>
    <w:p w14:paraId="2937F86A">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（19）磋商文件规定的其它无效情形。</w:t>
      </w:r>
    </w:p>
    <w:p w14:paraId="36825E71">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.3 供应商有下列情形之一的,符合性审查后其按无效响应处理：</w:t>
      </w:r>
    </w:p>
    <w:p w14:paraId="6E43BD95">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（1）响应文件签章不全，经磋商小组一致认定对开评标内容有实质性影响并经公共资源交易监督部门核准的；</w:t>
      </w:r>
    </w:p>
    <w:p w14:paraId="3BEFB9FE">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（2）未按规定的格式填写导致实质性内容不全以及实质上不响应，或者关键字迹模糊、无法辨认； 经公共资源交易监督部门核准的；</w:t>
      </w:r>
    </w:p>
    <w:p w14:paraId="011B50FE">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（3）同一供应商提交两个以上不同的响应文件或者响应报价，但磋商文件规定提交备选方案的除外；</w:t>
      </w:r>
    </w:p>
    <w:p w14:paraId="793B130C">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（4）响应文件没有对磋商文件的实质性要求和条件作出响应；</w:t>
      </w:r>
    </w:p>
    <w:p w14:paraId="77570E32">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（5）报价超出规定的最高限价或公布的采购预算的或供应商的报价各项单价高于磋商文件给定的单价最高限价；</w:t>
      </w:r>
    </w:p>
    <w:p w14:paraId="00A3F65F">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（6）不按磋商小组要求澄清、说明或补正的，或者措施小组根据磋商文件的规定对响应文件的计算错误进行修正后，供应商不接受修正的报价的。</w:t>
      </w:r>
    </w:p>
    <w:p w14:paraId="0B6056A1">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（7）其它情形，经磋商小组委提出按无效响应处理，并经公共资源交易监督部门核准的；</w:t>
      </w:r>
    </w:p>
    <w:p w14:paraId="2797989B">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（8）响应文件含有采购人不能接受的附加条件的；</w:t>
      </w:r>
    </w:p>
    <w:p w14:paraId="065ACB96">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（9）磋商文件规定的其它无效响应情形。</w:t>
      </w:r>
    </w:p>
    <w:p w14:paraId="6A21A9B3">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.4 供应商有下列情形之一的, 详细评审后其按无效响应处理：</w:t>
      </w:r>
    </w:p>
    <w:p w14:paraId="0530299E">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（1）产品不符合必须强制执行的国家标准的；</w:t>
      </w:r>
    </w:p>
    <w:p w14:paraId="3D75A409">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（2）供应商有串通、弄虚作假、行贿等违法行为；</w:t>
      </w:r>
    </w:p>
    <w:p w14:paraId="1950CC33">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（3）响应文件含有违反国家法律、法规的内容，或附有采购人不能接受的条件的；</w:t>
      </w:r>
    </w:p>
    <w:p w14:paraId="563D9944">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（4）报价明显低于其他供应商，且不能证明报价合理性的响应无效；</w:t>
      </w:r>
    </w:p>
    <w:p w14:paraId="1964F486">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（5）拒不确认磋商小组评审修正的响应无效；</w:t>
      </w:r>
    </w:p>
    <w:p w14:paraId="6EA62184">
      <w:pPr>
        <w:pStyle w:val="9"/>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（6）其它情形，经磋商小组提出按无效响应处理，并经公共资源交易监督部门核准的；</w:t>
      </w:r>
    </w:p>
    <w:p w14:paraId="07FB735D">
      <w:pPr>
        <w:pStyle w:val="9"/>
        <w:spacing w:line="360" w:lineRule="auto"/>
        <w:ind w:firstLine="480" w:firstLineChars="200"/>
        <w:rPr>
          <w:rFonts w:ascii="宋体" w:hAnsi="宋体" w:eastAsia="宋体" w:cs="宋体"/>
          <w:color w:val="auto"/>
          <w:sz w:val="24"/>
          <w:highlight w:val="none"/>
        </w:rPr>
      </w:pPr>
      <w:r>
        <w:rPr>
          <w:rFonts w:hint="eastAsia" w:ascii="宋体" w:hAnsi="宋体" w:eastAsia="宋体"/>
          <w:color w:val="auto"/>
          <w:sz w:val="24"/>
          <w:highlight w:val="none"/>
        </w:rPr>
        <w:t>（7）磋商文件规定的其它无效响应情形。</w:t>
      </w:r>
    </w:p>
    <w:p w14:paraId="0A94ABFE">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29F15C40">
      <w:pPr>
        <w:numPr>
          <w:ilvl w:val="0"/>
          <w:numId w:val="3"/>
        </w:numPr>
        <w:spacing w:line="360" w:lineRule="auto"/>
        <w:jc w:val="center"/>
        <w:outlineLvl w:val="0"/>
        <w:rPr>
          <w:rFonts w:asciiTheme="minorEastAsia" w:hAnsiTheme="minorEastAsia" w:eastAsiaTheme="minorEastAsia"/>
          <w:b/>
          <w:color w:val="auto"/>
          <w:sz w:val="28"/>
          <w:highlight w:val="none"/>
        </w:rPr>
      </w:pPr>
      <w:bookmarkStart w:id="30" w:name="_Toc63440929"/>
      <w:bookmarkStart w:id="31" w:name="_Toc355"/>
      <w:r>
        <w:rPr>
          <w:rFonts w:hint="eastAsia" w:asciiTheme="minorEastAsia" w:hAnsiTheme="minorEastAsia" w:eastAsiaTheme="minorEastAsia"/>
          <w:b/>
          <w:color w:val="auto"/>
          <w:sz w:val="28"/>
          <w:highlight w:val="none"/>
        </w:rPr>
        <w:t xml:space="preserve"> </w:t>
      </w:r>
      <w:r>
        <w:rPr>
          <w:rFonts w:asciiTheme="minorEastAsia" w:hAnsiTheme="minorEastAsia" w:eastAsiaTheme="minorEastAsia"/>
          <w:b/>
          <w:color w:val="auto"/>
          <w:sz w:val="28"/>
          <w:highlight w:val="none"/>
        </w:rPr>
        <w:t>政府采购合同</w:t>
      </w:r>
      <w:bookmarkEnd w:id="30"/>
      <w:bookmarkEnd w:id="31"/>
      <w:bookmarkStart w:id="32" w:name="_Toc22284"/>
    </w:p>
    <w:bookmarkEnd w:id="32"/>
    <w:p w14:paraId="0B18DDD1">
      <w:pPr>
        <w:spacing w:line="480" w:lineRule="auto"/>
        <w:jc w:val="center"/>
        <w:rPr>
          <w:rFonts w:ascii="宋体" w:hAnsi="宋体" w:eastAsia="宋体"/>
          <w:b/>
          <w:sz w:val="24"/>
          <w:highlight w:val="none"/>
        </w:rPr>
      </w:pPr>
    </w:p>
    <w:p w14:paraId="7972953F">
      <w:pPr>
        <w:spacing w:line="480" w:lineRule="auto"/>
        <w:jc w:val="center"/>
        <w:rPr>
          <w:rFonts w:ascii="宋体" w:hAnsi="宋体" w:eastAsia="宋体"/>
          <w:b/>
          <w:sz w:val="24"/>
          <w:highlight w:val="none"/>
        </w:rPr>
      </w:pPr>
    </w:p>
    <w:p w14:paraId="1369DA74">
      <w:pPr>
        <w:spacing w:line="480" w:lineRule="auto"/>
        <w:jc w:val="center"/>
        <w:outlineLvl w:val="1"/>
        <w:rPr>
          <w:rFonts w:ascii="宋体" w:hAnsi="宋体" w:eastAsia="宋体"/>
          <w:b/>
          <w:sz w:val="32"/>
          <w:szCs w:val="32"/>
          <w:highlight w:val="none"/>
        </w:rPr>
      </w:pPr>
      <w:r>
        <w:rPr>
          <w:rFonts w:ascii="宋体" w:hAnsi="宋体" w:eastAsia="宋体"/>
          <w:b/>
          <w:sz w:val="32"/>
          <w:szCs w:val="32"/>
          <w:highlight w:val="none"/>
        </w:rPr>
        <w:t>政府采购合同</w:t>
      </w:r>
      <w:r>
        <w:rPr>
          <w:rFonts w:hint="eastAsia" w:ascii="宋体" w:hAnsi="宋体" w:eastAsia="宋体"/>
          <w:b/>
          <w:sz w:val="32"/>
          <w:szCs w:val="32"/>
          <w:highlight w:val="none"/>
        </w:rPr>
        <w:t>参考范本</w:t>
      </w:r>
    </w:p>
    <w:p w14:paraId="6095CD12">
      <w:pPr>
        <w:spacing w:line="480" w:lineRule="auto"/>
        <w:jc w:val="center"/>
        <w:outlineLvl w:val="1"/>
        <w:rPr>
          <w:rFonts w:ascii="宋体" w:hAnsi="宋体" w:eastAsia="宋体"/>
          <w:b/>
          <w:sz w:val="32"/>
          <w:szCs w:val="32"/>
          <w:highlight w:val="none"/>
        </w:rPr>
      </w:pPr>
      <w:r>
        <w:rPr>
          <w:rFonts w:hint="eastAsia" w:ascii="宋体" w:hAnsi="宋体" w:eastAsia="宋体"/>
          <w:b/>
          <w:sz w:val="32"/>
          <w:szCs w:val="32"/>
          <w:highlight w:val="none"/>
        </w:rPr>
        <w:t>（服务类）</w:t>
      </w:r>
    </w:p>
    <w:p w14:paraId="466E0370">
      <w:pPr>
        <w:spacing w:line="480" w:lineRule="auto"/>
        <w:jc w:val="center"/>
        <w:rPr>
          <w:rFonts w:ascii="宋体" w:hAnsi="宋体" w:eastAsia="宋体"/>
          <w:b/>
          <w:sz w:val="24"/>
          <w:highlight w:val="none"/>
        </w:rPr>
      </w:pPr>
    </w:p>
    <w:p w14:paraId="114BE070">
      <w:pPr>
        <w:spacing w:line="480" w:lineRule="auto"/>
        <w:jc w:val="center"/>
        <w:rPr>
          <w:rFonts w:ascii="宋体" w:hAnsi="宋体" w:eastAsia="宋体"/>
          <w:b/>
          <w:sz w:val="24"/>
          <w:highlight w:val="none"/>
        </w:rPr>
      </w:pPr>
    </w:p>
    <w:p w14:paraId="53F776F8">
      <w:pPr>
        <w:spacing w:line="480" w:lineRule="auto"/>
        <w:jc w:val="center"/>
        <w:rPr>
          <w:rFonts w:ascii="宋体" w:hAnsi="宋体" w:eastAsia="宋体"/>
          <w:b/>
          <w:sz w:val="24"/>
          <w:highlight w:val="none"/>
        </w:rPr>
      </w:pPr>
    </w:p>
    <w:p w14:paraId="750953C3">
      <w:pPr>
        <w:spacing w:line="360" w:lineRule="auto"/>
        <w:jc w:val="center"/>
        <w:outlineLvl w:val="1"/>
        <w:rPr>
          <w:rFonts w:ascii="宋体" w:hAnsi="宋体" w:eastAsia="宋体"/>
          <w:b/>
          <w:sz w:val="24"/>
          <w:highlight w:val="none"/>
        </w:rPr>
      </w:pPr>
      <w:r>
        <w:rPr>
          <w:rFonts w:hint="eastAsia" w:ascii="宋体" w:hAnsi="宋体" w:eastAsia="宋体"/>
          <w:b/>
          <w:sz w:val="24"/>
          <w:highlight w:val="none"/>
        </w:rPr>
        <w:t>第一部分 合同书</w:t>
      </w:r>
    </w:p>
    <w:p w14:paraId="7473D2AA">
      <w:pPr>
        <w:spacing w:line="480" w:lineRule="auto"/>
        <w:jc w:val="center"/>
        <w:rPr>
          <w:rFonts w:ascii="宋体" w:hAnsi="宋体" w:eastAsia="宋体"/>
          <w:b/>
          <w:sz w:val="24"/>
          <w:highlight w:val="none"/>
        </w:rPr>
      </w:pPr>
    </w:p>
    <w:p w14:paraId="3B123CBE">
      <w:pPr>
        <w:spacing w:line="480" w:lineRule="auto"/>
        <w:jc w:val="center"/>
        <w:rPr>
          <w:rFonts w:ascii="宋体" w:hAnsi="宋体" w:eastAsia="宋体"/>
          <w:b/>
          <w:sz w:val="24"/>
          <w:highlight w:val="none"/>
        </w:rPr>
      </w:pPr>
    </w:p>
    <w:p w14:paraId="51141FF8">
      <w:pPr>
        <w:spacing w:line="480" w:lineRule="auto"/>
        <w:jc w:val="center"/>
        <w:rPr>
          <w:rFonts w:ascii="宋体" w:hAnsi="宋体" w:eastAsia="宋体"/>
          <w:b/>
          <w:sz w:val="24"/>
          <w:highlight w:val="none"/>
        </w:rPr>
      </w:pPr>
    </w:p>
    <w:p w14:paraId="1AA530C1">
      <w:pPr>
        <w:spacing w:before="120" w:line="480" w:lineRule="auto"/>
        <w:ind w:left="960"/>
        <w:rPr>
          <w:rFonts w:hint="eastAsia" w:ascii="宋体" w:hAnsi="宋体" w:eastAsia="宋体"/>
          <w:sz w:val="24"/>
          <w:highlight w:val="none"/>
          <w:u w:val="single"/>
        </w:rPr>
      </w:pPr>
      <w:r>
        <w:rPr>
          <w:rFonts w:hint="eastAsia" w:ascii="宋体" w:hAnsi="宋体" w:eastAsia="宋体"/>
          <w:sz w:val="24"/>
          <w:highlight w:val="none"/>
        </w:rPr>
        <w:t>项目名称：</w:t>
      </w:r>
      <w:r>
        <w:rPr>
          <w:rFonts w:hint="eastAsia" w:ascii="宋体" w:hAnsi="宋体" w:eastAsia="宋体"/>
          <w:sz w:val="24"/>
          <w:highlight w:val="none"/>
          <w:u w:val="single"/>
          <w:lang w:eastAsia="zh-CN"/>
        </w:rPr>
        <w:t>2026-2027年滁州市城市阅读空间与城市书柜运营服务采购项目</w:t>
      </w:r>
    </w:p>
    <w:p w14:paraId="23122B3B">
      <w:pPr>
        <w:spacing w:before="120" w:line="480" w:lineRule="auto"/>
        <w:ind w:left="960"/>
        <w:rPr>
          <w:rFonts w:hint="eastAsia" w:ascii="宋体" w:hAnsi="宋体" w:eastAsia="宋体"/>
          <w:sz w:val="24"/>
          <w:highlight w:val="none"/>
          <w:u w:val="single"/>
          <w:lang w:eastAsia="zh-CN"/>
        </w:rPr>
      </w:pPr>
      <w:r>
        <w:rPr>
          <w:rFonts w:hint="eastAsia" w:ascii="宋体" w:hAnsi="宋体" w:eastAsia="宋体"/>
          <w:sz w:val="24"/>
          <w:highlight w:val="none"/>
        </w:rPr>
        <w:t>项目编号：</w:t>
      </w:r>
      <w:bookmarkStart w:id="230" w:name="_GoBack"/>
      <w:r>
        <w:rPr>
          <w:rFonts w:hint="default" w:ascii="宋体" w:hAnsi="宋体" w:eastAsia="宋体"/>
          <w:sz w:val="24"/>
          <w:highlight w:val="none"/>
          <w:u w:val="single"/>
          <w:lang w:eastAsia="zh-CN"/>
        </w:rPr>
        <w:t>czsjcg202605-002</w:t>
      </w:r>
    </w:p>
    <w:bookmarkEnd w:id="230"/>
    <w:p w14:paraId="5B3B5B92">
      <w:pPr>
        <w:spacing w:before="120" w:line="480" w:lineRule="auto"/>
        <w:ind w:left="960"/>
        <w:rPr>
          <w:rFonts w:hint="eastAsia" w:ascii="宋体" w:hAnsi="宋体" w:eastAsia="宋体"/>
          <w:sz w:val="24"/>
          <w:highlight w:val="none"/>
        </w:rPr>
      </w:pPr>
      <w:r>
        <w:rPr>
          <w:rFonts w:hint="eastAsia" w:ascii="宋体" w:hAnsi="宋体" w:eastAsia="宋体"/>
          <w:sz w:val="24"/>
          <w:highlight w:val="none"/>
        </w:rPr>
        <w:t>甲方（采购人）：</w:t>
      </w:r>
      <w:r>
        <w:rPr>
          <w:rFonts w:hint="eastAsia" w:ascii="宋体" w:hAnsi="宋体" w:eastAsia="宋体"/>
          <w:sz w:val="24"/>
          <w:highlight w:val="none"/>
          <w:u w:val="single"/>
          <w:lang w:eastAsia="zh-CN"/>
        </w:rPr>
        <w:t>滁州市文化和旅游局</w:t>
      </w:r>
      <w:r>
        <w:rPr>
          <w:rFonts w:hint="eastAsia" w:ascii="宋体" w:hAnsi="宋体" w:eastAsia="宋体"/>
          <w:sz w:val="24"/>
          <w:highlight w:val="none"/>
        </w:rPr>
        <w:t xml:space="preserve">         </w:t>
      </w:r>
    </w:p>
    <w:p w14:paraId="6160F78E">
      <w:pPr>
        <w:spacing w:before="120" w:line="480" w:lineRule="auto"/>
        <w:ind w:left="960"/>
        <w:rPr>
          <w:rFonts w:hint="eastAsia" w:ascii="宋体" w:hAnsi="宋体" w:eastAsia="宋体"/>
          <w:sz w:val="24"/>
          <w:highlight w:val="none"/>
        </w:rPr>
      </w:pPr>
      <w:r>
        <w:rPr>
          <w:rFonts w:hint="eastAsia" w:ascii="宋体" w:hAnsi="宋体" w:eastAsia="宋体"/>
          <w:sz w:val="24"/>
          <w:highlight w:val="none"/>
        </w:rPr>
        <w:t>乙方（成交供应商）：</w:t>
      </w:r>
      <w:r>
        <w:rPr>
          <w:rFonts w:hint="eastAsia" w:ascii="宋体" w:hAnsi="宋体" w:eastAsia="宋体"/>
          <w:sz w:val="24"/>
          <w:highlight w:val="none"/>
          <w:u w:val="single"/>
          <w:lang w:val="en-US" w:eastAsia="zh-CN"/>
        </w:rPr>
        <w:t xml:space="preserve">                     </w:t>
      </w:r>
      <w:r>
        <w:rPr>
          <w:rFonts w:hint="eastAsia" w:ascii="宋体" w:hAnsi="宋体" w:eastAsia="宋体"/>
          <w:sz w:val="24"/>
          <w:highlight w:val="none"/>
        </w:rPr>
        <w:t xml:space="preserve">                              </w:t>
      </w:r>
    </w:p>
    <w:p w14:paraId="2A0FC771">
      <w:pPr>
        <w:spacing w:before="120" w:line="480" w:lineRule="auto"/>
        <w:ind w:firstLine="960" w:firstLineChars="400"/>
        <w:rPr>
          <w:rFonts w:ascii="宋体" w:hAnsi="宋体" w:eastAsia="宋体"/>
          <w:sz w:val="24"/>
          <w:highlight w:val="none"/>
          <w:u w:val="single"/>
        </w:rPr>
      </w:pPr>
      <w:r>
        <w:rPr>
          <w:rFonts w:hint="eastAsia" w:ascii="宋体" w:hAnsi="宋体" w:eastAsia="宋体"/>
          <w:sz w:val="24"/>
          <w:highlight w:val="none"/>
        </w:rPr>
        <w:t>签订地：</w:t>
      </w:r>
      <w:r>
        <w:rPr>
          <w:rFonts w:hint="eastAsia" w:ascii="宋体" w:hAnsi="宋体" w:eastAsia="宋体"/>
          <w:sz w:val="24"/>
          <w:highlight w:val="none"/>
          <w:u w:val="single"/>
          <w:lang w:eastAsia="zh-CN"/>
        </w:rPr>
        <w:t>滁州市文化和旅游局</w:t>
      </w:r>
    </w:p>
    <w:p w14:paraId="1BA30088">
      <w:pPr>
        <w:spacing w:before="120" w:line="480" w:lineRule="auto"/>
        <w:ind w:firstLine="960" w:firstLineChars="400"/>
        <w:rPr>
          <w:rFonts w:ascii="宋体" w:hAnsi="宋体" w:eastAsia="宋体"/>
          <w:sz w:val="24"/>
          <w:highlight w:val="none"/>
        </w:rPr>
      </w:pPr>
      <w:r>
        <w:rPr>
          <w:rFonts w:hint="eastAsia" w:ascii="宋体" w:hAnsi="宋体" w:eastAsia="宋体"/>
          <w:sz w:val="24"/>
          <w:highlight w:val="none"/>
        </w:rPr>
        <w:t>签订日期：</w:t>
      </w:r>
      <w:r>
        <w:rPr>
          <w:rFonts w:hint="eastAsia" w:ascii="宋体" w:hAnsi="宋体" w:eastAsia="宋体"/>
          <w:sz w:val="24"/>
          <w:highlight w:val="none"/>
          <w:u w:val="single"/>
        </w:rPr>
        <w:t xml:space="preserve">               </w:t>
      </w:r>
      <w:r>
        <w:rPr>
          <w:rFonts w:hint="eastAsia" w:ascii="宋体" w:hAnsi="宋体" w:eastAsia="宋体"/>
          <w:sz w:val="24"/>
          <w:highlight w:val="none"/>
        </w:rPr>
        <w:t>年</w:t>
      </w:r>
      <w:r>
        <w:rPr>
          <w:rFonts w:hint="eastAsia" w:ascii="宋体" w:hAnsi="宋体" w:eastAsia="宋体"/>
          <w:sz w:val="24"/>
          <w:highlight w:val="none"/>
          <w:u w:val="single"/>
        </w:rPr>
        <w:t xml:space="preserve">       </w:t>
      </w:r>
      <w:r>
        <w:rPr>
          <w:rFonts w:hint="eastAsia" w:ascii="宋体" w:hAnsi="宋体" w:eastAsia="宋体"/>
          <w:sz w:val="24"/>
          <w:highlight w:val="none"/>
        </w:rPr>
        <w:t>月</w:t>
      </w:r>
      <w:r>
        <w:rPr>
          <w:rFonts w:hint="eastAsia" w:ascii="宋体" w:hAnsi="宋体" w:eastAsia="宋体"/>
          <w:sz w:val="24"/>
          <w:highlight w:val="none"/>
          <w:u w:val="single"/>
        </w:rPr>
        <w:t xml:space="preserve">       </w:t>
      </w:r>
      <w:r>
        <w:rPr>
          <w:rFonts w:hint="eastAsia" w:ascii="宋体" w:hAnsi="宋体" w:eastAsia="宋体"/>
          <w:sz w:val="24"/>
          <w:highlight w:val="none"/>
        </w:rPr>
        <w:t>日</w:t>
      </w:r>
    </w:p>
    <w:p w14:paraId="3F816F85">
      <w:pPr>
        <w:widowControl/>
        <w:jc w:val="left"/>
        <w:rPr>
          <w:rFonts w:ascii="宋体" w:hAnsi="宋体" w:eastAsia="宋体"/>
          <w:sz w:val="24"/>
          <w:highlight w:val="none"/>
        </w:rPr>
      </w:pPr>
      <w:r>
        <w:rPr>
          <w:rFonts w:ascii="宋体" w:hAnsi="宋体" w:eastAsia="宋体"/>
          <w:sz w:val="24"/>
          <w:highlight w:val="none"/>
        </w:rPr>
        <w:br w:type="page"/>
      </w:r>
    </w:p>
    <w:p w14:paraId="1D6CA193">
      <w:pPr>
        <w:keepNext w:val="0"/>
        <w:keepLines w:val="0"/>
        <w:pageBreakBefore w:val="0"/>
        <w:widowControl w:val="0"/>
        <w:kinsoku/>
        <w:wordWrap w:val="0"/>
        <w:overflowPunct/>
        <w:topLinePunct w:val="0"/>
        <w:autoSpaceDE/>
        <w:autoSpaceDN/>
        <w:bidi w:val="0"/>
        <w:adjustRightInd/>
        <w:snapToGrid/>
        <w:spacing w:line="360" w:lineRule="auto"/>
        <w:ind w:firstLine="437"/>
        <w:textAlignment w:val="auto"/>
        <w:rPr>
          <w:rFonts w:ascii="宋体" w:hAnsi="宋体" w:eastAsia="宋体"/>
          <w:sz w:val="24"/>
          <w:highlight w:val="none"/>
        </w:rPr>
      </w:pPr>
      <w:r>
        <w:rPr>
          <w:rFonts w:hint="eastAsia" w:ascii="宋体" w:hAnsi="宋体" w:eastAsia="宋体"/>
          <w:sz w:val="24"/>
          <w:highlight w:val="none"/>
          <w:u w:val="single"/>
          <w:lang w:eastAsia="zh-CN"/>
        </w:rPr>
        <w:t>滁州市文化和旅游局</w:t>
      </w:r>
      <w:r>
        <w:rPr>
          <w:rFonts w:hint="eastAsia" w:ascii="宋体" w:hAnsi="宋体" w:eastAsia="宋体"/>
          <w:sz w:val="24"/>
          <w:highlight w:val="none"/>
        </w:rPr>
        <w:t>（</w:t>
      </w:r>
      <w:r>
        <w:rPr>
          <w:rFonts w:hint="eastAsia" w:ascii="宋体" w:hAnsi="宋体" w:eastAsia="宋体"/>
          <w:sz w:val="24"/>
          <w:highlight w:val="none"/>
          <w:lang w:val="zh-CN"/>
        </w:rPr>
        <w:t>以下简称：甲方</w:t>
      </w:r>
      <w:r>
        <w:rPr>
          <w:rFonts w:hint="eastAsia" w:ascii="宋体" w:hAnsi="宋体" w:eastAsia="宋体"/>
          <w:sz w:val="24"/>
          <w:highlight w:val="none"/>
        </w:rPr>
        <w:t>）通过</w:t>
      </w:r>
      <w:r>
        <w:rPr>
          <w:rFonts w:hint="eastAsia" w:ascii="宋体" w:hAnsi="宋体" w:eastAsia="宋体"/>
          <w:sz w:val="24"/>
          <w:highlight w:val="none"/>
          <w:u w:val="single"/>
          <w:lang w:val="en-US" w:eastAsia="zh-CN"/>
        </w:rPr>
        <w:t>滁州市城投工程咨询管理有限公司</w:t>
      </w:r>
      <w:r>
        <w:rPr>
          <w:rFonts w:hint="eastAsia" w:ascii="宋体" w:hAnsi="宋体" w:eastAsia="宋体"/>
          <w:sz w:val="24"/>
          <w:highlight w:val="none"/>
        </w:rPr>
        <w:t>组织的</w:t>
      </w:r>
      <w:r>
        <w:rPr>
          <w:rFonts w:hint="eastAsia" w:ascii="宋体" w:hAnsi="宋体" w:eastAsia="宋体"/>
          <w:sz w:val="24"/>
          <w:highlight w:val="none"/>
          <w:u w:val="single"/>
        </w:rPr>
        <w:t>竞争性磋商</w:t>
      </w:r>
      <w:r>
        <w:rPr>
          <w:rFonts w:hint="eastAsia" w:ascii="宋体" w:hAnsi="宋体" w:eastAsia="宋体"/>
          <w:sz w:val="24"/>
          <w:highlight w:val="none"/>
        </w:rPr>
        <w:t>方式采购活动，经</w:t>
      </w:r>
      <w:r>
        <w:rPr>
          <w:rFonts w:hint="eastAsia" w:ascii="宋体" w:hAnsi="宋体" w:eastAsia="宋体"/>
          <w:sz w:val="24"/>
          <w:highlight w:val="none"/>
          <w:u w:val="single"/>
        </w:rPr>
        <w:t>磋商小组</w:t>
      </w:r>
      <w:r>
        <w:rPr>
          <w:rFonts w:hint="eastAsia" w:ascii="宋体" w:hAnsi="宋体" w:eastAsia="宋体"/>
          <w:sz w:val="24"/>
          <w:highlight w:val="none"/>
        </w:rPr>
        <w:t>评定，</w:t>
      </w:r>
      <w:r>
        <w:rPr>
          <w:rFonts w:hint="eastAsia" w:ascii="宋体" w:hAnsi="宋体" w:eastAsia="宋体"/>
          <w:sz w:val="24"/>
          <w:highlight w:val="none"/>
          <w:u w:val="single"/>
        </w:rPr>
        <w:t xml:space="preserve">           </w:t>
      </w:r>
      <w:r>
        <w:rPr>
          <w:rFonts w:hint="eastAsia" w:ascii="宋体" w:hAnsi="宋体" w:eastAsia="宋体"/>
          <w:sz w:val="24"/>
          <w:highlight w:val="none"/>
        </w:rPr>
        <w:t>（</w:t>
      </w:r>
      <w:r>
        <w:rPr>
          <w:rFonts w:hint="eastAsia" w:ascii="宋体" w:hAnsi="宋体" w:eastAsia="宋体"/>
          <w:sz w:val="24"/>
          <w:highlight w:val="none"/>
          <w:lang w:val="zh-CN"/>
        </w:rPr>
        <w:t>以下简称：乙方</w:t>
      </w:r>
      <w:r>
        <w:rPr>
          <w:rFonts w:hint="eastAsia" w:ascii="宋体" w:hAnsi="宋体" w:eastAsia="宋体"/>
          <w:sz w:val="24"/>
          <w:highlight w:val="none"/>
        </w:rPr>
        <w:t>）为本项目成交供应商，现按照采购文件确定的事项签订本合同。</w:t>
      </w:r>
    </w:p>
    <w:p w14:paraId="0903C70C">
      <w:pPr>
        <w:spacing w:line="360" w:lineRule="auto"/>
        <w:ind w:firstLine="435"/>
        <w:rPr>
          <w:rFonts w:ascii="宋体" w:hAnsi="宋体" w:eastAsia="宋体"/>
          <w:sz w:val="24"/>
          <w:highlight w:val="none"/>
          <w:lang w:val="zh-CN"/>
        </w:rPr>
      </w:pPr>
      <w:r>
        <w:rPr>
          <w:rFonts w:hint="eastAsia" w:ascii="宋体" w:hAnsi="宋体" w:eastAsia="宋体"/>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1BAFD38E">
      <w:pPr>
        <w:spacing w:line="360" w:lineRule="auto"/>
        <w:ind w:firstLine="437"/>
        <w:outlineLvl w:val="2"/>
        <w:rPr>
          <w:rFonts w:ascii="宋体" w:hAnsi="宋体" w:eastAsia="宋体"/>
          <w:b/>
          <w:bCs/>
          <w:sz w:val="24"/>
          <w:highlight w:val="none"/>
          <w:lang w:val="zh-CN"/>
        </w:rPr>
      </w:pPr>
      <w:bookmarkStart w:id="33" w:name="_Toc24059"/>
      <w:bookmarkStart w:id="34" w:name="_Toc3029"/>
      <w:bookmarkStart w:id="35" w:name="_Toc2232"/>
      <w:r>
        <w:rPr>
          <w:rFonts w:hint="eastAsia" w:ascii="宋体" w:hAnsi="宋体" w:eastAsia="宋体"/>
          <w:b/>
          <w:bCs/>
          <w:sz w:val="24"/>
          <w:highlight w:val="none"/>
          <w:lang w:val="zh-CN"/>
        </w:rPr>
        <w:t>1.1</w:t>
      </w:r>
      <w:r>
        <w:rPr>
          <w:rFonts w:ascii="宋体" w:hAnsi="宋体" w:eastAsia="宋体"/>
          <w:b/>
          <w:bCs/>
          <w:sz w:val="24"/>
          <w:highlight w:val="none"/>
          <w:lang w:val="zh-CN"/>
        </w:rPr>
        <w:t xml:space="preserve"> </w:t>
      </w:r>
      <w:r>
        <w:rPr>
          <w:rFonts w:hint="eastAsia" w:ascii="宋体" w:hAnsi="宋体" w:eastAsia="宋体"/>
          <w:b/>
          <w:bCs/>
          <w:sz w:val="24"/>
          <w:highlight w:val="none"/>
          <w:lang w:val="zh-CN"/>
        </w:rPr>
        <w:t>合同组成部分</w:t>
      </w:r>
      <w:bookmarkEnd w:id="33"/>
      <w:bookmarkEnd w:id="34"/>
      <w:bookmarkEnd w:id="35"/>
    </w:p>
    <w:p w14:paraId="0A86F7A5">
      <w:pPr>
        <w:spacing w:line="360" w:lineRule="auto"/>
        <w:ind w:firstLine="435"/>
        <w:rPr>
          <w:rFonts w:ascii="宋体" w:hAnsi="宋体" w:eastAsia="宋体"/>
          <w:sz w:val="24"/>
          <w:highlight w:val="none"/>
          <w:lang w:val="zh-CN"/>
        </w:rPr>
      </w:pPr>
      <w:r>
        <w:rPr>
          <w:rFonts w:hint="eastAsia" w:ascii="宋体" w:hAnsi="宋体" w:eastAsia="宋体"/>
          <w:sz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6BE01506">
      <w:pPr>
        <w:spacing w:line="360" w:lineRule="auto"/>
        <w:ind w:firstLine="435"/>
        <w:rPr>
          <w:rFonts w:ascii="宋体" w:hAnsi="宋体" w:eastAsia="宋体"/>
          <w:sz w:val="24"/>
          <w:highlight w:val="none"/>
          <w:lang w:val="zh-CN"/>
        </w:rPr>
      </w:pPr>
      <w:r>
        <w:rPr>
          <w:rFonts w:hint="eastAsia" w:ascii="宋体" w:hAnsi="宋体" w:eastAsia="宋体"/>
          <w:sz w:val="24"/>
          <w:highlight w:val="none"/>
          <w:lang w:val="zh-CN"/>
        </w:rPr>
        <w:t>1.1.1本合同及其补充合同、变更协议；</w:t>
      </w:r>
    </w:p>
    <w:p w14:paraId="45414318">
      <w:pPr>
        <w:spacing w:line="360" w:lineRule="auto"/>
        <w:ind w:firstLine="435"/>
        <w:rPr>
          <w:rFonts w:ascii="宋体" w:hAnsi="宋体" w:eastAsia="宋体"/>
          <w:sz w:val="24"/>
          <w:highlight w:val="none"/>
          <w:lang w:val="zh-CN"/>
        </w:rPr>
      </w:pPr>
      <w:r>
        <w:rPr>
          <w:rFonts w:hint="eastAsia" w:ascii="宋体" w:hAnsi="宋体" w:eastAsia="宋体"/>
          <w:sz w:val="24"/>
          <w:highlight w:val="none"/>
          <w:lang w:val="zh-CN"/>
        </w:rPr>
        <w:t>1.1.2成交通知书；</w:t>
      </w:r>
    </w:p>
    <w:p w14:paraId="7E58A307">
      <w:pPr>
        <w:spacing w:line="360" w:lineRule="auto"/>
        <w:ind w:firstLine="435"/>
        <w:rPr>
          <w:rFonts w:ascii="宋体" w:hAnsi="宋体" w:eastAsia="宋体"/>
          <w:sz w:val="24"/>
          <w:highlight w:val="none"/>
          <w:lang w:val="zh-CN"/>
        </w:rPr>
      </w:pPr>
      <w:r>
        <w:rPr>
          <w:rFonts w:hint="eastAsia" w:ascii="宋体" w:hAnsi="宋体" w:eastAsia="宋体"/>
          <w:sz w:val="24"/>
          <w:highlight w:val="none"/>
          <w:lang w:val="zh-CN"/>
        </w:rPr>
        <w:t>1.1.3响应文件（含澄清或者说明文件）；</w:t>
      </w:r>
    </w:p>
    <w:p w14:paraId="360EB513">
      <w:pPr>
        <w:spacing w:line="360" w:lineRule="auto"/>
        <w:ind w:firstLine="435"/>
        <w:rPr>
          <w:rFonts w:ascii="宋体" w:hAnsi="宋体" w:eastAsia="宋体"/>
          <w:sz w:val="24"/>
          <w:highlight w:val="none"/>
          <w:lang w:val="zh-CN"/>
        </w:rPr>
      </w:pPr>
      <w:r>
        <w:rPr>
          <w:rFonts w:hint="eastAsia" w:ascii="宋体" w:hAnsi="宋体" w:eastAsia="宋体"/>
          <w:sz w:val="24"/>
          <w:highlight w:val="none"/>
          <w:lang w:val="zh-CN"/>
        </w:rPr>
        <w:t>1.1.4磋商文件（含澄清或者修改文件）；</w:t>
      </w:r>
    </w:p>
    <w:p w14:paraId="519C6529">
      <w:pPr>
        <w:spacing w:line="360" w:lineRule="auto"/>
        <w:ind w:firstLine="435"/>
        <w:rPr>
          <w:rFonts w:ascii="宋体" w:hAnsi="宋体" w:eastAsia="宋体"/>
          <w:sz w:val="24"/>
          <w:highlight w:val="none"/>
          <w:lang w:val="zh-CN"/>
        </w:rPr>
      </w:pPr>
      <w:r>
        <w:rPr>
          <w:rFonts w:hint="eastAsia" w:ascii="宋体" w:hAnsi="宋体" w:eastAsia="宋体"/>
          <w:sz w:val="24"/>
          <w:highlight w:val="none"/>
          <w:lang w:val="zh-CN"/>
        </w:rPr>
        <w:t>1.1.5其他相关采购文件。</w:t>
      </w:r>
    </w:p>
    <w:p w14:paraId="5A12C8EF">
      <w:pPr>
        <w:spacing w:line="360" w:lineRule="auto"/>
        <w:ind w:firstLine="437"/>
        <w:outlineLvl w:val="2"/>
        <w:rPr>
          <w:rFonts w:ascii="宋体" w:hAnsi="宋体" w:eastAsia="宋体"/>
          <w:b/>
          <w:bCs/>
          <w:sz w:val="24"/>
          <w:highlight w:val="none"/>
          <w:lang w:val="zh-CN"/>
        </w:rPr>
      </w:pPr>
      <w:bookmarkStart w:id="36" w:name="_Toc22185"/>
      <w:bookmarkStart w:id="37" w:name="_Toc6311"/>
      <w:bookmarkStart w:id="38" w:name="_Toc6773"/>
      <w:bookmarkStart w:id="39" w:name="_Toc2918"/>
      <w:bookmarkStart w:id="40" w:name="_Toc18585"/>
      <w:r>
        <w:rPr>
          <w:rFonts w:hint="eastAsia" w:ascii="宋体" w:hAnsi="宋体" w:eastAsia="宋体"/>
          <w:b/>
          <w:bCs/>
          <w:sz w:val="24"/>
          <w:highlight w:val="none"/>
          <w:lang w:val="zh-CN"/>
        </w:rPr>
        <w:t xml:space="preserve">1.2 </w:t>
      </w:r>
      <w:bookmarkEnd w:id="36"/>
      <w:bookmarkEnd w:id="37"/>
      <w:bookmarkEnd w:id="38"/>
      <w:bookmarkEnd w:id="39"/>
      <w:bookmarkEnd w:id="40"/>
      <w:r>
        <w:rPr>
          <w:rFonts w:hint="eastAsia" w:ascii="宋体" w:hAnsi="宋体" w:eastAsia="宋体"/>
          <w:b/>
          <w:bCs/>
          <w:sz w:val="24"/>
          <w:highlight w:val="none"/>
          <w:lang w:val="zh-CN"/>
        </w:rPr>
        <w:t>服务</w:t>
      </w:r>
    </w:p>
    <w:p w14:paraId="3B0C6DB3">
      <w:pPr>
        <w:spacing w:line="360" w:lineRule="auto"/>
        <w:ind w:firstLine="435"/>
        <w:rPr>
          <w:rFonts w:ascii="宋体" w:hAnsi="宋体" w:eastAsia="宋体"/>
          <w:sz w:val="24"/>
          <w:highlight w:val="none"/>
          <w:u w:val="single"/>
        </w:rPr>
      </w:pPr>
      <w:r>
        <w:rPr>
          <w:rFonts w:hint="eastAsia" w:ascii="宋体" w:hAnsi="宋体" w:eastAsia="宋体"/>
          <w:sz w:val="24"/>
          <w:highlight w:val="none"/>
        </w:rPr>
        <w:t>1.2.1服务</w:t>
      </w:r>
      <w:r>
        <w:rPr>
          <w:rFonts w:ascii="宋体" w:hAnsi="宋体" w:eastAsia="宋体"/>
          <w:sz w:val="24"/>
          <w:highlight w:val="none"/>
        </w:rPr>
        <w:t>名称：</w:t>
      </w:r>
      <w:r>
        <w:rPr>
          <w:rFonts w:hint="eastAsia" w:ascii="宋体" w:hAnsi="宋体" w:eastAsia="宋体"/>
          <w:sz w:val="24"/>
          <w:highlight w:val="none"/>
          <w:u w:val="single"/>
          <w:lang w:eastAsia="zh-CN"/>
        </w:rPr>
        <w:t>2026-2027年滁州市城市阅读空间与城市书柜运营服务采购项目</w:t>
      </w:r>
      <w:r>
        <w:rPr>
          <w:rFonts w:hint="eastAsia" w:ascii="宋体" w:hAnsi="宋体" w:eastAsia="宋体"/>
          <w:sz w:val="24"/>
          <w:highlight w:val="none"/>
        </w:rPr>
        <w:t>；</w:t>
      </w:r>
    </w:p>
    <w:p w14:paraId="313F6109">
      <w:pPr>
        <w:spacing w:line="360" w:lineRule="auto"/>
        <w:ind w:firstLine="435"/>
        <w:rPr>
          <w:rFonts w:ascii="宋体" w:hAnsi="宋体" w:eastAsia="宋体"/>
          <w:sz w:val="24"/>
          <w:highlight w:val="none"/>
          <w:u w:val="single"/>
        </w:rPr>
      </w:pPr>
      <w:r>
        <w:rPr>
          <w:rFonts w:hint="eastAsia" w:ascii="宋体" w:hAnsi="宋体" w:eastAsia="宋体"/>
          <w:sz w:val="24"/>
          <w:highlight w:val="none"/>
        </w:rPr>
        <w:t>1.2.2服务内容</w:t>
      </w:r>
      <w:r>
        <w:rPr>
          <w:rFonts w:ascii="宋体" w:hAnsi="宋体" w:eastAsia="宋体"/>
          <w:sz w:val="24"/>
          <w:highlight w:val="none"/>
        </w:rPr>
        <w:t>：</w:t>
      </w:r>
      <w:r>
        <w:rPr>
          <w:rFonts w:hint="eastAsia" w:ascii="宋体" w:hAnsi="宋体" w:eastAsia="宋体" w:cs="宋体"/>
          <w:sz w:val="24"/>
          <w:highlight w:val="none"/>
          <w:u w:val="single"/>
          <w:lang w:val="zh-CN"/>
        </w:rPr>
        <w:t>磋商文件</w:t>
      </w:r>
      <w:r>
        <w:rPr>
          <w:rFonts w:hint="eastAsia" w:ascii="宋体" w:hAnsi="宋体" w:eastAsia="宋体" w:cs="宋体"/>
          <w:sz w:val="24"/>
          <w:highlight w:val="none"/>
          <w:u w:val="single"/>
        </w:rPr>
        <w:t>第三章采购需求全部内容</w:t>
      </w:r>
      <w:r>
        <w:rPr>
          <w:rFonts w:hint="eastAsia" w:ascii="宋体" w:hAnsi="宋体" w:eastAsia="宋体"/>
          <w:sz w:val="24"/>
          <w:highlight w:val="none"/>
        </w:rPr>
        <w:t>；</w:t>
      </w:r>
    </w:p>
    <w:p w14:paraId="567D7AF2">
      <w:pPr>
        <w:spacing w:line="360" w:lineRule="auto"/>
        <w:ind w:firstLine="435"/>
        <w:rPr>
          <w:rFonts w:ascii="宋体" w:hAnsi="宋体" w:eastAsia="宋体"/>
          <w:sz w:val="24"/>
          <w:highlight w:val="none"/>
        </w:rPr>
      </w:pPr>
      <w:r>
        <w:rPr>
          <w:rFonts w:hint="eastAsia" w:ascii="宋体" w:hAnsi="宋体" w:eastAsia="宋体"/>
          <w:sz w:val="24"/>
          <w:highlight w:val="none"/>
        </w:rPr>
        <w:t>1.2.3服务质量：</w:t>
      </w:r>
      <w:r>
        <w:rPr>
          <w:rFonts w:hint="eastAsia" w:cs="Times New Roman" w:asciiTheme="minorEastAsia" w:hAnsiTheme="minorEastAsia" w:eastAsiaTheme="minorEastAsia"/>
          <w:color w:val="000000" w:themeColor="text1"/>
          <w:sz w:val="24"/>
          <w:szCs w:val="24"/>
          <w:highlight w:val="none"/>
          <w:u w:val="single"/>
          <w14:textFill>
            <w14:solidFill>
              <w14:schemeClr w14:val="tx1"/>
            </w14:solidFill>
          </w14:textFill>
        </w:rPr>
        <w:t>满足</w:t>
      </w:r>
      <w:r>
        <w:rPr>
          <w:rFonts w:hint="eastAsia" w:cs="Times New Roman" w:asciiTheme="minorEastAsia" w:hAnsiTheme="minorEastAsia" w:eastAsiaTheme="minorEastAsia"/>
          <w:color w:val="000000" w:themeColor="text1"/>
          <w:sz w:val="24"/>
          <w:szCs w:val="24"/>
          <w:highlight w:val="none"/>
          <w:u w:val="single"/>
          <w:lang w:val="zh-CN"/>
          <w14:textFill>
            <w14:solidFill>
              <w14:schemeClr w14:val="tx1"/>
            </w14:solidFill>
          </w14:textFill>
        </w:rPr>
        <w:t>磋商文件</w:t>
      </w:r>
      <w:r>
        <w:rPr>
          <w:rFonts w:hint="eastAsia" w:cs="Times New Roman" w:asciiTheme="minorEastAsia" w:hAnsiTheme="minorEastAsia" w:eastAsiaTheme="minorEastAsia"/>
          <w:color w:val="000000" w:themeColor="text1"/>
          <w:sz w:val="24"/>
          <w:szCs w:val="24"/>
          <w:highlight w:val="none"/>
          <w:u w:val="single"/>
          <w14:textFill>
            <w14:solidFill>
              <w14:schemeClr w14:val="tx1"/>
            </w14:solidFill>
          </w14:textFill>
        </w:rPr>
        <w:t>要求及采购人</w:t>
      </w:r>
      <w:r>
        <w:rPr>
          <w:rFonts w:hint="eastAsia" w:ascii="宋体" w:hAnsi="宋体" w:eastAsia="宋体" w:cs="宋体"/>
          <w:color w:val="000000" w:themeColor="text1"/>
          <w:sz w:val="24"/>
          <w:szCs w:val="24"/>
          <w:highlight w:val="none"/>
          <w:u w:val="single"/>
          <w14:textFill>
            <w14:solidFill>
              <w14:schemeClr w14:val="tx1"/>
            </w14:solidFill>
          </w14:textFill>
        </w:rPr>
        <w:t>相关要求</w:t>
      </w:r>
      <w:r>
        <w:rPr>
          <w:rFonts w:hint="eastAsia" w:ascii="宋体" w:hAnsi="宋体" w:eastAsia="宋体"/>
          <w:sz w:val="24"/>
          <w:highlight w:val="none"/>
        </w:rPr>
        <w:t>。</w:t>
      </w:r>
    </w:p>
    <w:p w14:paraId="682EBAE7">
      <w:pPr>
        <w:spacing w:line="360" w:lineRule="auto"/>
        <w:ind w:firstLine="437"/>
        <w:outlineLvl w:val="2"/>
        <w:rPr>
          <w:rFonts w:ascii="宋体" w:hAnsi="宋体" w:eastAsia="宋体"/>
          <w:b/>
          <w:bCs/>
          <w:sz w:val="24"/>
          <w:highlight w:val="none"/>
          <w:lang w:val="zh-CN"/>
        </w:rPr>
      </w:pPr>
      <w:bookmarkStart w:id="41" w:name="_Toc23292"/>
      <w:bookmarkStart w:id="42" w:name="_Toc21631"/>
      <w:bookmarkStart w:id="43" w:name="_Toc21551"/>
      <w:r>
        <w:rPr>
          <w:rFonts w:hint="eastAsia" w:ascii="宋体" w:hAnsi="宋体" w:eastAsia="宋体"/>
          <w:b/>
          <w:bCs/>
          <w:sz w:val="24"/>
          <w:highlight w:val="none"/>
          <w:lang w:val="zh-CN"/>
        </w:rPr>
        <w:t>1.</w:t>
      </w:r>
      <w:r>
        <w:rPr>
          <w:rFonts w:ascii="宋体" w:hAnsi="宋体" w:eastAsia="宋体"/>
          <w:b/>
          <w:bCs/>
          <w:sz w:val="24"/>
          <w:highlight w:val="none"/>
          <w:lang w:val="zh-CN"/>
        </w:rPr>
        <w:t xml:space="preserve">3 </w:t>
      </w:r>
      <w:r>
        <w:rPr>
          <w:rFonts w:hint="eastAsia" w:ascii="宋体" w:hAnsi="宋体" w:eastAsia="宋体"/>
          <w:b/>
          <w:bCs/>
          <w:sz w:val="24"/>
          <w:highlight w:val="none"/>
          <w:lang w:val="zh-CN"/>
        </w:rPr>
        <w:t>价款</w:t>
      </w:r>
      <w:bookmarkEnd w:id="41"/>
      <w:bookmarkEnd w:id="42"/>
      <w:bookmarkEnd w:id="43"/>
    </w:p>
    <w:p w14:paraId="5837E2CD">
      <w:pPr>
        <w:spacing w:line="360" w:lineRule="auto"/>
        <w:ind w:firstLine="435"/>
        <w:rPr>
          <w:rFonts w:ascii="宋体" w:hAnsi="宋体" w:eastAsia="宋体"/>
          <w:sz w:val="24"/>
          <w:highlight w:val="none"/>
        </w:rPr>
      </w:pPr>
      <w:r>
        <w:rPr>
          <w:rFonts w:ascii="宋体" w:hAnsi="宋体" w:eastAsia="宋体"/>
          <w:sz w:val="24"/>
          <w:highlight w:val="none"/>
        </w:rPr>
        <w:t>本合同总价为</w:t>
      </w:r>
      <w:r>
        <w:rPr>
          <w:rFonts w:hint="eastAsia" w:ascii="宋体" w:hAnsi="宋体" w:eastAsia="宋体"/>
          <w:sz w:val="24"/>
          <w:highlight w:val="none"/>
        </w:rPr>
        <w:t>：￥</w:t>
      </w:r>
      <w:r>
        <w:rPr>
          <w:rFonts w:hint="eastAsia" w:ascii="宋体" w:hAnsi="宋体" w:eastAsia="宋体"/>
          <w:sz w:val="24"/>
          <w:highlight w:val="none"/>
          <w:u w:val="single"/>
        </w:rPr>
        <w:t xml:space="preserve">           </w:t>
      </w:r>
      <w:r>
        <w:rPr>
          <w:rFonts w:ascii="宋体" w:hAnsi="宋体" w:eastAsia="宋体"/>
          <w:sz w:val="24"/>
          <w:highlight w:val="none"/>
        </w:rPr>
        <w:t>元</w:t>
      </w:r>
      <w:r>
        <w:rPr>
          <w:rFonts w:hint="eastAsia" w:ascii="宋体" w:hAnsi="宋体" w:eastAsia="宋体"/>
          <w:sz w:val="24"/>
          <w:highlight w:val="none"/>
        </w:rPr>
        <w:t>（大写：人民币</w:t>
      </w:r>
      <w:r>
        <w:rPr>
          <w:rFonts w:hint="eastAsia" w:ascii="宋体" w:hAnsi="宋体" w:eastAsia="宋体"/>
          <w:sz w:val="24"/>
          <w:highlight w:val="none"/>
          <w:u w:val="single"/>
        </w:rPr>
        <w:t xml:space="preserve">                 </w:t>
      </w:r>
      <w:r>
        <w:rPr>
          <w:rFonts w:hint="eastAsia" w:ascii="宋体" w:hAnsi="宋体" w:eastAsia="宋体"/>
          <w:sz w:val="24"/>
          <w:highlight w:val="none"/>
        </w:rPr>
        <w:t>元）</w:t>
      </w:r>
      <w:r>
        <w:rPr>
          <w:rFonts w:ascii="宋体" w:hAnsi="宋体" w:eastAsia="宋体"/>
          <w:sz w:val="24"/>
          <w:highlight w:val="none"/>
        </w:rPr>
        <w:t>。</w:t>
      </w:r>
    </w:p>
    <w:p w14:paraId="15139D19">
      <w:pPr>
        <w:spacing w:line="360" w:lineRule="auto"/>
        <w:ind w:firstLine="435"/>
        <w:rPr>
          <w:rFonts w:ascii="宋体" w:hAnsi="宋体" w:eastAsia="宋体"/>
          <w:sz w:val="24"/>
          <w:highlight w:val="none"/>
          <w:u w:val="single"/>
        </w:rPr>
      </w:pPr>
      <w:r>
        <w:rPr>
          <w:rFonts w:ascii="宋体" w:hAnsi="宋体" w:eastAsia="宋体"/>
          <w:sz w:val="24"/>
          <w:highlight w:val="none"/>
        </w:rPr>
        <w:t>分项价格：</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4316"/>
        <w:gridCol w:w="12"/>
        <w:gridCol w:w="3225"/>
        <w:gridCol w:w="12"/>
      </w:tblGrid>
      <w:tr w14:paraId="385E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vAlign w:val="center"/>
          </w:tcPr>
          <w:p w14:paraId="2622C0E8">
            <w:pPr>
              <w:jc w:val="center"/>
              <w:rPr>
                <w:rFonts w:ascii="宋体" w:hAnsi="宋体" w:eastAsia="宋体"/>
                <w:sz w:val="24"/>
                <w:highlight w:val="none"/>
                <w:lang w:val="zh-CN"/>
              </w:rPr>
            </w:pPr>
            <w:r>
              <w:rPr>
                <w:rFonts w:ascii="宋体" w:hAnsi="宋体" w:eastAsia="宋体"/>
                <w:sz w:val="24"/>
                <w:highlight w:val="none"/>
                <w:lang w:val="zh-CN"/>
              </w:rPr>
              <w:t>序号</w:t>
            </w:r>
          </w:p>
        </w:tc>
        <w:tc>
          <w:tcPr>
            <w:tcW w:w="2532" w:type="pct"/>
            <w:vAlign w:val="center"/>
          </w:tcPr>
          <w:p w14:paraId="4B45132D">
            <w:pPr>
              <w:pStyle w:val="56"/>
              <w:ind w:firstLine="200"/>
              <w:jc w:val="center"/>
              <w:rPr>
                <w:rFonts w:ascii="宋体" w:hAnsi="宋体" w:eastAsia="宋体"/>
                <w:sz w:val="24"/>
                <w:szCs w:val="24"/>
                <w:highlight w:val="none"/>
              </w:rPr>
            </w:pPr>
            <w:r>
              <w:rPr>
                <w:rFonts w:hint="eastAsia" w:ascii="宋体" w:hAnsi="宋体" w:eastAsia="宋体"/>
                <w:sz w:val="24"/>
                <w:szCs w:val="24"/>
                <w:highlight w:val="none"/>
              </w:rPr>
              <w:t>分项名称</w:t>
            </w:r>
          </w:p>
        </w:tc>
        <w:tc>
          <w:tcPr>
            <w:tcW w:w="1899" w:type="pct"/>
            <w:gridSpan w:val="2"/>
            <w:vAlign w:val="center"/>
          </w:tcPr>
          <w:p w14:paraId="513D0FEE">
            <w:pPr>
              <w:pStyle w:val="56"/>
              <w:jc w:val="center"/>
              <w:rPr>
                <w:rFonts w:ascii="宋体" w:hAnsi="宋体" w:eastAsia="宋体"/>
                <w:sz w:val="24"/>
                <w:szCs w:val="24"/>
                <w:highlight w:val="none"/>
              </w:rPr>
            </w:pPr>
            <w:r>
              <w:rPr>
                <w:rFonts w:ascii="宋体" w:hAnsi="宋体" w:eastAsia="宋体"/>
                <w:sz w:val="24"/>
                <w:szCs w:val="24"/>
                <w:highlight w:val="none"/>
              </w:rPr>
              <w:t>分项价格</w:t>
            </w:r>
          </w:p>
        </w:tc>
      </w:tr>
      <w:tr w14:paraId="145F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tcPr>
          <w:p w14:paraId="5F47BF36">
            <w:pPr>
              <w:jc w:val="center"/>
              <w:rPr>
                <w:rFonts w:ascii="宋体" w:hAnsi="宋体" w:eastAsia="宋体"/>
                <w:sz w:val="24"/>
                <w:highlight w:val="none"/>
                <w:lang w:val="zh-CN"/>
              </w:rPr>
            </w:pPr>
            <w:r>
              <w:rPr>
                <w:rFonts w:hint="eastAsia" w:ascii="宋体" w:hAnsi="宋体" w:eastAsia="宋体"/>
                <w:sz w:val="24"/>
                <w:highlight w:val="none"/>
                <w:lang w:val="zh-CN"/>
              </w:rPr>
              <w:t>1</w:t>
            </w:r>
          </w:p>
        </w:tc>
        <w:tc>
          <w:tcPr>
            <w:tcW w:w="2532" w:type="pct"/>
            <w:vAlign w:val="center"/>
          </w:tcPr>
          <w:p w14:paraId="541887E1">
            <w:pPr>
              <w:pStyle w:val="56"/>
              <w:ind w:firstLine="200"/>
              <w:jc w:val="center"/>
              <w:rPr>
                <w:rFonts w:ascii="宋体" w:hAnsi="宋体" w:eastAsia="宋体"/>
                <w:sz w:val="24"/>
                <w:szCs w:val="24"/>
                <w:highlight w:val="none"/>
              </w:rPr>
            </w:pPr>
          </w:p>
        </w:tc>
        <w:tc>
          <w:tcPr>
            <w:tcW w:w="1899" w:type="pct"/>
            <w:gridSpan w:val="2"/>
            <w:vAlign w:val="center"/>
          </w:tcPr>
          <w:p w14:paraId="6C01EFC6">
            <w:pPr>
              <w:pStyle w:val="56"/>
              <w:ind w:firstLine="200"/>
              <w:jc w:val="center"/>
              <w:rPr>
                <w:rFonts w:ascii="宋体" w:hAnsi="宋体" w:eastAsia="宋体"/>
                <w:sz w:val="24"/>
                <w:szCs w:val="24"/>
                <w:highlight w:val="none"/>
              </w:rPr>
            </w:pPr>
          </w:p>
        </w:tc>
      </w:tr>
      <w:tr w14:paraId="4685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tcPr>
          <w:p w14:paraId="69ECAB5E">
            <w:pPr>
              <w:jc w:val="center"/>
              <w:rPr>
                <w:rFonts w:ascii="宋体" w:hAnsi="宋体" w:eastAsia="宋体"/>
                <w:sz w:val="24"/>
                <w:highlight w:val="none"/>
                <w:lang w:val="zh-CN"/>
              </w:rPr>
            </w:pPr>
            <w:r>
              <w:rPr>
                <w:rFonts w:hint="eastAsia" w:ascii="宋体" w:hAnsi="宋体" w:eastAsia="宋体"/>
                <w:sz w:val="24"/>
                <w:highlight w:val="none"/>
                <w:lang w:val="zh-CN"/>
              </w:rPr>
              <w:t>2</w:t>
            </w:r>
          </w:p>
        </w:tc>
        <w:tc>
          <w:tcPr>
            <w:tcW w:w="2532" w:type="pct"/>
            <w:vAlign w:val="center"/>
          </w:tcPr>
          <w:p w14:paraId="412B7499">
            <w:pPr>
              <w:pStyle w:val="56"/>
              <w:ind w:firstLine="200"/>
              <w:jc w:val="center"/>
              <w:rPr>
                <w:rFonts w:ascii="宋体" w:hAnsi="宋体" w:eastAsia="宋体"/>
                <w:sz w:val="24"/>
                <w:szCs w:val="24"/>
                <w:highlight w:val="none"/>
              </w:rPr>
            </w:pPr>
          </w:p>
        </w:tc>
        <w:tc>
          <w:tcPr>
            <w:tcW w:w="1899" w:type="pct"/>
            <w:gridSpan w:val="2"/>
            <w:vAlign w:val="center"/>
          </w:tcPr>
          <w:p w14:paraId="03DBD819">
            <w:pPr>
              <w:pStyle w:val="56"/>
              <w:ind w:firstLine="200"/>
              <w:jc w:val="center"/>
              <w:rPr>
                <w:rFonts w:ascii="宋体" w:hAnsi="宋体" w:eastAsia="宋体"/>
                <w:sz w:val="24"/>
                <w:szCs w:val="24"/>
                <w:highlight w:val="none"/>
              </w:rPr>
            </w:pPr>
          </w:p>
        </w:tc>
      </w:tr>
      <w:tr w14:paraId="17EC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tcPr>
          <w:p w14:paraId="5CDE2FB8">
            <w:pPr>
              <w:jc w:val="center"/>
              <w:rPr>
                <w:rFonts w:ascii="宋体" w:hAnsi="宋体" w:eastAsia="宋体"/>
                <w:sz w:val="24"/>
                <w:highlight w:val="none"/>
                <w:lang w:val="zh-CN"/>
              </w:rPr>
            </w:pPr>
            <w:r>
              <w:rPr>
                <w:rFonts w:ascii="宋体" w:hAnsi="宋体" w:eastAsia="宋体"/>
                <w:sz w:val="24"/>
                <w:highlight w:val="none"/>
                <w:lang w:val="zh-CN"/>
              </w:rPr>
              <w:t>3</w:t>
            </w:r>
          </w:p>
        </w:tc>
        <w:tc>
          <w:tcPr>
            <w:tcW w:w="2532" w:type="pct"/>
            <w:vAlign w:val="center"/>
          </w:tcPr>
          <w:p w14:paraId="735A8E5B">
            <w:pPr>
              <w:pStyle w:val="56"/>
              <w:ind w:firstLine="200"/>
              <w:jc w:val="center"/>
              <w:rPr>
                <w:rFonts w:ascii="宋体" w:hAnsi="宋体" w:eastAsia="宋体"/>
                <w:sz w:val="24"/>
                <w:szCs w:val="24"/>
                <w:highlight w:val="none"/>
              </w:rPr>
            </w:pPr>
          </w:p>
        </w:tc>
        <w:tc>
          <w:tcPr>
            <w:tcW w:w="1899" w:type="pct"/>
            <w:gridSpan w:val="2"/>
            <w:vAlign w:val="center"/>
          </w:tcPr>
          <w:p w14:paraId="1E0C3E2C">
            <w:pPr>
              <w:pStyle w:val="56"/>
              <w:ind w:firstLine="200"/>
              <w:jc w:val="center"/>
              <w:rPr>
                <w:rFonts w:ascii="宋体" w:hAnsi="宋体" w:eastAsia="宋体"/>
                <w:sz w:val="24"/>
                <w:szCs w:val="24"/>
                <w:highlight w:val="none"/>
              </w:rPr>
            </w:pPr>
          </w:p>
        </w:tc>
      </w:tr>
      <w:tr w14:paraId="695F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69" w:hRule="atLeast"/>
          <w:jc w:val="center"/>
        </w:trPr>
        <w:tc>
          <w:tcPr>
            <w:tcW w:w="562" w:type="pct"/>
          </w:tcPr>
          <w:p w14:paraId="6EE40221">
            <w:pPr>
              <w:jc w:val="center"/>
              <w:rPr>
                <w:rFonts w:ascii="宋体" w:hAnsi="宋体" w:eastAsia="宋体"/>
                <w:sz w:val="24"/>
                <w:highlight w:val="none"/>
                <w:lang w:val="zh-CN"/>
              </w:rPr>
            </w:pPr>
            <w:r>
              <w:rPr>
                <w:rFonts w:hint="eastAsia" w:ascii="宋体" w:hAnsi="宋体" w:eastAsia="宋体"/>
                <w:sz w:val="24"/>
                <w:highlight w:val="none"/>
                <w:lang w:val="zh-CN"/>
              </w:rPr>
              <w:t>……</w:t>
            </w:r>
          </w:p>
        </w:tc>
        <w:tc>
          <w:tcPr>
            <w:tcW w:w="2532" w:type="pct"/>
            <w:vAlign w:val="center"/>
          </w:tcPr>
          <w:p w14:paraId="77D01260">
            <w:pPr>
              <w:pStyle w:val="56"/>
              <w:ind w:firstLine="200"/>
              <w:jc w:val="center"/>
              <w:rPr>
                <w:rFonts w:ascii="宋体" w:hAnsi="宋体" w:eastAsia="宋体"/>
                <w:sz w:val="24"/>
                <w:szCs w:val="24"/>
                <w:highlight w:val="none"/>
              </w:rPr>
            </w:pPr>
          </w:p>
        </w:tc>
        <w:tc>
          <w:tcPr>
            <w:tcW w:w="1899" w:type="pct"/>
            <w:gridSpan w:val="2"/>
            <w:vAlign w:val="center"/>
          </w:tcPr>
          <w:p w14:paraId="0564B603">
            <w:pPr>
              <w:pStyle w:val="56"/>
              <w:ind w:firstLine="200"/>
              <w:jc w:val="center"/>
              <w:rPr>
                <w:rFonts w:ascii="宋体" w:hAnsi="宋体" w:eastAsia="宋体"/>
                <w:sz w:val="24"/>
                <w:szCs w:val="24"/>
                <w:highlight w:val="none"/>
              </w:rPr>
            </w:pPr>
          </w:p>
        </w:tc>
      </w:tr>
      <w:tr w14:paraId="2B07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01" w:type="pct"/>
            <w:gridSpan w:val="3"/>
            <w:vAlign w:val="center"/>
          </w:tcPr>
          <w:p w14:paraId="78C96820">
            <w:pPr>
              <w:pStyle w:val="56"/>
              <w:ind w:firstLine="200"/>
              <w:jc w:val="center"/>
              <w:rPr>
                <w:rFonts w:ascii="宋体" w:hAnsi="宋体" w:eastAsia="宋体"/>
                <w:sz w:val="24"/>
                <w:szCs w:val="24"/>
                <w:highlight w:val="none"/>
              </w:rPr>
            </w:pPr>
            <w:r>
              <w:rPr>
                <w:rFonts w:hint="eastAsia" w:ascii="宋体" w:hAnsi="宋体" w:eastAsia="宋体"/>
                <w:sz w:val="24"/>
                <w:szCs w:val="24"/>
                <w:highlight w:val="none"/>
              </w:rPr>
              <w:t>总价</w:t>
            </w:r>
          </w:p>
        </w:tc>
        <w:tc>
          <w:tcPr>
            <w:tcW w:w="1899" w:type="pct"/>
            <w:gridSpan w:val="2"/>
            <w:vAlign w:val="center"/>
          </w:tcPr>
          <w:p w14:paraId="396B454A">
            <w:pPr>
              <w:pStyle w:val="56"/>
              <w:ind w:firstLine="200"/>
              <w:jc w:val="center"/>
              <w:rPr>
                <w:rFonts w:ascii="宋体" w:hAnsi="宋体" w:eastAsia="宋体"/>
                <w:sz w:val="24"/>
                <w:szCs w:val="24"/>
                <w:highlight w:val="none"/>
              </w:rPr>
            </w:pPr>
          </w:p>
        </w:tc>
      </w:tr>
    </w:tbl>
    <w:p w14:paraId="061275F7">
      <w:pPr>
        <w:spacing w:line="360" w:lineRule="auto"/>
        <w:ind w:firstLine="437"/>
        <w:outlineLvl w:val="2"/>
        <w:rPr>
          <w:rFonts w:ascii="宋体" w:hAnsi="宋体" w:eastAsia="宋体"/>
          <w:b/>
          <w:bCs/>
          <w:sz w:val="24"/>
          <w:highlight w:val="none"/>
          <w:lang w:val="zh-CN"/>
        </w:rPr>
      </w:pPr>
      <w:bookmarkStart w:id="44" w:name="_Toc22618"/>
      <w:bookmarkStart w:id="45" w:name="_Toc1814"/>
      <w:bookmarkStart w:id="46" w:name="_Toc10340"/>
      <w:r>
        <w:rPr>
          <w:rFonts w:hint="eastAsia" w:ascii="宋体" w:hAnsi="宋体" w:eastAsia="宋体"/>
          <w:b/>
          <w:bCs/>
          <w:sz w:val="24"/>
          <w:highlight w:val="none"/>
          <w:lang w:val="zh-CN"/>
        </w:rPr>
        <w:t>1.</w:t>
      </w:r>
      <w:r>
        <w:rPr>
          <w:rFonts w:ascii="宋体" w:hAnsi="宋体" w:eastAsia="宋体"/>
          <w:b/>
          <w:bCs/>
          <w:sz w:val="24"/>
          <w:highlight w:val="none"/>
          <w:lang w:val="zh-CN"/>
        </w:rPr>
        <w:t>4 付款方式和发票开具方式</w:t>
      </w:r>
      <w:bookmarkEnd w:id="44"/>
      <w:bookmarkEnd w:id="45"/>
      <w:bookmarkEnd w:id="46"/>
    </w:p>
    <w:p w14:paraId="1EF00B03">
      <w:pPr>
        <w:spacing w:line="360" w:lineRule="auto"/>
        <w:ind w:firstLine="435"/>
        <w:rPr>
          <w:rFonts w:hint="eastAsia" w:ascii="宋体" w:hAnsi="宋体" w:eastAsia="宋体" w:cs="宋体"/>
          <w:b w:val="0"/>
          <w:bCs w:val="0"/>
          <w:kern w:val="2"/>
          <w:sz w:val="24"/>
          <w:szCs w:val="24"/>
          <w:highlight w:val="none"/>
          <w:lang w:val="en-US" w:eastAsia="zh-CN" w:bidi="ar"/>
        </w:rPr>
      </w:pPr>
      <w:r>
        <w:rPr>
          <w:rFonts w:hint="eastAsia" w:ascii="宋体" w:hAnsi="宋体" w:eastAsia="宋体"/>
          <w:sz w:val="24"/>
          <w:highlight w:val="none"/>
        </w:rPr>
        <w:t>1.4.1</w:t>
      </w:r>
      <w:r>
        <w:rPr>
          <w:rFonts w:ascii="宋体" w:hAnsi="宋体" w:eastAsia="宋体"/>
          <w:sz w:val="24"/>
          <w:highlight w:val="none"/>
        </w:rPr>
        <w:t>付款方式：</w:t>
      </w:r>
      <w:r>
        <w:rPr>
          <w:rFonts w:hint="eastAsia" w:ascii="宋体" w:hAnsi="宋体" w:eastAsia="宋体" w:cs="宋体"/>
          <w:b w:val="0"/>
          <w:bCs w:val="0"/>
          <w:kern w:val="2"/>
          <w:sz w:val="24"/>
          <w:szCs w:val="24"/>
          <w:highlight w:val="none"/>
          <w:u w:val="single"/>
          <w:lang w:val="en-US" w:eastAsia="zh-CN" w:bidi="ar"/>
        </w:rPr>
        <w:t>合同签订生效并具备实施条件后5个工作日内支付合同金额的40%作为预付款；2026年度服务期满后甲方按照年度综合考核结果情况，支付费用（扣除预付款部分）；2027年度服务期内甲方按照每半年度（6个月）综合考核结果情况，按半年度（6个月）支付费用。每年的具体考核细则待项目实施阶段由甲方制定。</w:t>
      </w:r>
    </w:p>
    <w:p w14:paraId="4EF80F62">
      <w:pPr>
        <w:spacing w:line="360" w:lineRule="auto"/>
        <w:ind w:firstLine="435"/>
        <w:rPr>
          <w:rFonts w:ascii="宋体" w:hAnsi="宋体" w:eastAsia="宋体"/>
          <w:sz w:val="24"/>
          <w:highlight w:val="none"/>
        </w:rPr>
      </w:pPr>
      <w:r>
        <w:rPr>
          <w:rFonts w:hint="eastAsia" w:ascii="宋体" w:hAnsi="宋体" w:eastAsia="宋体"/>
          <w:sz w:val="24"/>
          <w:highlight w:val="none"/>
        </w:rPr>
        <w:t>1.4.2发票开具方式：</w:t>
      </w:r>
      <w:r>
        <w:rPr>
          <w:rFonts w:hint="eastAsia" w:ascii="宋体" w:hAnsi="宋体" w:eastAsia="宋体"/>
          <w:sz w:val="24"/>
          <w:highlight w:val="none"/>
          <w:u w:val="single"/>
        </w:rPr>
        <w:t xml:space="preserve">                                          </w:t>
      </w:r>
      <w:r>
        <w:rPr>
          <w:rFonts w:hint="eastAsia" w:ascii="宋体" w:hAnsi="宋体" w:eastAsia="宋体"/>
          <w:sz w:val="24"/>
          <w:highlight w:val="none"/>
        </w:rPr>
        <w:t>。</w:t>
      </w:r>
    </w:p>
    <w:p w14:paraId="220564D3">
      <w:pPr>
        <w:spacing w:line="360" w:lineRule="auto"/>
        <w:ind w:firstLine="437"/>
        <w:outlineLvl w:val="2"/>
        <w:rPr>
          <w:rFonts w:ascii="宋体" w:hAnsi="宋体" w:eastAsia="宋体"/>
          <w:b/>
          <w:bCs/>
          <w:sz w:val="24"/>
          <w:highlight w:val="none"/>
          <w:lang w:val="zh-CN"/>
        </w:rPr>
      </w:pPr>
      <w:bookmarkStart w:id="47" w:name="_Toc19304"/>
      <w:bookmarkStart w:id="48" w:name="_Toc32071"/>
      <w:bookmarkStart w:id="49" w:name="_Toc2846"/>
      <w:r>
        <w:rPr>
          <w:rFonts w:hint="eastAsia" w:ascii="宋体" w:hAnsi="宋体" w:eastAsia="宋体"/>
          <w:b/>
          <w:bCs/>
          <w:sz w:val="24"/>
          <w:highlight w:val="none"/>
          <w:lang w:val="zh-CN"/>
        </w:rPr>
        <w:t>1.</w:t>
      </w:r>
      <w:r>
        <w:rPr>
          <w:rFonts w:ascii="宋体" w:hAnsi="宋体" w:eastAsia="宋体"/>
          <w:b/>
          <w:bCs/>
          <w:sz w:val="24"/>
          <w:highlight w:val="none"/>
          <w:lang w:val="zh-CN"/>
        </w:rPr>
        <w:t xml:space="preserve">5 </w:t>
      </w:r>
      <w:r>
        <w:rPr>
          <w:rFonts w:hint="eastAsia" w:ascii="宋体" w:hAnsi="宋体" w:eastAsia="宋体"/>
          <w:b/>
          <w:bCs/>
          <w:sz w:val="24"/>
          <w:highlight w:val="none"/>
          <w:lang w:val="zh-CN"/>
        </w:rPr>
        <w:t>服务</w:t>
      </w:r>
      <w:r>
        <w:rPr>
          <w:rFonts w:ascii="宋体" w:hAnsi="宋体" w:eastAsia="宋体"/>
          <w:b/>
          <w:bCs/>
          <w:sz w:val="24"/>
          <w:highlight w:val="none"/>
          <w:lang w:val="zh-CN"/>
        </w:rPr>
        <w:t>期限</w:t>
      </w:r>
      <w:r>
        <w:rPr>
          <w:rFonts w:hint="eastAsia" w:ascii="宋体" w:hAnsi="宋体" w:eastAsia="宋体"/>
          <w:b/>
          <w:bCs/>
          <w:sz w:val="24"/>
          <w:highlight w:val="none"/>
          <w:lang w:val="zh-CN"/>
        </w:rPr>
        <w:t>、地点和方式</w:t>
      </w:r>
      <w:bookmarkEnd w:id="47"/>
      <w:bookmarkEnd w:id="48"/>
      <w:bookmarkEnd w:id="49"/>
    </w:p>
    <w:p w14:paraId="52FD8320">
      <w:pPr>
        <w:spacing w:line="360" w:lineRule="auto"/>
        <w:ind w:firstLine="435"/>
        <w:rPr>
          <w:rFonts w:ascii="宋体" w:hAnsi="宋体" w:eastAsia="宋体"/>
          <w:sz w:val="24"/>
          <w:highlight w:val="none"/>
          <w:u w:val="single"/>
        </w:rPr>
      </w:pPr>
      <w:r>
        <w:rPr>
          <w:rFonts w:hint="eastAsia" w:ascii="宋体" w:hAnsi="宋体" w:eastAsia="宋体"/>
          <w:sz w:val="24"/>
          <w:highlight w:val="none"/>
        </w:rPr>
        <w:t>1.5.1服务期限</w:t>
      </w:r>
      <w:r>
        <w:rPr>
          <w:rFonts w:ascii="宋体" w:hAnsi="宋体" w:eastAsia="宋体"/>
          <w:sz w:val="24"/>
          <w:highlight w:val="none"/>
        </w:rPr>
        <w:t>：</w:t>
      </w:r>
      <w:r>
        <w:rPr>
          <w:rFonts w:hint="eastAsia" w:ascii="宋体" w:hAnsi="宋体" w:eastAsia="宋体" w:cs="宋体"/>
          <w:color w:val="000000"/>
          <w:kern w:val="0"/>
          <w:sz w:val="24"/>
          <w:szCs w:val="24"/>
          <w:highlight w:val="none"/>
          <w:u w:val="single" w:color="auto"/>
          <w:lang w:val="en-US" w:eastAsia="zh-CN" w:bidi="ar"/>
        </w:rPr>
        <w:t>自合同签订之日20.5个月。</w:t>
      </w:r>
    </w:p>
    <w:p w14:paraId="78834CCF">
      <w:pPr>
        <w:spacing w:line="360" w:lineRule="auto"/>
        <w:ind w:firstLine="435"/>
        <w:rPr>
          <w:rFonts w:ascii="宋体" w:hAnsi="宋体" w:eastAsia="宋体"/>
          <w:sz w:val="24"/>
          <w:highlight w:val="none"/>
        </w:rPr>
      </w:pPr>
      <w:r>
        <w:rPr>
          <w:rFonts w:hint="eastAsia" w:ascii="宋体" w:hAnsi="宋体" w:eastAsia="宋体"/>
          <w:sz w:val="24"/>
          <w:highlight w:val="none"/>
        </w:rPr>
        <w:t>1.5.2服务地点</w:t>
      </w:r>
      <w:r>
        <w:rPr>
          <w:rFonts w:ascii="宋体" w:hAnsi="宋体" w:eastAsia="宋体"/>
          <w:sz w:val="24"/>
          <w:highlight w:val="none"/>
        </w:rPr>
        <w:t>：</w:t>
      </w:r>
      <w:r>
        <w:rPr>
          <w:rFonts w:hint="eastAsia" w:ascii="宋体" w:hAnsi="宋体" w:eastAsia="宋体"/>
          <w:sz w:val="24"/>
          <w:highlight w:val="none"/>
          <w:u w:val="single"/>
        </w:rPr>
        <w:t xml:space="preserve"> </w:t>
      </w:r>
      <w:r>
        <w:rPr>
          <w:rFonts w:hint="eastAsia" w:cs="Times New Roman" w:asciiTheme="minorEastAsia" w:hAnsiTheme="minorEastAsia" w:eastAsiaTheme="minorEastAsia"/>
          <w:color w:val="000000" w:themeColor="text1"/>
          <w:sz w:val="24"/>
          <w:szCs w:val="24"/>
          <w:highlight w:val="none"/>
          <w:u w:val="single"/>
          <w14:textFill>
            <w14:solidFill>
              <w14:schemeClr w14:val="tx1"/>
            </w14:solidFill>
          </w14:textFill>
        </w:rPr>
        <w:t>甲方指定地点</w:t>
      </w:r>
      <w:r>
        <w:rPr>
          <w:rFonts w:hint="eastAsia" w:ascii="宋体" w:hAnsi="宋体" w:eastAsia="宋体"/>
          <w:sz w:val="24"/>
          <w:highlight w:val="none"/>
          <w:u w:val="single"/>
        </w:rPr>
        <w:t xml:space="preserve"> </w:t>
      </w:r>
      <w:r>
        <w:rPr>
          <w:rFonts w:hint="eastAsia" w:ascii="宋体" w:hAnsi="宋体" w:eastAsia="宋体"/>
          <w:sz w:val="24"/>
          <w:highlight w:val="none"/>
        </w:rPr>
        <w:t>；</w:t>
      </w:r>
    </w:p>
    <w:p w14:paraId="0C9EDF90">
      <w:pPr>
        <w:spacing w:line="360" w:lineRule="auto"/>
        <w:ind w:firstLine="435"/>
        <w:rPr>
          <w:rFonts w:ascii="宋体" w:hAnsi="宋体" w:eastAsia="宋体"/>
          <w:sz w:val="24"/>
          <w:highlight w:val="none"/>
        </w:rPr>
      </w:pPr>
      <w:r>
        <w:rPr>
          <w:rFonts w:hint="eastAsia" w:ascii="宋体" w:hAnsi="宋体" w:eastAsia="宋体"/>
          <w:sz w:val="24"/>
          <w:highlight w:val="none"/>
        </w:rPr>
        <w:t>1.5.3服务方式：</w:t>
      </w:r>
      <w:r>
        <w:rPr>
          <w:rFonts w:hint="eastAsia" w:ascii="宋体" w:hAnsi="宋体" w:eastAsia="宋体"/>
          <w:sz w:val="24"/>
          <w:highlight w:val="none"/>
          <w:u w:val="single"/>
        </w:rPr>
        <w:t xml:space="preserve"> </w:t>
      </w:r>
      <w:r>
        <w:rPr>
          <w:rFonts w:hint="eastAsia" w:cs="Times New Roman" w:asciiTheme="minorEastAsia" w:hAnsiTheme="minorEastAsia" w:eastAsiaTheme="minorEastAsia"/>
          <w:color w:val="000000" w:themeColor="text1"/>
          <w:sz w:val="24"/>
          <w:szCs w:val="24"/>
          <w:highlight w:val="none"/>
          <w:u w:val="single"/>
          <w14:textFill>
            <w14:solidFill>
              <w14:schemeClr w14:val="tx1"/>
            </w14:solidFill>
          </w14:textFill>
        </w:rPr>
        <w:t>甲方指定方式</w:t>
      </w:r>
      <w:r>
        <w:rPr>
          <w:rFonts w:hint="eastAsia" w:ascii="宋体" w:hAnsi="宋体" w:eastAsia="宋体"/>
          <w:sz w:val="24"/>
          <w:highlight w:val="none"/>
          <w:u w:val="single"/>
        </w:rPr>
        <w:t xml:space="preserve"> </w:t>
      </w:r>
      <w:r>
        <w:rPr>
          <w:rFonts w:hint="eastAsia" w:ascii="宋体" w:hAnsi="宋体" w:eastAsia="宋体"/>
          <w:sz w:val="24"/>
          <w:highlight w:val="none"/>
        </w:rPr>
        <w:t>。</w:t>
      </w:r>
    </w:p>
    <w:p w14:paraId="022B4E2C">
      <w:pPr>
        <w:spacing w:line="360" w:lineRule="auto"/>
        <w:ind w:firstLine="437"/>
        <w:outlineLvl w:val="2"/>
        <w:rPr>
          <w:rFonts w:ascii="宋体" w:hAnsi="宋体" w:eastAsia="宋体"/>
          <w:b/>
          <w:bCs/>
          <w:sz w:val="24"/>
          <w:highlight w:val="none"/>
          <w:lang w:val="zh-CN"/>
        </w:rPr>
      </w:pPr>
      <w:bookmarkStart w:id="50" w:name="_Toc27250"/>
      <w:bookmarkStart w:id="51" w:name="_Toc19554"/>
      <w:bookmarkStart w:id="52" w:name="_Toc21423"/>
      <w:r>
        <w:rPr>
          <w:rFonts w:hint="eastAsia" w:ascii="宋体" w:hAnsi="宋体" w:eastAsia="宋体"/>
          <w:b/>
          <w:bCs/>
          <w:sz w:val="24"/>
          <w:highlight w:val="none"/>
          <w:lang w:val="zh-CN"/>
        </w:rPr>
        <w:t>1.6 违约责任</w:t>
      </w:r>
      <w:bookmarkEnd w:id="50"/>
      <w:bookmarkEnd w:id="51"/>
      <w:bookmarkEnd w:id="52"/>
    </w:p>
    <w:p w14:paraId="4AA07172">
      <w:pPr>
        <w:spacing w:line="360" w:lineRule="auto"/>
        <w:ind w:firstLine="435"/>
        <w:rPr>
          <w:rFonts w:ascii="宋体" w:hAnsi="宋体" w:eastAsia="宋体"/>
          <w:sz w:val="24"/>
          <w:highlight w:val="none"/>
        </w:rPr>
      </w:pPr>
      <w:r>
        <w:rPr>
          <w:rFonts w:hint="eastAsia" w:ascii="宋体" w:hAnsi="宋体" w:eastAsia="宋体"/>
          <w:sz w:val="24"/>
          <w:highlight w:val="none"/>
        </w:rPr>
        <w:t>1.6.1</w:t>
      </w:r>
      <w:r>
        <w:rPr>
          <w:rFonts w:ascii="宋体" w:hAnsi="宋体" w:eastAsia="宋体"/>
          <w:sz w:val="24"/>
          <w:highlight w:val="none"/>
        </w:rPr>
        <w:t>除不可抗力外，如果乙方没有按照本合同约定的期限</w:t>
      </w:r>
      <w:r>
        <w:rPr>
          <w:rFonts w:hint="eastAsia" w:ascii="宋体" w:hAnsi="宋体" w:eastAsia="宋体"/>
          <w:sz w:val="24"/>
          <w:highlight w:val="none"/>
        </w:rPr>
        <w:t>、</w:t>
      </w:r>
      <w:r>
        <w:rPr>
          <w:rFonts w:ascii="宋体" w:hAnsi="宋体" w:eastAsia="宋体"/>
          <w:sz w:val="24"/>
          <w:highlight w:val="none"/>
        </w:rPr>
        <w:t>地点和方式</w:t>
      </w:r>
      <w:r>
        <w:rPr>
          <w:rFonts w:hint="eastAsia" w:ascii="宋体" w:hAnsi="宋体" w:eastAsia="宋体"/>
          <w:sz w:val="24"/>
          <w:highlight w:val="none"/>
        </w:rPr>
        <w:t>履行</w:t>
      </w:r>
      <w:r>
        <w:rPr>
          <w:rFonts w:ascii="宋体" w:hAnsi="宋体" w:eastAsia="宋体"/>
          <w:sz w:val="24"/>
          <w:highlight w:val="none"/>
        </w:rPr>
        <w:t>，那么甲方可要求乙方支付违约金</w:t>
      </w:r>
      <w:r>
        <w:rPr>
          <w:rFonts w:hint="eastAsia" w:ascii="宋体" w:hAnsi="宋体" w:eastAsia="宋体"/>
          <w:sz w:val="24"/>
          <w:highlight w:val="none"/>
        </w:rPr>
        <w:t>，</w:t>
      </w:r>
      <w:r>
        <w:rPr>
          <w:rFonts w:ascii="宋体" w:hAnsi="宋体" w:eastAsia="宋体"/>
          <w:sz w:val="24"/>
          <w:highlight w:val="none"/>
        </w:rPr>
        <w:t>违约金按每迟延</w:t>
      </w:r>
      <w:r>
        <w:rPr>
          <w:rFonts w:hint="eastAsia" w:ascii="宋体" w:hAnsi="宋体" w:eastAsia="宋体"/>
          <w:sz w:val="24"/>
          <w:highlight w:val="none"/>
        </w:rPr>
        <w:t>履行</w:t>
      </w:r>
      <w:r>
        <w:rPr>
          <w:rFonts w:ascii="宋体" w:hAnsi="宋体" w:eastAsia="宋体"/>
          <w:sz w:val="24"/>
          <w:highlight w:val="none"/>
        </w:rPr>
        <w:t>一日的应提供而未</w:t>
      </w:r>
      <w:r>
        <w:rPr>
          <w:rFonts w:hint="eastAsia" w:ascii="宋体" w:hAnsi="宋体" w:eastAsia="宋体"/>
          <w:sz w:val="24"/>
          <w:highlight w:val="none"/>
        </w:rPr>
        <w:t>提供</w:t>
      </w:r>
      <w:r>
        <w:rPr>
          <w:rFonts w:ascii="宋体" w:hAnsi="宋体" w:eastAsia="宋体"/>
          <w:sz w:val="24"/>
          <w:highlight w:val="none"/>
        </w:rPr>
        <w:t>服务价格的</w:t>
      </w:r>
      <w:r>
        <w:rPr>
          <w:rFonts w:hint="eastAsia" w:ascii="宋体" w:hAnsi="宋体" w:eastAsia="宋体"/>
          <w:sz w:val="24"/>
          <w:highlight w:val="none"/>
          <w:u w:val="single"/>
        </w:rPr>
        <w:t xml:space="preserve"> </w:t>
      </w:r>
      <w:r>
        <w:rPr>
          <w:rFonts w:hint="eastAsia" w:ascii="宋体" w:hAnsi="宋体" w:eastAsia="宋体"/>
          <w:sz w:val="24"/>
          <w:highlight w:val="none"/>
          <w:u w:val="single"/>
          <w:lang w:val="en-US" w:eastAsia="zh-CN"/>
        </w:rPr>
        <w:t>0.1</w:t>
      </w:r>
      <w:r>
        <w:rPr>
          <w:rFonts w:hint="eastAsia" w:ascii="宋体" w:hAnsi="宋体" w:eastAsia="宋体"/>
          <w:sz w:val="24"/>
          <w:highlight w:val="none"/>
          <w:u w:val="single"/>
        </w:rPr>
        <w:t xml:space="preserve"> </w:t>
      </w:r>
      <w:r>
        <w:rPr>
          <w:rFonts w:ascii="宋体" w:hAnsi="宋体" w:eastAsia="宋体"/>
          <w:sz w:val="24"/>
          <w:highlight w:val="none"/>
        </w:rPr>
        <w:t>%计算</w:t>
      </w:r>
      <w:r>
        <w:rPr>
          <w:rFonts w:hint="eastAsia" w:ascii="宋体" w:hAnsi="宋体" w:eastAsia="宋体"/>
          <w:sz w:val="24"/>
          <w:highlight w:val="none"/>
        </w:rPr>
        <w:t>，</w:t>
      </w:r>
      <w:r>
        <w:rPr>
          <w:rFonts w:ascii="宋体" w:hAnsi="宋体" w:eastAsia="宋体"/>
          <w:sz w:val="24"/>
          <w:highlight w:val="none"/>
        </w:rPr>
        <w:t>最高限额为</w:t>
      </w:r>
      <w:r>
        <w:rPr>
          <w:rFonts w:hint="eastAsia" w:ascii="宋体" w:hAnsi="宋体" w:eastAsia="宋体"/>
          <w:sz w:val="24"/>
          <w:highlight w:val="none"/>
        </w:rPr>
        <w:t>本</w:t>
      </w:r>
      <w:r>
        <w:rPr>
          <w:rFonts w:ascii="宋体" w:hAnsi="宋体" w:eastAsia="宋体"/>
          <w:sz w:val="24"/>
          <w:highlight w:val="none"/>
        </w:rPr>
        <w:t>合同总价的</w:t>
      </w:r>
      <w:r>
        <w:rPr>
          <w:rFonts w:hint="eastAsia" w:ascii="宋体" w:hAnsi="宋体" w:eastAsia="宋体"/>
          <w:sz w:val="24"/>
          <w:highlight w:val="none"/>
          <w:u w:val="single"/>
        </w:rPr>
        <w:t xml:space="preserve"> </w:t>
      </w:r>
      <w:r>
        <w:rPr>
          <w:rFonts w:hint="eastAsia" w:ascii="宋体" w:hAnsi="宋体" w:eastAsia="宋体"/>
          <w:sz w:val="24"/>
          <w:highlight w:val="none"/>
          <w:u w:val="single"/>
          <w:lang w:val="en-US" w:eastAsia="zh-CN"/>
        </w:rPr>
        <w:t>10</w:t>
      </w:r>
      <w:r>
        <w:rPr>
          <w:rFonts w:hint="eastAsia" w:ascii="宋体" w:hAnsi="宋体" w:eastAsia="宋体"/>
          <w:sz w:val="24"/>
          <w:highlight w:val="none"/>
          <w:u w:val="single"/>
        </w:rPr>
        <w:t xml:space="preserve"> </w:t>
      </w:r>
      <w:r>
        <w:rPr>
          <w:rFonts w:ascii="宋体" w:hAnsi="宋体" w:eastAsia="宋体"/>
          <w:sz w:val="24"/>
          <w:highlight w:val="none"/>
        </w:rPr>
        <w:t>%</w:t>
      </w:r>
      <w:r>
        <w:rPr>
          <w:rFonts w:hint="eastAsia" w:ascii="宋体" w:hAnsi="宋体" w:eastAsia="宋体"/>
          <w:sz w:val="24"/>
          <w:highlight w:val="none"/>
        </w:rPr>
        <w:t>；</w:t>
      </w:r>
      <w:r>
        <w:rPr>
          <w:rFonts w:ascii="宋体" w:hAnsi="宋体" w:eastAsia="宋体"/>
          <w:sz w:val="24"/>
          <w:highlight w:val="none"/>
        </w:rPr>
        <w:t>迟延</w:t>
      </w:r>
      <w:r>
        <w:rPr>
          <w:rFonts w:hint="eastAsia" w:ascii="宋体" w:hAnsi="宋体" w:eastAsia="宋体"/>
          <w:sz w:val="24"/>
          <w:highlight w:val="none"/>
        </w:rPr>
        <w:t>履行</w:t>
      </w:r>
      <w:r>
        <w:rPr>
          <w:rFonts w:ascii="宋体" w:hAnsi="宋体" w:eastAsia="宋体"/>
          <w:sz w:val="24"/>
          <w:highlight w:val="none"/>
        </w:rPr>
        <w:t>的违约金计算数额达到前述最高限额之日起</w:t>
      </w:r>
      <w:r>
        <w:rPr>
          <w:rFonts w:hint="eastAsia" w:ascii="宋体" w:hAnsi="宋体" w:eastAsia="宋体"/>
          <w:sz w:val="24"/>
          <w:highlight w:val="none"/>
        </w:rPr>
        <w:t>，</w:t>
      </w:r>
      <w:r>
        <w:rPr>
          <w:rFonts w:ascii="宋体" w:hAnsi="宋体" w:eastAsia="宋体"/>
          <w:sz w:val="24"/>
          <w:highlight w:val="none"/>
        </w:rPr>
        <w:t>甲方有权在要求乙方支付违约金的同时</w:t>
      </w:r>
      <w:r>
        <w:rPr>
          <w:rFonts w:hint="eastAsia" w:ascii="宋体" w:hAnsi="宋体" w:eastAsia="宋体"/>
          <w:sz w:val="24"/>
          <w:highlight w:val="none"/>
        </w:rPr>
        <w:t>，书面通知乙方</w:t>
      </w:r>
      <w:r>
        <w:rPr>
          <w:rFonts w:ascii="宋体" w:hAnsi="宋体" w:eastAsia="宋体"/>
          <w:sz w:val="24"/>
          <w:highlight w:val="none"/>
        </w:rPr>
        <w:t>解除本合同</w:t>
      </w:r>
      <w:r>
        <w:rPr>
          <w:rFonts w:hint="eastAsia" w:ascii="宋体" w:hAnsi="宋体" w:eastAsia="宋体"/>
          <w:sz w:val="24"/>
          <w:highlight w:val="none"/>
        </w:rPr>
        <w:t>；</w:t>
      </w:r>
    </w:p>
    <w:p w14:paraId="7972BFFF">
      <w:pPr>
        <w:spacing w:line="360" w:lineRule="auto"/>
        <w:ind w:firstLine="435"/>
        <w:rPr>
          <w:rFonts w:ascii="宋体" w:hAnsi="宋体" w:eastAsia="宋体"/>
          <w:sz w:val="24"/>
          <w:highlight w:val="none"/>
        </w:rPr>
      </w:pPr>
      <w:r>
        <w:rPr>
          <w:rFonts w:hint="eastAsia" w:ascii="宋体" w:hAnsi="宋体" w:eastAsia="宋体"/>
          <w:sz w:val="24"/>
          <w:highlight w:val="none"/>
        </w:rPr>
        <w:t>1.6.2</w:t>
      </w:r>
      <w:r>
        <w:rPr>
          <w:rFonts w:ascii="宋体" w:hAnsi="宋体" w:eastAsia="宋体"/>
          <w:sz w:val="24"/>
          <w:highlight w:val="none"/>
        </w:rPr>
        <w:t>除不可抗力外，如果甲方没有按照本合同约定的付款方式付款，那么乙方可要求甲方支付违约金</w:t>
      </w:r>
      <w:r>
        <w:rPr>
          <w:rFonts w:hint="eastAsia" w:ascii="宋体" w:hAnsi="宋体" w:eastAsia="宋体"/>
          <w:sz w:val="24"/>
          <w:highlight w:val="none"/>
        </w:rPr>
        <w:t>，</w:t>
      </w:r>
      <w:r>
        <w:rPr>
          <w:rFonts w:ascii="宋体" w:hAnsi="宋体" w:eastAsia="宋体"/>
          <w:sz w:val="24"/>
          <w:highlight w:val="none"/>
        </w:rPr>
        <w:t>违约金按每迟延</w:t>
      </w:r>
      <w:r>
        <w:rPr>
          <w:rFonts w:hint="eastAsia" w:ascii="宋体" w:hAnsi="宋体" w:eastAsia="宋体"/>
          <w:sz w:val="24"/>
          <w:highlight w:val="none"/>
        </w:rPr>
        <w:t>付款</w:t>
      </w:r>
      <w:r>
        <w:rPr>
          <w:rFonts w:ascii="宋体" w:hAnsi="宋体" w:eastAsia="宋体"/>
          <w:sz w:val="24"/>
          <w:highlight w:val="none"/>
        </w:rPr>
        <w:t>一日的应付而未付款的</w:t>
      </w:r>
      <w:r>
        <w:rPr>
          <w:rFonts w:hint="eastAsia" w:ascii="宋体" w:hAnsi="宋体" w:eastAsia="宋体"/>
          <w:sz w:val="24"/>
          <w:highlight w:val="none"/>
          <w:u w:val="single"/>
        </w:rPr>
        <w:t xml:space="preserve"> </w:t>
      </w:r>
      <w:r>
        <w:rPr>
          <w:rFonts w:hint="eastAsia" w:ascii="宋体" w:hAnsi="宋体" w:eastAsia="宋体"/>
          <w:sz w:val="24"/>
          <w:highlight w:val="none"/>
          <w:u w:val="single"/>
          <w:lang w:val="en-US" w:eastAsia="zh-CN"/>
        </w:rPr>
        <w:t>0.1</w:t>
      </w:r>
      <w:r>
        <w:rPr>
          <w:rFonts w:hint="eastAsia" w:ascii="宋体" w:hAnsi="宋体" w:eastAsia="宋体"/>
          <w:sz w:val="24"/>
          <w:highlight w:val="none"/>
          <w:u w:val="single"/>
        </w:rPr>
        <w:t xml:space="preserve"> </w:t>
      </w:r>
      <w:r>
        <w:rPr>
          <w:rFonts w:ascii="宋体" w:hAnsi="宋体" w:eastAsia="宋体"/>
          <w:sz w:val="24"/>
          <w:highlight w:val="none"/>
        </w:rPr>
        <w:t>%计算</w:t>
      </w:r>
      <w:r>
        <w:rPr>
          <w:rFonts w:hint="eastAsia" w:ascii="宋体" w:hAnsi="宋体" w:eastAsia="宋体"/>
          <w:sz w:val="24"/>
          <w:highlight w:val="none"/>
        </w:rPr>
        <w:t>，</w:t>
      </w:r>
      <w:r>
        <w:rPr>
          <w:rFonts w:ascii="宋体" w:hAnsi="宋体" w:eastAsia="宋体"/>
          <w:sz w:val="24"/>
          <w:highlight w:val="none"/>
        </w:rPr>
        <w:t>最高限额为</w:t>
      </w:r>
      <w:r>
        <w:rPr>
          <w:rFonts w:hint="eastAsia" w:ascii="宋体" w:hAnsi="宋体" w:eastAsia="宋体"/>
          <w:sz w:val="24"/>
          <w:highlight w:val="none"/>
        </w:rPr>
        <w:t>本</w:t>
      </w:r>
      <w:r>
        <w:rPr>
          <w:rFonts w:ascii="宋体" w:hAnsi="宋体" w:eastAsia="宋体"/>
          <w:sz w:val="24"/>
          <w:highlight w:val="none"/>
        </w:rPr>
        <w:t>合同总价的</w:t>
      </w:r>
      <w:r>
        <w:rPr>
          <w:rFonts w:hint="eastAsia" w:ascii="宋体" w:hAnsi="宋体" w:eastAsia="宋体"/>
          <w:sz w:val="24"/>
          <w:highlight w:val="none"/>
          <w:u w:val="single"/>
        </w:rPr>
        <w:t xml:space="preserve"> </w:t>
      </w:r>
      <w:r>
        <w:rPr>
          <w:rFonts w:hint="eastAsia" w:ascii="宋体" w:hAnsi="宋体" w:eastAsia="宋体"/>
          <w:sz w:val="24"/>
          <w:highlight w:val="none"/>
          <w:u w:val="single"/>
          <w:lang w:val="en-US" w:eastAsia="zh-CN"/>
        </w:rPr>
        <w:t>10</w:t>
      </w:r>
      <w:r>
        <w:rPr>
          <w:rFonts w:hint="eastAsia" w:ascii="宋体" w:hAnsi="宋体" w:eastAsia="宋体"/>
          <w:sz w:val="24"/>
          <w:highlight w:val="none"/>
          <w:u w:val="single"/>
        </w:rPr>
        <w:t xml:space="preserve"> </w:t>
      </w:r>
      <w:r>
        <w:rPr>
          <w:rFonts w:ascii="宋体" w:hAnsi="宋体" w:eastAsia="宋体"/>
          <w:sz w:val="24"/>
          <w:highlight w:val="none"/>
        </w:rPr>
        <w:t>%</w:t>
      </w:r>
      <w:r>
        <w:rPr>
          <w:rFonts w:hint="eastAsia" w:ascii="宋体" w:hAnsi="宋体" w:eastAsia="宋体"/>
          <w:sz w:val="24"/>
          <w:highlight w:val="none"/>
        </w:rPr>
        <w:t>；</w:t>
      </w:r>
      <w:r>
        <w:rPr>
          <w:rFonts w:ascii="宋体" w:hAnsi="宋体" w:eastAsia="宋体"/>
          <w:sz w:val="24"/>
          <w:highlight w:val="none"/>
        </w:rPr>
        <w:t>迟延</w:t>
      </w:r>
      <w:r>
        <w:rPr>
          <w:rFonts w:hint="eastAsia" w:ascii="宋体" w:hAnsi="宋体" w:eastAsia="宋体"/>
          <w:sz w:val="24"/>
          <w:highlight w:val="none"/>
        </w:rPr>
        <w:t>付款</w:t>
      </w:r>
      <w:r>
        <w:rPr>
          <w:rFonts w:ascii="宋体" w:hAnsi="宋体" w:eastAsia="宋体"/>
          <w:sz w:val="24"/>
          <w:highlight w:val="none"/>
        </w:rPr>
        <w:t>的违约金计算数额达到前述最高限额之日起</w:t>
      </w:r>
      <w:r>
        <w:rPr>
          <w:rFonts w:hint="eastAsia" w:ascii="宋体" w:hAnsi="宋体" w:eastAsia="宋体"/>
          <w:sz w:val="24"/>
          <w:highlight w:val="none"/>
        </w:rPr>
        <w:t>，乙</w:t>
      </w:r>
      <w:r>
        <w:rPr>
          <w:rFonts w:ascii="宋体" w:hAnsi="宋体" w:eastAsia="宋体"/>
          <w:sz w:val="24"/>
          <w:highlight w:val="none"/>
        </w:rPr>
        <w:t>方有权在要求甲方支付违约金的同时</w:t>
      </w:r>
      <w:r>
        <w:rPr>
          <w:rFonts w:hint="eastAsia" w:ascii="宋体" w:hAnsi="宋体" w:eastAsia="宋体"/>
          <w:sz w:val="24"/>
          <w:highlight w:val="none"/>
        </w:rPr>
        <w:t>，书面通知甲方</w:t>
      </w:r>
      <w:r>
        <w:rPr>
          <w:rFonts w:ascii="宋体" w:hAnsi="宋体" w:eastAsia="宋体"/>
          <w:sz w:val="24"/>
          <w:highlight w:val="none"/>
        </w:rPr>
        <w:t>解除本合同</w:t>
      </w:r>
      <w:r>
        <w:rPr>
          <w:rFonts w:hint="eastAsia" w:ascii="宋体" w:hAnsi="宋体" w:eastAsia="宋体"/>
          <w:sz w:val="24"/>
          <w:highlight w:val="none"/>
        </w:rPr>
        <w:t>；</w:t>
      </w:r>
    </w:p>
    <w:p w14:paraId="668EEA43">
      <w:pPr>
        <w:spacing w:line="360" w:lineRule="auto"/>
        <w:ind w:firstLine="435"/>
        <w:rPr>
          <w:rFonts w:ascii="宋体" w:hAnsi="宋体" w:eastAsia="宋体"/>
          <w:sz w:val="24"/>
          <w:highlight w:val="none"/>
        </w:rPr>
      </w:pPr>
      <w:r>
        <w:rPr>
          <w:rFonts w:hint="eastAsia" w:ascii="宋体" w:hAnsi="宋体" w:eastAsia="宋体"/>
          <w:sz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1B9F64A">
      <w:pPr>
        <w:spacing w:line="360" w:lineRule="auto"/>
        <w:ind w:firstLine="435"/>
        <w:rPr>
          <w:rFonts w:ascii="宋体" w:hAnsi="宋体" w:eastAsia="宋体"/>
          <w:sz w:val="24"/>
          <w:highlight w:val="none"/>
        </w:rPr>
      </w:pPr>
      <w:r>
        <w:rPr>
          <w:rFonts w:hint="eastAsia" w:ascii="宋体" w:hAnsi="宋体" w:eastAsia="宋体"/>
          <w:sz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8D7D082">
      <w:pPr>
        <w:spacing w:line="360" w:lineRule="auto"/>
        <w:ind w:firstLine="435"/>
        <w:rPr>
          <w:rFonts w:ascii="宋体" w:hAnsi="宋体" w:eastAsia="宋体"/>
          <w:sz w:val="24"/>
          <w:highlight w:val="none"/>
        </w:rPr>
      </w:pPr>
      <w:r>
        <w:rPr>
          <w:rFonts w:hint="eastAsia" w:ascii="宋体" w:hAnsi="宋体" w:eastAsia="宋体"/>
          <w:sz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5B930AF">
      <w:pPr>
        <w:spacing w:line="360" w:lineRule="auto"/>
        <w:ind w:firstLine="435"/>
        <w:rPr>
          <w:rFonts w:ascii="宋体" w:hAnsi="宋体" w:eastAsia="宋体"/>
          <w:sz w:val="24"/>
          <w:highlight w:val="none"/>
        </w:rPr>
      </w:pPr>
      <w:r>
        <w:rPr>
          <w:rFonts w:hint="eastAsia" w:ascii="宋体" w:hAnsi="宋体" w:eastAsia="宋体"/>
          <w:sz w:val="24"/>
          <w:highlight w:val="none"/>
        </w:rPr>
        <w:t>1.6.6如果出现政府采购监督管理部门在处理投诉事项期间，书面通知甲方暂停采购活动的情形，或者询问或质疑事项可能影响成交结果的，导致甲方中止履行合同的情形，均不视为甲方违约。</w:t>
      </w:r>
    </w:p>
    <w:p w14:paraId="69569A1F">
      <w:pPr>
        <w:spacing w:line="360" w:lineRule="auto"/>
        <w:ind w:firstLine="435"/>
        <w:rPr>
          <w:rFonts w:asciiTheme="minorEastAsia" w:hAnsiTheme="minorEastAsia" w:eastAsiaTheme="minorEastAsia"/>
          <w:sz w:val="24"/>
          <w:highlight w:val="none"/>
        </w:rPr>
      </w:pPr>
      <w:bookmarkStart w:id="53" w:name="_Toc15583"/>
      <w:bookmarkStart w:id="54" w:name="_Toc16021"/>
      <w:bookmarkStart w:id="55" w:name="_Toc28375"/>
      <w:r>
        <w:rPr>
          <w:rFonts w:hint="eastAsia" w:asciiTheme="minorEastAsia" w:hAnsiTheme="minorEastAsia" w:eastAsiaTheme="minorEastAsia"/>
          <w:sz w:val="24"/>
          <w:highlight w:val="none"/>
        </w:rPr>
        <w:t>1.6.7因甲方未按合同约定支付价款、未按合同约定受领标的物、擅自解除合同</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逾期退还履约保证金</w:t>
      </w:r>
      <w:r>
        <w:rPr>
          <w:rFonts w:hint="eastAsia" w:asciiTheme="minorEastAsia" w:hAnsiTheme="minorEastAsia" w:eastAsiaTheme="minorEastAsia"/>
          <w:sz w:val="24"/>
          <w:highlight w:val="none"/>
        </w:rPr>
        <w:t>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14:paraId="5F78DA8C">
      <w:pPr>
        <w:spacing w:line="360" w:lineRule="auto"/>
        <w:ind w:firstLine="437"/>
        <w:outlineLvl w:val="2"/>
        <w:rPr>
          <w:rFonts w:ascii="宋体" w:hAnsi="宋体" w:eastAsia="宋体"/>
          <w:b/>
          <w:bCs/>
          <w:sz w:val="24"/>
          <w:highlight w:val="none"/>
          <w:lang w:val="zh-CN"/>
        </w:rPr>
      </w:pPr>
      <w:r>
        <w:rPr>
          <w:rFonts w:hint="eastAsia" w:ascii="宋体" w:hAnsi="宋体" w:eastAsia="宋体"/>
          <w:b/>
          <w:bCs/>
          <w:sz w:val="24"/>
          <w:highlight w:val="none"/>
          <w:lang w:val="zh-CN"/>
        </w:rPr>
        <w:t>1.7</w:t>
      </w:r>
      <w:r>
        <w:rPr>
          <w:rFonts w:ascii="宋体" w:hAnsi="宋体" w:eastAsia="宋体"/>
          <w:b/>
          <w:bCs/>
          <w:sz w:val="24"/>
          <w:highlight w:val="none"/>
          <w:lang w:val="zh-CN"/>
        </w:rPr>
        <w:t xml:space="preserve"> </w:t>
      </w:r>
      <w:r>
        <w:rPr>
          <w:rFonts w:hint="eastAsia" w:ascii="宋体" w:hAnsi="宋体" w:eastAsia="宋体"/>
          <w:b/>
          <w:bCs/>
          <w:sz w:val="24"/>
          <w:highlight w:val="none"/>
          <w:lang w:val="zh-CN"/>
        </w:rPr>
        <w:t>合同</w:t>
      </w:r>
      <w:r>
        <w:rPr>
          <w:rFonts w:ascii="宋体" w:hAnsi="宋体" w:eastAsia="宋体"/>
          <w:b/>
          <w:bCs/>
          <w:sz w:val="24"/>
          <w:highlight w:val="none"/>
          <w:lang w:val="zh-CN"/>
        </w:rPr>
        <w:t>争议的解决</w:t>
      </w:r>
      <w:bookmarkEnd w:id="53"/>
      <w:bookmarkEnd w:id="54"/>
      <w:bookmarkEnd w:id="55"/>
    </w:p>
    <w:p w14:paraId="77B7817F">
      <w:pPr>
        <w:spacing w:line="360" w:lineRule="auto"/>
        <w:ind w:firstLine="435"/>
        <w:rPr>
          <w:rFonts w:ascii="宋体" w:hAnsi="宋体" w:eastAsia="宋体"/>
          <w:sz w:val="24"/>
          <w:highlight w:val="none"/>
        </w:rPr>
      </w:pPr>
      <w:r>
        <w:rPr>
          <w:rFonts w:hint="eastAsia" w:ascii="宋体" w:hAnsi="宋体" w:eastAsia="宋体"/>
          <w:sz w:val="24"/>
          <w:highlight w:val="none"/>
        </w:rPr>
        <w:t>本合</w:t>
      </w:r>
      <w:r>
        <w:rPr>
          <w:rFonts w:ascii="宋体" w:hAnsi="宋体" w:eastAsia="宋体"/>
          <w:sz w:val="24"/>
          <w:highlight w:val="none"/>
        </w:rPr>
        <w:t>同履行过程中发生的任何争议，双方当事人均可</w:t>
      </w:r>
      <w:r>
        <w:rPr>
          <w:rFonts w:hint="eastAsia" w:ascii="宋体" w:hAnsi="宋体" w:eastAsia="宋体"/>
          <w:sz w:val="24"/>
          <w:highlight w:val="none"/>
        </w:rPr>
        <w:t>通过和解或者调解解决；不愿和解、调解或者和解、调解不成的，可以选择下列第</w:t>
      </w:r>
      <w:r>
        <w:rPr>
          <w:rFonts w:hint="eastAsia" w:ascii="宋体" w:hAnsi="宋体" w:eastAsia="宋体"/>
          <w:sz w:val="24"/>
          <w:highlight w:val="none"/>
          <w:u w:val="single"/>
        </w:rPr>
        <w:t xml:space="preserve">    </w:t>
      </w:r>
      <w:r>
        <w:rPr>
          <w:rFonts w:hint="eastAsia" w:ascii="宋体" w:hAnsi="宋体" w:eastAsia="宋体"/>
          <w:sz w:val="24"/>
          <w:highlight w:val="none"/>
        </w:rPr>
        <w:t>种方式解决：</w:t>
      </w:r>
    </w:p>
    <w:p w14:paraId="74EF13DE">
      <w:pPr>
        <w:spacing w:line="360" w:lineRule="auto"/>
        <w:ind w:firstLine="435"/>
        <w:rPr>
          <w:rFonts w:ascii="宋体" w:hAnsi="宋体" w:eastAsia="宋体"/>
          <w:sz w:val="24"/>
          <w:highlight w:val="none"/>
        </w:rPr>
      </w:pPr>
      <w:r>
        <w:rPr>
          <w:rFonts w:hint="eastAsia" w:ascii="宋体" w:hAnsi="宋体" w:eastAsia="宋体"/>
          <w:sz w:val="24"/>
          <w:highlight w:val="none"/>
        </w:rPr>
        <w:t>1.7.1将争议提交</w:t>
      </w:r>
      <w:r>
        <w:rPr>
          <w:rFonts w:hint="eastAsia" w:ascii="宋体" w:hAnsi="宋体" w:eastAsia="宋体"/>
          <w:sz w:val="24"/>
          <w:highlight w:val="none"/>
          <w:u w:val="single"/>
        </w:rPr>
        <w:t xml:space="preserve">   </w:t>
      </w:r>
      <w:r>
        <w:rPr>
          <w:rFonts w:hint="eastAsia" w:ascii="宋体" w:hAnsi="宋体" w:eastAsia="宋体"/>
          <w:sz w:val="24"/>
          <w:highlight w:val="none"/>
          <w:u w:val="single"/>
          <w:lang w:val="en-US" w:eastAsia="zh-CN"/>
        </w:rPr>
        <w:t>滁州</w:t>
      </w:r>
      <w:r>
        <w:rPr>
          <w:rFonts w:hint="eastAsia" w:ascii="宋体" w:hAnsi="宋体" w:eastAsia="宋体"/>
          <w:sz w:val="24"/>
          <w:highlight w:val="none"/>
          <w:u w:val="single"/>
        </w:rPr>
        <w:t xml:space="preserve">   </w:t>
      </w:r>
      <w:r>
        <w:rPr>
          <w:rFonts w:hint="eastAsia" w:ascii="宋体" w:hAnsi="宋体" w:eastAsia="宋体"/>
          <w:sz w:val="24"/>
          <w:highlight w:val="none"/>
        </w:rPr>
        <w:t>仲裁委员会依申请仲裁时其现行有效的仲裁规则裁决；</w:t>
      </w:r>
    </w:p>
    <w:p w14:paraId="573DA2D0">
      <w:pPr>
        <w:spacing w:line="360" w:lineRule="auto"/>
        <w:ind w:firstLine="435"/>
        <w:rPr>
          <w:rFonts w:ascii="宋体" w:hAnsi="宋体" w:eastAsia="宋体"/>
          <w:sz w:val="24"/>
          <w:highlight w:val="none"/>
        </w:rPr>
      </w:pPr>
      <w:r>
        <w:rPr>
          <w:rFonts w:hint="eastAsia" w:ascii="宋体" w:hAnsi="宋体" w:eastAsia="宋体"/>
          <w:sz w:val="24"/>
          <w:highlight w:val="none"/>
        </w:rPr>
        <w:t>1.7.2向</w:t>
      </w:r>
      <w:r>
        <w:rPr>
          <w:rFonts w:hint="eastAsia" w:ascii="宋体" w:hAnsi="宋体" w:eastAsia="宋体"/>
          <w:sz w:val="24"/>
          <w:highlight w:val="none"/>
          <w:u w:val="single"/>
        </w:rPr>
        <w:t xml:space="preserve">   </w:t>
      </w:r>
      <w:r>
        <w:rPr>
          <w:rFonts w:hint="eastAsia" w:asciiTheme="minorEastAsia" w:hAnsiTheme="minorEastAsia" w:eastAsiaTheme="minorEastAsia"/>
          <w:sz w:val="24"/>
          <w:highlight w:val="none"/>
          <w:u w:val="single"/>
        </w:rPr>
        <w:t>甲方（采购人）所在地</w:t>
      </w:r>
      <w:r>
        <w:rPr>
          <w:rFonts w:ascii="宋体" w:hAnsi="宋体" w:eastAsia="宋体"/>
          <w:sz w:val="24"/>
          <w:highlight w:val="none"/>
          <w:u w:val="single"/>
        </w:rPr>
        <w:t xml:space="preserve">   </w:t>
      </w:r>
      <w:r>
        <w:rPr>
          <w:rFonts w:hint="eastAsia" w:ascii="宋体" w:hAnsi="宋体" w:eastAsia="宋体"/>
          <w:sz w:val="24"/>
          <w:highlight w:val="none"/>
          <w:u w:val="single"/>
        </w:rPr>
        <w:t xml:space="preserve"> </w:t>
      </w:r>
      <w:r>
        <w:rPr>
          <w:rFonts w:hint="eastAsia" w:ascii="宋体" w:hAnsi="宋体" w:eastAsia="宋体"/>
          <w:sz w:val="24"/>
          <w:highlight w:val="none"/>
        </w:rPr>
        <w:t>人民法院起诉。</w:t>
      </w:r>
    </w:p>
    <w:p w14:paraId="3DFBCEF3">
      <w:pPr>
        <w:spacing w:line="360" w:lineRule="auto"/>
        <w:ind w:firstLine="437"/>
        <w:outlineLvl w:val="2"/>
        <w:rPr>
          <w:rFonts w:ascii="宋体" w:hAnsi="宋体" w:eastAsia="宋体"/>
          <w:b/>
          <w:bCs/>
          <w:sz w:val="24"/>
          <w:highlight w:val="none"/>
          <w:lang w:val="zh-CN"/>
        </w:rPr>
      </w:pPr>
      <w:bookmarkStart w:id="56" w:name="_Toc15322"/>
      <w:bookmarkStart w:id="57" w:name="_Toc7245"/>
      <w:bookmarkStart w:id="58" w:name="_Toc11173"/>
      <w:r>
        <w:rPr>
          <w:rFonts w:hint="eastAsia" w:ascii="宋体" w:hAnsi="宋体" w:eastAsia="宋体"/>
          <w:b/>
          <w:bCs/>
          <w:sz w:val="24"/>
          <w:highlight w:val="none"/>
          <w:lang w:val="zh-CN"/>
        </w:rPr>
        <w:t>1.8</w:t>
      </w:r>
      <w:r>
        <w:rPr>
          <w:rFonts w:ascii="宋体" w:hAnsi="宋体" w:eastAsia="宋体"/>
          <w:b/>
          <w:bCs/>
          <w:sz w:val="24"/>
          <w:highlight w:val="none"/>
          <w:lang w:val="zh-CN"/>
        </w:rPr>
        <w:t xml:space="preserve"> 合同生效</w:t>
      </w:r>
      <w:bookmarkEnd w:id="56"/>
      <w:bookmarkEnd w:id="57"/>
      <w:bookmarkEnd w:id="58"/>
    </w:p>
    <w:p w14:paraId="7C12DA62">
      <w:pPr>
        <w:spacing w:line="360" w:lineRule="auto"/>
        <w:ind w:firstLine="435"/>
        <w:rPr>
          <w:rFonts w:ascii="宋体" w:hAnsi="宋体" w:eastAsia="宋体"/>
          <w:sz w:val="24"/>
          <w:highlight w:val="none"/>
        </w:rPr>
      </w:pPr>
      <w:r>
        <w:rPr>
          <w:rFonts w:ascii="宋体" w:hAnsi="宋体" w:eastAsia="宋体"/>
          <w:sz w:val="24"/>
          <w:highlight w:val="none"/>
        </w:rPr>
        <w:t>本合同自</w:t>
      </w:r>
      <w:r>
        <w:rPr>
          <w:rFonts w:hint="eastAsia" w:ascii="宋体" w:hAnsi="宋体" w:eastAsia="宋体"/>
          <w:sz w:val="24"/>
          <w:highlight w:val="none"/>
        </w:rPr>
        <w:t>双方当事人盖章时</w:t>
      </w:r>
      <w:r>
        <w:rPr>
          <w:rFonts w:ascii="宋体" w:hAnsi="宋体" w:eastAsia="宋体"/>
          <w:sz w:val="24"/>
          <w:highlight w:val="none"/>
        </w:rPr>
        <w:t>生效。</w:t>
      </w:r>
    </w:p>
    <w:p w14:paraId="5EF188A8">
      <w:pPr>
        <w:autoSpaceDE w:val="0"/>
        <w:autoSpaceDN w:val="0"/>
        <w:adjustRightInd w:val="0"/>
        <w:spacing w:line="560" w:lineRule="exact"/>
        <w:rPr>
          <w:rFonts w:cs="Times New Roman" w:asciiTheme="minorEastAsia" w:hAnsiTheme="minorEastAsia" w:eastAsiaTheme="minorEastAsia"/>
          <w:bCs/>
          <w:sz w:val="24"/>
          <w:szCs w:val="24"/>
          <w:highlight w:val="none"/>
          <w:lang w:val="zh-CN"/>
        </w:rPr>
      </w:pPr>
      <w:bookmarkStart w:id="59" w:name="_Toc331685783"/>
      <w:r>
        <w:rPr>
          <w:rFonts w:hint="eastAsia" w:cs="Times New Roman" w:asciiTheme="minorEastAsia" w:hAnsiTheme="minorEastAsia" w:eastAsiaTheme="minorEastAsia"/>
          <w:bCs/>
          <w:sz w:val="24"/>
          <w:szCs w:val="24"/>
          <w:highlight w:val="none"/>
          <w:lang w:val="zh-CN"/>
        </w:rPr>
        <w:t xml:space="preserve">甲 </w:t>
      </w:r>
      <w:r>
        <w:rPr>
          <w:rFonts w:cs="Times New Roman" w:asciiTheme="minorEastAsia" w:hAnsiTheme="minorEastAsia" w:eastAsiaTheme="minorEastAsia"/>
          <w:bCs/>
          <w:sz w:val="24"/>
          <w:szCs w:val="24"/>
          <w:highlight w:val="none"/>
          <w:lang w:val="zh-CN"/>
        </w:rPr>
        <w:t xml:space="preserve">   </w:t>
      </w:r>
      <w:r>
        <w:rPr>
          <w:rFonts w:hint="eastAsia" w:cs="Times New Roman" w:asciiTheme="minorEastAsia" w:hAnsiTheme="minorEastAsia" w:eastAsiaTheme="minorEastAsia"/>
          <w:bCs/>
          <w:sz w:val="24"/>
          <w:szCs w:val="24"/>
          <w:highlight w:val="none"/>
          <w:lang w:val="zh-CN"/>
        </w:rPr>
        <w:t>方：</w:t>
      </w:r>
      <w:r>
        <w:rPr>
          <w:rFonts w:hint="eastAsia" w:cs="Times New Roman" w:asciiTheme="minorEastAsia" w:hAnsiTheme="minorEastAsia" w:eastAsiaTheme="minorEastAsia"/>
          <w:bCs/>
          <w:sz w:val="24"/>
          <w:szCs w:val="24"/>
          <w:highlight w:val="none"/>
          <w:u w:val="single"/>
          <w:lang w:val="zh-CN"/>
        </w:rPr>
        <w:t xml:space="preserve">    （单位盖章）     </w:t>
      </w:r>
      <w:r>
        <w:rPr>
          <w:rFonts w:hint="eastAsia" w:cs="Times New Roman" w:asciiTheme="minorEastAsia" w:hAnsiTheme="minorEastAsia" w:eastAsiaTheme="minorEastAsia"/>
          <w:bCs/>
          <w:sz w:val="24"/>
          <w:szCs w:val="24"/>
          <w:highlight w:val="none"/>
          <w:lang w:val="zh-CN"/>
        </w:rPr>
        <w:t xml:space="preserve">          乙方：</w:t>
      </w:r>
      <w:r>
        <w:rPr>
          <w:rFonts w:hint="eastAsia" w:cs="Times New Roman" w:asciiTheme="minorEastAsia" w:hAnsiTheme="minorEastAsia" w:eastAsiaTheme="minorEastAsia"/>
          <w:bCs/>
          <w:sz w:val="24"/>
          <w:szCs w:val="24"/>
          <w:highlight w:val="none"/>
          <w:u w:val="single"/>
          <w:lang w:val="zh-CN"/>
        </w:rPr>
        <w:t xml:space="preserve">    （单位盖章）     </w:t>
      </w:r>
    </w:p>
    <w:p w14:paraId="08C3CFD4">
      <w:pPr>
        <w:autoSpaceDE w:val="0"/>
        <w:autoSpaceDN w:val="0"/>
        <w:adjustRightInd w:val="0"/>
        <w:spacing w:line="560" w:lineRule="exact"/>
        <w:rPr>
          <w:rFonts w:cs="Times New Roman" w:asciiTheme="minorEastAsia" w:hAnsiTheme="minorEastAsia" w:eastAsiaTheme="minorEastAsia"/>
          <w:sz w:val="24"/>
          <w:szCs w:val="24"/>
          <w:highlight w:val="none"/>
          <w:lang w:val="zh-CN"/>
        </w:rPr>
      </w:pPr>
      <w:r>
        <w:rPr>
          <w:rFonts w:hint="eastAsia" w:cs="Times New Roman" w:asciiTheme="minorEastAsia" w:hAnsiTheme="minorEastAsia" w:eastAsiaTheme="minorEastAsia"/>
          <w:sz w:val="24"/>
          <w:szCs w:val="24"/>
          <w:highlight w:val="none"/>
          <w:lang w:val="zh-CN"/>
        </w:rPr>
        <w:t xml:space="preserve">法定代表人                             </w:t>
      </w:r>
      <w:r>
        <w:rPr>
          <w:rFonts w:cs="Times New Roman" w:asciiTheme="minorEastAsia" w:hAnsiTheme="minorEastAsia" w:eastAsiaTheme="minorEastAsia"/>
          <w:sz w:val="24"/>
          <w:szCs w:val="24"/>
          <w:highlight w:val="none"/>
          <w:lang w:val="zh-CN"/>
        </w:rPr>
        <w:t xml:space="preserve">  </w:t>
      </w:r>
      <w:r>
        <w:rPr>
          <w:rFonts w:hint="eastAsia" w:cs="Times New Roman" w:asciiTheme="minorEastAsia" w:hAnsiTheme="minorEastAsia" w:eastAsiaTheme="minorEastAsia"/>
          <w:sz w:val="24"/>
          <w:szCs w:val="24"/>
          <w:highlight w:val="none"/>
          <w:lang w:val="zh-CN"/>
        </w:rPr>
        <w:t>法定代表人</w:t>
      </w:r>
    </w:p>
    <w:p w14:paraId="19559207">
      <w:pPr>
        <w:autoSpaceDE w:val="0"/>
        <w:autoSpaceDN w:val="0"/>
        <w:adjustRightInd w:val="0"/>
        <w:spacing w:line="560" w:lineRule="exact"/>
        <w:rPr>
          <w:rFonts w:cs="Times New Roman" w:asciiTheme="minorEastAsia" w:hAnsiTheme="minorEastAsia" w:eastAsiaTheme="minorEastAsia"/>
          <w:sz w:val="24"/>
          <w:szCs w:val="24"/>
          <w:highlight w:val="none"/>
          <w:lang w:val="zh-CN"/>
        </w:rPr>
      </w:pPr>
      <w:r>
        <w:rPr>
          <w:rFonts w:hint="eastAsia" w:cs="Times New Roman" w:asciiTheme="minorEastAsia" w:hAnsiTheme="minorEastAsia" w:eastAsiaTheme="minorEastAsia"/>
          <w:sz w:val="24"/>
          <w:szCs w:val="24"/>
          <w:highlight w:val="none"/>
          <w:lang w:val="zh-CN"/>
        </w:rPr>
        <w:t>或授权代表（签字）：                      或授权代表（签字）：</w:t>
      </w:r>
    </w:p>
    <w:p w14:paraId="7CB3795D">
      <w:pPr>
        <w:widowControl/>
        <w:spacing w:line="560" w:lineRule="exact"/>
        <w:jc w:val="left"/>
        <w:rPr>
          <w:rFonts w:hint="eastAsia" w:cs="Times New Roman" w:asciiTheme="minorEastAsia" w:hAnsiTheme="minorEastAsia" w:eastAsiaTheme="minorEastAsia"/>
          <w:bCs/>
          <w:sz w:val="24"/>
          <w:szCs w:val="24"/>
          <w:highlight w:val="none"/>
        </w:rPr>
      </w:pPr>
      <w:r>
        <w:rPr>
          <w:rFonts w:hint="eastAsia" w:cs="Times New Roman" w:asciiTheme="minorEastAsia" w:hAnsiTheme="minorEastAsia" w:eastAsiaTheme="minorEastAsia"/>
          <w:bCs/>
          <w:sz w:val="24"/>
          <w:szCs w:val="24"/>
          <w:highlight w:val="none"/>
        </w:rPr>
        <w:t>时间：</w:t>
      </w:r>
      <w:r>
        <w:rPr>
          <w:rFonts w:hint="eastAsia" w:cs="Times New Roman" w:asciiTheme="minorEastAsia" w:hAnsiTheme="minorEastAsia" w:eastAsiaTheme="minorEastAsia"/>
          <w:bCs/>
          <w:sz w:val="24"/>
          <w:szCs w:val="24"/>
          <w:highlight w:val="none"/>
          <w:u w:val="single"/>
        </w:rPr>
        <w:t xml:space="preserve">  </w:t>
      </w:r>
      <w:r>
        <w:rPr>
          <w:rFonts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rPr>
        <w:t>年</w:t>
      </w:r>
      <w:r>
        <w:rPr>
          <w:rFonts w:hint="eastAsia" w:cs="Times New Roman" w:asciiTheme="minorEastAsia" w:hAnsiTheme="minorEastAsia" w:eastAsiaTheme="minorEastAsia"/>
          <w:bCs/>
          <w:sz w:val="24"/>
          <w:szCs w:val="24"/>
          <w:highlight w:val="none"/>
          <w:u w:val="single"/>
        </w:rPr>
        <w:t xml:space="preserve">  </w:t>
      </w:r>
      <w:r>
        <w:rPr>
          <w:rFonts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rPr>
        <w:t>月</w:t>
      </w:r>
      <w:r>
        <w:rPr>
          <w:rFonts w:hint="eastAsia" w:cs="Times New Roman" w:asciiTheme="minorEastAsia" w:hAnsiTheme="minorEastAsia" w:eastAsiaTheme="minorEastAsia"/>
          <w:bCs/>
          <w:sz w:val="24"/>
          <w:szCs w:val="24"/>
          <w:highlight w:val="none"/>
          <w:u w:val="single"/>
        </w:rPr>
        <w:t xml:space="preserve">  </w:t>
      </w:r>
      <w:r>
        <w:rPr>
          <w:rFonts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rPr>
        <w:t>日               时间：</w:t>
      </w:r>
      <w:r>
        <w:rPr>
          <w:rFonts w:hint="eastAsia" w:cs="Times New Roman" w:asciiTheme="minorEastAsia" w:hAnsiTheme="minorEastAsia" w:eastAsiaTheme="minorEastAsia"/>
          <w:bCs/>
          <w:sz w:val="24"/>
          <w:szCs w:val="24"/>
          <w:highlight w:val="none"/>
          <w:u w:val="single"/>
        </w:rPr>
        <w:t xml:space="preserve">  </w:t>
      </w:r>
      <w:r>
        <w:rPr>
          <w:rFonts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rPr>
        <w:t>年</w:t>
      </w:r>
      <w:r>
        <w:rPr>
          <w:rFonts w:hint="eastAsia" w:cs="Times New Roman" w:asciiTheme="minorEastAsia" w:hAnsiTheme="minorEastAsia" w:eastAsiaTheme="minorEastAsia"/>
          <w:bCs/>
          <w:sz w:val="24"/>
          <w:szCs w:val="24"/>
          <w:highlight w:val="none"/>
          <w:u w:val="single"/>
        </w:rPr>
        <w:t xml:space="preserve">  </w:t>
      </w:r>
      <w:r>
        <w:rPr>
          <w:rFonts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rPr>
        <w:t>月</w:t>
      </w:r>
      <w:r>
        <w:rPr>
          <w:rFonts w:hint="eastAsia" w:cs="Times New Roman" w:asciiTheme="minorEastAsia" w:hAnsiTheme="minorEastAsia" w:eastAsiaTheme="minorEastAsia"/>
          <w:bCs/>
          <w:sz w:val="24"/>
          <w:szCs w:val="24"/>
          <w:highlight w:val="none"/>
          <w:u w:val="single"/>
        </w:rPr>
        <w:t xml:space="preserve"> </w:t>
      </w:r>
      <w:r>
        <w:rPr>
          <w:rFonts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rPr>
        <w:t>日</w:t>
      </w:r>
    </w:p>
    <w:p w14:paraId="6BF04849">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cs="Times New Roman" w:asciiTheme="minorEastAsia" w:hAnsiTheme="minorEastAsia" w:eastAsiaTheme="minorEastAsia"/>
          <w:bCs/>
          <w:sz w:val="24"/>
          <w:szCs w:val="24"/>
          <w:highlight w:val="none"/>
        </w:rPr>
      </w:pPr>
      <w:r>
        <w:rPr>
          <w:rFonts w:hint="eastAsia" w:cs="Times New Roman" w:asciiTheme="minorEastAsia" w:hAnsiTheme="minorEastAsia" w:eastAsiaTheme="minorEastAsia"/>
          <w:bCs/>
          <w:sz w:val="24"/>
          <w:szCs w:val="24"/>
          <w:highlight w:val="none"/>
        </w:rPr>
        <w:t xml:space="preserve"> </w:t>
      </w:r>
      <w:r>
        <w:rPr>
          <w:rFonts w:hint="eastAsia" w:cs="Times New Roman" w:asciiTheme="minorEastAsia" w:hAnsiTheme="minorEastAsia" w:eastAsiaTheme="minorEastAsia"/>
          <w:bCs/>
          <w:sz w:val="24"/>
          <w:szCs w:val="24"/>
          <w:highlight w:val="none"/>
          <w:lang w:val="en-US" w:eastAsia="zh-CN"/>
        </w:rPr>
        <w:t xml:space="preserve">                                       </w:t>
      </w:r>
      <w:r>
        <w:rPr>
          <w:rFonts w:hint="eastAsia" w:cs="Times New Roman" w:asciiTheme="minorEastAsia" w:hAnsiTheme="minorEastAsia" w:eastAsiaTheme="minorEastAsia"/>
          <w:bCs/>
          <w:sz w:val="24"/>
          <w:szCs w:val="24"/>
          <w:highlight w:val="none"/>
        </w:rPr>
        <w:t>乙方账户信息</w:t>
      </w:r>
    </w:p>
    <w:p w14:paraId="6D7F7D11">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cs="Times New Roman" w:asciiTheme="minorEastAsia" w:hAnsiTheme="minorEastAsia" w:eastAsiaTheme="minorEastAsia"/>
          <w:bCs/>
          <w:sz w:val="24"/>
          <w:szCs w:val="24"/>
          <w:highlight w:val="none"/>
          <w:u w:val="single"/>
        </w:rPr>
      </w:pPr>
      <w:r>
        <w:rPr>
          <w:rFonts w:hint="eastAsia" w:cs="Times New Roman" w:asciiTheme="minorEastAsia" w:hAnsiTheme="minorEastAsia" w:eastAsiaTheme="minorEastAsia"/>
          <w:bCs/>
          <w:sz w:val="24"/>
          <w:szCs w:val="24"/>
          <w:highlight w:val="none"/>
        </w:rPr>
        <w:t xml:space="preserve">                           </w:t>
      </w:r>
      <w:r>
        <w:rPr>
          <w:rFonts w:hint="eastAsia" w:cs="Times New Roman" w:asciiTheme="minorEastAsia" w:hAnsiTheme="minorEastAsia" w:eastAsiaTheme="minorEastAsia"/>
          <w:bCs/>
          <w:sz w:val="24"/>
          <w:szCs w:val="24"/>
          <w:highlight w:val="none"/>
          <w:lang w:val="en-US" w:eastAsia="zh-CN"/>
        </w:rPr>
        <w:t xml:space="preserve">             </w:t>
      </w:r>
      <w:r>
        <w:rPr>
          <w:rFonts w:hint="eastAsia" w:cs="Times New Roman" w:asciiTheme="minorEastAsia" w:hAnsiTheme="minorEastAsia" w:eastAsiaTheme="minorEastAsia"/>
          <w:bCs/>
          <w:sz w:val="24"/>
          <w:szCs w:val="24"/>
          <w:highlight w:val="none"/>
        </w:rPr>
        <w:t>户名：</w:t>
      </w:r>
      <w:r>
        <w:rPr>
          <w:rFonts w:hint="eastAsia"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u w:val="single"/>
          <w:lang w:val="en-US" w:eastAsia="zh-CN"/>
        </w:rPr>
        <w:t xml:space="preserve">        </w:t>
      </w:r>
      <w:r>
        <w:rPr>
          <w:rFonts w:hint="eastAsia" w:cs="Times New Roman" w:asciiTheme="minorEastAsia" w:hAnsiTheme="minorEastAsia" w:eastAsiaTheme="minorEastAsia"/>
          <w:bCs/>
          <w:sz w:val="24"/>
          <w:szCs w:val="24"/>
          <w:highlight w:val="none"/>
          <w:u w:val="single"/>
        </w:rPr>
        <w:t xml:space="preserve">   </w:t>
      </w:r>
    </w:p>
    <w:p w14:paraId="0D6C75C3">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cs="Times New Roman" w:asciiTheme="minorEastAsia" w:hAnsiTheme="minorEastAsia" w:eastAsiaTheme="minorEastAsia"/>
          <w:bCs/>
          <w:sz w:val="24"/>
          <w:szCs w:val="24"/>
          <w:highlight w:val="none"/>
          <w:u w:val="single"/>
        </w:rPr>
      </w:pPr>
      <w:r>
        <w:rPr>
          <w:rFonts w:hint="eastAsia" w:cs="Times New Roman" w:asciiTheme="minorEastAsia" w:hAnsiTheme="minorEastAsia" w:eastAsiaTheme="minorEastAsia"/>
          <w:bCs/>
          <w:sz w:val="24"/>
          <w:szCs w:val="24"/>
          <w:highlight w:val="none"/>
        </w:rPr>
        <w:t xml:space="preserve">                                        账号：</w:t>
      </w:r>
      <w:r>
        <w:rPr>
          <w:rFonts w:hint="eastAsia"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u w:val="single"/>
          <w:lang w:val="en-US" w:eastAsia="zh-CN"/>
        </w:rPr>
        <w:t xml:space="preserve">        </w:t>
      </w:r>
      <w:r>
        <w:rPr>
          <w:rFonts w:hint="eastAsia" w:cs="Times New Roman" w:asciiTheme="minorEastAsia" w:hAnsiTheme="minorEastAsia" w:eastAsiaTheme="minorEastAsia"/>
          <w:bCs/>
          <w:sz w:val="24"/>
          <w:szCs w:val="24"/>
          <w:highlight w:val="none"/>
          <w:u w:val="single"/>
        </w:rPr>
        <w:t xml:space="preserve">   </w:t>
      </w:r>
    </w:p>
    <w:p w14:paraId="53DF2DB9">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cs="Times New Roman" w:asciiTheme="minorEastAsia" w:hAnsiTheme="minorEastAsia" w:eastAsiaTheme="minorEastAsia"/>
          <w:bCs/>
          <w:sz w:val="24"/>
          <w:szCs w:val="24"/>
          <w:highlight w:val="none"/>
          <w:u w:val="single"/>
        </w:rPr>
      </w:pPr>
      <w:r>
        <w:rPr>
          <w:rFonts w:hint="eastAsia" w:cs="Times New Roman" w:asciiTheme="minorEastAsia" w:hAnsiTheme="minorEastAsia" w:eastAsiaTheme="minorEastAsia"/>
          <w:bCs/>
          <w:sz w:val="24"/>
          <w:szCs w:val="24"/>
          <w:highlight w:val="none"/>
        </w:rPr>
        <w:t xml:space="preserve">                          </w:t>
      </w:r>
      <w:r>
        <w:rPr>
          <w:rFonts w:hint="eastAsia" w:cs="Times New Roman" w:asciiTheme="minorEastAsia" w:hAnsiTheme="minorEastAsia" w:eastAsiaTheme="minorEastAsia"/>
          <w:bCs/>
          <w:sz w:val="24"/>
          <w:szCs w:val="24"/>
          <w:highlight w:val="none"/>
          <w:lang w:val="en-US" w:eastAsia="zh-CN"/>
        </w:rPr>
        <w:t xml:space="preserve">             </w:t>
      </w:r>
      <w:r>
        <w:rPr>
          <w:rFonts w:hint="eastAsia" w:cs="Times New Roman" w:asciiTheme="minorEastAsia" w:hAnsiTheme="minorEastAsia" w:eastAsiaTheme="minorEastAsia"/>
          <w:bCs/>
          <w:sz w:val="24"/>
          <w:szCs w:val="24"/>
          <w:highlight w:val="none"/>
        </w:rPr>
        <w:t xml:space="preserve"> 开户银行：</w:t>
      </w:r>
      <w:r>
        <w:rPr>
          <w:rFonts w:hint="eastAsia" w:cs="Times New Roman" w:asciiTheme="minorEastAsia" w:hAnsiTheme="minorEastAsia" w:eastAsiaTheme="minorEastAsia"/>
          <w:bCs/>
          <w:sz w:val="24"/>
          <w:szCs w:val="24"/>
          <w:highlight w:val="none"/>
          <w:u w:val="single"/>
        </w:rPr>
        <w:t xml:space="preserve">   </w:t>
      </w:r>
      <w:r>
        <w:rPr>
          <w:rFonts w:hint="eastAsia" w:cs="Times New Roman" w:asciiTheme="minorEastAsia" w:hAnsiTheme="minorEastAsia" w:eastAsiaTheme="minorEastAsia"/>
          <w:bCs/>
          <w:sz w:val="24"/>
          <w:szCs w:val="24"/>
          <w:highlight w:val="none"/>
          <w:u w:val="single"/>
          <w:lang w:val="en-US" w:eastAsia="zh-CN"/>
        </w:rPr>
        <w:t xml:space="preserve">        </w:t>
      </w:r>
      <w:r>
        <w:rPr>
          <w:rFonts w:hint="eastAsia" w:cs="Times New Roman" w:asciiTheme="minorEastAsia" w:hAnsiTheme="minorEastAsia" w:eastAsiaTheme="minorEastAsia"/>
          <w:bCs/>
          <w:sz w:val="24"/>
          <w:szCs w:val="24"/>
          <w:highlight w:val="none"/>
          <w:u w:val="single"/>
        </w:rPr>
        <w:t xml:space="preserve">     </w:t>
      </w:r>
    </w:p>
    <w:p w14:paraId="46D171F5">
      <w:pPr>
        <w:widowControl/>
        <w:jc w:val="left"/>
        <w:rPr>
          <w:rFonts w:ascii="宋体" w:hAnsi="宋体" w:eastAsia="宋体"/>
          <w:b/>
          <w:sz w:val="24"/>
          <w:highlight w:val="none"/>
        </w:rPr>
      </w:pPr>
      <w:r>
        <w:rPr>
          <w:rFonts w:ascii="宋体" w:hAnsi="宋体" w:eastAsia="宋体"/>
          <w:b/>
          <w:sz w:val="24"/>
          <w:highlight w:val="none"/>
        </w:rPr>
        <w:br w:type="page"/>
      </w:r>
    </w:p>
    <w:p w14:paraId="036E2A2D">
      <w:pPr>
        <w:spacing w:line="360" w:lineRule="auto"/>
        <w:jc w:val="center"/>
        <w:outlineLvl w:val="1"/>
        <w:rPr>
          <w:rFonts w:ascii="宋体" w:hAnsi="宋体" w:eastAsia="宋体"/>
          <w:b/>
          <w:sz w:val="24"/>
          <w:highlight w:val="none"/>
        </w:rPr>
      </w:pPr>
      <w:r>
        <w:rPr>
          <w:rFonts w:hint="eastAsia" w:ascii="宋体" w:hAnsi="宋体" w:eastAsia="宋体"/>
          <w:b/>
          <w:sz w:val="24"/>
          <w:highlight w:val="none"/>
        </w:rPr>
        <w:t>第二部分</w:t>
      </w:r>
      <w:r>
        <w:rPr>
          <w:rFonts w:ascii="宋体" w:hAnsi="宋体" w:eastAsia="宋体"/>
          <w:b/>
          <w:sz w:val="24"/>
          <w:highlight w:val="none"/>
        </w:rPr>
        <w:t xml:space="preserve"> </w:t>
      </w:r>
      <w:r>
        <w:rPr>
          <w:rFonts w:hint="eastAsia" w:ascii="宋体" w:hAnsi="宋体" w:eastAsia="宋体"/>
          <w:b/>
          <w:sz w:val="24"/>
          <w:highlight w:val="none"/>
        </w:rPr>
        <w:t>合同一般条款</w:t>
      </w:r>
      <w:bookmarkEnd w:id="59"/>
    </w:p>
    <w:p w14:paraId="5C397B7D">
      <w:pPr>
        <w:spacing w:line="360" w:lineRule="auto"/>
        <w:ind w:firstLine="437"/>
        <w:outlineLvl w:val="2"/>
        <w:rPr>
          <w:rFonts w:ascii="宋体" w:hAnsi="宋体" w:eastAsia="宋体"/>
          <w:b/>
          <w:bCs/>
          <w:sz w:val="24"/>
          <w:highlight w:val="none"/>
          <w:lang w:val="zh-CN"/>
        </w:rPr>
      </w:pPr>
      <w:bookmarkStart w:id="60" w:name="_Toc259093669"/>
      <w:bookmarkStart w:id="61" w:name="_Ref467378404"/>
      <w:bookmarkStart w:id="62" w:name="_Toc487900349"/>
      <w:bookmarkStart w:id="63" w:name="_Ref467379225"/>
      <w:bookmarkStart w:id="64" w:name="_Ref467378499"/>
      <w:bookmarkStart w:id="65" w:name="_Ref467379205"/>
      <w:bookmarkStart w:id="66" w:name="_Toc28763"/>
      <w:bookmarkStart w:id="67" w:name="_Ref467378463"/>
      <w:bookmarkStart w:id="68" w:name="_Ref467379101"/>
      <w:bookmarkStart w:id="69" w:name="_Ref467379214"/>
      <w:bookmarkStart w:id="70" w:name="_Ref467379109"/>
      <w:bookmarkStart w:id="71" w:name="_Ref467379195"/>
      <w:bookmarkStart w:id="72" w:name="_Ref467379094"/>
      <w:bookmarkStart w:id="73" w:name="_Toc19614"/>
      <w:bookmarkStart w:id="74" w:name="_Toc279701240"/>
      <w:bookmarkStart w:id="75" w:name="_Toc16917"/>
      <w:r>
        <w:rPr>
          <w:rFonts w:hint="eastAsia" w:ascii="宋体" w:hAnsi="宋体" w:eastAsia="宋体"/>
          <w:b/>
          <w:bCs/>
          <w:sz w:val="24"/>
          <w:highlight w:val="none"/>
          <w:lang w:val="zh-CN"/>
        </w:rPr>
        <w:t>2.1</w:t>
      </w:r>
      <w:r>
        <w:rPr>
          <w:rFonts w:ascii="宋体" w:hAnsi="宋体" w:eastAsia="宋体"/>
          <w:b/>
          <w:bCs/>
          <w:sz w:val="24"/>
          <w:highlight w:val="none"/>
          <w:lang w:val="zh-CN"/>
        </w:rPr>
        <w:t xml:space="preserve"> 定义</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74F840D">
      <w:pPr>
        <w:spacing w:line="360" w:lineRule="auto"/>
        <w:ind w:firstLine="435"/>
        <w:rPr>
          <w:rFonts w:ascii="宋体" w:hAnsi="宋体" w:eastAsia="宋体"/>
          <w:sz w:val="24"/>
          <w:highlight w:val="none"/>
        </w:rPr>
      </w:pPr>
      <w:r>
        <w:rPr>
          <w:rFonts w:ascii="宋体" w:hAnsi="宋体" w:eastAsia="宋体"/>
          <w:sz w:val="24"/>
          <w:highlight w:val="none"/>
        </w:rPr>
        <w:t>本合同中的下列</w:t>
      </w:r>
      <w:r>
        <w:rPr>
          <w:rFonts w:hint="eastAsia" w:ascii="宋体" w:hAnsi="宋体" w:eastAsia="宋体"/>
          <w:sz w:val="24"/>
          <w:highlight w:val="none"/>
        </w:rPr>
        <w:t>词</w:t>
      </w:r>
      <w:r>
        <w:rPr>
          <w:rFonts w:ascii="宋体" w:hAnsi="宋体" w:eastAsia="宋体"/>
          <w:sz w:val="24"/>
          <w:highlight w:val="none"/>
        </w:rPr>
        <w:t>语应</w:t>
      </w:r>
      <w:r>
        <w:rPr>
          <w:rFonts w:hint="eastAsia" w:ascii="宋体" w:hAnsi="宋体" w:eastAsia="宋体"/>
          <w:sz w:val="24"/>
          <w:highlight w:val="none"/>
        </w:rPr>
        <w:t>按以下内容进行</w:t>
      </w:r>
      <w:r>
        <w:rPr>
          <w:rFonts w:ascii="宋体" w:hAnsi="宋体" w:eastAsia="宋体"/>
          <w:sz w:val="24"/>
          <w:highlight w:val="none"/>
        </w:rPr>
        <w:t>解释：</w:t>
      </w:r>
    </w:p>
    <w:p w14:paraId="64CC4375">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.1</w:t>
      </w:r>
      <w:r>
        <w:rPr>
          <w:rFonts w:hint="eastAsia" w:ascii="宋体" w:hAnsi="宋体" w:eastAsia="宋体"/>
          <w:sz w:val="24"/>
          <w:highlight w:val="none"/>
        </w:rPr>
        <w:t>.1</w:t>
      </w:r>
      <w:r>
        <w:rPr>
          <w:rFonts w:ascii="宋体" w:hAnsi="宋体" w:eastAsia="宋体"/>
          <w:sz w:val="24"/>
          <w:highlight w:val="none"/>
        </w:rPr>
        <w:t>“合同”系指采购人和成交供应商签订的载明双方当事人所达成的协议，并包括所有的附件、附录和构成合同的其他文件。</w:t>
      </w:r>
    </w:p>
    <w:p w14:paraId="77EC3EFA">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1.2“合同价”系指根据合同约定，成交供应商在完全履行合同义务后</w:t>
      </w:r>
      <w:r>
        <w:rPr>
          <w:rFonts w:hint="eastAsia" w:ascii="宋体" w:hAnsi="宋体" w:eastAsia="宋体"/>
          <w:sz w:val="24"/>
          <w:highlight w:val="none"/>
        </w:rPr>
        <w:t>，</w:t>
      </w:r>
      <w:r>
        <w:rPr>
          <w:rFonts w:ascii="宋体" w:hAnsi="宋体" w:eastAsia="宋体"/>
          <w:sz w:val="24"/>
          <w:highlight w:val="none"/>
        </w:rPr>
        <w:t>采购人应支付给成交供应商的价格。</w:t>
      </w:r>
    </w:p>
    <w:p w14:paraId="3046FE58">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1.3“</w:t>
      </w:r>
      <w:r>
        <w:rPr>
          <w:rFonts w:hint="eastAsia" w:ascii="宋体" w:hAnsi="宋体" w:eastAsia="宋体"/>
          <w:sz w:val="24"/>
          <w:highlight w:val="none"/>
        </w:rPr>
        <w:t>服务</w:t>
      </w:r>
      <w:r>
        <w:rPr>
          <w:rFonts w:ascii="宋体" w:hAnsi="宋体" w:eastAsia="宋体"/>
          <w:sz w:val="24"/>
          <w:highlight w:val="none"/>
        </w:rPr>
        <w:t>”系指</w:t>
      </w:r>
      <w:r>
        <w:rPr>
          <w:rFonts w:hint="eastAsia" w:ascii="宋体" w:hAnsi="宋体" w:eastAsia="宋体"/>
          <w:sz w:val="24"/>
          <w:highlight w:val="none"/>
        </w:rPr>
        <w:t>成交供应商</w:t>
      </w:r>
      <w:r>
        <w:rPr>
          <w:rFonts w:ascii="宋体" w:hAnsi="宋体" w:eastAsia="宋体"/>
          <w:sz w:val="24"/>
          <w:highlight w:val="none"/>
        </w:rPr>
        <w:t>根据合同约定应向采购人</w:t>
      </w:r>
      <w:r>
        <w:rPr>
          <w:rFonts w:hint="eastAsia" w:ascii="宋体" w:hAnsi="宋体" w:eastAsia="宋体"/>
          <w:sz w:val="24"/>
          <w:highlight w:val="none"/>
        </w:rPr>
        <w:t>履行</w:t>
      </w:r>
      <w:r>
        <w:rPr>
          <w:rFonts w:ascii="宋体" w:hAnsi="宋体" w:eastAsia="宋体"/>
          <w:sz w:val="24"/>
          <w:highlight w:val="none"/>
        </w:rPr>
        <w:t>的</w:t>
      </w:r>
      <w:r>
        <w:rPr>
          <w:rFonts w:hint="eastAsia" w:ascii="宋体" w:hAnsi="宋体" w:eastAsia="宋体"/>
          <w:sz w:val="24"/>
          <w:highlight w:val="none"/>
        </w:rPr>
        <w:t>除货物和工程以外的其他政府采购对象，包括采购人自身需要的服务和向社会公众提供的公共服务。</w:t>
      </w:r>
    </w:p>
    <w:p w14:paraId="74ADA628">
      <w:pPr>
        <w:spacing w:line="360" w:lineRule="auto"/>
        <w:ind w:firstLine="435"/>
        <w:rPr>
          <w:rFonts w:ascii="宋体" w:hAnsi="宋体" w:eastAsia="宋体"/>
          <w:sz w:val="24"/>
          <w:highlight w:val="none"/>
        </w:rPr>
      </w:pPr>
      <w:bookmarkStart w:id="76" w:name="_Ref467378840"/>
      <w:r>
        <w:rPr>
          <w:rFonts w:hint="eastAsia" w:ascii="宋体" w:hAnsi="宋体" w:eastAsia="宋体"/>
          <w:sz w:val="24"/>
          <w:highlight w:val="none"/>
        </w:rPr>
        <w:t>2.</w:t>
      </w:r>
      <w:r>
        <w:rPr>
          <w:rFonts w:ascii="宋体" w:hAnsi="宋体" w:eastAsia="宋体"/>
          <w:sz w:val="24"/>
          <w:highlight w:val="none"/>
        </w:rPr>
        <w:t>1.</w:t>
      </w:r>
      <w:r>
        <w:rPr>
          <w:rFonts w:hint="eastAsia" w:ascii="宋体" w:hAnsi="宋体" w:eastAsia="宋体"/>
          <w:sz w:val="24"/>
          <w:highlight w:val="none"/>
        </w:rPr>
        <w:t>4</w:t>
      </w:r>
      <w:r>
        <w:rPr>
          <w:rFonts w:ascii="宋体" w:hAnsi="宋体" w:eastAsia="宋体"/>
          <w:sz w:val="24"/>
          <w:highlight w:val="none"/>
        </w:rPr>
        <w:t>“</w:t>
      </w:r>
      <w:r>
        <w:rPr>
          <w:rFonts w:hint="eastAsia" w:ascii="宋体" w:hAnsi="宋体" w:eastAsia="宋体"/>
          <w:sz w:val="24"/>
          <w:highlight w:val="none"/>
        </w:rPr>
        <w:t>甲方</w:t>
      </w:r>
      <w:r>
        <w:rPr>
          <w:rFonts w:ascii="宋体" w:hAnsi="宋体" w:eastAsia="宋体"/>
          <w:sz w:val="24"/>
          <w:highlight w:val="none"/>
        </w:rPr>
        <w:t>”系指与</w:t>
      </w:r>
      <w:r>
        <w:rPr>
          <w:rFonts w:hint="eastAsia" w:ascii="宋体" w:hAnsi="宋体" w:eastAsia="宋体"/>
          <w:sz w:val="24"/>
          <w:highlight w:val="none"/>
        </w:rPr>
        <w:t>成交供应商</w:t>
      </w:r>
      <w:r>
        <w:rPr>
          <w:rFonts w:ascii="宋体" w:hAnsi="宋体" w:eastAsia="宋体"/>
          <w:sz w:val="24"/>
          <w:highlight w:val="none"/>
        </w:rPr>
        <w:t>签署合同的采购人</w:t>
      </w:r>
      <w:bookmarkEnd w:id="76"/>
      <w:r>
        <w:rPr>
          <w:rFonts w:hint="eastAsia" w:ascii="宋体" w:hAnsi="宋体" w:eastAsia="宋体"/>
          <w:sz w:val="24"/>
          <w:highlight w:val="none"/>
        </w:rPr>
        <w:t>；采购人委托采购代理机构代表其与乙方签订合同的，采购人的授权委托书作为合同附件。</w:t>
      </w:r>
    </w:p>
    <w:p w14:paraId="1FD7268E">
      <w:pPr>
        <w:spacing w:line="360" w:lineRule="auto"/>
        <w:ind w:firstLine="435"/>
        <w:rPr>
          <w:rFonts w:ascii="宋体" w:hAnsi="宋体" w:eastAsia="宋体"/>
          <w:sz w:val="24"/>
          <w:highlight w:val="none"/>
        </w:rPr>
      </w:pPr>
      <w:bookmarkStart w:id="77" w:name="_Ref467379400"/>
      <w:r>
        <w:rPr>
          <w:rFonts w:hint="eastAsia" w:ascii="宋体" w:hAnsi="宋体" w:eastAsia="宋体"/>
          <w:sz w:val="24"/>
          <w:highlight w:val="none"/>
        </w:rPr>
        <w:t>2.</w:t>
      </w:r>
      <w:r>
        <w:rPr>
          <w:rFonts w:ascii="宋体" w:hAnsi="宋体" w:eastAsia="宋体"/>
          <w:sz w:val="24"/>
          <w:highlight w:val="none"/>
        </w:rPr>
        <w:t>1.</w:t>
      </w:r>
      <w:r>
        <w:rPr>
          <w:rFonts w:hint="eastAsia" w:ascii="宋体" w:hAnsi="宋体" w:eastAsia="宋体"/>
          <w:sz w:val="24"/>
          <w:highlight w:val="none"/>
        </w:rPr>
        <w:t>5</w:t>
      </w:r>
      <w:r>
        <w:rPr>
          <w:rFonts w:ascii="宋体" w:hAnsi="宋体" w:eastAsia="宋体"/>
          <w:sz w:val="24"/>
          <w:highlight w:val="none"/>
        </w:rPr>
        <w:t>“乙方”系指根据合同约定</w:t>
      </w:r>
      <w:r>
        <w:rPr>
          <w:rFonts w:hint="eastAsia" w:ascii="宋体" w:hAnsi="宋体" w:eastAsia="宋体"/>
          <w:sz w:val="24"/>
          <w:highlight w:val="none"/>
        </w:rPr>
        <w:t>提供服务</w:t>
      </w:r>
      <w:r>
        <w:rPr>
          <w:rFonts w:ascii="宋体" w:hAnsi="宋体" w:eastAsia="宋体"/>
          <w:sz w:val="24"/>
          <w:highlight w:val="none"/>
        </w:rPr>
        <w:t>的成交供应商</w:t>
      </w:r>
      <w:bookmarkEnd w:id="77"/>
      <w:r>
        <w:rPr>
          <w:rFonts w:hint="eastAsia" w:ascii="宋体" w:hAnsi="宋体" w:eastAsia="宋体"/>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53967D5">
      <w:pPr>
        <w:spacing w:line="360" w:lineRule="auto"/>
        <w:ind w:firstLine="435"/>
        <w:rPr>
          <w:rFonts w:ascii="宋体" w:hAnsi="宋体" w:eastAsia="宋体"/>
          <w:sz w:val="24"/>
          <w:highlight w:val="none"/>
        </w:rPr>
      </w:pPr>
      <w:bookmarkStart w:id="78" w:name="_Ref467379436"/>
      <w:r>
        <w:rPr>
          <w:rFonts w:hint="eastAsia" w:ascii="宋体" w:hAnsi="宋体" w:eastAsia="宋体"/>
          <w:sz w:val="24"/>
          <w:highlight w:val="none"/>
        </w:rPr>
        <w:t>2.</w:t>
      </w:r>
      <w:r>
        <w:rPr>
          <w:rFonts w:ascii="宋体" w:hAnsi="宋体" w:eastAsia="宋体"/>
          <w:sz w:val="24"/>
          <w:highlight w:val="none"/>
        </w:rPr>
        <w:t>1.</w:t>
      </w:r>
      <w:r>
        <w:rPr>
          <w:rFonts w:hint="eastAsia" w:ascii="宋体" w:hAnsi="宋体" w:eastAsia="宋体"/>
          <w:sz w:val="24"/>
          <w:highlight w:val="none"/>
        </w:rPr>
        <w:t>6</w:t>
      </w:r>
      <w:r>
        <w:rPr>
          <w:rFonts w:ascii="宋体" w:hAnsi="宋体" w:eastAsia="宋体"/>
          <w:sz w:val="24"/>
          <w:highlight w:val="none"/>
        </w:rPr>
        <w:t>“现场”系指合同约定</w:t>
      </w:r>
      <w:r>
        <w:rPr>
          <w:rFonts w:hint="eastAsia" w:ascii="宋体" w:hAnsi="宋体" w:eastAsia="宋体"/>
          <w:sz w:val="24"/>
          <w:highlight w:val="none"/>
        </w:rPr>
        <w:t>提供服务</w:t>
      </w:r>
      <w:r>
        <w:rPr>
          <w:rFonts w:ascii="宋体" w:hAnsi="宋体" w:eastAsia="宋体"/>
          <w:sz w:val="24"/>
          <w:highlight w:val="none"/>
        </w:rPr>
        <w:t>的地点。</w:t>
      </w:r>
      <w:bookmarkEnd w:id="78"/>
    </w:p>
    <w:p w14:paraId="52138D64">
      <w:pPr>
        <w:spacing w:line="360" w:lineRule="auto"/>
        <w:ind w:firstLine="437"/>
        <w:outlineLvl w:val="2"/>
        <w:rPr>
          <w:rFonts w:ascii="宋体" w:hAnsi="宋体" w:eastAsia="宋体"/>
          <w:b/>
          <w:bCs/>
          <w:sz w:val="24"/>
          <w:highlight w:val="none"/>
          <w:lang w:val="zh-CN"/>
        </w:rPr>
      </w:pPr>
      <w:bookmarkStart w:id="79" w:name="_Toc487900350"/>
      <w:bookmarkStart w:id="80" w:name="_Toc27635"/>
      <w:bookmarkStart w:id="81" w:name="_Toc32504"/>
      <w:bookmarkStart w:id="82" w:name="_Toc259093670"/>
      <w:bookmarkStart w:id="83" w:name="_Toc13336"/>
      <w:bookmarkStart w:id="84" w:name="_Toc279701241"/>
      <w:r>
        <w:rPr>
          <w:rFonts w:hint="eastAsia" w:ascii="宋体" w:hAnsi="宋体" w:eastAsia="宋体"/>
          <w:b/>
          <w:bCs/>
          <w:sz w:val="24"/>
          <w:highlight w:val="none"/>
          <w:lang w:val="zh-CN"/>
        </w:rPr>
        <w:t>2.</w:t>
      </w:r>
      <w:r>
        <w:rPr>
          <w:rFonts w:ascii="宋体" w:hAnsi="宋体" w:eastAsia="宋体"/>
          <w:b/>
          <w:bCs/>
          <w:sz w:val="24"/>
          <w:highlight w:val="none"/>
          <w:lang w:val="zh-CN"/>
        </w:rPr>
        <w:t>2 技术规范</w:t>
      </w:r>
      <w:bookmarkEnd w:id="79"/>
      <w:bookmarkEnd w:id="80"/>
      <w:bookmarkEnd w:id="81"/>
      <w:bookmarkEnd w:id="82"/>
      <w:bookmarkEnd w:id="83"/>
      <w:bookmarkEnd w:id="84"/>
    </w:p>
    <w:p w14:paraId="149FEFDB">
      <w:pPr>
        <w:spacing w:line="360" w:lineRule="auto"/>
        <w:ind w:firstLine="435"/>
        <w:rPr>
          <w:rFonts w:ascii="宋体" w:hAnsi="宋体" w:eastAsia="宋体"/>
          <w:sz w:val="24"/>
          <w:highlight w:val="none"/>
        </w:rPr>
      </w:pPr>
      <w:r>
        <w:rPr>
          <w:rFonts w:ascii="宋体" w:hAnsi="宋体" w:eastAsia="宋体"/>
          <w:sz w:val="24"/>
          <w:highlight w:val="none"/>
        </w:rPr>
        <w:t>货物所应遵守的技术规范应与采购文件规定的技术规范和技术规范附件(如果有的话)及其技术规范偏差表(如果被甲方接受的话)相一致</w:t>
      </w:r>
      <w:r>
        <w:rPr>
          <w:rFonts w:hint="eastAsia" w:ascii="宋体" w:hAnsi="宋体" w:eastAsia="宋体"/>
          <w:sz w:val="24"/>
          <w:highlight w:val="none"/>
        </w:rPr>
        <w:t>；</w:t>
      </w:r>
      <w:r>
        <w:rPr>
          <w:rFonts w:ascii="宋体" w:hAnsi="宋体" w:eastAsia="宋体"/>
          <w:sz w:val="24"/>
          <w:highlight w:val="none"/>
        </w:rPr>
        <w:t>如果采购文件中没有技术规范的相应说明，那么应以国家有关部门最新颁布的相应标准</w:t>
      </w:r>
      <w:r>
        <w:rPr>
          <w:rFonts w:hint="eastAsia" w:ascii="宋体" w:hAnsi="宋体" w:eastAsia="宋体"/>
          <w:sz w:val="24"/>
          <w:highlight w:val="none"/>
        </w:rPr>
        <w:t>和</w:t>
      </w:r>
      <w:r>
        <w:rPr>
          <w:rFonts w:ascii="宋体" w:hAnsi="宋体" w:eastAsia="宋体"/>
          <w:sz w:val="24"/>
          <w:highlight w:val="none"/>
        </w:rPr>
        <w:t>规范为准。</w:t>
      </w:r>
    </w:p>
    <w:p w14:paraId="339BF40E">
      <w:pPr>
        <w:spacing w:line="360" w:lineRule="auto"/>
        <w:ind w:firstLine="437"/>
        <w:outlineLvl w:val="2"/>
        <w:rPr>
          <w:rFonts w:ascii="宋体" w:hAnsi="宋体" w:eastAsia="宋体"/>
          <w:b/>
          <w:bCs/>
          <w:sz w:val="24"/>
          <w:highlight w:val="none"/>
          <w:lang w:val="zh-CN"/>
        </w:rPr>
      </w:pPr>
      <w:bookmarkStart w:id="85" w:name="_Toc279701242"/>
      <w:bookmarkStart w:id="86" w:name="_Toc9829"/>
      <w:bookmarkStart w:id="87" w:name="_Toc259093671"/>
      <w:bookmarkStart w:id="88" w:name="_Toc487900351"/>
      <w:bookmarkStart w:id="89" w:name="_Toc27853"/>
      <w:bookmarkStart w:id="90" w:name="_Toc31634"/>
      <w:r>
        <w:rPr>
          <w:rFonts w:hint="eastAsia" w:ascii="宋体" w:hAnsi="宋体" w:eastAsia="宋体"/>
          <w:b/>
          <w:bCs/>
          <w:sz w:val="24"/>
          <w:highlight w:val="none"/>
          <w:lang w:val="zh-CN"/>
        </w:rPr>
        <w:t>2.</w:t>
      </w:r>
      <w:r>
        <w:rPr>
          <w:rFonts w:ascii="宋体" w:hAnsi="宋体" w:eastAsia="宋体"/>
          <w:b/>
          <w:bCs/>
          <w:sz w:val="24"/>
          <w:highlight w:val="none"/>
          <w:lang w:val="zh-CN"/>
        </w:rPr>
        <w:t>3 知识产权</w:t>
      </w:r>
      <w:bookmarkEnd w:id="85"/>
      <w:bookmarkEnd w:id="86"/>
      <w:bookmarkEnd w:id="87"/>
      <w:bookmarkEnd w:id="88"/>
      <w:bookmarkEnd w:id="89"/>
      <w:bookmarkEnd w:id="90"/>
    </w:p>
    <w:p w14:paraId="5F1F8045">
      <w:pPr>
        <w:spacing w:line="360" w:lineRule="auto"/>
        <w:ind w:firstLine="435"/>
        <w:rPr>
          <w:rFonts w:ascii="宋体" w:hAnsi="宋体" w:eastAsia="宋体"/>
          <w:sz w:val="24"/>
          <w:highlight w:val="none"/>
        </w:rPr>
      </w:pPr>
      <w:r>
        <w:rPr>
          <w:rFonts w:hint="eastAsia" w:ascii="宋体" w:hAnsi="宋体" w:eastAsia="宋体"/>
          <w:sz w:val="24"/>
          <w:highlight w:val="none"/>
        </w:rPr>
        <w:t>2.3.1乙</w:t>
      </w:r>
      <w:r>
        <w:rPr>
          <w:rFonts w:ascii="宋体" w:hAnsi="宋体" w:eastAsia="宋体"/>
          <w:sz w:val="24"/>
          <w:highlight w:val="none"/>
        </w:rPr>
        <w:t>方应保证</w:t>
      </w:r>
      <w:r>
        <w:rPr>
          <w:rFonts w:hint="eastAsia" w:ascii="宋体" w:hAnsi="宋体" w:eastAsia="宋体"/>
          <w:sz w:val="24"/>
          <w:highlight w:val="none"/>
        </w:rPr>
        <w:t>其提供的服务</w:t>
      </w:r>
      <w:r>
        <w:rPr>
          <w:rFonts w:ascii="宋体" w:hAnsi="宋体" w:eastAsia="宋体"/>
          <w:sz w:val="24"/>
          <w:highlight w:val="none"/>
        </w:rPr>
        <w:t>不受任何第三方提出的侵犯其著作权、商标权、专利权等知识产权方面的起诉</w:t>
      </w:r>
      <w:r>
        <w:rPr>
          <w:rFonts w:hint="eastAsia" w:ascii="宋体" w:hAnsi="宋体" w:eastAsia="宋体"/>
          <w:sz w:val="24"/>
          <w:highlight w:val="none"/>
        </w:rPr>
        <w:t>；</w:t>
      </w:r>
      <w:r>
        <w:rPr>
          <w:rFonts w:ascii="宋体" w:hAnsi="宋体" w:eastAsia="宋体"/>
          <w:sz w:val="24"/>
          <w:highlight w:val="none"/>
        </w:rPr>
        <w:t>如果任何第三方提出侵权</w:t>
      </w:r>
      <w:r>
        <w:rPr>
          <w:rFonts w:hint="eastAsia" w:ascii="宋体" w:hAnsi="宋体" w:eastAsia="宋体"/>
          <w:sz w:val="24"/>
          <w:highlight w:val="none"/>
        </w:rPr>
        <w:t>指控</w:t>
      </w:r>
      <w:r>
        <w:rPr>
          <w:rFonts w:ascii="宋体" w:hAnsi="宋体" w:eastAsia="宋体"/>
          <w:sz w:val="24"/>
          <w:highlight w:val="none"/>
        </w:rPr>
        <w:t>，那么乙方须与该第三方交涉并承担由此发生的一切责任、费用和赔偿</w:t>
      </w:r>
      <w:r>
        <w:rPr>
          <w:rFonts w:hint="eastAsia" w:ascii="宋体" w:hAnsi="宋体" w:eastAsia="宋体"/>
          <w:sz w:val="24"/>
          <w:highlight w:val="none"/>
        </w:rPr>
        <w:t>；</w:t>
      </w:r>
    </w:p>
    <w:p w14:paraId="0857609F">
      <w:pPr>
        <w:spacing w:line="360" w:lineRule="auto"/>
        <w:ind w:firstLine="435"/>
        <w:rPr>
          <w:rFonts w:ascii="宋体" w:hAnsi="宋体" w:eastAsia="宋体"/>
          <w:sz w:val="24"/>
          <w:highlight w:val="none"/>
        </w:rPr>
      </w:pPr>
      <w:r>
        <w:rPr>
          <w:rFonts w:hint="eastAsia" w:ascii="宋体" w:hAnsi="宋体" w:eastAsia="宋体"/>
          <w:sz w:val="24"/>
          <w:highlight w:val="none"/>
        </w:rPr>
        <w:t>2.3.2具有知识产权的计算机软件等货物的知识产权归属，</w:t>
      </w:r>
      <w:r>
        <w:rPr>
          <w:rFonts w:ascii="宋体" w:hAnsi="宋体" w:eastAsia="宋体"/>
          <w:sz w:val="24"/>
          <w:highlight w:val="none"/>
        </w:rPr>
        <w:t>详见</w:t>
      </w:r>
      <w:r>
        <w:rPr>
          <w:rFonts w:ascii="宋体" w:hAnsi="宋体" w:eastAsia="宋体"/>
          <w:b/>
          <w:i/>
          <w:sz w:val="24"/>
          <w:highlight w:val="none"/>
          <w:u w:val="single"/>
        </w:rPr>
        <w:t>合同专用条款</w:t>
      </w:r>
      <w:r>
        <w:rPr>
          <w:rFonts w:ascii="宋体" w:hAnsi="宋体" w:eastAsia="宋体"/>
          <w:sz w:val="24"/>
          <w:highlight w:val="none"/>
        </w:rPr>
        <w:t>。</w:t>
      </w:r>
    </w:p>
    <w:p w14:paraId="797823E9">
      <w:pPr>
        <w:spacing w:line="360" w:lineRule="auto"/>
        <w:ind w:firstLine="437"/>
        <w:outlineLvl w:val="2"/>
        <w:rPr>
          <w:rFonts w:ascii="宋体" w:hAnsi="宋体" w:eastAsia="宋体"/>
          <w:b/>
          <w:bCs/>
          <w:sz w:val="24"/>
          <w:highlight w:val="none"/>
          <w:lang w:val="zh-CN"/>
        </w:rPr>
      </w:pPr>
      <w:bookmarkStart w:id="91" w:name="_Ref467379542"/>
      <w:bookmarkStart w:id="92" w:name="_Ref467378591"/>
      <w:bookmarkStart w:id="93" w:name="_Ref467379527"/>
      <w:bookmarkStart w:id="94" w:name="_Toc487900354"/>
      <w:bookmarkStart w:id="95" w:name="_Toc259093674"/>
      <w:bookmarkStart w:id="96" w:name="_Toc279701245"/>
      <w:bookmarkStart w:id="97" w:name="_Ref467378541"/>
      <w:bookmarkStart w:id="98" w:name="_Ref467379536"/>
      <w:bookmarkStart w:id="99" w:name="_Toc26182"/>
      <w:bookmarkStart w:id="100" w:name="_Toc19074"/>
      <w:bookmarkStart w:id="101" w:name="_Toc30272"/>
      <w:r>
        <w:rPr>
          <w:rFonts w:hint="eastAsia" w:ascii="宋体" w:hAnsi="宋体" w:eastAsia="宋体"/>
          <w:b/>
          <w:bCs/>
          <w:sz w:val="24"/>
          <w:highlight w:val="none"/>
          <w:lang w:val="zh-CN"/>
        </w:rPr>
        <w:t>2.</w:t>
      </w:r>
      <w:bookmarkEnd w:id="91"/>
      <w:bookmarkEnd w:id="92"/>
      <w:bookmarkEnd w:id="93"/>
      <w:bookmarkEnd w:id="94"/>
      <w:bookmarkEnd w:id="95"/>
      <w:bookmarkEnd w:id="96"/>
      <w:bookmarkEnd w:id="97"/>
      <w:bookmarkEnd w:id="98"/>
      <w:r>
        <w:rPr>
          <w:rFonts w:ascii="宋体" w:hAnsi="宋体" w:eastAsia="宋体"/>
          <w:b/>
          <w:bCs/>
          <w:sz w:val="24"/>
          <w:highlight w:val="none"/>
          <w:lang w:val="zh-CN"/>
        </w:rPr>
        <w:t xml:space="preserve">4 </w:t>
      </w:r>
      <w:r>
        <w:rPr>
          <w:rFonts w:hint="eastAsia" w:ascii="宋体" w:hAnsi="宋体" w:eastAsia="宋体"/>
          <w:b/>
          <w:bCs/>
          <w:sz w:val="24"/>
          <w:highlight w:val="none"/>
          <w:lang w:val="zh-CN"/>
        </w:rPr>
        <w:t>履约检查和问题反馈</w:t>
      </w:r>
      <w:bookmarkEnd w:id="99"/>
      <w:bookmarkEnd w:id="100"/>
      <w:bookmarkEnd w:id="101"/>
    </w:p>
    <w:p w14:paraId="4C2A88EB">
      <w:pPr>
        <w:spacing w:line="360" w:lineRule="auto"/>
        <w:ind w:firstLine="435"/>
        <w:rPr>
          <w:rFonts w:ascii="宋体" w:hAnsi="宋体" w:eastAsia="宋体"/>
          <w:sz w:val="24"/>
          <w:highlight w:val="none"/>
        </w:rPr>
      </w:pPr>
      <w:bookmarkStart w:id="102" w:name="_Toc186431854"/>
      <w:bookmarkStart w:id="103" w:name="_Toc487900357"/>
      <w:bookmarkStart w:id="104" w:name="_Toc279701247"/>
      <w:bookmarkStart w:id="105" w:name="_Ref467379793"/>
      <w:bookmarkStart w:id="106" w:name="_Toc259093676"/>
      <w:bookmarkStart w:id="107" w:name="_Ref467379807"/>
      <w:r>
        <w:rPr>
          <w:rFonts w:hint="eastAsia" w:ascii="宋体" w:hAnsi="宋体" w:eastAsia="宋体"/>
          <w:sz w:val="24"/>
          <w:highlight w:val="none"/>
        </w:rPr>
        <w:t>2.4</w:t>
      </w:r>
      <w:r>
        <w:rPr>
          <w:rFonts w:ascii="宋体" w:hAnsi="宋体" w:eastAsia="宋体"/>
          <w:sz w:val="24"/>
          <w:highlight w:val="none"/>
        </w:rPr>
        <w:t>.1甲方</w:t>
      </w:r>
      <w:r>
        <w:rPr>
          <w:rFonts w:hint="eastAsia" w:ascii="宋体" w:hAnsi="宋体" w:eastAsia="宋体"/>
          <w:sz w:val="24"/>
          <w:highlight w:val="none"/>
        </w:rPr>
        <w:t>有权</w:t>
      </w:r>
      <w:r>
        <w:rPr>
          <w:rFonts w:ascii="宋体" w:hAnsi="宋体" w:eastAsia="宋体"/>
          <w:sz w:val="24"/>
          <w:highlight w:val="none"/>
        </w:rPr>
        <w:t>在其认为必要时</w:t>
      </w:r>
      <w:r>
        <w:rPr>
          <w:rFonts w:hint="eastAsia" w:ascii="宋体" w:hAnsi="宋体" w:eastAsia="宋体"/>
          <w:sz w:val="24"/>
          <w:highlight w:val="none"/>
        </w:rPr>
        <w:t>，对乙方是否能够按照合同约定提供服务进行履约检查，以确保乙方所提供的服务能够依约满足甲方项目需求，但不得因履约检查妨碍乙方的正常工作，乙方应予积极配合；</w:t>
      </w:r>
    </w:p>
    <w:p w14:paraId="3E85AEC1">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4</w:t>
      </w:r>
      <w:r>
        <w:rPr>
          <w:rFonts w:hint="eastAsia" w:ascii="宋体" w:hAnsi="宋体" w:eastAsia="宋体"/>
          <w:sz w:val="24"/>
          <w:highlight w:val="none"/>
        </w:rPr>
        <w:t>.2合同履行期间，甲方有权将履行过程中出现的问题反馈给乙方，双方当事人应以书面形式约定需要完善和改进的内容</w:t>
      </w:r>
      <w:bookmarkEnd w:id="102"/>
      <w:bookmarkStart w:id="108" w:name="_Toc186431855"/>
      <w:r>
        <w:rPr>
          <w:rFonts w:hint="eastAsia" w:ascii="宋体" w:hAnsi="宋体" w:eastAsia="宋体"/>
          <w:sz w:val="24"/>
          <w:highlight w:val="none"/>
        </w:rPr>
        <w:t>。</w:t>
      </w:r>
    </w:p>
    <w:bookmarkEnd w:id="108"/>
    <w:p w14:paraId="2BF0261D">
      <w:pPr>
        <w:spacing w:line="360" w:lineRule="auto"/>
        <w:ind w:firstLine="437"/>
        <w:outlineLvl w:val="2"/>
        <w:rPr>
          <w:rFonts w:ascii="宋体" w:hAnsi="宋体" w:eastAsia="宋体"/>
          <w:b/>
          <w:bCs/>
          <w:sz w:val="24"/>
          <w:highlight w:val="none"/>
          <w:lang w:val="zh-CN"/>
        </w:rPr>
      </w:pPr>
      <w:bookmarkStart w:id="109" w:name="_Toc28451"/>
      <w:bookmarkStart w:id="110" w:name="_Toc19219"/>
      <w:bookmarkStart w:id="111" w:name="_Toc7836"/>
      <w:r>
        <w:rPr>
          <w:rFonts w:hint="eastAsia" w:ascii="宋体" w:hAnsi="宋体" w:eastAsia="宋体"/>
          <w:b/>
          <w:bCs/>
          <w:sz w:val="24"/>
          <w:highlight w:val="none"/>
          <w:lang w:val="zh-CN"/>
        </w:rPr>
        <w:t>2.</w:t>
      </w:r>
      <w:r>
        <w:rPr>
          <w:rFonts w:ascii="宋体" w:hAnsi="宋体" w:eastAsia="宋体"/>
          <w:b/>
          <w:bCs/>
          <w:sz w:val="24"/>
          <w:highlight w:val="none"/>
          <w:lang w:val="zh-CN"/>
        </w:rPr>
        <w:t>5</w:t>
      </w:r>
      <w:r>
        <w:rPr>
          <w:rFonts w:hint="eastAsia" w:ascii="宋体" w:hAnsi="宋体" w:eastAsia="宋体"/>
          <w:b/>
          <w:bCs/>
          <w:sz w:val="24"/>
          <w:highlight w:val="none"/>
          <w:lang w:val="zh-CN"/>
        </w:rPr>
        <w:t xml:space="preserve"> </w:t>
      </w:r>
      <w:r>
        <w:rPr>
          <w:rFonts w:ascii="宋体" w:hAnsi="宋体" w:eastAsia="宋体"/>
          <w:b/>
          <w:bCs/>
          <w:sz w:val="24"/>
          <w:highlight w:val="none"/>
          <w:lang w:val="zh-CN"/>
        </w:rPr>
        <w:t>结算方式和付款条件</w:t>
      </w:r>
      <w:bookmarkEnd w:id="103"/>
      <w:bookmarkEnd w:id="104"/>
      <w:bookmarkEnd w:id="105"/>
      <w:bookmarkEnd w:id="106"/>
      <w:bookmarkEnd w:id="107"/>
      <w:bookmarkEnd w:id="109"/>
      <w:bookmarkEnd w:id="110"/>
      <w:bookmarkEnd w:id="111"/>
    </w:p>
    <w:p w14:paraId="2749A369">
      <w:pPr>
        <w:spacing w:line="360" w:lineRule="auto"/>
        <w:ind w:firstLine="435"/>
        <w:rPr>
          <w:rFonts w:ascii="宋体" w:hAnsi="宋体" w:eastAsia="宋体"/>
          <w:sz w:val="24"/>
          <w:highlight w:val="none"/>
        </w:rPr>
      </w:pPr>
      <w:r>
        <w:rPr>
          <w:rFonts w:ascii="宋体" w:hAnsi="宋体" w:eastAsia="宋体"/>
          <w:sz w:val="24"/>
          <w:highlight w:val="none"/>
        </w:rPr>
        <w:t>详见</w:t>
      </w:r>
      <w:r>
        <w:rPr>
          <w:rFonts w:ascii="宋体" w:hAnsi="宋体" w:eastAsia="宋体"/>
          <w:b/>
          <w:i/>
          <w:sz w:val="24"/>
          <w:highlight w:val="none"/>
          <w:u w:val="single"/>
        </w:rPr>
        <w:t>合同专用条款</w:t>
      </w:r>
      <w:r>
        <w:rPr>
          <w:rFonts w:ascii="宋体" w:hAnsi="宋体" w:eastAsia="宋体"/>
          <w:sz w:val="24"/>
          <w:highlight w:val="none"/>
        </w:rPr>
        <w:t>。</w:t>
      </w:r>
    </w:p>
    <w:p w14:paraId="1CAEEE16">
      <w:pPr>
        <w:spacing w:line="360" w:lineRule="auto"/>
        <w:ind w:firstLine="437"/>
        <w:outlineLvl w:val="2"/>
        <w:rPr>
          <w:rFonts w:ascii="宋体" w:hAnsi="宋体" w:eastAsia="宋体"/>
          <w:b/>
          <w:bCs/>
          <w:sz w:val="24"/>
          <w:highlight w:val="none"/>
          <w:lang w:val="zh-CN"/>
        </w:rPr>
      </w:pPr>
      <w:bookmarkStart w:id="112" w:name="_Toc487900358"/>
      <w:bookmarkStart w:id="113" w:name="_Ref467379923"/>
      <w:bookmarkStart w:id="114" w:name="_Ref467379863"/>
      <w:bookmarkStart w:id="115" w:name="_Ref467379852"/>
      <w:bookmarkStart w:id="116" w:name="_Toc259093677"/>
      <w:bookmarkStart w:id="117" w:name="_Toc279701248"/>
      <w:bookmarkStart w:id="118" w:name="_Toc774"/>
      <w:bookmarkStart w:id="119" w:name="_Toc16110"/>
      <w:bookmarkStart w:id="120" w:name="_Toc3225"/>
      <w:r>
        <w:rPr>
          <w:rFonts w:hint="eastAsia" w:ascii="宋体" w:hAnsi="宋体" w:eastAsia="宋体"/>
          <w:b/>
          <w:bCs/>
          <w:sz w:val="24"/>
          <w:highlight w:val="none"/>
          <w:lang w:val="zh-CN"/>
        </w:rPr>
        <w:t>2.</w:t>
      </w:r>
      <w:r>
        <w:rPr>
          <w:rFonts w:ascii="宋体" w:hAnsi="宋体" w:eastAsia="宋体"/>
          <w:b/>
          <w:bCs/>
          <w:sz w:val="24"/>
          <w:highlight w:val="none"/>
          <w:lang w:val="zh-CN"/>
        </w:rPr>
        <w:t>6</w:t>
      </w:r>
      <w:r>
        <w:rPr>
          <w:rFonts w:hint="eastAsia" w:ascii="宋体" w:hAnsi="宋体" w:eastAsia="宋体"/>
          <w:b/>
          <w:bCs/>
          <w:sz w:val="24"/>
          <w:highlight w:val="none"/>
          <w:lang w:val="zh-CN"/>
        </w:rPr>
        <w:t xml:space="preserve"> </w:t>
      </w:r>
      <w:r>
        <w:rPr>
          <w:rFonts w:ascii="宋体" w:hAnsi="宋体" w:eastAsia="宋体"/>
          <w:b/>
          <w:bCs/>
          <w:sz w:val="24"/>
          <w:highlight w:val="none"/>
          <w:lang w:val="zh-CN"/>
        </w:rPr>
        <w:t>技术资料</w:t>
      </w:r>
      <w:bookmarkEnd w:id="112"/>
      <w:bookmarkEnd w:id="113"/>
      <w:bookmarkEnd w:id="114"/>
      <w:bookmarkEnd w:id="115"/>
      <w:bookmarkEnd w:id="116"/>
      <w:bookmarkEnd w:id="117"/>
      <w:r>
        <w:rPr>
          <w:rFonts w:ascii="宋体" w:hAnsi="宋体" w:eastAsia="宋体"/>
          <w:b/>
          <w:bCs/>
          <w:sz w:val="24"/>
          <w:highlight w:val="none"/>
          <w:lang w:val="zh-CN"/>
        </w:rPr>
        <w:t>和保密义务</w:t>
      </w:r>
      <w:bookmarkEnd w:id="118"/>
      <w:bookmarkEnd w:id="119"/>
      <w:bookmarkEnd w:id="120"/>
    </w:p>
    <w:p w14:paraId="3F340186">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6.1</w:t>
      </w:r>
      <w:r>
        <w:rPr>
          <w:rFonts w:hint="eastAsia" w:ascii="宋体" w:hAnsi="宋体" w:eastAsia="宋体"/>
          <w:sz w:val="24"/>
          <w:highlight w:val="none"/>
        </w:rPr>
        <w:t>乙方有权依据合同约定和项目需要，向甲方了解有关情况，调阅有关资料等，甲方应予积极配合；</w:t>
      </w:r>
    </w:p>
    <w:p w14:paraId="3BDDFE6D">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6</w:t>
      </w:r>
      <w:r>
        <w:rPr>
          <w:rFonts w:hint="eastAsia" w:ascii="宋体" w:hAnsi="宋体" w:eastAsia="宋体"/>
          <w:sz w:val="24"/>
          <w:highlight w:val="none"/>
        </w:rPr>
        <w:t>.2乙方有义务妥善保管和保护由甲方提供的前款信息和资料等；</w:t>
      </w:r>
    </w:p>
    <w:p w14:paraId="1AE9FEB3">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6.</w:t>
      </w:r>
      <w:r>
        <w:rPr>
          <w:rFonts w:hint="eastAsia" w:ascii="宋体" w:hAnsi="宋体" w:eastAsia="宋体"/>
          <w:sz w:val="24"/>
          <w:highlight w:val="none"/>
        </w:rPr>
        <w:t>3除非依照法律规定或者对方当事人的书面同意，任何一方均应保证不向任何第三方提供或披露有关合同的或者履行合同过程中知悉的对方当事人任何未公开的信息和资料，包括但不限于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eastAsia="宋体"/>
          <w:sz w:val="24"/>
          <w:highlight w:val="none"/>
        </w:rPr>
        <w:t>技术情报</w:t>
      </w:r>
      <w:r>
        <w:rPr>
          <w:rFonts w:hint="eastAsia" w:ascii="宋体" w:hAnsi="宋体" w:eastAsia="宋体"/>
          <w:sz w:val="24"/>
          <w:highlight w:val="none"/>
        </w:rPr>
        <w:t>、</w:t>
      </w:r>
      <w:r>
        <w:rPr>
          <w:rFonts w:ascii="宋体" w:hAnsi="宋体" w:eastAsia="宋体"/>
          <w:sz w:val="24"/>
          <w:highlight w:val="none"/>
        </w:rPr>
        <w:t>技术资料</w:t>
      </w:r>
      <w:r>
        <w:rPr>
          <w:rFonts w:hint="eastAsia" w:ascii="宋体" w:hAnsi="宋体" w:eastAsia="宋体"/>
          <w:sz w:val="24"/>
          <w:highlight w:val="none"/>
        </w:rPr>
        <w:t>、商业秘密和商业信息等，并采取一切合理和必要措施和方式防止任何第三方接触到对方当事人的上述保密信息和资料。</w:t>
      </w:r>
    </w:p>
    <w:p w14:paraId="2773DA57">
      <w:pPr>
        <w:spacing w:line="360" w:lineRule="auto"/>
        <w:ind w:firstLine="437"/>
        <w:outlineLvl w:val="2"/>
        <w:rPr>
          <w:rFonts w:ascii="宋体" w:hAnsi="宋体" w:eastAsia="宋体"/>
          <w:b/>
          <w:bCs/>
          <w:sz w:val="24"/>
          <w:highlight w:val="none"/>
          <w:lang w:val="zh-CN"/>
        </w:rPr>
      </w:pPr>
      <w:bookmarkStart w:id="121" w:name="_Toc7860"/>
      <w:r>
        <w:rPr>
          <w:rFonts w:ascii="宋体" w:hAnsi="宋体" w:eastAsia="宋体"/>
          <w:b/>
          <w:bCs/>
          <w:sz w:val="24"/>
          <w:highlight w:val="none"/>
          <w:lang w:val="zh-CN"/>
        </w:rPr>
        <w:t>2.7 质量保证</w:t>
      </w:r>
      <w:bookmarkEnd w:id="121"/>
    </w:p>
    <w:p w14:paraId="6537BF4F">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7</w:t>
      </w:r>
      <w:r>
        <w:rPr>
          <w:rFonts w:hint="eastAsia" w:ascii="宋体" w:hAnsi="宋体" w:eastAsia="宋体"/>
          <w:sz w:val="24"/>
          <w:highlight w:val="none"/>
        </w:rPr>
        <w:t>.1乙方应建立和完善履行合同的内部质量保证体系，并提供相关内部规章制度给甲方，以便甲方进行监督检查；</w:t>
      </w:r>
    </w:p>
    <w:p w14:paraId="56AF231A">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7</w:t>
      </w:r>
      <w:r>
        <w:rPr>
          <w:rFonts w:hint="eastAsia" w:ascii="宋体" w:hAnsi="宋体" w:eastAsia="宋体"/>
          <w:sz w:val="24"/>
          <w:highlight w:val="none"/>
        </w:rPr>
        <w:t>.2乙方应保证履行合同的人员数量和素质、软件和硬件设备的配置、场地、环境和设施等满足全面履行合同的要求，并应接受甲方的监督检查。</w:t>
      </w:r>
    </w:p>
    <w:p w14:paraId="03324FB6">
      <w:pPr>
        <w:spacing w:line="360" w:lineRule="auto"/>
        <w:ind w:firstLine="437"/>
        <w:outlineLvl w:val="2"/>
        <w:rPr>
          <w:rFonts w:ascii="宋体" w:hAnsi="宋体" w:eastAsia="宋体"/>
          <w:b/>
          <w:sz w:val="24"/>
          <w:highlight w:val="none"/>
        </w:rPr>
      </w:pPr>
      <w:bookmarkStart w:id="122" w:name="_Toc22267"/>
      <w:r>
        <w:rPr>
          <w:rFonts w:hint="eastAsia" w:ascii="宋体" w:hAnsi="宋体" w:eastAsia="宋体"/>
          <w:b/>
          <w:sz w:val="24"/>
          <w:highlight w:val="none"/>
        </w:rPr>
        <w:t>2.8 延迟履行</w:t>
      </w:r>
      <w:bookmarkEnd w:id="122"/>
    </w:p>
    <w:p w14:paraId="027B7129">
      <w:pPr>
        <w:spacing w:line="360" w:lineRule="auto"/>
        <w:ind w:firstLine="435"/>
        <w:rPr>
          <w:rFonts w:ascii="宋体" w:hAnsi="宋体" w:eastAsia="宋体"/>
          <w:sz w:val="24"/>
          <w:highlight w:val="none"/>
        </w:rPr>
      </w:pPr>
      <w:r>
        <w:rPr>
          <w:rFonts w:ascii="宋体" w:hAnsi="宋体" w:eastAsia="宋体"/>
          <w:sz w:val="24"/>
          <w:highlight w:val="none"/>
        </w:rPr>
        <w:t>在合同履行过程中，如果乙方遇到不能按时</w:t>
      </w:r>
      <w:r>
        <w:rPr>
          <w:rFonts w:hint="eastAsia" w:ascii="宋体" w:hAnsi="宋体" w:eastAsia="宋体"/>
          <w:sz w:val="24"/>
          <w:highlight w:val="none"/>
        </w:rPr>
        <w:t>提供服务</w:t>
      </w:r>
      <w:r>
        <w:rPr>
          <w:rFonts w:ascii="宋体" w:hAnsi="宋体" w:eastAsia="宋体"/>
          <w:sz w:val="24"/>
          <w:highlight w:val="none"/>
        </w:rPr>
        <w:t>的情况，应及时以书面形式将不能按时</w:t>
      </w:r>
      <w:r>
        <w:rPr>
          <w:rFonts w:hint="eastAsia" w:ascii="宋体" w:hAnsi="宋体" w:eastAsia="宋体"/>
          <w:sz w:val="24"/>
          <w:highlight w:val="none"/>
        </w:rPr>
        <w:t>提供服务</w:t>
      </w:r>
      <w:r>
        <w:rPr>
          <w:rFonts w:ascii="宋体" w:hAnsi="宋体" w:eastAsia="宋体"/>
          <w:sz w:val="24"/>
          <w:highlight w:val="none"/>
        </w:rPr>
        <w:t>的理由、预期延误时间通知甲方</w:t>
      </w:r>
      <w:r>
        <w:rPr>
          <w:rFonts w:hint="eastAsia" w:ascii="宋体" w:hAnsi="宋体" w:eastAsia="宋体"/>
          <w:sz w:val="24"/>
          <w:highlight w:val="none"/>
        </w:rPr>
        <w:t>；甲</w:t>
      </w:r>
      <w:r>
        <w:rPr>
          <w:rFonts w:ascii="宋体" w:hAnsi="宋体" w:eastAsia="宋体"/>
          <w:sz w:val="24"/>
          <w:highlight w:val="none"/>
        </w:rPr>
        <w:t>方收到乙方通知后，认为其理由正当的，可以书面形式酌情同意乙方可以延长</w:t>
      </w:r>
      <w:r>
        <w:rPr>
          <w:rFonts w:hint="eastAsia" w:ascii="宋体" w:hAnsi="宋体" w:eastAsia="宋体"/>
          <w:sz w:val="24"/>
          <w:highlight w:val="none"/>
        </w:rPr>
        <w:t>履行</w:t>
      </w:r>
      <w:r>
        <w:rPr>
          <w:rFonts w:ascii="宋体" w:hAnsi="宋体" w:eastAsia="宋体"/>
          <w:sz w:val="24"/>
          <w:highlight w:val="none"/>
        </w:rPr>
        <w:t>的具体时间。</w:t>
      </w:r>
    </w:p>
    <w:p w14:paraId="6207EB0A">
      <w:pPr>
        <w:spacing w:line="360" w:lineRule="auto"/>
        <w:ind w:firstLine="437"/>
        <w:outlineLvl w:val="2"/>
        <w:rPr>
          <w:rFonts w:ascii="宋体" w:hAnsi="宋体" w:eastAsia="宋体"/>
          <w:b/>
          <w:bCs/>
          <w:sz w:val="24"/>
          <w:highlight w:val="none"/>
          <w:lang w:val="zh-CN"/>
        </w:rPr>
      </w:pPr>
      <w:bookmarkStart w:id="123" w:name="_Toc7502"/>
      <w:bookmarkStart w:id="124" w:name="_Toc279701254"/>
      <w:bookmarkStart w:id="125" w:name="_Toc487900364"/>
      <w:bookmarkStart w:id="126" w:name="_Ref467378121"/>
      <w:bookmarkStart w:id="127" w:name="_Toc259093683"/>
      <w:r>
        <w:rPr>
          <w:rFonts w:ascii="宋体" w:hAnsi="宋体" w:eastAsia="宋体"/>
          <w:b/>
          <w:bCs/>
          <w:sz w:val="24"/>
          <w:highlight w:val="none"/>
          <w:lang w:val="zh-CN"/>
        </w:rPr>
        <w:t>2.9 合同变更</w:t>
      </w:r>
      <w:bookmarkEnd w:id="123"/>
    </w:p>
    <w:p w14:paraId="25D6898E">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9</w:t>
      </w:r>
      <w:r>
        <w:rPr>
          <w:rFonts w:hint="eastAsia" w:ascii="宋体" w:hAnsi="宋体" w:eastAsia="宋体"/>
          <w:sz w:val="24"/>
          <w:highlight w:val="none"/>
        </w:rPr>
        <w:t>.1双方当事人协商一致，可以签订书面补充合同的形式变更合同，但不得违背采购文件确定的事项；</w:t>
      </w:r>
    </w:p>
    <w:p w14:paraId="035F1917">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9</w:t>
      </w:r>
      <w:r>
        <w:rPr>
          <w:rFonts w:hint="eastAsia" w:ascii="宋体" w:hAnsi="宋体" w:eastAsia="宋体"/>
          <w:sz w:val="24"/>
          <w:highlight w:val="none"/>
        </w:rPr>
        <w:t>.2合同继续履行将损害国家利益和社会公共利益的，双方当事人应当以书面形式变更合同。有过错的一方应当承担赔偿责任，双方当事人都有过错的，各自承担相应的责任。</w:t>
      </w:r>
      <w:bookmarkStart w:id="128" w:name="_Toc279701259"/>
      <w:bookmarkStart w:id="129" w:name="_Toc259093688"/>
      <w:bookmarkStart w:id="130" w:name="_Toc487900369"/>
    </w:p>
    <w:p w14:paraId="1E73A301">
      <w:pPr>
        <w:spacing w:line="360" w:lineRule="auto"/>
        <w:ind w:firstLine="437"/>
        <w:outlineLvl w:val="2"/>
        <w:rPr>
          <w:rFonts w:ascii="宋体" w:hAnsi="宋体" w:eastAsia="宋体"/>
          <w:b/>
          <w:bCs/>
          <w:sz w:val="24"/>
          <w:highlight w:val="none"/>
          <w:lang w:val="zh-CN"/>
        </w:rPr>
      </w:pPr>
      <w:bookmarkStart w:id="131" w:name="_Toc22955"/>
      <w:bookmarkStart w:id="132" w:name="_Toc15237"/>
      <w:bookmarkStart w:id="133" w:name="_Toc10366"/>
      <w:r>
        <w:rPr>
          <w:rFonts w:hint="eastAsia" w:ascii="宋体" w:hAnsi="宋体" w:eastAsia="宋体"/>
          <w:b/>
          <w:bCs/>
          <w:sz w:val="24"/>
          <w:highlight w:val="none"/>
          <w:lang w:val="zh-CN"/>
        </w:rPr>
        <w:t>2.1</w:t>
      </w:r>
      <w:r>
        <w:rPr>
          <w:rFonts w:ascii="宋体" w:hAnsi="宋体" w:eastAsia="宋体"/>
          <w:b/>
          <w:bCs/>
          <w:sz w:val="24"/>
          <w:highlight w:val="none"/>
          <w:lang w:val="zh-CN"/>
        </w:rPr>
        <w:t>0</w:t>
      </w:r>
      <w:r>
        <w:rPr>
          <w:rFonts w:hint="eastAsia" w:ascii="宋体" w:hAnsi="宋体" w:eastAsia="宋体"/>
          <w:b/>
          <w:bCs/>
          <w:sz w:val="24"/>
          <w:highlight w:val="none"/>
          <w:lang w:val="zh-CN"/>
        </w:rPr>
        <w:t xml:space="preserve"> </w:t>
      </w:r>
      <w:r>
        <w:rPr>
          <w:rFonts w:ascii="宋体" w:hAnsi="宋体" w:eastAsia="宋体"/>
          <w:b/>
          <w:bCs/>
          <w:sz w:val="24"/>
          <w:highlight w:val="none"/>
          <w:lang w:val="zh-CN"/>
        </w:rPr>
        <w:t>合同转让</w:t>
      </w:r>
      <w:bookmarkEnd w:id="128"/>
      <w:bookmarkEnd w:id="129"/>
      <w:bookmarkEnd w:id="130"/>
      <w:r>
        <w:rPr>
          <w:rFonts w:ascii="宋体" w:hAnsi="宋体" w:eastAsia="宋体"/>
          <w:b/>
          <w:bCs/>
          <w:sz w:val="24"/>
          <w:highlight w:val="none"/>
          <w:lang w:val="zh-CN"/>
        </w:rPr>
        <w:t>和分包</w:t>
      </w:r>
      <w:bookmarkEnd w:id="131"/>
      <w:bookmarkEnd w:id="132"/>
      <w:bookmarkEnd w:id="133"/>
    </w:p>
    <w:p w14:paraId="34B32380">
      <w:pPr>
        <w:spacing w:line="360" w:lineRule="auto"/>
        <w:ind w:firstLine="435"/>
        <w:rPr>
          <w:rFonts w:ascii="宋体" w:hAnsi="宋体" w:eastAsia="宋体"/>
          <w:sz w:val="24"/>
          <w:highlight w:val="none"/>
        </w:rPr>
      </w:pPr>
      <w:r>
        <w:rPr>
          <w:rFonts w:ascii="宋体" w:hAnsi="宋体" w:eastAsia="宋体"/>
          <w:sz w:val="24"/>
          <w:highlight w:val="none"/>
        </w:rPr>
        <w:t>合同的权利义务依法不</w:t>
      </w:r>
      <w:r>
        <w:rPr>
          <w:rFonts w:hint="eastAsia" w:ascii="宋体" w:hAnsi="宋体" w:eastAsia="宋体"/>
          <w:sz w:val="24"/>
          <w:highlight w:val="none"/>
        </w:rPr>
        <w:t>得</w:t>
      </w:r>
      <w:r>
        <w:rPr>
          <w:rFonts w:ascii="宋体" w:hAnsi="宋体" w:eastAsia="宋体"/>
          <w:sz w:val="24"/>
          <w:highlight w:val="none"/>
        </w:rPr>
        <w:t>转让</w:t>
      </w:r>
      <w:r>
        <w:rPr>
          <w:rFonts w:hint="eastAsia" w:ascii="宋体" w:hAnsi="宋体" w:eastAsia="宋体"/>
          <w:sz w:val="24"/>
          <w:highlight w:val="none"/>
        </w:rPr>
        <w:t>，</w:t>
      </w:r>
      <w:r>
        <w:rPr>
          <w:rFonts w:ascii="宋体" w:hAnsi="宋体" w:eastAsia="宋体"/>
          <w:sz w:val="24"/>
          <w:highlight w:val="none"/>
        </w:rPr>
        <w:t>但经甲方</w:t>
      </w:r>
      <w:r>
        <w:rPr>
          <w:rFonts w:hint="eastAsia" w:ascii="宋体" w:hAnsi="宋体" w:eastAsia="宋体"/>
          <w:sz w:val="24"/>
          <w:highlight w:val="none"/>
        </w:rPr>
        <w:t>同意，乙方可以依法采取分包方式履行合同，即：依法可以</w:t>
      </w:r>
      <w:r>
        <w:rPr>
          <w:rFonts w:ascii="宋体" w:hAnsi="宋体" w:eastAsia="宋体"/>
          <w:sz w:val="24"/>
          <w:highlight w:val="none"/>
        </w:rPr>
        <w:t>将合同项下的部分非主体、非关键性工作分包给他人完成</w:t>
      </w:r>
      <w:r>
        <w:rPr>
          <w:rFonts w:hint="eastAsia" w:ascii="宋体" w:hAnsi="宋体" w:eastAsia="宋体"/>
          <w:sz w:val="24"/>
          <w:highlight w:val="none"/>
        </w:rPr>
        <w:t>，</w:t>
      </w:r>
      <w:r>
        <w:rPr>
          <w:rFonts w:ascii="宋体" w:hAnsi="宋体" w:eastAsia="宋体"/>
          <w:sz w:val="24"/>
          <w:highlight w:val="none"/>
        </w:rPr>
        <w:t>接受分包的人应当具备相应的资格条件，并不得再次分包</w:t>
      </w:r>
      <w:r>
        <w:rPr>
          <w:rFonts w:hint="eastAsia" w:ascii="宋体" w:hAnsi="宋体" w:eastAsia="宋体"/>
          <w:sz w:val="24"/>
          <w:highlight w:val="none"/>
        </w:rPr>
        <w:t>，</w:t>
      </w:r>
      <w:r>
        <w:rPr>
          <w:rFonts w:ascii="宋体" w:hAnsi="宋体" w:eastAsia="宋体"/>
          <w:sz w:val="24"/>
          <w:highlight w:val="none"/>
        </w:rPr>
        <w:t>且乙方应就分包项目向甲方负责</w:t>
      </w:r>
      <w:r>
        <w:rPr>
          <w:rFonts w:hint="eastAsia" w:ascii="宋体" w:hAnsi="宋体" w:eastAsia="宋体"/>
          <w:sz w:val="24"/>
          <w:highlight w:val="none"/>
        </w:rPr>
        <w:t>，</w:t>
      </w:r>
      <w:r>
        <w:rPr>
          <w:rFonts w:ascii="宋体" w:hAnsi="宋体" w:eastAsia="宋体"/>
          <w:sz w:val="24"/>
          <w:highlight w:val="none"/>
        </w:rPr>
        <w:t>并</w:t>
      </w:r>
      <w:r>
        <w:rPr>
          <w:rFonts w:hint="eastAsia" w:ascii="宋体" w:hAnsi="宋体" w:eastAsia="宋体"/>
          <w:sz w:val="24"/>
          <w:highlight w:val="none"/>
        </w:rPr>
        <w:t>与分包供应商就分包项目向甲方承担连带责任。</w:t>
      </w:r>
    </w:p>
    <w:p w14:paraId="0C78BAE8">
      <w:pPr>
        <w:spacing w:line="360" w:lineRule="auto"/>
        <w:ind w:firstLine="437"/>
        <w:outlineLvl w:val="2"/>
        <w:rPr>
          <w:rFonts w:ascii="宋体" w:hAnsi="宋体" w:eastAsia="宋体"/>
          <w:b/>
          <w:bCs/>
          <w:sz w:val="24"/>
          <w:highlight w:val="none"/>
          <w:lang w:val="zh-CN"/>
        </w:rPr>
      </w:pPr>
      <w:bookmarkStart w:id="134" w:name="_Toc13566"/>
      <w:bookmarkStart w:id="135" w:name="_Toc14066"/>
      <w:bookmarkStart w:id="136" w:name="_Toc16508"/>
      <w:r>
        <w:rPr>
          <w:rFonts w:hint="eastAsia" w:ascii="宋体" w:hAnsi="宋体" w:eastAsia="宋体"/>
          <w:b/>
          <w:bCs/>
          <w:sz w:val="24"/>
          <w:highlight w:val="none"/>
          <w:lang w:val="zh-CN"/>
        </w:rPr>
        <w:t>2.1</w:t>
      </w:r>
      <w:r>
        <w:rPr>
          <w:rFonts w:ascii="宋体" w:hAnsi="宋体" w:eastAsia="宋体"/>
          <w:b/>
          <w:bCs/>
          <w:sz w:val="24"/>
          <w:highlight w:val="none"/>
          <w:lang w:val="zh-CN"/>
        </w:rPr>
        <w:t>1 不可抗力</w:t>
      </w:r>
      <w:bookmarkEnd w:id="134"/>
      <w:bookmarkEnd w:id="135"/>
      <w:bookmarkEnd w:id="136"/>
    </w:p>
    <w:p w14:paraId="79D8556A">
      <w:pPr>
        <w:spacing w:line="360" w:lineRule="auto"/>
        <w:ind w:firstLine="435"/>
        <w:rPr>
          <w:rFonts w:ascii="宋体" w:hAnsi="宋体" w:eastAsia="宋体"/>
          <w:sz w:val="24"/>
          <w:highlight w:val="none"/>
        </w:rPr>
      </w:pPr>
      <w:r>
        <w:rPr>
          <w:rFonts w:hint="eastAsia" w:ascii="宋体" w:hAnsi="宋体" w:eastAsia="宋体"/>
          <w:sz w:val="24"/>
          <w:highlight w:val="none"/>
        </w:rPr>
        <w:t>2.1</w:t>
      </w:r>
      <w:r>
        <w:rPr>
          <w:rFonts w:ascii="宋体" w:hAnsi="宋体" w:eastAsia="宋体"/>
          <w:sz w:val="24"/>
          <w:highlight w:val="none"/>
        </w:rPr>
        <w:t>1.1如果任何一方遭遇法律规定的不可抗力，致使合同履行受阻时，履行合同的期限应予延长，延长的期限应相当于不可抗力所影响的时间</w:t>
      </w:r>
      <w:r>
        <w:rPr>
          <w:rFonts w:hint="eastAsia" w:ascii="宋体" w:hAnsi="宋体" w:eastAsia="宋体"/>
          <w:sz w:val="24"/>
          <w:highlight w:val="none"/>
        </w:rPr>
        <w:t>；</w:t>
      </w:r>
    </w:p>
    <w:p w14:paraId="140FD3A6">
      <w:pPr>
        <w:spacing w:line="360" w:lineRule="auto"/>
        <w:ind w:firstLine="435"/>
        <w:rPr>
          <w:rFonts w:ascii="宋体" w:hAnsi="宋体" w:eastAsia="宋体"/>
          <w:sz w:val="24"/>
          <w:highlight w:val="none"/>
        </w:rPr>
      </w:pPr>
      <w:r>
        <w:rPr>
          <w:rFonts w:hint="eastAsia" w:ascii="宋体" w:hAnsi="宋体" w:eastAsia="宋体"/>
          <w:sz w:val="24"/>
          <w:highlight w:val="none"/>
        </w:rPr>
        <w:t>2.1</w:t>
      </w:r>
      <w:r>
        <w:rPr>
          <w:rFonts w:ascii="宋体" w:hAnsi="宋体" w:eastAsia="宋体"/>
          <w:sz w:val="24"/>
          <w:highlight w:val="none"/>
        </w:rPr>
        <w:t>1</w:t>
      </w:r>
      <w:r>
        <w:rPr>
          <w:rFonts w:hint="eastAsia" w:ascii="宋体" w:hAnsi="宋体" w:eastAsia="宋体"/>
          <w:sz w:val="24"/>
          <w:highlight w:val="none"/>
        </w:rPr>
        <w:t>.2因不可抗力致使不能实现合同目的的，当事人可以解除合同；</w:t>
      </w:r>
    </w:p>
    <w:p w14:paraId="3322C490">
      <w:pPr>
        <w:spacing w:line="360" w:lineRule="auto"/>
        <w:ind w:firstLine="435"/>
        <w:rPr>
          <w:rFonts w:ascii="宋体" w:hAnsi="宋体" w:eastAsia="宋体"/>
          <w:sz w:val="24"/>
          <w:highlight w:val="none"/>
        </w:rPr>
      </w:pPr>
      <w:r>
        <w:rPr>
          <w:rFonts w:hint="eastAsia" w:ascii="宋体" w:hAnsi="宋体" w:eastAsia="宋体"/>
          <w:sz w:val="24"/>
          <w:highlight w:val="none"/>
        </w:rPr>
        <w:t>2.1</w:t>
      </w:r>
      <w:r>
        <w:rPr>
          <w:rFonts w:ascii="宋体" w:hAnsi="宋体" w:eastAsia="宋体"/>
          <w:sz w:val="24"/>
          <w:highlight w:val="none"/>
        </w:rPr>
        <w:t>1</w:t>
      </w:r>
      <w:r>
        <w:rPr>
          <w:rFonts w:hint="eastAsia" w:ascii="宋体" w:hAnsi="宋体" w:eastAsia="宋体"/>
          <w:sz w:val="24"/>
          <w:highlight w:val="none"/>
        </w:rPr>
        <w:t>.3因</w:t>
      </w:r>
      <w:r>
        <w:rPr>
          <w:rFonts w:ascii="宋体" w:hAnsi="宋体" w:eastAsia="宋体"/>
          <w:sz w:val="24"/>
          <w:highlight w:val="none"/>
        </w:rPr>
        <w:t>不可抗力致使合同有变更必要的，双方当事人应在</w:t>
      </w:r>
      <w:r>
        <w:rPr>
          <w:rFonts w:ascii="宋体" w:hAnsi="宋体" w:eastAsia="宋体"/>
          <w:b/>
          <w:i/>
          <w:sz w:val="24"/>
          <w:highlight w:val="none"/>
          <w:u w:val="single"/>
        </w:rPr>
        <w:t>合同专用条款</w:t>
      </w:r>
      <w:r>
        <w:rPr>
          <w:rFonts w:ascii="宋体" w:hAnsi="宋体" w:eastAsia="宋体"/>
          <w:sz w:val="24"/>
          <w:highlight w:val="none"/>
        </w:rPr>
        <w:t>约定时间内以书面形式变更合同</w:t>
      </w:r>
      <w:r>
        <w:rPr>
          <w:rFonts w:hint="eastAsia" w:ascii="宋体" w:hAnsi="宋体" w:eastAsia="宋体"/>
          <w:sz w:val="24"/>
          <w:highlight w:val="none"/>
        </w:rPr>
        <w:t>；</w:t>
      </w:r>
    </w:p>
    <w:p w14:paraId="5F479253">
      <w:pPr>
        <w:spacing w:line="360" w:lineRule="auto"/>
        <w:ind w:firstLine="435"/>
        <w:rPr>
          <w:rFonts w:ascii="宋体" w:hAnsi="宋体" w:eastAsia="宋体"/>
          <w:sz w:val="24"/>
          <w:highlight w:val="none"/>
        </w:rPr>
      </w:pPr>
      <w:r>
        <w:rPr>
          <w:rFonts w:hint="eastAsia" w:ascii="宋体" w:hAnsi="宋体" w:eastAsia="宋体"/>
          <w:sz w:val="24"/>
          <w:highlight w:val="none"/>
        </w:rPr>
        <w:t>2.1</w:t>
      </w:r>
      <w:r>
        <w:rPr>
          <w:rFonts w:ascii="宋体" w:hAnsi="宋体" w:eastAsia="宋体"/>
          <w:sz w:val="24"/>
          <w:highlight w:val="none"/>
        </w:rPr>
        <w:t>1.</w:t>
      </w:r>
      <w:r>
        <w:rPr>
          <w:rFonts w:hint="eastAsia" w:ascii="宋体" w:hAnsi="宋体" w:eastAsia="宋体"/>
          <w:sz w:val="24"/>
          <w:highlight w:val="none"/>
        </w:rPr>
        <w:t>4</w:t>
      </w:r>
      <w:r>
        <w:rPr>
          <w:rFonts w:ascii="宋体" w:hAnsi="宋体" w:eastAsia="宋体"/>
          <w:sz w:val="24"/>
          <w:highlight w:val="none"/>
        </w:rPr>
        <w:t>受</w:t>
      </w:r>
      <w:r>
        <w:rPr>
          <w:rFonts w:hint="eastAsia" w:ascii="宋体" w:hAnsi="宋体" w:eastAsia="宋体"/>
          <w:sz w:val="24"/>
          <w:highlight w:val="none"/>
        </w:rPr>
        <w:t>不可抗力</w:t>
      </w:r>
      <w:r>
        <w:rPr>
          <w:rFonts w:ascii="宋体" w:hAnsi="宋体" w:eastAsia="宋体"/>
          <w:sz w:val="24"/>
          <w:highlight w:val="none"/>
        </w:rPr>
        <w:t>影响的一方在不可抗力发生后</w:t>
      </w:r>
      <w:r>
        <w:rPr>
          <w:rFonts w:hint="eastAsia" w:ascii="宋体" w:hAnsi="宋体" w:eastAsia="宋体"/>
          <w:sz w:val="24"/>
          <w:highlight w:val="none"/>
        </w:rPr>
        <w:t>，</w:t>
      </w:r>
      <w:r>
        <w:rPr>
          <w:rFonts w:ascii="宋体" w:hAnsi="宋体" w:eastAsia="宋体"/>
          <w:sz w:val="24"/>
          <w:highlight w:val="none"/>
        </w:rPr>
        <w:t>应在</w:t>
      </w:r>
      <w:r>
        <w:rPr>
          <w:rFonts w:ascii="宋体" w:hAnsi="宋体" w:eastAsia="宋体"/>
          <w:b/>
          <w:i/>
          <w:sz w:val="24"/>
          <w:highlight w:val="none"/>
          <w:u w:val="single"/>
        </w:rPr>
        <w:t>合同专用条款</w:t>
      </w:r>
      <w:r>
        <w:rPr>
          <w:rFonts w:ascii="宋体" w:hAnsi="宋体" w:eastAsia="宋体"/>
          <w:sz w:val="24"/>
          <w:highlight w:val="none"/>
        </w:rPr>
        <w:t>约定时间内以书面形式通知</w:t>
      </w:r>
      <w:r>
        <w:rPr>
          <w:rFonts w:hint="eastAsia" w:ascii="宋体" w:hAnsi="宋体" w:eastAsia="宋体"/>
          <w:sz w:val="24"/>
          <w:highlight w:val="none"/>
        </w:rPr>
        <w:t>对</w:t>
      </w:r>
      <w:r>
        <w:rPr>
          <w:rFonts w:ascii="宋体" w:hAnsi="宋体" w:eastAsia="宋体"/>
          <w:sz w:val="24"/>
          <w:highlight w:val="none"/>
        </w:rPr>
        <w:t>方当事人，并在</w:t>
      </w:r>
      <w:r>
        <w:rPr>
          <w:rFonts w:ascii="宋体" w:hAnsi="宋体" w:eastAsia="宋体"/>
          <w:b/>
          <w:i/>
          <w:sz w:val="24"/>
          <w:highlight w:val="none"/>
          <w:u w:val="single"/>
        </w:rPr>
        <w:t>合同专用条款</w:t>
      </w:r>
      <w:r>
        <w:rPr>
          <w:rFonts w:ascii="宋体" w:hAnsi="宋体" w:eastAsia="宋体"/>
          <w:sz w:val="24"/>
          <w:highlight w:val="none"/>
        </w:rPr>
        <w:t>约定时间内，将有关部门出具的证明文件送达</w:t>
      </w:r>
      <w:r>
        <w:rPr>
          <w:rFonts w:hint="eastAsia" w:ascii="宋体" w:hAnsi="宋体" w:eastAsia="宋体"/>
          <w:sz w:val="24"/>
          <w:highlight w:val="none"/>
        </w:rPr>
        <w:t>对方当事人</w:t>
      </w:r>
      <w:r>
        <w:rPr>
          <w:rFonts w:ascii="宋体" w:hAnsi="宋体" w:eastAsia="宋体"/>
          <w:sz w:val="24"/>
          <w:highlight w:val="none"/>
        </w:rPr>
        <w:t>。</w:t>
      </w:r>
    </w:p>
    <w:p w14:paraId="5F4AAFD8">
      <w:pPr>
        <w:spacing w:line="360" w:lineRule="auto"/>
        <w:ind w:firstLine="437"/>
        <w:outlineLvl w:val="2"/>
        <w:rPr>
          <w:rFonts w:ascii="宋体" w:hAnsi="宋体" w:eastAsia="宋体"/>
          <w:b/>
          <w:bCs/>
          <w:sz w:val="24"/>
          <w:highlight w:val="none"/>
          <w:lang w:val="zh-CN"/>
        </w:rPr>
      </w:pPr>
      <w:bookmarkStart w:id="137" w:name="_Toc30676"/>
      <w:bookmarkStart w:id="138" w:name="_Toc259093684"/>
      <w:bookmarkStart w:id="139" w:name="_Toc487900365"/>
      <w:bookmarkStart w:id="140" w:name="_Toc279701255"/>
      <w:bookmarkStart w:id="141" w:name="_Toc6969"/>
      <w:bookmarkStart w:id="142" w:name="_Toc689"/>
      <w:r>
        <w:rPr>
          <w:rFonts w:hint="eastAsia" w:ascii="宋体" w:hAnsi="宋体" w:eastAsia="宋体"/>
          <w:b/>
          <w:bCs/>
          <w:sz w:val="24"/>
          <w:highlight w:val="none"/>
          <w:lang w:val="zh-CN"/>
        </w:rPr>
        <w:t>2.</w:t>
      </w:r>
      <w:r>
        <w:rPr>
          <w:rFonts w:ascii="宋体" w:hAnsi="宋体" w:eastAsia="宋体"/>
          <w:b/>
          <w:bCs/>
          <w:sz w:val="24"/>
          <w:highlight w:val="none"/>
          <w:lang w:val="zh-CN"/>
        </w:rPr>
        <w:t>12</w:t>
      </w:r>
      <w:r>
        <w:rPr>
          <w:rFonts w:hint="eastAsia" w:ascii="宋体" w:hAnsi="宋体" w:eastAsia="宋体"/>
          <w:b/>
          <w:bCs/>
          <w:sz w:val="24"/>
          <w:highlight w:val="none"/>
          <w:lang w:val="zh-CN"/>
        </w:rPr>
        <w:t xml:space="preserve"> </w:t>
      </w:r>
      <w:r>
        <w:rPr>
          <w:rFonts w:ascii="宋体" w:hAnsi="宋体" w:eastAsia="宋体"/>
          <w:b/>
          <w:bCs/>
          <w:sz w:val="24"/>
          <w:highlight w:val="none"/>
          <w:lang w:val="zh-CN"/>
        </w:rPr>
        <w:t>税费</w:t>
      </w:r>
      <w:bookmarkEnd w:id="137"/>
      <w:bookmarkEnd w:id="138"/>
      <w:bookmarkEnd w:id="139"/>
      <w:bookmarkEnd w:id="140"/>
      <w:bookmarkEnd w:id="141"/>
      <w:bookmarkEnd w:id="142"/>
    </w:p>
    <w:p w14:paraId="609F6E26">
      <w:pPr>
        <w:spacing w:line="360" w:lineRule="auto"/>
        <w:ind w:firstLine="435"/>
        <w:rPr>
          <w:rFonts w:ascii="宋体" w:hAnsi="宋体" w:eastAsia="宋体"/>
          <w:sz w:val="24"/>
          <w:highlight w:val="none"/>
        </w:rPr>
      </w:pPr>
      <w:r>
        <w:rPr>
          <w:rFonts w:ascii="宋体" w:hAnsi="宋体" w:eastAsia="宋体"/>
          <w:sz w:val="24"/>
          <w:highlight w:val="none"/>
        </w:rPr>
        <w:t>与合同有关的一切税费</w:t>
      </w:r>
      <w:r>
        <w:rPr>
          <w:rFonts w:hint="eastAsia" w:ascii="宋体" w:hAnsi="宋体" w:eastAsia="宋体"/>
          <w:sz w:val="24"/>
          <w:highlight w:val="none"/>
        </w:rPr>
        <w:t>，</w:t>
      </w:r>
      <w:r>
        <w:rPr>
          <w:rFonts w:ascii="宋体" w:hAnsi="宋体" w:eastAsia="宋体"/>
          <w:sz w:val="24"/>
          <w:highlight w:val="none"/>
        </w:rPr>
        <w:t>均按照中华人民共和国法律的相关规定</w:t>
      </w:r>
      <w:r>
        <w:rPr>
          <w:rFonts w:hint="eastAsia" w:ascii="宋体" w:hAnsi="宋体" w:eastAsia="宋体"/>
          <w:sz w:val="24"/>
          <w:highlight w:val="none"/>
        </w:rPr>
        <w:t>缴纳</w:t>
      </w:r>
      <w:r>
        <w:rPr>
          <w:rFonts w:ascii="宋体" w:hAnsi="宋体" w:eastAsia="宋体"/>
          <w:sz w:val="24"/>
          <w:highlight w:val="none"/>
        </w:rPr>
        <w:t>。</w:t>
      </w:r>
    </w:p>
    <w:p w14:paraId="7249225E">
      <w:pPr>
        <w:spacing w:line="360" w:lineRule="auto"/>
        <w:ind w:firstLine="437"/>
        <w:outlineLvl w:val="2"/>
        <w:rPr>
          <w:rFonts w:ascii="宋体" w:hAnsi="宋体" w:eastAsia="宋体"/>
          <w:b/>
          <w:bCs/>
          <w:sz w:val="24"/>
          <w:highlight w:val="none"/>
          <w:lang w:val="zh-CN"/>
        </w:rPr>
      </w:pPr>
      <w:bookmarkStart w:id="143" w:name="_Toc16959"/>
      <w:bookmarkStart w:id="144" w:name="_Toc8298"/>
      <w:bookmarkStart w:id="145" w:name="_Toc279701258"/>
      <w:bookmarkStart w:id="146" w:name="_Toc487900368"/>
      <w:bookmarkStart w:id="147" w:name="_Toc7102"/>
      <w:bookmarkStart w:id="148" w:name="_Toc259093687"/>
      <w:r>
        <w:rPr>
          <w:rFonts w:hint="eastAsia" w:ascii="宋体" w:hAnsi="宋体" w:eastAsia="宋体"/>
          <w:b/>
          <w:bCs/>
          <w:sz w:val="24"/>
          <w:highlight w:val="none"/>
          <w:lang w:val="zh-CN"/>
        </w:rPr>
        <w:t>2.</w:t>
      </w:r>
      <w:r>
        <w:rPr>
          <w:rFonts w:ascii="宋体" w:hAnsi="宋体" w:eastAsia="宋体"/>
          <w:b/>
          <w:bCs/>
          <w:sz w:val="24"/>
          <w:highlight w:val="none"/>
          <w:lang w:val="zh-CN"/>
        </w:rPr>
        <w:t>13</w:t>
      </w:r>
      <w:r>
        <w:rPr>
          <w:rFonts w:hint="eastAsia" w:ascii="宋体" w:hAnsi="宋体" w:eastAsia="宋体"/>
          <w:b/>
          <w:bCs/>
          <w:sz w:val="24"/>
          <w:highlight w:val="none"/>
          <w:lang w:val="zh-CN"/>
        </w:rPr>
        <w:t xml:space="preserve"> </w:t>
      </w:r>
      <w:r>
        <w:rPr>
          <w:rFonts w:ascii="宋体" w:hAnsi="宋体" w:eastAsia="宋体"/>
          <w:b/>
          <w:bCs/>
          <w:sz w:val="24"/>
          <w:highlight w:val="none"/>
          <w:lang w:val="zh-CN"/>
        </w:rPr>
        <w:t>乙方破产</w:t>
      </w:r>
      <w:bookmarkEnd w:id="143"/>
      <w:bookmarkEnd w:id="144"/>
      <w:bookmarkEnd w:id="145"/>
      <w:bookmarkEnd w:id="146"/>
      <w:bookmarkEnd w:id="147"/>
      <w:bookmarkEnd w:id="148"/>
    </w:p>
    <w:p w14:paraId="47B04E8D">
      <w:pPr>
        <w:spacing w:line="360" w:lineRule="auto"/>
        <w:ind w:firstLine="435"/>
        <w:rPr>
          <w:rFonts w:ascii="宋体" w:hAnsi="宋体" w:eastAsia="宋体"/>
          <w:sz w:val="24"/>
          <w:highlight w:val="none"/>
        </w:rPr>
      </w:pPr>
      <w:r>
        <w:rPr>
          <w:rFonts w:ascii="宋体" w:hAnsi="宋体" w:eastAsia="宋体"/>
          <w:sz w:val="24"/>
          <w:highlight w:val="none"/>
        </w:rPr>
        <w:t>如果乙方破产导致合同无法履行时，甲方可以书面形式通知乙方终止合同且不给予乙方任何补偿和赔偿</w:t>
      </w:r>
      <w:r>
        <w:rPr>
          <w:rFonts w:hint="eastAsia" w:ascii="宋体" w:hAnsi="宋体" w:eastAsia="宋体"/>
          <w:sz w:val="24"/>
          <w:highlight w:val="none"/>
        </w:rPr>
        <w:t>，但合同的</w:t>
      </w:r>
      <w:r>
        <w:rPr>
          <w:rFonts w:ascii="宋体" w:hAnsi="宋体" w:eastAsia="宋体"/>
          <w:sz w:val="24"/>
          <w:highlight w:val="none"/>
        </w:rPr>
        <w:t>终止不损害或不影响甲方已经采取或将要采取的任何要求乙方支付违约金</w:t>
      </w:r>
      <w:r>
        <w:rPr>
          <w:rFonts w:hint="eastAsia" w:ascii="宋体" w:hAnsi="宋体" w:eastAsia="宋体"/>
          <w:sz w:val="24"/>
          <w:highlight w:val="none"/>
        </w:rPr>
        <w:t>、</w:t>
      </w:r>
      <w:r>
        <w:rPr>
          <w:rFonts w:ascii="宋体" w:hAnsi="宋体" w:eastAsia="宋体"/>
          <w:sz w:val="24"/>
          <w:highlight w:val="none"/>
        </w:rPr>
        <w:t>赔偿损失等的行动或补救措施的权利</w:t>
      </w:r>
      <w:r>
        <w:rPr>
          <w:rFonts w:hint="eastAsia" w:ascii="宋体" w:hAnsi="宋体" w:eastAsia="宋体"/>
          <w:sz w:val="24"/>
          <w:highlight w:val="none"/>
        </w:rPr>
        <w:t>。</w:t>
      </w:r>
    </w:p>
    <w:p w14:paraId="1F482F86">
      <w:pPr>
        <w:spacing w:line="360" w:lineRule="auto"/>
        <w:ind w:firstLine="437"/>
        <w:outlineLvl w:val="2"/>
        <w:rPr>
          <w:rFonts w:ascii="宋体" w:hAnsi="宋体" w:eastAsia="宋体"/>
          <w:b/>
          <w:sz w:val="24"/>
          <w:highlight w:val="none"/>
        </w:rPr>
      </w:pPr>
      <w:bookmarkStart w:id="149" w:name="_Toc29333"/>
      <w:bookmarkStart w:id="150" w:name="_Toc15387"/>
      <w:bookmarkStart w:id="151" w:name="_Toc6134"/>
      <w:r>
        <w:rPr>
          <w:rFonts w:hint="eastAsia" w:ascii="宋体" w:hAnsi="宋体" w:eastAsia="宋体"/>
          <w:b/>
          <w:bCs/>
          <w:sz w:val="24"/>
          <w:highlight w:val="none"/>
          <w:lang w:val="zh-CN"/>
        </w:rPr>
        <w:t>2.1</w:t>
      </w:r>
      <w:r>
        <w:rPr>
          <w:rFonts w:ascii="宋体" w:hAnsi="宋体" w:eastAsia="宋体"/>
          <w:b/>
          <w:bCs/>
          <w:sz w:val="24"/>
          <w:highlight w:val="none"/>
          <w:lang w:val="zh-CN"/>
        </w:rPr>
        <w:t>4</w:t>
      </w:r>
      <w:r>
        <w:rPr>
          <w:rFonts w:hint="eastAsia" w:ascii="宋体" w:hAnsi="宋体" w:eastAsia="宋体"/>
          <w:b/>
          <w:bCs/>
          <w:sz w:val="24"/>
          <w:highlight w:val="none"/>
          <w:lang w:val="zh-CN"/>
        </w:rPr>
        <w:t xml:space="preserve"> 合同中止、终止</w:t>
      </w:r>
      <w:bookmarkEnd w:id="149"/>
      <w:bookmarkEnd w:id="150"/>
      <w:bookmarkEnd w:id="151"/>
    </w:p>
    <w:p w14:paraId="1E449DAB">
      <w:pPr>
        <w:spacing w:line="360" w:lineRule="auto"/>
        <w:ind w:firstLine="435"/>
        <w:rPr>
          <w:rFonts w:ascii="宋体" w:hAnsi="宋体" w:eastAsia="宋体"/>
          <w:sz w:val="24"/>
          <w:highlight w:val="none"/>
        </w:rPr>
      </w:pPr>
      <w:r>
        <w:rPr>
          <w:rFonts w:hint="eastAsia" w:ascii="宋体" w:hAnsi="宋体" w:eastAsia="宋体"/>
          <w:sz w:val="24"/>
          <w:highlight w:val="none"/>
        </w:rPr>
        <w:t>2.1</w:t>
      </w:r>
      <w:r>
        <w:rPr>
          <w:rFonts w:ascii="宋体" w:hAnsi="宋体" w:eastAsia="宋体"/>
          <w:sz w:val="24"/>
          <w:highlight w:val="none"/>
        </w:rPr>
        <w:t>4</w:t>
      </w:r>
      <w:r>
        <w:rPr>
          <w:rFonts w:hint="eastAsia" w:ascii="宋体" w:hAnsi="宋体" w:eastAsia="宋体"/>
          <w:sz w:val="24"/>
          <w:highlight w:val="none"/>
        </w:rPr>
        <w:t>.1双方当事人不得擅自中止或者终止合同；</w:t>
      </w:r>
    </w:p>
    <w:p w14:paraId="1561CC97">
      <w:pPr>
        <w:spacing w:line="360" w:lineRule="auto"/>
        <w:ind w:firstLine="435"/>
        <w:rPr>
          <w:rFonts w:ascii="宋体" w:hAnsi="宋体" w:eastAsia="宋体"/>
          <w:sz w:val="24"/>
          <w:highlight w:val="none"/>
        </w:rPr>
      </w:pPr>
      <w:r>
        <w:rPr>
          <w:rFonts w:hint="eastAsia" w:ascii="宋体" w:hAnsi="宋体" w:eastAsia="宋体"/>
          <w:sz w:val="24"/>
          <w:highlight w:val="none"/>
        </w:rPr>
        <w:t>2.1</w:t>
      </w:r>
      <w:r>
        <w:rPr>
          <w:rFonts w:ascii="宋体" w:hAnsi="宋体" w:eastAsia="宋体"/>
          <w:sz w:val="24"/>
          <w:highlight w:val="none"/>
        </w:rPr>
        <w:t>4</w:t>
      </w:r>
      <w:r>
        <w:rPr>
          <w:rFonts w:hint="eastAsia" w:ascii="宋体" w:hAnsi="宋体" w:eastAsia="宋体"/>
          <w:sz w:val="24"/>
          <w:highlight w:val="none"/>
        </w:rPr>
        <w:t>.2合同继续履行将损害国家利益和社会公共利益的，双方当事人应当中止或者终止合同。有过错的一方应当承担赔偿责任，双方当事人都有过错的，各自承担相应的责任。</w:t>
      </w:r>
    </w:p>
    <w:p w14:paraId="715270E6">
      <w:pPr>
        <w:spacing w:line="360" w:lineRule="auto"/>
        <w:ind w:firstLine="437"/>
        <w:outlineLvl w:val="2"/>
        <w:rPr>
          <w:rFonts w:ascii="宋体" w:hAnsi="宋体" w:eastAsia="宋体"/>
          <w:b/>
          <w:bCs/>
          <w:sz w:val="24"/>
          <w:highlight w:val="none"/>
          <w:lang w:val="zh-CN"/>
        </w:rPr>
      </w:pPr>
      <w:bookmarkStart w:id="152" w:name="_Toc6596"/>
      <w:bookmarkStart w:id="153" w:name="_Toc14563"/>
      <w:bookmarkStart w:id="154" w:name="_Toc1125"/>
      <w:r>
        <w:rPr>
          <w:rFonts w:hint="eastAsia" w:ascii="宋体" w:hAnsi="宋体" w:eastAsia="宋体"/>
          <w:b/>
          <w:bCs/>
          <w:sz w:val="24"/>
          <w:highlight w:val="none"/>
          <w:lang w:val="zh-CN"/>
        </w:rPr>
        <w:t>2.1</w:t>
      </w:r>
      <w:r>
        <w:rPr>
          <w:rFonts w:ascii="宋体" w:hAnsi="宋体" w:eastAsia="宋体"/>
          <w:b/>
          <w:bCs/>
          <w:sz w:val="24"/>
          <w:highlight w:val="none"/>
          <w:lang w:val="zh-CN"/>
        </w:rPr>
        <w:t>5</w:t>
      </w:r>
      <w:r>
        <w:rPr>
          <w:rFonts w:hint="eastAsia" w:ascii="宋体" w:hAnsi="宋体" w:eastAsia="宋体"/>
          <w:b/>
          <w:bCs/>
          <w:sz w:val="24"/>
          <w:highlight w:val="none"/>
          <w:lang w:val="zh-CN"/>
        </w:rPr>
        <w:t xml:space="preserve"> 检验和验收</w:t>
      </w:r>
      <w:bookmarkEnd w:id="152"/>
      <w:bookmarkEnd w:id="153"/>
      <w:bookmarkEnd w:id="154"/>
    </w:p>
    <w:p w14:paraId="32BF249C">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1</w:t>
      </w:r>
      <w:r>
        <w:rPr>
          <w:rFonts w:hint="eastAsia" w:ascii="宋体" w:hAnsi="宋体" w:eastAsia="宋体"/>
          <w:sz w:val="24"/>
          <w:highlight w:val="none"/>
        </w:rPr>
        <w:t>5</w:t>
      </w:r>
      <w:r>
        <w:rPr>
          <w:rFonts w:ascii="宋体" w:hAnsi="宋体" w:eastAsia="宋体"/>
          <w:sz w:val="24"/>
          <w:highlight w:val="none"/>
        </w:rPr>
        <w:t>.</w:t>
      </w:r>
      <w:r>
        <w:rPr>
          <w:rFonts w:hint="eastAsia" w:ascii="宋体" w:hAnsi="宋体" w:eastAsia="宋体"/>
          <w:sz w:val="24"/>
          <w:highlight w:val="none"/>
        </w:rPr>
        <w:t>1乙方按照</w:t>
      </w:r>
      <w:r>
        <w:rPr>
          <w:rFonts w:ascii="宋体" w:hAnsi="宋体" w:eastAsia="宋体"/>
          <w:b/>
          <w:i/>
          <w:sz w:val="24"/>
          <w:highlight w:val="none"/>
          <w:u w:val="single"/>
        </w:rPr>
        <w:t>合同专用条款</w:t>
      </w:r>
      <w:r>
        <w:rPr>
          <w:rFonts w:ascii="宋体" w:hAnsi="宋体" w:eastAsia="宋体"/>
          <w:sz w:val="24"/>
          <w:highlight w:val="none"/>
        </w:rPr>
        <w:t>的约定</w:t>
      </w:r>
      <w:r>
        <w:rPr>
          <w:rFonts w:hint="eastAsia" w:ascii="宋体" w:hAnsi="宋体" w:eastAsia="宋体"/>
          <w:sz w:val="24"/>
          <w:highlight w:val="none"/>
        </w:rPr>
        <w:t>，</w:t>
      </w:r>
      <w:r>
        <w:rPr>
          <w:rFonts w:ascii="宋体" w:hAnsi="宋体" w:eastAsia="宋体"/>
          <w:sz w:val="24"/>
          <w:highlight w:val="none"/>
        </w:rPr>
        <w:t>定期提交服务报告</w:t>
      </w:r>
      <w:r>
        <w:rPr>
          <w:rFonts w:hint="eastAsia" w:ascii="宋体" w:hAnsi="宋体" w:eastAsia="宋体"/>
          <w:sz w:val="24"/>
          <w:highlight w:val="none"/>
        </w:rPr>
        <w:t>，甲方按照</w:t>
      </w:r>
      <w:r>
        <w:rPr>
          <w:rFonts w:ascii="宋体" w:hAnsi="宋体" w:eastAsia="宋体"/>
          <w:b/>
          <w:i/>
          <w:sz w:val="24"/>
          <w:highlight w:val="none"/>
          <w:u w:val="single"/>
        </w:rPr>
        <w:t>合同专用条款</w:t>
      </w:r>
      <w:r>
        <w:rPr>
          <w:rFonts w:ascii="宋体" w:hAnsi="宋体" w:eastAsia="宋体"/>
          <w:sz w:val="24"/>
          <w:highlight w:val="none"/>
        </w:rPr>
        <w:t>的约定进行定期验收</w:t>
      </w:r>
      <w:r>
        <w:rPr>
          <w:rFonts w:hint="eastAsia" w:ascii="宋体" w:hAnsi="宋体" w:eastAsia="宋体"/>
          <w:sz w:val="24"/>
          <w:highlight w:val="none"/>
        </w:rPr>
        <w:t>；</w:t>
      </w:r>
    </w:p>
    <w:p w14:paraId="5BCE0D41">
      <w:pPr>
        <w:spacing w:line="360" w:lineRule="auto"/>
        <w:ind w:firstLine="435"/>
        <w:rPr>
          <w:rFonts w:ascii="宋体" w:hAnsi="宋体" w:eastAsia="宋体"/>
          <w:sz w:val="24"/>
          <w:highlight w:val="none"/>
        </w:rPr>
      </w:pPr>
      <w:r>
        <w:rPr>
          <w:rFonts w:hint="eastAsia" w:ascii="宋体" w:hAnsi="宋体" w:eastAsia="宋体"/>
          <w:sz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525779A">
      <w:pPr>
        <w:spacing w:line="360" w:lineRule="auto"/>
        <w:ind w:firstLine="435"/>
        <w:rPr>
          <w:rFonts w:ascii="宋体" w:hAnsi="宋体" w:eastAsia="宋体"/>
          <w:sz w:val="24"/>
          <w:highlight w:val="none"/>
        </w:rPr>
      </w:pPr>
      <w:r>
        <w:rPr>
          <w:rFonts w:hint="eastAsia" w:ascii="宋体" w:hAnsi="宋体" w:eastAsia="宋体"/>
          <w:sz w:val="24"/>
          <w:highlight w:val="none"/>
        </w:rPr>
        <w:t>2.15.3检验和验收标准、程序等具体内容以及前述验收书的效力详见</w:t>
      </w:r>
      <w:r>
        <w:rPr>
          <w:rFonts w:ascii="宋体" w:hAnsi="宋体" w:eastAsia="宋体"/>
          <w:b/>
          <w:i/>
          <w:sz w:val="24"/>
          <w:highlight w:val="none"/>
          <w:u w:val="single"/>
        </w:rPr>
        <w:t>合同专用条款</w:t>
      </w:r>
      <w:r>
        <w:rPr>
          <w:rFonts w:hint="eastAsia" w:ascii="宋体" w:hAnsi="宋体" w:eastAsia="宋体"/>
          <w:i/>
          <w:sz w:val="24"/>
          <w:highlight w:val="none"/>
        </w:rPr>
        <w:t>。</w:t>
      </w:r>
    </w:p>
    <w:bookmarkEnd w:id="124"/>
    <w:bookmarkEnd w:id="125"/>
    <w:bookmarkEnd w:id="126"/>
    <w:bookmarkEnd w:id="127"/>
    <w:p w14:paraId="37BB26B5">
      <w:pPr>
        <w:spacing w:line="360" w:lineRule="auto"/>
        <w:ind w:firstLine="437"/>
        <w:outlineLvl w:val="2"/>
        <w:rPr>
          <w:rFonts w:ascii="宋体" w:hAnsi="宋体" w:eastAsia="宋体"/>
          <w:b/>
          <w:bCs/>
          <w:sz w:val="24"/>
          <w:highlight w:val="none"/>
        </w:rPr>
      </w:pPr>
      <w:bookmarkStart w:id="155" w:name="_Toc279701263"/>
      <w:bookmarkStart w:id="156" w:name="_Toc18567"/>
      <w:bookmarkStart w:id="157" w:name="_Toc12773"/>
      <w:bookmarkStart w:id="158" w:name="_Toc10330"/>
      <w:bookmarkStart w:id="159" w:name="_Toc487900373"/>
      <w:bookmarkStart w:id="160" w:name="_Toc259093692"/>
      <w:r>
        <w:rPr>
          <w:rFonts w:hint="eastAsia" w:ascii="宋体" w:hAnsi="宋体" w:eastAsia="宋体"/>
          <w:b/>
          <w:bCs/>
          <w:sz w:val="24"/>
          <w:highlight w:val="none"/>
        </w:rPr>
        <w:t>2.</w:t>
      </w:r>
      <w:r>
        <w:rPr>
          <w:rFonts w:ascii="宋体" w:hAnsi="宋体" w:eastAsia="宋体"/>
          <w:b/>
          <w:bCs/>
          <w:sz w:val="24"/>
          <w:highlight w:val="none"/>
        </w:rPr>
        <w:t>16</w:t>
      </w:r>
      <w:r>
        <w:rPr>
          <w:rFonts w:hint="eastAsia" w:ascii="宋体" w:hAnsi="宋体" w:eastAsia="宋体"/>
          <w:b/>
          <w:bCs/>
          <w:sz w:val="24"/>
          <w:highlight w:val="none"/>
        </w:rPr>
        <w:t xml:space="preserve"> </w:t>
      </w:r>
      <w:r>
        <w:rPr>
          <w:rFonts w:hint="eastAsia" w:ascii="宋体" w:hAnsi="宋体" w:eastAsia="宋体"/>
          <w:b/>
          <w:bCs/>
          <w:sz w:val="24"/>
          <w:highlight w:val="none"/>
          <w:lang w:val="zh-CN"/>
        </w:rPr>
        <w:t>合同使用的文字和</w:t>
      </w:r>
      <w:r>
        <w:rPr>
          <w:rFonts w:ascii="宋体" w:hAnsi="宋体" w:eastAsia="宋体"/>
          <w:b/>
          <w:bCs/>
          <w:sz w:val="24"/>
          <w:highlight w:val="none"/>
          <w:lang w:val="zh-CN"/>
        </w:rPr>
        <w:t>适用的法律</w:t>
      </w:r>
      <w:bookmarkEnd w:id="155"/>
      <w:bookmarkEnd w:id="156"/>
      <w:bookmarkEnd w:id="157"/>
      <w:bookmarkEnd w:id="158"/>
      <w:bookmarkEnd w:id="159"/>
      <w:bookmarkEnd w:id="160"/>
    </w:p>
    <w:p w14:paraId="1189C0CF">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16.1合同使用汉语书就</w:t>
      </w:r>
      <w:r>
        <w:rPr>
          <w:rFonts w:hint="eastAsia" w:ascii="宋体" w:hAnsi="宋体" w:eastAsia="宋体"/>
          <w:sz w:val="24"/>
          <w:highlight w:val="none"/>
        </w:rPr>
        <w:t>、</w:t>
      </w:r>
      <w:r>
        <w:rPr>
          <w:rFonts w:ascii="宋体" w:hAnsi="宋体" w:eastAsia="宋体"/>
          <w:sz w:val="24"/>
          <w:highlight w:val="none"/>
        </w:rPr>
        <w:t>变更和解释</w:t>
      </w:r>
      <w:r>
        <w:rPr>
          <w:rFonts w:hint="eastAsia" w:ascii="宋体" w:hAnsi="宋体" w:eastAsia="宋体"/>
          <w:sz w:val="24"/>
          <w:highlight w:val="none"/>
        </w:rPr>
        <w:t>；</w:t>
      </w:r>
    </w:p>
    <w:p w14:paraId="4CA65331">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16</w:t>
      </w:r>
      <w:r>
        <w:rPr>
          <w:rFonts w:hint="eastAsia" w:ascii="宋体" w:hAnsi="宋体" w:eastAsia="宋体"/>
          <w:sz w:val="24"/>
          <w:highlight w:val="none"/>
        </w:rPr>
        <w:t>.2合同适用</w:t>
      </w:r>
      <w:r>
        <w:rPr>
          <w:rFonts w:ascii="宋体" w:hAnsi="宋体" w:eastAsia="宋体"/>
          <w:sz w:val="24"/>
          <w:highlight w:val="none"/>
        </w:rPr>
        <w:t>中华人民共和国法律。</w:t>
      </w:r>
    </w:p>
    <w:p w14:paraId="0F595E4B">
      <w:pPr>
        <w:spacing w:line="360" w:lineRule="auto"/>
        <w:ind w:firstLine="437"/>
        <w:outlineLvl w:val="2"/>
        <w:rPr>
          <w:rFonts w:ascii="宋体" w:hAnsi="宋体" w:eastAsia="宋体"/>
          <w:b/>
          <w:sz w:val="24"/>
          <w:highlight w:val="none"/>
        </w:rPr>
      </w:pPr>
      <w:bookmarkStart w:id="161" w:name="_Toc259093693"/>
      <w:bookmarkStart w:id="162" w:name="_Toc3148"/>
      <w:bookmarkStart w:id="163" w:name="_Toc279701264"/>
      <w:bookmarkStart w:id="164" w:name="_Toc12004"/>
      <w:bookmarkStart w:id="165" w:name="_Toc16673"/>
      <w:bookmarkStart w:id="166" w:name="_Toc487900374"/>
      <w:r>
        <w:rPr>
          <w:rFonts w:hint="eastAsia" w:ascii="宋体" w:hAnsi="宋体" w:eastAsia="宋体"/>
          <w:b/>
          <w:bCs/>
          <w:sz w:val="24"/>
          <w:highlight w:val="none"/>
          <w:lang w:val="zh-CN"/>
        </w:rPr>
        <w:t>2.</w:t>
      </w:r>
      <w:r>
        <w:rPr>
          <w:rFonts w:ascii="宋体" w:hAnsi="宋体" w:eastAsia="宋体"/>
          <w:b/>
          <w:bCs/>
          <w:sz w:val="24"/>
          <w:highlight w:val="none"/>
          <w:lang w:val="zh-CN"/>
        </w:rPr>
        <w:t>17</w:t>
      </w:r>
      <w:r>
        <w:rPr>
          <w:rFonts w:hint="eastAsia" w:ascii="宋体" w:hAnsi="宋体" w:eastAsia="宋体"/>
          <w:b/>
          <w:bCs/>
          <w:sz w:val="24"/>
          <w:highlight w:val="none"/>
          <w:lang w:val="zh-CN"/>
        </w:rPr>
        <w:t xml:space="preserve"> </w:t>
      </w:r>
      <w:r>
        <w:rPr>
          <w:rFonts w:ascii="宋体" w:hAnsi="宋体" w:eastAsia="宋体"/>
          <w:b/>
          <w:bCs/>
          <w:sz w:val="24"/>
          <w:highlight w:val="none"/>
          <w:lang w:val="zh-CN"/>
        </w:rPr>
        <w:t>履约保证金</w:t>
      </w:r>
      <w:bookmarkEnd w:id="161"/>
      <w:bookmarkEnd w:id="162"/>
      <w:bookmarkEnd w:id="163"/>
      <w:bookmarkEnd w:id="164"/>
      <w:bookmarkEnd w:id="165"/>
    </w:p>
    <w:p w14:paraId="42883DB8">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17</w:t>
      </w:r>
      <w:r>
        <w:rPr>
          <w:rFonts w:hint="eastAsia" w:ascii="宋体" w:hAnsi="宋体" w:eastAsia="宋体"/>
          <w:sz w:val="24"/>
          <w:highlight w:val="none"/>
        </w:rPr>
        <w:t>.1采购文件要求乙方提交履约保证金的，乙方</w:t>
      </w:r>
      <w:r>
        <w:rPr>
          <w:rFonts w:ascii="宋体" w:hAnsi="宋体" w:eastAsia="宋体"/>
          <w:sz w:val="24"/>
          <w:highlight w:val="none"/>
        </w:rPr>
        <w:t>应按</w:t>
      </w:r>
      <w:r>
        <w:rPr>
          <w:rFonts w:ascii="宋体" w:hAnsi="宋体" w:eastAsia="宋体"/>
          <w:b/>
          <w:i/>
          <w:sz w:val="24"/>
          <w:highlight w:val="none"/>
          <w:u w:val="single"/>
        </w:rPr>
        <w:t>合同专用条款</w:t>
      </w:r>
      <w:r>
        <w:rPr>
          <w:rFonts w:ascii="宋体" w:hAnsi="宋体" w:eastAsia="宋体"/>
          <w:sz w:val="24"/>
          <w:highlight w:val="none"/>
        </w:rPr>
        <w:t>约定的方式</w:t>
      </w:r>
      <w:r>
        <w:rPr>
          <w:rFonts w:hint="eastAsia" w:ascii="宋体" w:hAnsi="宋体" w:eastAsia="宋体"/>
          <w:sz w:val="24"/>
          <w:highlight w:val="none"/>
        </w:rPr>
        <w:t>，以支票、汇票、本票或者金融机构、担保机构出具的保函等非现金形式提交；</w:t>
      </w:r>
    </w:p>
    <w:p w14:paraId="4231D940">
      <w:pPr>
        <w:spacing w:line="360" w:lineRule="auto"/>
        <w:ind w:firstLine="435"/>
        <w:rPr>
          <w:rFonts w:hint="eastAsia" w:ascii="宋体" w:hAnsi="宋体" w:eastAsia="宋体"/>
          <w:sz w:val="24"/>
          <w:highlight w:val="none"/>
          <w:lang w:eastAsia="zh-CN"/>
        </w:rPr>
      </w:pPr>
      <w:r>
        <w:rPr>
          <w:rFonts w:hint="eastAsia" w:ascii="宋体" w:hAnsi="宋体" w:eastAsia="宋体"/>
          <w:sz w:val="24"/>
          <w:highlight w:val="none"/>
        </w:rPr>
        <w:t>2.</w:t>
      </w:r>
      <w:r>
        <w:rPr>
          <w:rFonts w:ascii="宋体" w:hAnsi="宋体" w:eastAsia="宋体"/>
          <w:sz w:val="24"/>
          <w:highlight w:val="none"/>
        </w:rPr>
        <w:t>17.2履约保证金在</w:t>
      </w:r>
      <w:r>
        <w:rPr>
          <w:rFonts w:ascii="宋体" w:hAnsi="宋体" w:eastAsia="宋体"/>
          <w:b/>
          <w:i/>
          <w:sz w:val="24"/>
          <w:highlight w:val="none"/>
          <w:u w:val="single"/>
        </w:rPr>
        <w:t>合同专用条款</w:t>
      </w:r>
      <w:r>
        <w:rPr>
          <w:rFonts w:ascii="宋体" w:hAnsi="宋体" w:eastAsia="宋体"/>
          <w:sz w:val="24"/>
          <w:highlight w:val="none"/>
        </w:rPr>
        <w:t>约定期间内不予退还或者应完全有效</w:t>
      </w:r>
      <w:r>
        <w:rPr>
          <w:rFonts w:hint="eastAsia" w:ascii="宋体" w:hAnsi="宋体" w:eastAsia="宋体"/>
          <w:sz w:val="24"/>
          <w:highlight w:val="none"/>
        </w:rPr>
        <w:t>，前述约定期间届满</w:t>
      </w:r>
      <w:r>
        <w:rPr>
          <w:rFonts w:ascii="宋体" w:hAnsi="宋体" w:eastAsia="宋体"/>
          <w:sz w:val="24"/>
          <w:highlight w:val="none"/>
        </w:rPr>
        <w:t>之日起</w:t>
      </w:r>
      <w:r>
        <w:rPr>
          <w:rFonts w:hint="eastAsia" w:ascii="宋体" w:hAnsi="宋体" w:eastAsia="宋体"/>
          <w:sz w:val="24"/>
          <w:highlight w:val="none"/>
          <w:u w:val="single"/>
        </w:rPr>
        <w:t xml:space="preserve"> </w:t>
      </w:r>
      <w:r>
        <w:rPr>
          <w:rFonts w:ascii="宋体" w:hAnsi="宋体" w:eastAsia="宋体"/>
          <w:sz w:val="24"/>
          <w:highlight w:val="none"/>
          <w:u w:val="single"/>
        </w:rPr>
        <w:t xml:space="preserve"> </w:t>
      </w:r>
      <w:r>
        <w:rPr>
          <w:rFonts w:hint="eastAsia" w:ascii="宋体" w:hAnsi="宋体" w:eastAsia="宋体"/>
          <w:sz w:val="24"/>
          <w:highlight w:val="none"/>
          <w:u w:val="single"/>
        </w:rPr>
        <w:t xml:space="preserve"> </w:t>
      </w:r>
      <w:r>
        <w:rPr>
          <w:rFonts w:hint="eastAsia" w:ascii="宋体" w:hAnsi="宋体" w:eastAsia="宋体"/>
          <w:sz w:val="24"/>
          <w:highlight w:val="none"/>
        </w:rPr>
        <w:t>个</w:t>
      </w:r>
      <w:r>
        <w:rPr>
          <w:rFonts w:ascii="宋体" w:hAnsi="宋体" w:eastAsia="宋体"/>
          <w:sz w:val="24"/>
          <w:highlight w:val="none"/>
        </w:rPr>
        <w:t>工作日内，甲方应将履约保证金退还乙方</w:t>
      </w:r>
      <w:r>
        <w:rPr>
          <w:rFonts w:hint="eastAsia" w:ascii="宋体" w:hAnsi="宋体" w:eastAsia="宋体"/>
          <w:sz w:val="24"/>
          <w:highlight w:val="none"/>
          <w:lang w:eastAsia="zh-CN"/>
        </w:rPr>
        <w:t>，</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甲方</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逾期退还履约保证金</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应承担违约责任。</w:t>
      </w:r>
    </w:p>
    <w:p w14:paraId="7F3F93E5">
      <w:pPr>
        <w:spacing w:line="360" w:lineRule="auto"/>
        <w:ind w:firstLine="435"/>
        <w:rPr>
          <w:rFonts w:ascii="宋体" w:hAnsi="宋体" w:eastAsia="宋体"/>
          <w:sz w:val="24"/>
          <w:highlight w:val="none"/>
        </w:rPr>
      </w:pPr>
      <w:r>
        <w:rPr>
          <w:rFonts w:hint="eastAsia" w:ascii="宋体" w:hAnsi="宋体" w:eastAsia="宋体"/>
          <w:sz w:val="24"/>
          <w:highlight w:val="none"/>
        </w:rPr>
        <w:t>2.</w:t>
      </w:r>
      <w:r>
        <w:rPr>
          <w:rFonts w:ascii="宋体" w:hAnsi="宋体" w:eastAsia="宋体"/>
          <w:sz w:val="24"/>
          <w:highlight w:val="none"/>
        </w:rPr>
        <w:t>17</w:t>
      </w:r>
      <w:r>
        <w:rPr>
          <w:rFonts w:hint="eastAsia" w:ascii="宋体" w:hAnsi="宋体" w:eastAsia="宋体"/>
          <w:sz w:val="24"/>
          <w:highlight w:val="none"/>
        </w:rPr>
        <w:t>.3</w:t>
      </w:r>
      <w:r>
        <w:rPr>
          <w:rFonts w:ascii="宋体" w:hAnsi="宋体" w:eastAsia="宋体"/>
          <w:sz w:val="24"/>
          <w:highlight w:val="none"/>
        </w:rPr>
        <w:t>如果乙方不履行合同</w:t>
      </w:r>
      <w:r>
        <w:rPr>
          <w:rFonts w:hint="eastAsia" w:ascii="宋体" w:hAnsi="宋体" w:eastAsia="宋体"/>
          <w:sz w:val="24"/>
          <w:highlight w:val="none"/>
        </w:rPr>
        <w:t>，履约保证金不予退还；如果乙方</w:t>
      </w:r>
      <w:r>
        <w:rPr>
          <w:rFonts w:ascii="宋体" w:hAnsi="宋体" w:eastAsia="宋体"/>
          <w:sz w:val="24"/>
          <w:highlight w:val="none"/>
        </w:rPr>
        <w:t>未能按合同</w:t>
      </w:r>
      <w:r>
        <w:rPr>
          <w:rFonts w:hint="eastAsia" w:ascii="宋体" w:hAnsi="宋体" w:eastAsia="宋体"/>
          <w:sz w:val="24"/>
          <w:highlight w:val="none"/>
        </w:rPr>
        <w:t>约</w:t>
      </w:r>
      <w:r>
        <w:rPr>
          <w:rFonts w:ascii="宋体" w:hAnsi="宋体" w:eastAsia="宋体"/>
          <w:sz w:val="24"/>
          <w:highlight w:val="none"/>
        </w:rPr>
        <w:t>定全面履行义务，那么甲方有权从履约保证金中取得补偿或赔偿</w:t>
      </w:r>
      <w:r>
        <w:rPr>
          <w:rFonts w:hint="eastAsia" w:ascii="宋体" w:hAnsi="宋体" w:eastAsia="宋体"/>
          <w:sz w:val="24"/>
          <w:highlight w:val="none"/>
        </w:rPr>
        <w:t>，同时不影响甲方要求乙方承担合同约定的超过履约保证金的违约责任的权利。</w:t>
      </w:r>
    </w:p>
    <w:bookmarkEnd w:id="166"/>
    <w:p w14:paraId="5CB33DBE">
      <w:pPr>
        <w:spacing w:line="360" w:lineRule="auto"/>
        <w:ind w:firstLine="437"/>
        <w:outlineLvl w:val="2"/>
        <w:rPr>
          <w:rFonts w:ascii="宋体" w:hAnsi="宋体" w:eastAsia="宋体"/>
          <w:b/>
          <w:sz w:val="24"/>
          <w:highlight w:val="none"/>
        </w:rPr>
      </w:pPr>
      <w:bookmarkStart w:id="167" w:name="_Toc6885"/>
      <w:bookmarkStart w:id="168" w:name="_Toc19890"/>
      <w:bookmarkStart w:id="169" w:name="_Toc14001"/>
      <w:r>
        <w:rPr>
          <w:rFonts w:hint="eastAsia" w:ascii="宋体" w:hAnsi="宋体" w:eastAsia="宋体"/>
          <w:b/>
          <w:bCs/>
          <w:sz w:val="24"/>
          <w:highlight w:val="none"/>
          <w:lang w:val="zh-CN"/>
        </w:rPr>
        <w:t>2.</w:t>
      </w:r>
      <w:r>
        <w:rPr>
          <w:rFonts w:ascii="宋体" w:hAnsi="宋体" w:eastAsia="宋体"/>
          <w:b/>
          <w:bCs/>
          <w:sz w:val="24"/>
          <w:highlight w:val="none"/>
          <w:lang w:val="zh-CN"/>
        </w:rPr>
        <w:t>18</w:t>
      </w:r>
      <w:r>
        <w:rPr>
          <w:rFonts w:hint="eastAsia" w:ascii="宋体" w:hAnsi="宋体" w:eastAsia="宋体"/>
          <w:b/>
          <w:bCs/>
          <w:sz w:val="24"/>
          <w:highlight w:val="none"/>
          <w:lang w:val="zh-CN"/>
        </w:rPr>
        <w:t xml:space="preserve"> 合同份数</w:t>
      </w:r>
      <w:bookmarkEnd w:id="167"/>
      <w:bookmarkEnd w:id="168"/>
      <w:bookmarkEnd w:id="169"/>
    </w:p>
    <w:p w14:paraId="588AEA31">
      <w:pPr>
        <w:spacing w:line="360" w:lineRule="auto"/>
        <w:ind w:firstLine="435"/>
        <w:rPr>
          <w:rFonts w:ascii="宋体" w:hAnsi="宋体" w:eastAsia="宋体"/>
          <w:sz w:val="24"/>
          <w:highlight w:val="none"/>
        </w:rPr>
      </w:pPr>
      <w:r>
        <w:rPr>
          <w:rFonts w:ascii="宋体" w:hAnsi="宋体" w:eastAsia="宋体"/>
          <w:sz w:val="24"/>
          <w:highlight w:val="none"/>
        </w:rPr>
        <w:t>合同份数按</w:t>
      </w:r>
      <w:r>
        <w:rPr>
          <w:rFonts w:ascii="宋体" w:hAnsi="宋体" w:eastAsia="宋体"/>
          <w:b/>
          <w:i/>
          <w:sz w:val="24"/>
          <w:highlight w:val="none"/>
          <w:u w:val="single"/>
        </w:rPr>
        <w:t>合同专用条款</w:t>
      </w:r>
      <w:r>
        <w:rPr>
          <w:rFonts w:ascii="宋体" w:hAnsi="宋体" w:eastAsia="宋体"/>
          <w:sz w:val="24"/>
          <w:highlight w:val="none"/>
        </w:rPr>
        <w:t>规定</w:t>
      </w:r>
      <w:r>
        <w:rPr>
          <w:rFonts w:hint="eastAsia" w:ascii="宋体" w:hAnsi="宋体" w:eastAsia="宋体"/>
          <w:sz w:val="24"/>
          <w:highlight w:val="none"/>
        </w:rPr>
        <w:t>，</w:t>
      </w:r>
      <w:r>
        <w:rPr>
          <w:rFonts w:ascii="宋体" w:hAnsi="宋体" w:eastAsia="宋体"/>
          <w:sz w:val="24"/>
          <w:highlight w:val="none"/>
        </w:rPr>
        <w:t>每份均具有同等法律效力</w:t>
      </w:r>
      <w:r>
        <w:rPr>
          <w:rFonts w:hint="eastAsia" w:ascii="宋体" w:hAnsi="宋体" w:eastAsia="宋体"/>
          <w:sz w:val="24"/>
          <w:highlight w:val="none"/>
        </w:rPr>
        <w:t>。</w:t>
      </w:r>
    </w:p>
    <w:p w14:paraId="25CBC3B3">
      <w:pPr>
        <w:spacing w:line="360" w:lineRule="auto"/>
        <w:jc w:val="center"/>
        <w:outlineLvl w:val="1"/>
        <w:rPr>
          <w:rFonts w:ascii="宋体" w:hAnsi="宋体" w:eastAsia="宋体"/>
          <w:b/>
          <w:sz w:val="24"/>
          <w:highlight w:val="none"/>
        </w:rPr>
      </w:pPr>
      <w:r>
        <w:rPr>
          <w:rFonts w:ascii="宋体" w:hAnsi="宋体" w:eastAsia="宋体"/>
          <w:sz w:val="24"/>
          <w:highlight w:val="none"/>
        </w:rPr>
        <w:br w:type="page"/>
      </w:r>
      <w:bookmarkStart w:id="170" w:name="_Toc331685784"/>
      <w:r>
        <w:rPr>
          <w:rFonts w:hint="eastAsia" w:ascii="宋体" w:hAnsi="宋体" w:eastAsia="宋体"/>
          <w:b/>
          <w:sz w:val="24"/>
          <w:highlight w:val="none"/>
        </w:rPr>
        <w:t>第三部分</w:t>
      </w:r>
      <w:r>
        <w:rPr>
          <w:rFonts w:ascii="宋体" w:hAnsi="宋体" w:eastAsia="宋体"/>
          <w:b/>
          <w:sz w:val="24"/>
          <w:highlight w:val="none"/>
        </w:rPr>
        <w:t xml:space="preserve"> </w:t>
      </w:r>
      <w:r>
        <w:rPr>
          <w:rFonts w:hint="eastAsia" w:ascii="宋体" w:hAnsi="宋体" w:eastAsia="宋体"/>
          <w:b/>
          <w:sz w:val="24"/>
          <w:highlight w:val="none"/>
        </w:rPr>
        <w:t>合同专用条款</w:t>
      </w:r>
      <w:bookmarkEnd w:id="170"/>
    </w:p>
    <w:p w14:paraId="681DD672">
      <w:pPr>
        <w:spacing w:line="360" w:lineRule="auto"/>
        <w:ind w:firstLine="435"/>
        <w:rPr>
          <w:rFonts w:ascii="宋体" w:hAnsi="宋体" w:eastAsia="宋体"/>
          <w:sz w:val="24"/>
          <w:highlight w:val="none"/>
        </w:rPr>
      </w:pPr>
      <w:r>
        <w:rPr>
          <w:rFonts w:hint="eastAsia" w:ascii="宋体" w:hAnsi="宋体" w:eastAsia="宋体"/>
          <w:sz w:val="24"/>
          <w:highlight w:val="none"/>
        </w:rPr>
        <w:t>本部分</w:t>
      </w:r>
      <w:r>
        <w:rPr>
          <w:rFonts w:ascii="宋体" w:hAnsi="宋体" w:eastAsia="宋体"/>
          <w:sz w:val="24"/>
          <w:highlight w:val="none"/>
        </w:rPr>
        <w:t>是对</w:t>
      </w:r>
      <w:r>
        <w:rPr>
          <w:rFonts w:hint="eastAsia" w:ascii="宋体" w:hAnsi="宋体" w:eastAsia="宋体"/>
          <w:sz w:val="24"/>
          <w:highlight w:val="none"/>
        </w:rPr>
        <w:t>前两</w:t>
      </w:r>
      <w:r>
        <w:rPr>
          <w:rFonts w:ascii="宋体" w:hAnsi="宋体" w:eastAsia="宋体"/>
          <w:sz w:val="24"/>
          <w:highlight w:val="none"/>
        </w:rPr>
        <w:t>部分的补充和修改</w:t>
      </w:r>
      <w:r>
        <w:rPr>
          <w:rFonts w:hint="eastAsia" w:ascii="宋体" w:hAnsi="宋体" w:eastAsia="宋体"/>
          <w:sz w:val="24"/>
          <w:highlight w:val="none"/>
        </w:rPr>
        <w:t>，</w:t>
      </w:r>
      <w:r>
        <w:rPr>
          <w:rFonts w:ascii="宋体" w:hAnsi="宋体" w:eastAsia="宋体"/>
          <w:sz w:val="24"/>
          <w:highlight w:val="none"/>
        </w:rPr>
        <w:t>如果</w:t>
      </w:r>
      <w:r>
        <w:rPr>
          <w:rFonts w:hint="eastAsia" w:ascii="宋体" w:hAnsi="宋体" w:eastAsia="宋体"/>
          <w:sz w:val="24"/>
          <w:highlight w:val="none"/>
        </w:rPr>
        <w:t>前两</w:t>
      </w:r>
      <w:r>
        <w:rPr>
          <w:rFonts w:ascii="宋体" w:hAnsi="宋体" w:eastAsia="宋体"/>
          <w:sz w:val="24"/>
          <w:highlight w:val="none"/>
        </w:rPr>
        <w:t>部分和本部分的约定不一致</w:t>
      </w:r>
      <w:r>
        <w:rPr>
          <w:rFonts w:hint="eastAsia" w:ascii="宋体" w:hAnsi="宋体" w:eastAsia="宋体"/>
          <w:sz w:val="24"/>
          <w:highlight w:val="none"/>
        </w:rPr>
        <w:t>，</w:t>
      </w:r>
      <w:r>
        <w:rPr>
          <w:rFonts w:ascii="宋体" w:hAnsi="宋体" w:eastAsia="宋体"/>
          <w:sz w:val="24"/>
          <w:highlight w:val="none"/>
        </w:rPr>
        <w:t>应以本部分的约定为准</w:t>
      </w:r>
      <w:r>
        <w:rPr>
          <w:rFonts w:hint="eastAsia" w:ascii="宋体" w:hAnsi="宋体" w:eastAsia="宋体"/>
          <w:sz w:val="24"/>
          <w:highlight w:val="none"/>
        </w:rPr>
        <w:t>。</w:t>
      </w:r>
      <w:r>
        <w:rPr>
          <w:rFonts w:ascii="宋体" w:hAnsi="宋体" w:eastAsia="宋体"/>
          <w:sz w:val="24"/>
          <w:highlight w:val="none"/>
        </w:rPr>
        <w:t>本部分的条款号应与</w:t>
      </w:r>
      <w:r>
        <w:rPr>
          <w:rFonts w:hint="eastAsia" w:ascii="宋体" w:hAnsi="宋体" w:eastAsia="宋体"/>
          <w:sz w:val="24"/>
          <w:highlight w:val="none"/>
        </w:rPr>
        <w:t>前两部分</w:t>
      </w:r>
      <w:r>
        <w:rPr>
          <w:rFonts w:ascii="宋体" w:hAnsi="宋体" w:eastAsia="宋体"/>
          <w:sz w:val="24"/>
          <w:highlight w:val="none"/>
        </w:rPr>
        <w:t>的条款号保持对应</w:t>
      </w:r>
      <w:r>
        <w:rPr>
          <w:rFonts w:hint="eastAsia" w:ascii="宋体" w:hAnsi="宋体" w:eastAsia="宋体"/>
          <w:sz w:val="24"/>
          <w:highlight w:val="none"/>
        </w:rPr>
        <w:t>；与前两部分</w:t>
      </w:r>
      <w:r>
        <w:rPr>
          <w:rFonts w:ascii="宋体" w:hAnsi="宋体" w:eastAsia="宋体"/>
          <w:sz w:val="24"/>
          <w:highlight w:val="none"/>
        </w:rPr>
        <w:t>无对应关系的内容可另行编制条款号</w:t>
      </w:r>
      <w:r>
        <w:rPr>
          <w:rFonts w:hint="eastAsia" w:ascii="宋体" w:hAnsi="宋体" w:eastAsia="宋体"/>
          <w:sz w:val="24"/>
          <w:highlight w:val="none"/>
        </w:rPr>
        <w:t>。</w:t>
      </w:r>
    </w:p>
    <w:tbl>
      <w:tblPr>
        <w:tblStyle w:val="2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93"/>
        <w:gridCol w:w="7569"/>
      </w:tblGrid>
      <w:tr w14:paraId="4BEE6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474" w:type="pct"/>
            <w:tcBorders>
              <w:left w:val="single" w:color="auto" w:sz="4" w:space="0"/>
            </w:tcBorders>
            <w:vAlign w:val="center"/>
          </w:tcPr>
          <w:p w14:paraId="60B3E8E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b/>
                <w:sz w:val="24"/>
                <w:highlight w:val="none"/>
              </w:rPr>
            </w:pPr>
            <w:r>
              <w:rPr>
                <w:rFonts w:ascii="宋体" w:hAnsi="宋体" w:eastAsia="宋体"/>
                <w:b/>
                <w:sz w:val="24"/>
                <w:highlight w:val="none"/>
              </w:rPr>
              <w:t>条款号</w:t>
            </w:r>
          </w:p>
        </w:tc>
        <w:tc>
          <w:tcPr>
            <w:tcW w:w="4525" w:type="pct"/>
            <w:vAlign w:val="center"/>
          </w:tcPr>
          <w:p w14:paraId="68518FC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b/>
                <w:sz w:val="24"/>
                <w:highlight w:val="none"/>
              </w:rPr>
            </w:pPr>
            <w:r>
              <w:rPr>
                <w:rFonts w:ascii="宋体" w:hAnsi="宋体" w:eastAsia="宋体"/>
                <w:b/>
                <w:sz w:val="24"/>
                <w:highlight w:val="none"/>
              </w:rPr>
              <w:t>约定内容</w:t>
            </w:r>
          </w:p>
        </w:tc>
      </w:tr>
      <w:tr w14:paraId="0CF24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474" w:type="pct"/>
            <w:tcBorders>
              <w:left w:val="single" w:color="auto" w:sz="4" w:space="0"/>
            </w:tcBorders>
            <w:vAlign w:val="center"/>
          </w:tcPr>
          <w:p w14:paraId="3F163A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sz w:val="24"/>
                <w:highlight w:val="none"/>
                <w:lang w:val="en-US" w:eastAsia="zh-CN"/>
              </w:rPr>
            </w:pPr>
            <w:r>
              <w:rPr>
                <w:rFonts w:hint="eastAsia" w:ascii="宋体" w:hAnsi="宋体" w:eastAsia="宋体"/>
                <w:sz w:val="24"/>
                <w:highlight w:val="none"/>
                <w:lang w:val="en-US" w:eastAsia="zh-CN"/>
              </w:rPr>
              <w:t>2.5</w:t>
            </w:r>
          </w:p>
        </w:tc>
        <w:tc>
          <w:tcPr>
            <w:tcW w:w="4525" w:type="pct"/>
            <w:vAlign w:val="center"/>
          </w:tcPr>
          <w:p w14:paraId="786F4F40">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highlight w:val="none"/>
              </w:rPr>
            </w:pP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合同签订生效并具备实施条件后5个工作日内支付合同金额的40%作为预付款；2026年度服务期满后甲方按照年度综合考核结果情况，支付费用（扣除预付款部分）；2027年度服务期内甲方按照每半年度（6个月）综合考核结果情况，按半年度（6个月）支付费用。每年的具体考核细则待项目实施阶段由甲方制定。</w:t>
            </w:r>
          </w:p>
        </w:tc>
      </w:tr>
      <w:tr w14:paraId="73640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4" w:type="pct"/>
            <w:tcBorders>
              <w:left w:val="single" w:color="auto" w:sz="4" w:space="0"/>
            </w:tcBorders>
            <w:vAlign w:val="center"/>
          </w:tcPr>
          <w:p w14:paraId="4FD3D7F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sz w:val="24"/>
                <w:highlight w:val="none"/>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2.11.3</w:t>
            </w:r>
          </w:p>
        </w:tc>
        <w:tc>
          <w:tcPr>
            <w:tcW w:w="7569" w:type="dxa"/>
            <w:vAlign w:val="center"/>
          </w:tcPr>
          <w:p w14:paraId="7BF48B34">
            <w:pPr>
              <w:spacing w:line="440" w:lineRule="exact"/>
              <w:rPr>
                <w:rFonts w:hint="eastAsia" w:ascii="宋体" w:hAnsi="宋体" w:eastAsiaTheme="minorEastAsia"/>
                <w:sz w:val="24"/>
                <w:highlight w:val="none"/>
                <w:lang w:val="en-US" w:eastAsia="zh-CN"/>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因不可抗力致使合同有变更必要的，双方当事人应在不可抗力发生的3个工作日内以书面形式变更合同</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w:t>
            </w:r>
          </w:p>
        </w:tc>
      </w:tr>
      <w:tr w14:paraId="53752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4" w:type="pct"/>
            <w:tcBorders>
              <w:left w:val="single" w:color="auto" w:sz="4" w:space="0"/>
            </w:tcBorders>
            <w:vAlign w:val="center"/>
          </w:tcPr>
          <w:p w14:paraId="4F8CDB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sz w:val="24"/>
                <w:highlight w:val="none"/>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2.11.4</w:t>
            </w:r>
          </w:p>
        </w:tc>
        <w:tc>
          <w:tcPr>
            <w:tcW w:w="7569" w:type="dxa"/>
            <w:vAlign w:val="center"/>
          </w:tcPr>
          <w:p w14:paraId="3DFDC5F0">
            <w:pPr>
              <w:spacing w:line="440" w:lineRule="exact"/>
              <w:rPr>
                <w:rFonts w:hint="eastAsia" w:ascii="宋体" w:hAnsi="宋体" w:eastAsiaTheme="minorEastAsia"/>
                <w:sz w:val="24"/>
                <w:highlight w:val="none"/>
                <w:lang w:eastAsia="zh-CN"/>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受不可抗力影响的一方在不可抗力发生后，应在不可抗力发生的1个工作日内以书面形式通知对方当事人，并在1个工作日内，将有关部门出具的证明文件送达对方当事人</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w:t>
            </w:r>
          </w:p>
        </w:tc>
      </w:tr>
      <w:tr w14:paraId="2D680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4" w:type="pct"/>
            <w:tcBorders>
              <w:left w:val="single" w:color="auto" w:sz="4" w:space="0"/>
            </w:tcBorders>
            <w:vAlign w:val="center"/>
          </w:tcPr>
          <w:p w14:paraId="46069E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sz w:val="24"/>
                <w:highlight w:val="none"/>
              </w:rPr>
            </w:pPr>
            <w:r>
              <w:rPr>
                <w:rFonts w:hint="eastAsia" w:ascii="宋体" w:hAnsi="宋体" w:eastAsia="宋体" w:cs="宋体"/>
                <w:color w:val="000000" w:themeColor="text1"/>
                <w:sz w:val="24"/>
                <w:szCs w:val="24"/>
                <w:highlight w:val="none"/>
                <w14:textFill>
                  <w14:solidFill>
                    <w14:schemeClr w14:val="tx1"/>
                  </w14:solidFill>
                </w14:textFill>
              </w:rPr>
              <w:t>2.15</w:t>
            </w:r>
          </w:p>
        </w:tc>
        <w:tc>
          <w:tcPr>
            <w:tcW w:w="4525" w:type="pct"/>
            <w:vAlign w:val="center"/>
          </w:tcPr>
          <w:p w14:paraId="2E0D3753">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2.15.1乙方须接受甲方对项目执行情况、服务质量等的监督、检查和验收，甲方有权查看与项目直接相关的凭证和资料，乙方应予以配合。</w:t>
            </w:r>
          </w:p>
          <w:p w14:paraId="004D485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sz w:val="24"/>
                <w:highlight w:val="none"/>
                <w:lang w:eastAsia="zh-CN"/>
              </w:rPr>
            </w:pPr>
            <w:r>
              <w:rPr>
                <w:rFonts w:hint="eastAsia" w:ascii="宋体" w:hAnsi="宋体" w:eastAsia="宋体" w:cs="宋体"/>
                <w:color w:val="000000"/>
                <w:sz w:val="24"/>
                <w:szCs w:val="24"/>
                <w:highlight w:val="none"/>
              </w:rPr>
              <w:t>2.15.3验收书的内容以</w:t>
            </w:r>
            <w:r>
              <w:rPr>
                <w:rFonts w:hint="eastAsia" w:ascii="宋体" w:hAnsi="宋体" w:eastAsia="宋体" w:cs="宋体"/>
                <w:color w:val="000000"/>
                <w:sz w:val="24"/>
                <w:szCs w:val="24"/>
                <w:highlight w:val="none"/>
                <w:lang w:val="en-US" w:eastAsia="zh-CN"/>
              </w:rPr>
              <w:t>考核结论</w:t>
            </w:r>
            <w:r>
              <w:rPr>
                <w:rFonts w:hint="eastAsia" w:ascii="宋体" w:hAnsi="宋体" w:eastAsia="宋体" w:cs="宋体"/>
                <w:color w:val="000000"/>
                <w:sz w:val="24"/>
                <w:szCs w:val="24"/>
                <w:highlight w:val="none"/>
              </w:rPr>
              <w:t>作为结算依据</w:t>
            </w:r>
            <w:r>
              <w:rPr>
                <w:rFonts w:hint="eastAsia" w:ascii="宋体" w:hAnsi="宋体" w:eastAsia="宋体" w:cs="宋体"/>
                <w:color w:val="000000"/>
                <w:sz w:val="24"/>
                <w:szCs w:val="24"/>
                <w:highlight w:val="none"/>
                <w:lang w:eastAsia="zh-CN"/>
              </w:rPr>
              <w:t>。</w:t>
            </w:r>
          </w:p>
        </w:tc>
      </w:tr>
      <w:tr w14:paraId="70A74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4" w:type="pct"/>
            <w:tcBorders>
              <w:left w:val="single" w:color="auto" w:sz="4" w:space="0"/>
            </w:tcBorders>
            <w:vAlign w:val="center"/>
          </w:tcPr>
          <w:p w14:paraId="1DC480E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sz w:val="24"/>
                <w:highlight w:val="none"/>
              </w:rPr>
            </w:pPr>
            <w:r>
              <w:rPr>
                <w:rFonts w:hint="eastAsia" w:ascii="宋体" w:hAnsi="宋体" w:eastAsia="宋体"/>
                <w:sz w:val="24"/>
                <w:highlight w:val="none"/>
              </w:rPr>
              <w:t>2.17</w:t>
            </w:r>
          </w:p>
        </w:tc>
        <w:tc>
          <w:tcPr>
            <w:tcW w:w="4525" w:type="pct"/>
            <w:vAlign w:val="center"/>
          </w:tcPr>
          <w:p w14:paraId="13B8D0A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highlight w:val="none"/>
                <w:u w:val="single"/>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本项目免收</w:t>
            </w:r>
            <w:r>
              <w:rPr>
                <w:rFonts w:hint="eastAsia" w:cs="Times New Roman" w:asciiTheme="minorEastAsia" w:hAnsiTheme="minorEastAsia" w:eastAsiaTheme="minorEastAsia"/>
                <w:color w:val="000000" w:themeColor="text1"/>
                <w:sz w:val="24"/>
                <w:szCs w:val="24"/>
                <w:highlight w:val="none"/>
                <w:lang w:val="zh-CN"/>
                <w14:textFill>
                  <w14:solidFill>
                    <w14:schemeClr w14:val="tx1"/>
                  </w14:solidFill>
                </w14:textFill>
              </w:rPr>
              <w:t>履约保证金</w:t>
            </w:r>
          </w:p>
        </w:tc>
      </w:tr>
      <w:tr w14:paraId="5E08F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4" w:type="pct"/>
            <w:tcBorders>
              <w:left w:val="single" w:color="auto" w:sz="4" w:space="0"/>
            </w:tcBorders>
            <w:vAlign w:val="center"/>
          </w:tcPr>
          <w:p w14:paraId="524CF4D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sz w:val="24"/>
                <w:highlight w:val="none"/>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2.18</w:t>
            </w:r>
          </w:p>
        </w:tc>
        <w:tc>
          <w:tcPr>
            <w:tcW w:w="4525" w:type="pct"/>
            <w:vAlign w:val="center"/>
          </w:tcPr>
          <w:p w14:paraId="1D5ADD0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highlight w:val="none"/>
              </w:rPr>
            </w:pPr>
            <w:r>
              <w:rPr>
                <w:rFonts w:hint="eastAsia" w:ascii="宋体" w:hAnsi="宋体" w:eastAsia="宋体" w:cs="宋体"/>
                <w:sz w:val="24"/>
                <w:highlight w:val="none"/>
              </w:rPr>
              <w:t>合同一式陆份，甲乙双方各执叁份。</w:t>
            </w:r>
          </w:p>
        </w:tc>
      </w:tr>
      <w:tr w14:paraId="6B33B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474" w:type="pct"/>
            <w:tcBorders>
              <w:left w:val="single" w:color="auto" w:sz="4" w:space="0"/>
            </w:tcBorders>
            <w:vAlign w:val="center"/>
          </w:tcPr>
          <w:p w14:paraId="6E7BA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ascii="宋体" w:hAnsi="宋体" w:eastAsia="宋体"/>
                <w:sz w:val="24"/>
                <w:highlight w:val="none"/>
              </w:rPr>
            </w:pPr>
            <w:r>
              <w:rPr>
                <w:rFonts w:hint="eastAsia" w:cs="Times New Roman" w:asciiTheme="minorEastAsia" w:hAnsiTheme="minorEastAsia"/>
                <w:color w:val="000000" w:themeColor="text1"/>
                <w:sz w:val="24"/>
                <w:szCs w:val="24"/>
                <w:highlight w:val="none"/>
                <w:lang w:val="en-US" w:eastAsia="zh-CN"/>
                <w14:textFill>
                  <w14:solidFill>
                    <w14:schemeClr w14:val="tx1"/>
                  </w14:solidFill>
                </w14:textFill>
              </w:rPr>
              <w:t>3</w:t>
            </w:r>
          </w:p>
        </w:tc>
        <w:tc>
          <w:tcPr>
            <w:tcW w:w="4525" w:type="pct"/>
            <w:vAlign w:val="center"/>
          </w:tcPr>
          <w:p w14:paraId="1CA7CA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textAlignment w:val="auto"/>
              <w:rPr>
                <w:rFonts w:ascii="宋体" w:hAnsi="宋体" w:eastAsia="宋体"/>
                <w:sz w:val="24"/>
                <w:highlight w:val="none"/>
                <w:u w:val="single"/>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auto"/>
                <w:sz w:val="24"/>
                <w:szCs w:val="24"/>
                <w:highlight w:val="none"/>
              </w:rPr>
              <w:t>严禁乙方转包合同服务内容的行为，一经发现甲方即终止合同并报行业主管部门进行相应处罚。</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）乙方未按合同约定履行各项工作内容，</w:t>
            </w:r>
            <w:r>
              <w:rPr>
                <w:rFonts w:hint="eastAsia" w:ascii="宋体" w:hAnsi="宋体" w:eastAsia="宋体" w:cs="宋体"/>
                <w:color w:val="000000" w:themeColor="text1"/>
                <w:sz w:val="24"/>
                <w:szCs w:val="24"/>
                <w:highlight w:val="none"/>
                <w14:textFill>
                  <w14:solidFill>
                    <w14:schemeClr w14:val="tx1"/>
                  </w14:solidFill>
                </w14:textFill>
              </w:rPr>
              <w:t xml:space="preserve">情节严重的，解除合同。 </w:t>
            </w:r>
          </w:p>
        </w:tc>
      </w:tr>
      <w:tr w14:paraId="3CF4C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4" w:type="pct"/>
            <w:tcBorders>
              <w:left w:val="single" w:color="auto" w:sz="4" w:space="0"/>
            </w:tcBorders>
            <w:vAlign w:val="center"/>
          </w:tcPr>
          <w:p w14:paraId="56588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ascii="宋体" w:hAnsi="宋体" w:eastAsia="宋体"/>
                <w:sz w:val="24"/>
                <w:highlight w:val="none"/>
              </w:rPr>
            </w:pPr>
            <w:r>
              <w:rPr>
                <w:rFonts w:hint="eastAsia" w:cs="Times New Roman" w:asciiTheme="minorEastAsia" w:hAnsiTheme="minorEastAsia"/>
                <w:color w:val="000000" w:themeColor="text1"/>
                <w:sz w:val="24"/>
                <w:szCs w:val="24"/>
                <w:highlight w:val="none"/>
                <w:lang w:val="en-US" w:eastAsia="zh-CN"/>
                <w14:textFill>
                  <w14:solidFill>
                    <w14:schemeClr w14:val="tx1"/>
                  </w14:solidFill>
                </w14:textFill>
              </w:rPr>
              <w:t>4</w:t>
            </w:r>
          </w:p>
        </w:tc>
        <w:tc>
          <w:tcPr>
            <w:tcW w:w="4525" w:type="pct"/>
            <w:vAlign w:val="center"/>
          </w:tcPr>
          <w:p w14:paraId="57E0AD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乙方在服务期内的工作完成情况（包括且不限于驻场人员考勤情况及服务质量、响应效率等）接受甲方监督和管理，具体要求如下：</w:t>
            </w:r>
          </w:p>
          <w:p w14:paraId="76860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①双方签订合同后，项目团队名单经甲方审核并确认，服务期内团队驻场成员每个工作日应在甲方指定地点签到考勤，无特殊原因不得缺勤，确需请假需提前向甲方申请并征得甲方同意；</w:t>
            </w:r>
          </w:p>
          <w:p w14:paraId="3AE23C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textAlignment w:val="auto"/>
              <w:rPr>
                <w:rFonts w:ascii="宋体" w:hAnsi="宋体" w:eastAsia="宋体"/>
                <w:sz w:val="24"/>
                <w:highlight w:val="none"/>
              </w:rPr>
            </w:pPr>
            <w:r>
              <w:rPr>
                <w:rFonts w:hint="eastAsia" w:ascii="宋体" w:hAnsi="宋体" w:eastAsia="宋体" w:cs="宋体"/>
                <w:color w:val="000000" w:themeColor="text1"/>
                <w:sz w:val="24"/>
                <w:szCs w:val="24"/>
                <w:highlight w:val="none"/>
                <w14:textFill>
                  <w14:solidFill>
                    <w14:schemeClr w14:val="tx1"/>
                  </w14:solidFill>
                </w14:textFill>
              </w:rPr>
              <w:t>②驻场人员须专职从事本项目的工作，不得从事与本项目无关的工作。</w:t>
            </w:r>
          </w:p>
        </w:tc>
      </w:tr>
      <w:tr w14:paraId="25F8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4" w:type="pct"/>
            <w:tcBorders>
              <w:left w:val="single" w:color="auto" w:sz="4" w:space="0"/>
            </w:tcBorders>
            <w:vAlign w:val="center"/>
          </w:tcPr>
          <w:p w14:paraId="0272341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5</w:t>
            </w:r>
          </w:p>
        </w:tc>
        <w:tc>
          <w:tcPr>
            <w:tcW w:w="4525" w:type="pct"/>
            <w:vAlign w:val="center"/>
          </w:tcPr>
          <w:p w14:paraId="58637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本项目有下列情形的，甲方有权终止合同：</w:t>
            </w:r>
          </w:p>
          <w:p w14:paraId="5720F40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（1）本项目遇不可抗力影响或法律、法规、国家政策重大调整影响合同无法执行的； </w:t>
            </w:r>
          </w:p>
          <w:p w14:paraId="4494DE4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（2）乙方对监管人员，考核成员有行贿或其它利益输送行为的。</w:t>
            </w:r>
          </w:p>
          <w:p w14:paraId="62A8477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（3）乙方违反安全管理、规范作业规定，造成重大伤亡或重大损失。</w:t>
            </w:r>
          </w:p>
          <w:p w14:paraId="3BB12A6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（4）经省、市级新闻媒体曝光，乙方为责任方，造成恶劣影响的。</w:t>
            </w:r>
          </w:p>
          <w:p w14:paraId="5C15C5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（5）经有关部门认定乙方严重违反劳动法，造成恶劣影响的；或其它因违法经营受到刑事处罚或者责令停产停业、吊销许可证或者执照等行政处罚的。</w:t>
            </w:r>
          </w:p>
          <w:p w14:paraId="1DC16AD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（6）乙方其它弄虚作假及其他不正当行为。</w:t>
            </w:r>
          </w:p>
          <w:p w14:paraId="190E75C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（7）合同履约期间，乙方法人组织破产，或重组变更法人主体的；</w:t>
            </w:r>
          </w:p>
          <w:p w14:paraId="764BF608">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highlight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（8）乙方拖欠本项目工作员工工资和社保超过1个月。</w:t>
            </w:r>
          </w:p>
        </w:tc>
      </w:tr>
      <w:tr w14:paraId="4BF4D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4" w:type="pct"/>
            <w:tcBorders>
              <w:left w:val="single" w:color="auto" w:sz="4" w:space="0"/>
            </w:tcBorders>
            <w:vAlign w:val="center"/>
          </w:tcPr>
          <w:p w14:paraId="10F7C3C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sz w:val="24"/>
                <w:highlight w:val="none"/>
                <w:lang w:val="en-US" w:eastAsia="zh-CN"/>
              </w:rPr>
            </w:pPr>
            <w:r>
              <w:rPr>
                <w:rFonts w:hint="eastAsia" w:ascii="宋体" w:hAnsi="宋体" w:eastAsia="宋体"/>
                <w:sz w:val="24"/>
                <w:highlight w:val="none"/>
                <w:lang w:val="en-US" w:eastAsia="zh-CN"/>
              </w:rPr>
              <w:t>6</w:t>
            </w:r>
          </w:p>
        </w:tc>
        <w:tc>
          <w:tcPr>
            <w:tcW w:w="4525" w:type="pct"/>
            <w:vAlign w:val="center"/>
          </w:tcPr>
          <w:p w14:paraId="364D61FE">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highlight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合同终止时，乙方应将各类设施完整地移交给甲方，如有损失，按设施原价在服务经费中扣减。</w:t>
            </w:r>
          </w:p>
        </w:tc>
      </w:tr>
      <w:tr w14:paraId="60B08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474" w:type="pct"/>
            <w:tcBorders>
              <w:top w:val="single" w:color="auto" w:sz="6" w:space="0"/>
              <w:left w:val="single" w:color="auto" w:sz="4" w:space="0"/>
              <w:bottom w:val="single" w:color="auto" w:sz="6" w:space="0"/>
              <w:right w:val="single" w:color="auto" w:sz="6" w:space="0"/>
            </w:tcBorders>
            <w:vAlign w:val="center"/>
          </w:tcPr>
          <w:p w14:paraId="03CA1111">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highlight w:val="none"/>
              </w:rPr>
            </w:pPr>
          </w:p>
        </w:tc>
        <w:tc>
          <w:tcPr>
            <w:tcW w:w="4525" w:type="pct"/>
            <w:tcBorders>
              <w:top w:val="single" w:color="auto" w:sz="6" w:space="0"/>
              <w:left w:val="single" w:color="auto" w:sz="6" w:space="0"/>
              <w:bottom w:val="single" w:color="auto" w:sz="6" w:space="0"/>
              <w:right w:val="single" w:color="auto" w:sz="6" w:space="0"/>
            </w:tcBorders>
            <w:vAlign w:val="center"/>
          </w:tcPr>
          <w:p w14:paraId="4091A26E">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sz w:val="24"/>
                <w:highlight w:val="none"/>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（签订合同时可补充）</w:t>
            </w:r>
          </w:p>
        </w:tc>
      </w:tr>
    </w:tbl>
    <w:p w14:paraId="6548A14B">
      <w:pPr>
        <w:pStyle w:val="25"/>
        <w:ind w:firstLine="420"/>
        <w:rPr>
          <w:rFonts w:hAnsi="宋体" w:cs="宋体"/>
          <w:color w:val="auto"/>
          <w:highlight w:val="none"/>
        </w:rPr>
      </w:pPr>
    </w:p>
    <w:p w14:paraId="4C672F12">
      <w:pPr>
        <w:spacing w:line="360" w:lineRule="auto"/>
        <w:rPr>
          <w:rFonts w:ascii="宋体" w:hAnsi="宋体" w:eastAsia="宋体" w:cs="宋体"/>
          <w:color w:val="auto"/>
          <w:sz w:val="28"/>
          <w:szCs w:val="27"/>
          <w:highlight w:val="none"/>
        </w:rPr>
      </w:pPr>
      <w:r>
        <w:rPr>
          <w:rFonts w:hint="eastAsia" w:ascii="宋体" w:hAnsi="宋体" w:eastAsia="宋体" w:cs="宋体"/>
          <w:color w:val="auto"/>
          <w:sz w:val="28"/>
          <w:szCs w:val="27"/>
          <w:highlight w:val="none"/>
        </w:rPr>
        <w:br w:type="page"/>
      </w:r>
    </w:p>
    <w:p w14:paraId="337563E9">
      <w:pPr>
        <w:spacing w:line="480" w:lineRule="auto"/>
        <w:jc w:val="center"/>
        <w:rPr>
          <w:rFonts w:ascii="宋体" w:hAnsi="宋体" w:eastAsia="宋体"/>
          <w:b/>
          <w:color w:val="auto"/>
          <w:sz w:val="24"/>
          <w:highlight w:val="none"/>
        </w:rPr>
      </w:pPr>
    </w:p>
    <w:p w14:paraId="60C12D5A">
      <w:pPr>
        <w:spacing w:line="360" w:lineRule="auto"/>
        <w:jc w:val="center"/>
        <w:outlineLvl w:val="0"/>
        <w:rPr>
          <w:rFonts w:asciiTheme="minorEastAsia" w:hAnsiTheme="minorEastAsia" w:eastAsiaTheme="minorEastAsia"/>
          <w:b/>
          <w:color w:val="auto"/>
          <w:sz w:val="28"/>
          <w:highlight w:val="none"/>
        </w:rPr>
      </w:pPr>
      <w:bookmarkStart w:id="171" w:name="_Toc2430"/>
      <w:bookmarkStart w:id="172" w:name="_Toc25148"/>
      <w:r>
        <w:rPr>
          <w:rFonts w:hint="eastAsia" w:asciiTheme="minorEastAsia" w:hAnsiTheme="minorEastAsia" w:eastAsiaTheme="minorEastAsia"/>
          <w:b/>
          <w:color w:val="auto"/>
          <w:sz w:val="28"/>
          <w:highlight w:val="none"/>
        </w:rPr>
        <w:t>第六章  响应文件格式</w:t>
      </w:r>
      <w:bookmarkEnd w:id="171"/>
      <w:bookmarkEnd w:id="172"/>
    </w:p>
    <w:p w14:paraId="4F7EE13F">
      <w:pPr>
        <w:spacing w:line="900" w:lineRule="exact"/>
        <w:jc w:val="center"/>
        <w:rPr>
          <w:rFonts w:asciiTheme="minorEastAsia" w:hAnsiTheme="minorEastAsia" w:eastAsiaTheme="minorEastAsia"/>
          <w:b/>
          <w:color w:val="auto"/>
          <w:sz w:val="72"/>
          <w:highlight w:val="none"/>
        </w:rPr>
      </w:pPr>
    </w:p>
    <w:p w14:paraId="36C138E1">
      <w:pPr>
        <w:spacing w:line="900" w:lineRule="exact"/>
        <w:jc w:val="center"/>
        <w:outlineLvl w:val="2"/>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响</w:t>
      </w:r>
    </w:p>
    <w:p w14:paraId="01BDF1CE">
      <w:pPr>
        <w:spacing w:line="900" w:lineRule="exact"/>
        <w:jc w:val="center"/>
        <w:rPr>
          <w:rFonts w:asciiTheme="minorEastAsia" w:hAnsiTheme="minorEastAsia" w:eastAsiaTheme="minorEastAsia"/>
          <w:b/>
          <w:color w:val="auto"/>
          <w:sz w:val="72"/>
          <w:highlight w:val="none"/>
        </w:rPr>
      </w:pPr>
    </w:p>
    <w:p w14:paraId="2DCEF41A">
      <w:pPr>
        <w:spacing w:line="900" w:lineRule="exact"/>
        <w:jc w:val="center"/>
        <w:outlineLvl w:val="2"/>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应</w:t>
      </w:r>
    </w:p>
    <w:p w14:paraId="66002F71">
      <w:pPr>
        <w:spacing w:line="900" w:lineRule="exact"/>
        <w:jc w:val="center"/>
        <w:rPr>
          <w:rFonts w:asciiTheme="minorEastAsia" w:hAnsiTheme="minorEastAsia" w:eastAsiaTheme="minorEastAsia"/>
          <w:b/>
          <w:color w:val="auto"/>
          <w:sz w:val="72"/>
          <w:highlight w:val="none"/>
        </w:rPr>
      </w:pPr>
    </w:p>
    <w:p w14:paraId="070FD0BA">
      <w:pPr>
        <w:spacing w:line="900" w:lineRule="exact"/>
        <w:jc w:val="center"/>
        <w:outlineLvl w:val="2"/>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文</w:t>
      </w:r>
    </w:p>
    <w:p w14:paraId="534F91B5">
      <w:pPr>
        <w:spacing w:line="900" w:lineRule="exact"/>
        <w:jc w:val="center"/>
        <w:rPr>
          <w:rFonts w:asciiTheme="minorEastAsia" w:hAnsiTheme="minorEastAsia" w:eastAsiaTheme="minorEastAsia"/>
          <w:b/>
          <w:color w:val="auto"/>
          <w:sz w:val="72"/>
          <w:highlight w:val="none"/>
        </w:rPr>
      </w:pPr>
    </w:p>
    <w:p w14:paraId="67C3B261">
      <w:pPr>
        <w:jc w:val="center"/>
        <w:outlineLvl w:val="2"/>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件</w:t>
      </w:r>
    </w:p>
    <w:p w14:paraId="786C2D37">
      <w:pPr>
        <w:spacing w:afterLines="50"/>
        <w:jc w:val="center"/>
        <w:rPr>
          <w:rFonts w:asciiTheme="minorEastAsia" w:hAnsiTheme="minorEastAsia" w:eastAsiaTheme="minorEastAsia"/>
          <w:b/>
          <w:color w:val="auto"/>
          <w:sz w:val="72"/>
          <w:highlight w:val="none"/>
        </w:rPr>
      </w:pPr>
    </w:p>
    <w:p w14:paraId="3C2A06DA">
      <w:pPr>
        <w:spacing w:afterLines="50" w:line="500" w:lineRule="exact"/>
        <w:rPr>
          <w:rFonts w:asciiTheme="minorEastAsia" w:hAnsiTheme="minorEastAsia" w:eastAsiaTheme="minorEastAsia"/>
          <w:b/>
          <w:color w:val="auto"/>
          <w:sz w:val="72"/>
          <w:highlight w:val="none"/>
        </w:rPr>
      </w:pPr>
    </w:p>
    <w:p w14:paraId="19DDD8EA">
      <w:pPr>
        <w:spacing w:afterLines="50" w:line="500" w:lineRule="exact"/>
        <w:jc w:val="center"/>
        <w:rPr>
          <w:rFonts w:asciiTheme="minorEastAsia" w:hAnsiTheme="minorEastAsia" w:eastAsiaTheme="minorEastAsia"/>
          <w:b/>
          <w:color w:val="auto"/>
          <w:sz w:val="28"/>
          <w:szCs w:val="28"/>
          <w:highlight w:val="none"/>
        </w:rPr>
      </w:pPr>
    </w:p>
    <w:p w14:paraId="66A9D34A">
      <w:pPr>
        <w:tabs>
          <w:tab w:val="left" w:pos="2410"/>
        </w:tabs>
        <w:autoSpaceDE w:val="0"/>
        <w:autoSpaceDN w:val="0"/>
        <w:adjustRightInd w:val="0"/>
        <w:snapToGrid w:val="0"/>
        <w:spacing w:line="360" w:lineRule="auto"/>
        <w:ind w:firstLine="643" w:firstLineChars="200"/>
        <w:rPr>
          <w:rFonts w:ascii="宋体" w:hAnsi="宋体" w:eastAsia="宋体"/>
          <w:b/>
          <w:color w:val="auto"/>
          <w:spacing w:val="20"/>
          <w:kern w:val="0"/>
          <w:sz w:val="32"/>
          <w:szCs w:val="32"/>
          <w:highlight w:val="none"/>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p>
    <w:p w14:paraId="30BE3340">
      <w:pPr>
        <w:tabs>
          <w:tab w:val="left" w:pos="2410"/>
        </w:tabs>
        <w:autoSpaceDE w:val="0"/>
        <w:autoSpaceDN w:val="0"/>
        <w:adjustRightInd w:val="0"/>
        <w:snapToGrid w:val="0"/>
        <w:spacing w:line="360" w:lineRule="auto"/>
        <w:ind w:firstLine="643" w:firstLineChars="200"/>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p>
    <w:p w14:paraId="0D19F59E">
      <w:pPr>
        <w:tabs>
          <w:tab w:val="left" w:pos="2410"/>
        </w:tabs>
        <w:autoSpaceDE w:val="0"/>
        <w:autoSpaceDN w:val="0"/>
        <w:adjustRightInd w:val="0"/>
        <w:snapToGrid w:val="0"/>
        <w:spacing w:line="360" w:lineRule="auto"/>
        <w:ind w:firstLine="643" w:firstLineChars="200"/>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供 应 商：</w:t>
      </w:r>
      <w:r>
        <w:rPr>
          <w:rFonts w:hint="eastAsia" w:asciiTheme="minorEastAsia" w:hAnsiTheme="minorEastAsia" w:eastAsiaTheme="minorEastAsia"/>
          <w:b/>
          <w:color w:val="auto"/>
          <w:sz w:val="32"/>
          <w:highlight w:val="none"/>
          <w:u w:val="single"/>
        </w:rPr>
        <w:t xml:space="preserve">                  </w:t>
      </w:r>
    </w:p>
    <w:p w14:paraId="68D6B840">
      <w:pPr>
        <w:spacing w:afterLines="50" w:line="500" w:lineRule="exact"/>
        <w:jc w:val="center"/>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173" w:name="_Toc8037"/>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173"/>
    </w:p>
    <w:p w14:paraId="31832FEE">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29FFE2CC">
      <w:pPr>
        <w:spacing w:line="360" w:lineRule="auto"/>
        <w:jc w:val="center"/>
        <w:outlineLvl w:val="1"/>
        <w:rPr>
          <w:rFonts w:asciiTheme="minorEastAsia" w:hAnsiTheme="minorEastAsia" w:eastAsiaTheme="minorEastAsia"/>
          <w:b/>
          <w:color w:val="auto"/>
          <w:sz w:val="24"/>
          <w:highlight w:val="none"/>
        </w:rPr>
      </w:pPr>
      <w:bookmarkStart w:id="174" w:name="_Toc461053086"/>
      <w:bookmarkStart w:id="175" w:name="_Toc461056631"/>
      <w:bookmarkStart w:id="176" w:name="_Toc26791"/>
      <w:bookmarkStart w:id="177" w:name="_Toc5881"/>
      <w:bookmarkStart w:id="178" w:name="_Toc520983587"/>
      <w:r>
        <w:rPr>
          <w:rFonts w:hint="eastAsia" w:asciiTheme="minorEastAsia" w:hAnsiTheme="minorEastAsia" w:eastAsiaTheme="minorEastAsia"/>
          <w:b/>
          <w:color w:val="auto"/>
          <w:sz w:val="24"/>
          <w:highlight w:val="none"/>
        </w:rPr>
        <w:t>一</w:t>
      </w:r>
      <w:bookmarkEnd w:id="174"/>
      <w:bookmarkEnd w:id="175"/>
      <w:r>
        <w:rPr>
          <w:rFonts w:hint="eastAsia" w:asciiTheme="minorEastAsia" w:hAnsiTheme="minorEastAsia" w:eastAsiaTheme="minorEastAsia"/>
          <w:b/>
          <w:color w:val="auto"/>
          <w:sz w:val="24"/>
          <w:highlight w:val="none"/>
        </w:rPr>
        <w:t>、报价表格式</w:t>
      </w:r>
      <w:bookmarkEnd w:id="176"/>
      <w:bookmarkEnd w:id="177"/>
      <w:bookmarkEnd w:id="178"/>
    </w:p>
    <w:p w14:paraId="36667FD1">
      <w:pPr>
        <w:spacing w:beforeLines="50" w:afterLines="50" w:line="360" w:lineRule="auto"/>
        <w:jc w:val="left"/>
        <w:outlineLvl w:val="2"/>
        <w:rPr>
          <w:rFonts w:ascii="宋体" w:hAnsi="宋体" w:eastAsia="宋体"/>
          <w:b/>
          <w:color w:val="auto"/>
          <w:sz w:val="24"/>
          <w:szCs w:val="28"/>
          <w:highlight w:val="none"/>
        </w:rPr>
      </w:pPr>
      <w:r>
        <w:rPr>
          <w:rFonts w:hint="eastAsia" w:ascii="宋体" w:hAnsi="宋体" w:eastAsia="宋体"/>
          <w:b/>
          <w:color w:val="auto"/>
          <w:sz w:val="24"/>
          <w:szCs w:val="28"/>
          <w:highlight w:val="none"/>
        </w:rPr>
        <w:t>1-1 报价表</w:t>
      </w:r>
    </w:p>
    <w:p w14:paraId="5315383F">
      <w:pPr>
        <w:snapToGrid w:val="0"/>
        <w:spacing w:line="360" w:lineRule="auto"/>
        <w:jc w:val="left"/>
        <w:rPr>
          <w:rFonts w:ascii="宋体" w:hAnsi="宋体" w:eastAsia="宋体"/>
          <w:b/>
          <w:color w:val="auto"/>
          <w:sz w:val="24"/>
          <w:szCs w:val="28"/>
          <w:highlight w:val="none"/>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rPr>
        <w:t xml:space="preserve">          </w:t>
      </w:r>
    </w:p>
    <w:p w14:paraId="3164AF7D">
      <w:pPr>
        <w:snapToGrid w:val="0"/>
        <w:spacing w:afterLines="50" w:line="360" w:lineRule="auto"/>
        <w:jc w:val="left"/>
        <w:rPr>
          <w:rFonts w:ascii="宋体" w:hAnsi="宋体" w:eastAsia="宋体"/>
          <w:b/>
          <w:bCs/>
          <w:color w:val="auto"/>
          <w:sz w:val="24"/>
          <w:szCs w:val="28"/>
          <w:highlight w:val="none"/>
          <w:u w:val="single"/>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rPr>
        <w:t xml:space="preserve">          </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9"/>
        <w:gridCol w:w="6063"/>
      </w:tblGrid>
      <w:tr w14:paraId="1433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3F5A61F3">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7" w:type="pct"/>
            <w:tcBorders>
              <w:left w:val="single" w:color="auto" w:sz="4" w:space="0"/>
            </w:tcBorders>
          </w:tcPr>
          <w:p w14:paraId="354F1C34">
            <w:pPr>
              <w:spacing w:line="360" w:lineRule="auto"/>
              <w:rPr>
                <w:rFonts w:ascii="宋体" w:hAnsi="宋体" w:eastAsia="宋体"/>
                <w:b/>
                <w:color w:val="auto"/>
                <w:sz w:val="24"/>
                <w:highlight w:val="none"/>
              </w:rPr>
            </w:pPr>
          </w:p>
        </w:tc>
      </w:tr>
      <w:tr w14:paraId="7316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6F787A18">
            <w:pPr>
              <w:spacing w:line="360" w:lineRule="exact"/>
              <w:jc w:val="center"/>
              <w:rPr>
                <w:rFonts w:ascii="宋体" w:hAnsi="宋体" w:eastAsia="宋体"/>
                <w:b/>
                <w:color w:val="auto"/>
                <w:sz w:val="24"/>
                <w:highlight w:val="none"/>
              </w:rPr>
            </w:pPr>
            <w:r>
              <w:rPr>
                <w:rFonts w:hint="eastAsia" w:ascii="宋体" w:hAnsi="宋体" w:eastAsia="宋体"/>
                <w:b/>
                <w:color w:val="auto"/>
                <w:sz w:val="24"/>
                <w:highlight w:val="none"/>
              </w:rPr>
              <w:t>磋商范围</w:t>
            </w:r>
          </w:p>
        </w:tc>
        <w:tc>
          <w:tcPr>
            <w:tcW w:w="3557" w:type="pct"/>
            <w:tcBorders>
              <w:left w:val="single" w:color="auto" w:sz="4" w:space="0"/>
            </w:tcBorders>
            <w:vAlign w:val="center"/>
          </w:tcPr>
          <w:p w14:paraId="6775B653">
            <w:pPr>
              <w:widowControl/>
              <w:spacing w:line="360" w:lineRule="exact"/>
              <w:rPr>
                <w:rFonts w:ascii="宋体" w:hAnsi="宋体" w:eastAsia="宋体"/>
                <w:b/>
                <w:color w:val="auto"/>
                <w:sz w:val="24"/>
                <w:highlight w:val="none"/>
              </w:rPr>
            </w:pPr>
            <w:r>
              <w:rPr>
                <w:rFonts w:hint="eastAsia" w:asciiTheme="minorEastAsia" w:hAnsiTheme="minorEastAsia" w:eastAsiaTheme="minorEastAsia"/>
                <w:color w:val="auto"/>
                <w:sz w:val="24"/>
                <w:szCs w:val="28"/>
                <w:highlight w:val="none"/>
              </w:rPr>
              <w:t xml:space="preserve">全部 </w:t>
            </w:r>
          </w:p>
        </w:tc>
      </w:tr>
      <w:tr w14:paraId="6B56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1364A6BD">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报价</w:t>
            </w:r>
          </w:p>
          <w:p w14:paraId="43F420C4">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3557" w:type="pct"/>
            <w:vAlign w:val="center"/>
          </w:tcPr>
          <w:p w14:paraId="2DBC09AA">
            <w:pPr>
              <w:snapToGrid w:val="0"/>
              <w:spacing w:line="360" w:lineRule="auto"/>
              <w:rPr>
                <w:rFonts w:ascii="宋体" w:hAnsi="宋体" w:eastAsia="宋体"/>
                <w:color w:val="auto"/>
                <w:sz w:val="24"/>
                <w:szCs w:val="28"/>
                <w:highlight w:val="none"/>
              </w:rPr>
            </w:pPr>
          </w:p>
          <w:p w14:paraId="09EFC0FC">
            <w:pPr>
              <w:snapToGrid w:val="0"/>
              <w:spacing w:line="360" w:lineRule="auto"/>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响应报价：</w:t>
            </w:r>
          </w:p>
          <w:p w14:paraId="44ACD73B">
            <w:pPr>
              <w:snapToGrid w:val="0"/>
              <w:spacing w:line="360" w:lineRule="auto"/>
              <w:jc w:val="left"/>
              <w:rPr>
                <w:rFonts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6A09E0B0">
            <w:pPr>
              <w:spacing w:line="360" w:lineRule="auto"/>
              <w:ind w:right="-670"/>
              <w:rPr>
                <w:rFonts w:hint="default" w:eastAsia="宋体" w:asciiTheme="minorEastAsia" w:hAnsiTheme="minorEastAsia"/>
                <w:color w:val="auto"/>
                <w:sz w:val="24"/>
                <w:highlight w:val="none"/>
                <w:lang w:val="en-US" w:eastAsia="zh-CN"/>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p>
          <w:p w14:paraId="7F9583DF">
            <w:pPr>
              <w:snapToGrid w:val="0"/>
              <w:spacing w:line="360" w:lineRule="auto"/>
              <w:rPr>
                <w:rFonts w:ascii="宋体" w:hAnsi="宋体" w:eastAsia="宋体"/>
                <w:b/>
                <w:color w:val="auto"/>
                <w:sz w:val="24"/>
                <w:highlight w:val="none"/>
              </w:rPr>
            </w:pPr>
          </w:p>
        </w:tc>
      </w:tr>
      <w:tr w14:paraId="6DC4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1443" w:type="pct"/>
            <w:vAlign w:val="center"/>
          </w:tcPr>
          <w:p w14:paraId="41BC7329">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7" w:type="pct"/>
          </w:tcPr>
          <w:p w14:paraId="32C45E50">
            <w:pPr>
              <w:spacing w:line="360" w:lineRule="auto"/>
              <w:rPr>
                <w:rFonts w:ascii="宋体" w:hAnsi="宋体" w:eastAsia="宋体"/>
                <w:b/>
                <w:color w:val="auto"/>
                <w:sz w:val="24"/>
                <w:highlight w:val="none"/>
              </w:rPr>
            </w:pPr>
          </w:p>
        </w:tc>
      </w:tr>
    </w:tbl>
    <w:p w14:paraId="73C1DE92">
      <w:pPr>
        <w:spacing w:line="360" w:lineRule="auto"/>
        <w:ind w:firstLine="4800" w:firstLineChars="2000"/>
        <w:rPr>
          <w:rFonts w:ascii="宋体" w:hAnsi="宋体" w:eastAsia="宋体"/>
          <w:color w:val="auto"/>
          <w:sz w:val="24"/>
          <w:highlight w:val="none"/>
        </w:rPr>
      </w:pPr>
      <w:r>
        <w:rPr>
          <w:rFonts w:hint="eastAsia" w:ascii="宋体" w:hAnsi="宋体" w:eastAsia="宋体"/>
          <w:color w:val="auto"/>
          <w:sz w:val="24"/>
          <w:highlight w:val="none"/>
        </w:rPr>
        <w:t>供应商电子签章：</w:t>
      </w:r>
      <w:r>
        <w:rPr>
          <w:rFonts w:hint="eastAsia" w:ascii="宋体" w:hAnsi="宋体" w:eastAsia="宋体"/>
          <w:color w:val="auto"/>
          <w:sz w:val="24"/>
          <w:highlight w:val="none"/>
          <w:u w:val="single"/>
        </w:rPr>
        <w:t xml:space="preserve">             </w:t>
      </w:r>
    </w:p>
    <w:p w14:paraId="583E22A9">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09D0A283">
      <w:pPr>
        <w:adjustRightInd w:val="0"/>
        <w:snapToGrid w:val="0"/>
        <w:spacing w:line="360" w:lineRule="auto"/>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注：</w:t>
      </w:r>
    </w:p>
    <w:p w14:paraId="44E28BAC">
      <w:pPr>
        <w:adjustRightInd w:val="0"/>
        <w:snapToGrid w:val="0"/>
        <w:spacing w:line="360" w:lineRule="auto"/>
        <w:ind w:firstLine="482" w:firstLineChars="200"/>
        <w:rPr>
          <w:rFonts w:ascii="宋体" w:hAnsi="宋体" w:eastAsia="宋体"/>
          <w:color w:val="auto"/>
          <w:sz w:val="24"/>
          <w:highlight w:val="none"/>
        </w:rPr>
      </w:pPr>
      <w:r>
        <w:rPr>
          <w:rFonts w:hint="eastAsia" w:ascii="宋体" w:hAnsi="宋体" w:eastAsia="宋体"/>
          <w:b/>
          <w:bCs/>
          <w:color w:val="auto"/>
          <w:sz w:val="24"/>
          <w:szCs w:val="28"/>
          <w:highlight w:val="none"/>
        </w:rPr>
        <w:t>1.本表内容根据磋商文件要求包括了服务及其配套的设计、采购、制造、检测、试验、运输、保险、仓储、税费以及现场落地、安装及安装耗损、调试、培训、技术服务（包括技术资料、图纸的提供）质保期内的售后服务保障等所有费用。</w:t>
      </w:r>
    </w:p>
    <w:p w14:paraId="6A2A95F2">
      <w:pPr>
        <w:adjustRightInd w:val="0"/>
        <w:snapToGrid w:val="0"/>
        <w:spacing w:line="360" w:lineRule="auto"/>
        <w:ind w:firstLine="482" w:firstLineChars="200"/>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2.特殊事项在备注中注明。</w:t>
      </w:r>
    </w:p>
    <w:p w14:paraId="1D6B7EA1">
      <w:pPr>
        <w:adjustRightInd w:val="0"/>
        <w:snapToGrid w:val="0"/>
        <w:spacing w:line="360" w:lineRule="auto"/>
        <w:ind w:firstLine="482" w:firstLineChars="200"/>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3.表中大写金额与小写金额不一致的，以大写金额为准。</w:t>
      </w:r>
    </w:p>
    <w:p w14:paraId="741D95A2">
      <w:pPr>
        <w:widowControl/>
        <w:jc w:val="left"/>
        <w:rPr>
          <w:rFonts w:ascii="宋体" w:hAnsi="宋体" w:eastAsia="宋体"/>
          <w:b/>
          <w:bCs/>
          <w:color w:val="auto"/>
          <w:sz w:val="24"/>
          <w:szCs w:val="28"/>
          <w:highlight w:val="none"/>
        </w:rPr>
      </w:pPr>
      <w:r>
        <w:rPr>
          <w:rFonts w:ascii="宋体" w:hAnsi="宋体" w:eastAsia="宋体"/>
          <w:b/>
          <w:bCs/>
          <w:color w:val="auto"/>
          <w:sz w:val="24"/>
          <w:szCs w:val="28"/>
          <w:highlight w:val="none"/>
        </w:rPr>
        <w:br w:type="page"/>
      </w:r>
    </w:p>
    <w:p w14:paraId="40B1880F">
      <w:pPr>
        <w:spacing w:before="156" w:beforeLines="50" w:after="156" w:afterLines="50" w:line="360" w:lineRule="auto"/>
        <w:jc w:val="left"/>
        <w:outlineLvl w:val="2"/>
        <w:rPr>
          <w:rFonts w:ascii="宋体" w:hAnsi="宋体" w:eastAsia="宋体"/>
          <w:b/>
          <w:sz w:val="24"/>
          <w:szCs w:val="28"/>
          <w:highlight w:val="none"/>
        </w:rPr>
      </w:pPr>
      <w:r>
        <w:rPr>
          <w:rFonts w:hint="eastAsia" w:ascii="宋体" w:hAnsi="宋体" w:eastAsia="宋体"/>
          <w:b/>
          <w:sz w:val="24"/>
          <w:szCs w:val="28"/>
          <w:highlight w:val="none"/>
        </w:rPr>
        <w:t>1-2 分项报价明细表</w:t>
      </w:r>
    </w:p>
    <w:p w14:paraId="602DA514">
      <w:pPr>
        <w:spacing w:line="360" w:lineRule="auto"/>
        <w:ind w:firstLine="435"/>
        <w:jc w:val="center"/>
        <w:rPr>
          <w:rFonts w:asciiTheme="minorEastAsia" w:hAnsiTheme="minorEastAsia" w:eastAsiaTheme="minorEastAsia"/>
          <w:b/>
          <w:sz w:val="24"/>
          <w:highlight w:val="none"/>
        </w:rPr>
      </w:pPr>
      <w:r>
        <w:rPr>
          <w:rFonts w:hint="eastAsia" w:asciiTheme="minorEastAsia" w:hAnsiTheme="minorEastAsia" w:eastAsiaTheme="minorEastAsia"/>
          <w:i/>
          <w:sz w:val="24"/>
          <w:highlight w:val="none"/>
        </w:rPr>
        <w:t>（仅供参考，供应商可自行制作格式）</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109"/>
        <w:gridCol w:w="1357"/>
        <w:gridCol w:w="1698"/>
        <w:gridCol w:w="1568"/>
      </w:tblGrid>
      <w:tr w14:paraId="2E0C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64" w:type="pct"/>
            <w:vAlign w:val="center"/>
          </w:tcPr>
          <w:p w14:paraId="4E92FABC">
            <w:pPr>
              <w:jc w:val="center"/>
              <w:rPr>
                <w:rFonts w:ascii="宋体" w:hAnsi="宋体" w:eastAsia="宋体"/>
                <w:b/>
                <w:sz w:val="24"/>
                <w:highlight w:val="none"/>
              </w:rPr>
            </w:pPr>
            <w:r>
              <w:rPr>
                <w:rFonts w:hint="eastAsia" w:ascii="宋体" w:hAnsi="宋体" w:eastAsia="宋体"/>
                <w:b/>
                <w:sz w:val="24"/>
                <w:highlight w:val="none"/>
              </w:rPr>
              <w:t>序号</w:t>
            </w:r>
          </w:p>
        </w:tc>
        <w:tc>
          <w:tcPr>
            <w:tcW w:w="1824" w:type="pct"/>
            <w:vAlign w:val="center"/>
          </w:tcPr>
          <w:p w14:paraId="01455A34">
            <w:pPr>
              <w:jc w:val="center"/>
              <w:rPr>
                <w:rFonts w:ascii="宋体" w:hAnsi="宋体" w:eastAsia="宋体"/>
                <w:b/>
                <w:sz w:val="24"/>
                <w:highlight w:val="none"/>
              </w:rPr>
            </w:pPr>
            <w:r>
              <w:rPr>
                <w:rFonts w:hint="eastAsia" w:ascii="宋体" w:hAnsi="宋体" w:eastAsia="宋体"/>
                <w:b/>
                <w:sz w:val="24"/>
                <w:highlight w:val="none"/>
              </w:rPr>
              <w:t>服务内容</w:t>
            </w:r>
          </w:p>
        </w:tc>
        <w:tc>
          <w:tcPr>
            <w:tcW w:w="796" w:type="pct"/>
            <w:vAlign w:val="center"/>
          </w:tcPr>
          <w:p w14:paraId="53853F3C">
            <w:pPr>
              <w:jc w:val="center"/>
              <w:rPr>
                <w:rFonts w:ascii="宋体" w:hAnsi="宋体" w:eastAsia="宋体"/>
                <w:b/>
                <w:sz w:val="24"/>
                <w:highlight w:val="none"/>
              </w:rPr>
            </w:pPr>
            <w:r>
              <w:rPr>
                <w:rFonts w:hint="eastAsia" w:ascii="宋体" w:hAnsi="宋体" w:eastAsia="宋体"/>
                <w:b/>
                <w:sz w:val="24"/>
                <w:highlight w:val="none"/>
              </w:rPr>
              <w:t>项</w:t>
            </w:r>
          </w:p>
        </w:tc>
        <w:tc>
          <w:tcPr>
            <w:tcW w:w="996" w:type="pct"/>
            <w:vAlign w:val="center"/>
          </w:tcPr>
          <w:p w14:paraId="6664C8C0">
            <w:pPr>
              <w:jc w:val="center"/>
              <w:rPr>
                <w:rFonts w:ascii="宋体" w:hAnsi="宋体" w:eastAsia="宋体"/>
                <w:b/>
                <w:sz w:val="24"/>
                <w:highlight w:val="none"/>
              </w:rPr>
            </w:pPr>
            <w:r>
              <w:rPr>
                <w:rFonts w:hint="eastAsia" w:ascii="宋体" w:hAnsi="宋体" w:eastAsia="宋体"/>
                <w:b/>
                <w:sz w:val="24"/>
                <w:highlight w:val="none"/>
              </w:rPr>
              <w:t>单价</w:t>
            </w:r>
          </w:p>
        </w:tc>
        <w:tc>
          <w:tcPr>
            <w:tcW w:w="920" w:type="pct"/>
            <w:vAlign w:val="center"/>
          </w:tcPr>
          <w:p w14:paraId="0E733EE1">
            <w:pPr>
              <w:jc w:val="center"/>
              <w:rPr>
                <w:rFonts w:ascii="宋体" w:hAnsi="宋体" w:eastAsia="宋体"/>
                <w:b/>
                <w:sz w:val="24"/>
                <w:highlight w:val="none"/>
              </w:rPr>
            </w:pPr>
            <w:r>
              <w:rPr>
                <w:rFonts w:hint="eastAsia" w:ascii="宋体" w:hAnsi="宋体" w:eastAsia="宋体"/>
                <w:b/>
                <w:sz w:val="24"/>
                <w:highlight w:val="none"/>
              </w:rPr>
              <w:t>小计金额（元）</w:t>
            </w:r>
          </w:p>
        </w:tc>
      </w:tr>
      <w:tr w14:paraId="549B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tcBorders>
              <w:bottom w:val="single" w:color="auto" w:sz="4" w:space="0"/>
            </w:tcBorders>
            <w:vAlign w:val="center"/>
          </w:tcPr>
          <w:p w14:paraId="5BD07292">
            <w:pPr>
              <w:jc w:val="center"/>
              <w:rPr>
                <w:rFonts w:ascii="宋体" w:hAnsi="宋体" w:eastAsia="宋体"/>
                <w:sz w:val="24"/>
                <w:highlight w:val="none"/>
              </w:rPr>
            </w:pPr>
            <w:r>
              <w:rPr>
                <w:rFonts w:hint="eastAsia" w:ascii="宋体" w:hAnsi="宋体" w:eastAsia="宋体"/>
                <w:sz w:val="24"/>
                <w:highlight w:val="none"/>
              </w:rPr>
              <w:t>1</w:t>
            </w:r>
          </w:p>
        </w:tc>
        <w:tc>
          <w:tcPr>
            <w:tcW w:w="1824" w:type="pct"/>
            <w:vAlign w:val="center"/>
          </w:tcPr>
          <w:p w14:paraId="4164B435">
            <w:pPr>
              <w:jc w:val="center"/>
              <w:rPr>
                <w:rFonts w:ascii="宋体" w:hAnsi="宋体" w:eastAsia="宋体"/>
                <w:sz w:val="24"/>
                <w:highlight w:val="none"/>
              </w:rPr>
            </w:pPr>
          </w:p>
        </w:tc>
        <w:tc>
          <w:tcPr>
            <w:tcW w:w="796" w:type="pct"/>
            <w:vAlign w:val="center"/>
          </w:tcPr>
          <w:p w14:paraId="2D0ECD71">
            <w:pPr>
              <w:jc w:val="center"/>
              <w:rPr>
                <w:rFonts w:ascii="宋体" w:hAnsi="宋体" w:eastAsia="宋体"/>
                <w:sz w:val="24"/>
                <w:highlight w:val="none"/>
              </w:rPr>
            </w:pPr>
          </w:p>
        </w:tc>
        <w:tc>
          <w:tcPr>
            <w:tcW w:w="996" w:type="pct"/>
            <w:vAlign w:val="center"/>
          </w:tcPr>
          <w:p w14:paraId="2EB88F80">
            <w:pPr>
              <w:jc w:val="center"/>
              <w:rPr>
                <w:rFonts w:ascii="宋体" w:hAnsi="宋体" w:eastAsia="宋体"/>
                <w:sz w:val="24"/>
                <w:highlight w:val="none"/>
              </w:rPr>
            </w:pPr>
          </w:p>
        </w:tc>
        <w:tc>
          <w:tcPr>
            <w:tcW w:w="920" w:type="pct"/>
            <w:vAlign w:val="center"/>
          </w:tcPr>
          <w:p w14:paraId="3BD85A6E">
            <w:pPr>
              <w:jc w:val="center"/>
              <w:rPr>
                <w:rFonts w:ascii="宋体" w:hAnsi="宋体" w:eastAsia="宋体"/>
                <w:sz w:val="24"/>
                <w:highlight w:val="none"/>
              </w:rPr>
            </w:pPr>
          </w:p>
        </w:tc>
      </w:tr>
      <w:tr w14:paraId="4084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57E5D368">
            <w:pPr>
              <w:jc w:val="center"/>
              <w:rPr>
                <w:rFonts w:ascii="宋体" w:hAnsi="宋体" w:eastAsia="宋体"/>
                <w:sz w:val="24"/>
                <w:highlight w:val="none"/>
              </w:rPr>
            </w:pPr>
            <w:r>
              <w:rPr>
                <w:rFonts w:hint="eastAsia" w:ascii="宋体" w:hAnsi="宋体" w:eastAsia="宋体"/>
                <w:sz w:val="24"/>
                <w:highlight w:val="none"/>
              </w:rPr>
              <w:t>2</w:t>
            </w:r>
          </w:p>
        </w:tc>
        <w:tc>
          <w:tcPr>
            <w:tcW w:w="1824" w:type="pct"/>
            <w:vAlign w:val="center"/>
          </w:tcPr>
          <w:p w14:paraId="003FE6A6">
            <w:pPr>
              <w:jc w:val="center"/>
              <w:rPr>
                <w:rFonts w:ascii="宋体" w:hAnsi="宋体" w:eastAsia="宋体"/>
                <w:sz w:val="24"/>
                <w:highlight w:val="none"/>
              </w:rPr>
            </w:pPr>
          </w:p>
        </w:tc>
        <w:tc>
          <w:tcPr>
            <w:tcW w:w="796" w:type="pct"/>
            <w:vAlign w:val="center"/>
          </w:tcPr>
          <w:p w14:paraId="7C6ED3C6">
            <w:pPr>
              <w:jc w:val="center"/>
              <w:rPr>
                <w:rFonts w:ascii="宋体" w:hAnsi="宋体" w:eastAsia="宋体"/>
                <w:sz w:val="24"/>
                <w:highlight w:val="none"/>
              </w:rPr>
            </w:pPr>
          </w:p>
        </w:tc>
        <w:tc>
          <w:tcPr>
            <w:tcW w:w="996" w:type="pct"/>
            <w:vAlign w:val="center"/>
          </w:tcPr>
          <w:p w14:paraId="682FE270">
            <w:pPr>
              <w:jc w:val="center"/>
              <w:rPr>
                <w:rFonts w:ascii="宋体" w:hAnsi="宋体" w:eastAsia="宋体"/>
                <w:sz w:val="24"/>
                <w:highlight w:val="none"/>
              </w:rPr>
            </w:pPr>
          </w:p>
        </w:tc>
        <w:tc>
          <w:tcPr>
            <w:tcW w:w="920" w:type="pct"/>
            <w:vAlign w:val="center"/>
          </w:tcPr>
          <w:p w14:paraId="7D86E2DB">
            <w:pPr>
              <w:jc w:val="center"/>
              <w:rPr>
                <w:rFonts w:ascii="宋体" w:hAnsi="宋体" w:eastAsia="宋体"/>
                <w:sz w:val="24"/>
                <w:highlight w:val="none"/>
              </w:rPr>
            </w:pPr>
          </w:p>
        </w:tc>
      </w:tr>
      <w:tr w14:paraId="567B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59E35F69">
            <w:pPr>
              <w:jc w:val="center"/>
              <w:rPr>
                <w:rFonts w:ascii="宋体" w:hAnsi="宋体" w:eastAsia="宋体"/>
                <w:sz w:val="24"/>
                <w:highlight w:val="none"/>
              </w:rPr>
            </w:pPr>
            <w:r>
              <w:rPr>
                <w:rFonts w:hint="eastAsia" w:ascii="宋体" w:hAnsi="宋体" w:eastAsia="宋体"/>
                <w:sz w:val="24"/>
                <w:highlight w:val="none"/>
              </w:rPr>
              <w:t>3</w:t>
            </w:r>
          </w:p>
        </w:tc>
        <w:tc>
          <w:tcPr>
            <w:tcW w:w="1824" w:type="pct"/>
            <w:vAlign w:val="center"/>
          </w:tcPr>
          <w:p w14:paraId="748D3588">
            <w:pPr>
              <w:jc w:val="center"/>
              <w:rPr>
                <w:rFonts w:ascii="宋体" w:hAnsi="宋体" w:eastAsia="宋体"/>
                <w:sz w:val="24"/>
                <w:highlight w:val="none"/>
              </w:rPr>
            </w:pPr>
          </w:p>
        </w:tc>
        <w:tc>
          <w:tcPr>
            <w:tcW w:w="796" w:type="pct"/>
            <w:vAlign w:val="center"/>
          </w:tcPr>
          <w:p w14:paraId="2F12081D">
            <w:pPr>
              <w:jc w:val="center"/>
              <w:rPr>
                <w:rFonts w:ascii="宋体" w:hAnsi="宋体" w:eastAsia="宋体"/>
                <w:sz w:val="24"/>
                <w:highlight w:val="none"/>
              </w:rPr>
            </w:pPr>
          </w:p>
        </w:tc>
        <w:tc>
          <w:tcPr>
            <w:tcW w:w="996" w:type="pct"/>
            <w:vAlign w:val="center"/>
          </w:tcPr>
          <w:p w14:paraId="088DBD84">
            <w:pPr>
              <w:jc w:val="center"/>
              <w:rPr>
                <w:rFonts w:ascii="宋体" w:hAnsi="宋体" w:eastAsia="宋体"/>
                <w:sz w:val="24"/>
                <w:highlight w:val="none"/>
              </w:rPr>
            </w:pPr>
          </w:p>
        </w:tc>
        <w:tc>
          <w:tcPr>
            <w:tcW w:w="920" w:type="pct"/>
            <w:vAlign w:val="center"/>
          </w:tcPr>
          <w:p w14:paraId="31AFCE41">
            <w:pPr>
              <w:jc w:val="center"/>
              <w:rPr>
                <w:rFonts w:ascii="宋体" w:hAnsi="宋体" w:eastAsia="宋体"/>
                <w:sz w:val="24"/>
                <w:highlight w:val="none"/>
              </w:rPr>
            </w:pPr>
          </w:p>
        </w:tc>
      </w:tr>
      <w:tr w14:paraId="4679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495AAF50">
            <w:pPr>
              <w:jc w:val="center"/>
              <w:rPr>
                <w:rFonts w:ascii="宋体" w:hAnsi="宋体" w:eastAsia="宋体"/>
                <w:sz w:val="24"/>
                <w:highlight w:val="none"/>
              </w:rPr>
            </w:pPr>
            <w:r>
              <w:rPr>
                <w:rFonts w:ascii="宋体" w:hAnsi="宋体" w:eastAsia="宋体"/>
                <w:sz w:val="24"/>
                <w:highlight w:val="none"/>
              </w:rPr>
              <w:t>…</w:t>
            </w:r>
          </w:p>
        </w:tc>
        <w:tc>
          <w:tcPr>
            <w:tcW w:w="1824" w:type="pct"/>
            <w:vAlign w:val="center"/>
          </w:tcPr>
          <w:p w14:paraId="3FF91D41">
            <w:pPr>
              <w:jc w:val="center"/>
              <w:rPr>
                <w:rFonts w:ascii="宋体" w:hAnsi="宋体" w:eastAsia="宋体"/>
                <w:sz w:val="24"/>
                <w:highlight w:val="none"/>
              </w:rPr>
            </w:pPr>
          </w:p>
        </w:tc>
        <w:tc>
          <w:tcPr>
            <w:tcW w:w="796" w:type="pct"/>
            <w:vAlign w:val="center"/>
          </w:tcPr>
          <w:p w14:paraId="3C02995F">
            <w:pPr>
              <w:jc w:val="center"/>
              <w:rPr>
                <w:rFonts w:ascii="宋体" w:hAnsi="宋体" w:eastAsia="宋体"/>
                <w:sz w:val="24"/>
                <w:highlight w:val="none"/>
              </w:rPr>
            </w:pPr>
          </w:p>
        </w:tc>
        <w:tc>
          <w:tcPr>
            <w:tcW w:w="996" w:type="pct"/>
            <w:vAlign w:val="center"/>
          </w:tcPr>
          <w:p w14:paraId="495EB4C4">
            <w:pPr>
              <w:jc w:val="center"/>
              <w:rPr>
                <w:rFonts w:ascii="宋体" w:hAnsi="宋体" w:eastAsia="宋体"/>
                <w:sz w:val="24"/>
                <w:highlight w:val="none"/>
              </w:rPr>
            </w:pPr>
          </w:p>
        </w:tc>
        <w:tc>
          <w:tcPr>
            <w:tcW w:w="920" w:type="pct"/>
            <w:vAlign w:val="center"/>
          </w:tcPr>
          <w:p w14:paraId="085E2644">
            <w:pPr>
              <w:jc w:val="center"/>
              <w:rPr>
                <w:rFonts w:ascii="宋体" w:hAnsi="宋体" w:eastAsia="宋体"/>
                <w:sz w:val="24"/>
                <w:highlight w:val="none"/>
              </w:rPr>
            </w:pPr>
          </w:p>
        </w:tc>
      </w:tr>
      <w:tr w14:paraId="317C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073CCC96">
            <w:pPr>
              <w:jc w:val="center"/>
              <w:rPr>
                <w:rFonts w:ascii="宋体" w:hAnsi="宋体" w:eastAsia="宋体"/>
                <w:sz w:val="24"/>
                <w:highlight w:val="none"/>
              </w:rPr>
            </w:pPr>
          </w:p>
        </w:tc>
        <w:tc>
          <w:tcPr>
            <w:tcW w:w="1824" w:type="pct"/>
            <w:vAlign w:val="center"/>
          </w:tcPr>
          <w:p w14:paraId="4A3EC261">
            <w:pPr>
              <w:pStyle w:val="51"/>
              <w:ind w:left="-108"/>
              <w:jc w:val="center"/>
              <w:rPr>
                <w:rFonts w:ascii="宋体" w:hAnsi="宋体"/>
                <w:highlight w:val="none"/>
              </w:rPr>
            </w:pPr>
            <w:r>
              <w:rPr>
                <w:rFonts w:hint="eastAsia" w:ascii="宋体" w:hAnsi="宋体"/>
                <w:highlight w:val="none"/>
              </w:rPr>
              <w:t>其他费用</w:t>
            </w:r>
          </w:p>
        </w:tc>
        <w:tc>
          <w:tcPr>
            <w:tcW w:w="796" w:type="pct"/>
            <w:vAlign w:val="center"/>
          </w:tcPr>
          <w:p w14:paraId="5AE69943">
            <w:pPr>
              <w:jc w:val="center"/>
              <w:rPr>
                <w:rFonts w:ascii="宋体" w:hAnsi="宋体" w:eastAsia="宋体"/>
                <w:sz w:val="24"/>
                <w:highlight w:val="none"/>
              </w:rPr>
            </w:pPr>
          </w:p>
        </w:tc>
        <w:tc>
          <w:tcPr>
            <w:tcW w:w="996" w:type="pct"/>
            <w:vAlign w:val="center"/>
          </w:tcPr>
          <w:p w14:paraId="1FA22348">
            <w:pPr>
              <w:jc w:val="center"/>
              <w:rPr>
                <w:rFonts w:ascii="宋体" w:hAnsi="宋体" w:eastAsia="宋体"/>
                <w:sz w:val="24"/>
                <w:highlight w:val="none"/>
              </w:rPr>
            </w:pPr>
          </w:p>
        </w:tc>
        <w:tc>
          <w:tcPr>
            <w:tcW w:w="920" w:type="pct"/>
            <w:vAlign w:val="center"/>
          </w:tcPr>
          <w:p w14:paraId="46747BFD">
            <w:pPr>
              <w:jc w:val="center"/>
              <w:rPr>
                <w:rFonts w:ascii="宋体" w:hAnsi="宋体" w:eastAsia="宋体"/>
                <w:sz w:val="24"/>
                <w:highlight w:val="none"/>
              </w:rPr>
            </w:pPr>
          </w:p>
        </w:tc>
      </w:tr>
      <w:tr w14:paraId="3842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59FD721C">
            <w:pPr>
              <w:jc w:val="center"/>
              <w:rPr>
                <w:rFonts w:ascii="宋体" w:hAnsi="宋体" w:eastAsia="宋体"/>
                <w:sz w:val="24"/>
                <w:highlight w:val="none"/>
              </w:rPr>
            </w:pPr>
          </w:p>
        </w:tc>
        <w:tc>
          <w:tcPr>
            <w:tcW w:w="1824" w:type="pct"/>
            <w:vAlign w:val="center"/>
          </w:tcPr>
          <w:p w14:paraId="1E57C9FD">
            <w:pPr>
              <w:jc w:val="center"/>
              <w:rPr>
                <w:rFonts w:ascii="宋体" w:hAnsi="宋体" w:eastAsia="宋体"/>
                <w:sz w:val="24"/>
                <w:highlight w:val="none"/>
              </w:rPr>
            </w:pPr>
            <w:r>
              <w:rPr>
                <w:rFonts w:ascii="宋体" w:hAnsi="宋体" w:eastAsia="宋体"/>
                <w:sz w:val="24"/>
                <w:highlight w:val="none"/>
              </w:rPr>
              <w:t>……</w:t>
            </w:r>
          </w:p>
        </w:tc>
        <w:tc>
          <w:tcPr>
            <w:tcW w:w="796" w:type="pct"/>
            <w:vAlign w:val="center"/>
          </w:tcPr>
          <w:p w14:paraId="0A174D2A">
            <w:pPr>
              <w:jc w:val="center"/>
              <w:rPr>
                <w:rFonts w:ascii="宋体" w:hAnsi="宋体" w:eastAsia="宋体"/>
                <w:sz w:val="24"/>
                <w:highlight w:val="none"/>
              </w:rPr>
            </w:pPr>
          </w:p>
        </w:tc>
        <w:tc>
          <w:tcPr>
            <w:tcW w:w="996" w:type="pct"/>
            <w:vAlign w:val="center"/>
          </w:tcPr>
          <w:p w14:paraId="6F0A447C">
            <w:pPr>
              <w:jc w:val="center"/>
              <w:rPr>
                <w:rFonts w:ascii="宋体" w:hAnsi="宋体" w:eastAsia="宋体"/>
                <w:sz w:val="24"/>
                <w:highlight w:val="none"/>
              </w:rPr>
            </w:pPr>
          </w:p>
        </w:tc>
        <w:tc>
          <w:tcPr>
            <w:tcW w:w="920" w:type="pct"/>
            <w:vAlign w:val="center"/>
          </w:tcPr>
          <w:p w14:paraId="66C347E2">
            <w:pPr>
              <w:jc w:val="center"/>
              <w:rPr>
                <w:rFonts w:ascii="宋体" w:hAnsi="宋体" w:eastAsia="宋体"/>
                <w:sz w:val="24"/>
                <w:highlight w:val="none"/>
              </w:rPr>
            </w:pPr>
          </w:p>
        </w:tc>
      </w:tr>
      <w:tr w14:paraId="6C5B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80" w:type="pct"/>
            <w:gridSpan w:val="4"/>
            <w:vAlign w:val="center"/>
          </w:tcPr>
          <w:p w14:paraId="26FA8CAA">
            <w:pPr>
              <w:jc w:val="center"/>
              <w:rPr>
                <w:rFonts w:ascii="宋体" w:hAnsi="宋体" w:eastAsia="宋体"/>
                <w:sz w:val="24"/>
                <w:highlight w:val="none"/>
              </w:rPr>
            </w:pPr>
            <w:r>
              <w:rPr>
                <w:rFonts w:hint="eastAsia" w:ascii="宋体" w:hAnsi="宋体" w:eastAsia="宋体"/>
                <w:b/>
                <w:sz w:val="24"/>
                <w:highlight w:val="none"/>
              </w:rPr>
              <w:t>合计金额（元）</w:t>
            </w:r>
          </w:p>
        </w:tc>
        <w:tc>
          <w:tcPr>
            <w:tcW w:w="920" w:type="pct"/>
            <w:vAlign w:val="center"/>
          </w:tcPr>
          <w:p w14:paraId="08E7EED6">
            <w:pPr>
              <w:jc w:val="center"/>
              <w:rPr>
                <w:rFonts w:ascii="宋体" w:hAnsi="宋体" w:eastAsia="宋体"/>
                <w:sz w:val="24"/>
                <w:highlight w:val="none"/>
              </w:rPr>
            </w:pPr>
          </w:p>
        </w:tc>
      </w:tr>
    </w:tbl>
    <w:p w14:paraId="056B622E">
      <w:pPr>
        <w:spacing w:line="360" w:lineRule="auto"/>
        <w:ind w:firstLine="4800" w:firstLineChars="2000"/>
        <w:rPr>
          <w:rFonts w:ascii="宋体" w:hAnsi="宋体" w:eastAsia="宋体"/>
          <w:sz w:val="24"/>
          <w:highlight w:val="none"/>
        </w:rPr>
      </w:pPr>
      <w:r>
        <w:rPr>
          <w:rFonts w:hint="eastAsia" w:ascii="宋体" w:hAnsi="宋体" w:eastAsia="宋体"/>
          <w:sz w:val="24"/>
          <w:highlight w:val="none"/>
        </w:rPr>
        <w:t>供应商电子签章：</w:t>
      </w:r>
      <w:r>
        <w:rPr>
          <w:rFonts w:hint="eastAsia" w:ascii="宋体" w:hAnsi="宋体" w:eastAsia="宋体"/>
          <w:sz w:val="24"/>
          <w:highlight w:val="none"/>
          <w:u w:val="single"/>
        </w:rPr>
        <w:t xml:space="preserve">             </w:t>
      </w:r>
    </w:p>
    <w:p w14:paraId="3A7031D9">
      <w:pPr>
        <w:spacing w:line="360" w:lineRule="auto"/>
        <w:ind w:firstLine="4800" w:firstLineChars="2000"/>
        <w:rPr>
          <w:rFonts w:ascii="宋体" w:hAnsi="宋体" w:eastAsia="宋体"/>
          <w:sz w:val="24"/>
          <w:highlight w:val="none"/>
          <w:u w:val="single"/>
        </w:rPr>
      </w:pPr>
      <w:r>
        <w:rPr>
          <w:rFonts w:hint="eastAsia" w:ascii="宋体" w:hAnsi="宋体" w:eastAsia="宋体"/>
          <w:sz w:val="24"/>
          <w:highlight w:val="none"/>
        </w:rPr>
        <w:t>日          期：</w:t>
      </w:r>
      <w:r>
        <w:rPr>
          <w:rFonts w:hint="eastAsia" w:ascii="宋体" w:hAnsi="宋体" w:eastAsia="宋体"/>
          <w:sz w:val="24"/>
          <w:highlight w:val="none"/>
          <w:u w:val="single"/>
        </w:rPr>
        <w:t xml:space="preserve">             </w:t>
      </w:r>
    </w:p>
    <w:p w14:paraId="19C8AD9C">
      <w:pPr>
        <w:adjustRightInd w:val="0"/>
        <w:snapToGrid w:val="0"/>
        <w:spacing w:line="360" w:lineRule="auto"/>
        <w:rPr>
          <w:rFonts w:ascii="宋体" w:hAnsi="宋体" w:eastAsia="宋体"/>
          <w:b/>
          <w:bCs/>
          <w:sz w:val="24"/>
          <w:szCs w:val="28"/>
          <w:highlight w:val="none"/>
        </w:rPr>
      </w:pPr>
      <w:r>
        <w:rPr>
          <w:rFonts w:hint="eastAsia" w:ascii="宋体" w:hAnsi="宋体" w:eastAsia="宋体"/>
          <w:b/>
          <w:bCs/>
          <w:sz w:val="24"/>
          <w:szCs w:val="28"/>
          <w:highlight w:val="none"/>
        </w:rPr>
        <w:t>注：</w:t>
      </w:r>
    </w:p>
    <w:p w14:paraId="157A10F7">
      <w:pPr>
        <w:adjustRightInd w:val="0"/>
        <w:snapToGrid w:val="0"/>
        <w:spacing w:line="360" w:lineRule="auto"/>
        <w:ind w:firstLine="482" w:firstLineChars="200"/>
        <w:rPr>
          <w:rFonts w:ascii="宋体" w:hAnsi="宋体" w:eastAsia="宋体"/>
          <w:b/>
          <w:bCs/>
          <w:sz w:val="24"/>
          <w:szCs w:val="28"/>
          <w:highlight w:val="none"/>
        </w:rPr>
      </w:pPr>
      <w:r>
        <w:rPr>
          <w:rFonts w:hint="eastAsia" w:ascii="宋体" w:hAnsi="宋体" w:eastAsia="宋体"/>
          <w:b/>
          <w:bCs/>
          <w:sz w:val="24"/>
          <w:szCs w:val="28"/>
          <w:highlight w:val="none"/>
        </w:rPr>
        <w:t>表中所列服务为对应本项目需求的全部服务内容。如有漏项或缺项，供应商承担全部责任。</w:t>
      </w:r>
    </w:p>
    <w:p w14:paraId="48B6B23B">
      <w:pPr>
        <w:widowControl/>
        <w:jc w:val="left"/>
        <w:rPr>
          <w:rFonts w:ascii="宋体" w:hAnsi="宋体" w:eastAsia="宋体"/>
          <w:b/>
          <w:bCs/>
          <w:color w:val="auto"/>
          <w:sz w:val="24"/>
          <w:szCs w:val="28"/>
          <w:highlight w:val="none"/>
        </w:rPr>
      </w:pPr>
      <w:r>
        <w:rPr>
          <w:rFonts w:ascii="宋体" w:hAnsi="宋体" w:eastAsia="宋体"/>
          <w:b/>
          <w:bCs/>
          <w:color w:val="auto"/>
          <w:sz w:val="24"/>
          <w:szCs w:val="28"/>
          <w:highlight w:val="none"/>
        </w:rPr>
        <w:br w:type="page"/>
      </w:r>
    </w:p>
    <w:p w14:paraId="44F72FAB">
      <w:pPr>
        <w:spacing w:line="360" w:lineRule="auto"/>
        <w:jc w:val="center"/>
        <w:outlineLvl w:val="1"/>
        <w:rPr>
          <w:rFonts w:asciiTheme="minorEastAsia" w:hAnsiTheme="minorEastAsia" w:eastAsiaTheme="minorEastAsia"/>
          <w:b/>
          <w:color w:val="auto"/>
          <w:sz w:val="24"/>
          <w:highlight w:val="none"/>
        </w:rPr>
      </w:pPr>
      <w:bookmarkStart w:id="179" w:name="_Toc461056632"/>
      <w:bookmarkStart w:id="180" w:name="_Toc461053087"/>
      <w:bookmarkStart w:id="181" w:name="_Toc520983588"/>
      <w:bookmarkStart w:id="182" w:name="_Toc32436"/>
      <w:bookmarkStart w:id="183" w:name="_Toc28695"/>
      <w:r>
        <w:rPr>
          <w:rFonts w:hint="eastAsia" w:asciiTheme="minorEastAsia" w:hAnsiTheme="minorEastAsia" w:eastAsiaTheme="minorEastAsia"/>
          <w:b/>
          <w:color w:val="auto"/>
          <w:sz w:val="24"/>
          <w:highlight w:val="none"/>
        </w:rPr>
        <w:t>二</w:t>
      </w:r>
      <w:bookmarkEnd w:id="179"/>
      <w:bookmarkEnd w:id="180"/>
      <w:r>
        <w:rPr>
          <w:rFonts w:hint="eastAsia" w:asciiTheme="minorEastAsia" w:hAnsiTheme="minorEastAsia" w:eastAsiaTheme="minorEastAsia"/>
          <w:b/>
          <w:color w:val="auto"/>
          <w:sz w:val="24"/>
          <w:highlight w:val="none"/>
        </w:rPr>
        <w:t>、最后承诺报价表</w:t>
      </w:r>
      <w:bookmarkEnd w:id="181"/>
      <w:bookmarkEnd w:id="182"/>
      <w:bookmarkEnd w:id="183"/>
    </w:p>
    <w:p w14:paraId="6EFB504B">
      <w:pPr>
        <w:spacing w:beforeLines="50" w:afterLines="50" w:line="360" w:lineRule="auto"/>
        <w:ind w:firstLine="236" w:firstLineChars="98"/>
        <w:jc w:val="center"/>
        <w:rPr>
          <w:rFonts w:ascii="宋体" w:hAnsi="宋体" w:eastAsia="宋体"/>
          <w:b/>
          <w:color w:val="auto"/>
          <w:sz w:val="24"/>
          <w:szCs w:val="28"/>
          <w:highlight w:val="none"/>
        </w:rPr>
      </w:pPr>
      <w:r>
        <w:rPr>
          <w:rFonts w:hint="eastAsia" w:ascii="宋体" w:hAnsi="宋体" w:eastAsia="宋体"/>
          <w:b/>
          <w:color w:val="auto"/>
          <w:sz w:val="24"/>
          <w:szCs w:val="28"/>
          <w:highlight w:val="none"/>
        </w:rPr>
        <w:t>（第</w:t>
      </w:r>
      <w:r>
        <w:rPr>
          <w:rFonts w:hint="eastAsia" w:ascii="宋体" w:hAnsi="宋体" w:eastAsia="宋体"/>
          <w:b/>
          <w:color w:val="auto"/>
          <w:sz w:val="24"/>
          <w:szCs w:val="28"/>
          <w:highlight w:val="none"/>
          <w:u w:val="single"/>
        </w:rPr>
        <w:t xml:space="preserve">   </w:t>
      </w:r>
      <w:r>
        <w:rPr>
          <w:rFonts w:hint="eastAsia" w:ascii="宋体" w:hAnsi="宋体" w:eastAsia="宋体"/>
          <w:b/>
          <w:color w:val="auto"/>
          <w:sz w:val="24"/>
          <w:szCs w:val="28"/>
          <w:highlight w:val="none"/>
        </w:rPr>
        <w:t>次报价书）</w:t>
      </w:r>
    </w:p>
    <w:p w14:paraId="61533976">
      <w:pPr>
        <w:snapToGrid w:val="0"/>
        <w:spacing w:line="360" w:lineRule="auto"/>
        <w:jc w:val="left"/>
        <w:rPr>
          <w:rFonts w:ascii="宋体" w:hAnsi="宋体" w:eastAsia="宋体"/>
          <w:b/>
          <w:color w:val="auto"/>
          <w:sz w:val="24"/>
          <w:szCs w:val="28"/>
          <w:highlight w:val="none"/>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rPr>
        <w:t xml:space="preserve">          </w:t>
      </w:r>
    </w:p>
    <w:p w14:paraId="77D34103">
      <w:pPr>
        <w:snapToGrid w:val="0"/>
        <w:spacing w:afterLines="50" w:line="360" w:lineRule="auto"/>
        <w:jc w:val="left"/>
        <w:rPr>
          <w:rFonts w:ascii="宋体" w:hAnsi="宋体" w:eastAsia="宋体"/>
          <w:b/>
          <w:bCs/>
          <w:color w:val="auto"/>
          <w:sz w:val="24"/>
          <w:szCs w:val="28"/>
          <w:highlight w:val="none"/>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rPr>
        <w:t xml:space="preserve">          </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0"/>
        <w:gridCol w:w="6062"/>
      </w:tblGrid>
      <w:tr w14:paraId="508B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71A6AC1B">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6" w:type="pct"/>
            <w:tcBorders>
              <w:left w:val="single" w:color="auto" w:sz="4" w:space="0"/>
            </w:tcBorders>
          </w:tcPr>
          <w:p w14:paraId="3087294F">
            <w:pPr>
              <w:spacing w:line="360" w:lineRule="auto"/>
              <w:rPr>
                <w:rFonts w:ascii="宋体" w:hAnsi="宋体" w:eastAsia="宋体"/>
                <w:b/>
                <w:color w:val="auto"/>
                <w:sz w:val="24"/>
                <w:highlight w:val="none"/>
              </w:rPr>
            </w:pPr>
          </w:p>
        </w:tc>
      </w:tr>
      <w:tr w14:paraId="0AE5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52A4C2D6">
            <w:pPr>
              <w:spacing w:line="360" w:lineRule="exact"/>
              <w:jc w:val="center"/>
              <w:rPr>
                <w:rFonts w:ascii="宋体" w:hAnsi="宋体" w:eastAsia="宋体"/>
                <w:b/>
                <w:color w:val="auto"/>
                <w:sz w:val="24"/>
                <w:highlight w:val="none"/>
              </w:rPr>
            </w:pPr>
            <w:r>
              <w:rPr>
                <w:rFonts w:hint="eastAsia" w:ascii="宋体" w:hAnsi="宋体" w:eastAsia="宋体"/>
                <w:b/>
                <w:bCs/>
                <w:color w:val="auto"/>
                <w:sz w:val="24"/>
                <w:szCs w:val="28"/>
                <w:highlight w:val="none"/>
              </w:rPr>
              <w:t>磋商</w:t>
            </w:r>
            <w:r>
              <w:rPr>
                <w:rFonts w:hint="eastAsia" w:ascii="宋体" w:hAnsi="宋体" w:eastAsia="宋体"/>
                <w:b/>
                <w:color w:val="auto"/>
                <w:sz w:val="24"/>
                <w:highlight w:val="none"/>
              </w:rPr>
              <w:t>范围</w:t>
            </w:r>
          </w:p>
        </w:tc>
        <w:tc>
          <w:tcPr>
            <w:tcW w:w="6062" w:type="dxa"/>
            <w:tcBorders>
              <w:left w:val="single" w:color="auto" w:sz="4" w:space="0"/>
            </w:tcBorders>
            <w:vAlign w:val="center"/>
          </w:tcPr>
          <w:p w14:paraId="6A37DFA1">
            <w:pPr>
              <w:widowControl/>
              <w:spacing w:line="360" w:lineRule="exact"/>
              <w:rPr>
                <w:rFonts w:ascii="宋体" w:hAnsi="宋体" w:eastAsia="宋体"/>
                <w:b/>
                <w:color w:val="auto"/>
                <w:sz w:val="24"/>
                <w:highlight w:val="none"/>
              </w:rPr>
            </w:pPr>
            <w:r>
              <w:rPr>
                <w:rFonts w:hint="eastAsia" w:asciiTheme="minorEastAsia" w:hAnsiTheme="minorEastAsia" w:eastAsiaTheme="minorEastAsia"/>
                <w:sz w:val="24"/>
                <w:szCs w:val="28"/>
                <w:highlight w:val="none"/>
              </w:rPr>
              <w:t>全部</w:t>
            </w:r>
          </w:p>
        </w:tc>
      </w:tr>
      <w:tr w14:paraId="649B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56E4D22E">
            <w:pPr>
              <w:spacing w:line="360" w:lineRule="auto"/>
              <w:jc w:val="center"/>
              <w:rPr>
                <w:rFonts w:ascii="宋体" w:hAnsi="宋体" w:eastAsia="宋体"/>
                <w:b/>
                <w:color w:val="auto"/>
                <w:sz w:val="24"/>
                <w:highlight w:val="none"/>
              </w:rPr>
            </w:pPr>
            <w:r>
              <w:rPr>
                <w:rFonts w:hint="eastAsia" w:ascii="宋体" w:hAnsi="宋体" w:eastAsia="宋体"/>
                <w:b/>
                <w:bCs/>
                <w:color w:val="auto"/>
                <w:sz w:val="24"/>
                <w:szCs w:val="28"/>
                <w:highlight w:val="none"/>
              </w:rPr>
              <w:t>最后报价</w:t>
            </w:r>
          </w:p>
          <w:p w14:paraId="3144D449">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6062" w:type="dxa"/>
            <w:shd w:val="clear" w:color="auto" w:fill="auto"/>
            <w:vAlign w:val="center"/>
          </w:tcPr>
          <w:p w14:paraId="35286EAD">
            <w:pPr>
              <w:snapToGrid w:val="0"/>
              <w:spacing w:line="360" w:lineRule="auto"/>
              <w:jc w:val="left"/>
              <w:rPr>
                <w:rFonts w:ascii="宋体" w:hAnsi="宋体" w:eastAsia="宋体" w:cs="宋体"/>
                <w:bCs/>
                <w:sz w:val="24"/>
                <w:szCs w:val="24"/>
                <w:highlight w:val="none"/>
                <w:u w:val="single"/>
              </w:rPr>
            </w:pPr>
            <w:r>
              <w:rPr>
                <w:rFonts w:hint="eastAsia" w:ascii="宋体" w:hAnsi="宋体" w:eastAsia="宋体" w:cs="宋体"/>
                <w:bCs/>
                <w:sz w:val="24"/>
                <w:szCs w:val="24"/>
                <w:highlight w:val="none"/>
              </w:rPr>
              <w:t>人民币大写：</w:t>
            </w:r>
            <w:r>
              <w:rPr>
                <w:rFonts w:hint="eastAsia" w:ascii="宋体" w:hAnsi="宋体" w:eastAsia="宋体" w:cs="宋体"/>
                <w:bCs/>
                <w:sz w:val="24"/>
                <w:szCs w:val="24"/>
                <w:highlight w:val="none"/>
                <w:u w:val="single"/>
              </w:rPr>
              <w:t xml:space="preserve">                     </w:t>
            </w:r>
          </w:p>
          <w:p w14:paraId="4567209B">
            <w:pPr>
              <w:spacing w:line="360" w:lineRule="auto"/>
              <w:ind w:right="-670" w:rightChars="0"/>
              <w:rPr>
                <w:rFonts w:ascii="宋体" w:hAnsi="宋体" w:eastAsia="宋体"/>
                <w:b/>
                <w:color w:val="auto"/>
                <w:sz w:val="24"/>
                <w:highlight w:val="none"/>
              </w:rPr>
            </w:pPr>
            <w:r>
              <w:rPr>
                <w:rFonts w:hint="eastAsia" w:ascii="宋体" w:hAnsi="宋体" w:eastAsia="宋体" w:cs="宋体"/>
                <w:bCs/>
                <w:sz w:val="24"/>
                <w:szCs w:val="24"/>
                <w:highlight w:val="none"/>
              </w:rPr>
              <w:t>人民币小写：</w:t>
            </w:r>
            <w:r>
              <w:rPr>
                <w:rFonts w:hint="eastAsia" w:ascii="宋体" w:hAnsi="宋体" w:eastAsia="宋体" w:cs="宋体"/>
                <w:bCs/>
                <w:sz w:val="24"/>
                <w:szCs w:val="24"/>
                <w:highlight w:val="none"/>
                <w:u w:val="single"/>
              </w:rPr>
              <w:t xml:space="preserve">                     </w:t>
            </w:r>
          </w:p>
        </w:tc>
      </w:tr>
      <w:tr w14:paraId="55C8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jc w:val="center"/>
        </w:trPr>
        <w:tc>
          <w:tcPr>
            <w:tcW w:w="1443" w:type="pct"/>
            <w:vAlign w:val="center"/>
          </w:tcPr>
          <w:p w14:paraId="44BB32DE">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6" w:type="pct"/>
          </w:tcPr>
          <w:p w14:paraId="5B2151BA">
            <w:pPr>
              <w:spacing w:line="360" w:lineRule="auto"/>
              <w:rPr>
                <w:rFonts w:ascii="宋体" w:hAnsi="宋体" w:eastAsia="宋体"/>
                <w:b/>
                <w:color w:val="auto"/>
                <w:sz w:val="24"/>
                <w:highlight w:val="none"/>
              </w:rPr>
            </w:pPr>
            <w:r>
              <w:rPr>
                <w:rFonts w:hint="eastAsia" w:ascii="宋体" w:hAnsi="宋体" w:eastAsia="宋体"/>
                <w:b/>
                <w:i/>
                <w:color w:val="auto"/>
                <w:sz w:val="24"/>
                <w:highlight w:val="none"/>
              </w:rPr>
              <w:t>（此处可补充磋商小组根据与供应商磋商情况变动的磋商文件的内容，包括采购需求中的技术、服务要求以及合同草案条款。）</w:t>
            </w:r>
          </w:p>
        </w:tc>
      </w:tr>
      <w:tr w14:paraId="310D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443" w:type="pct"/>
            <w:vAlign w:val="center"/>
          </w:tcPr>
          <w:p w14:paraId="29C8105F">
            <w:pPr>
              <w:spacing w:line="360" w:lineRule="auto"/>
              <w:jc w:val="center"/>
              <w:rPr>
                <w:rFonts w:ascii="宋体" w:hAnsi="宋体" w:eastAsia="宋体"/>
                <w:b/>
                <w:color w:val="auto"/>
                <w:sz w:val="24"/>
                <w:highlight w:val="none"/>
              </w:rPr>
            </w:pPr>
            <w:r>
              <w:rPr>
                <w:rFonts w:hint="eastAsia" w:ascii="宋体" w:hAnsi="宋体" w:eastAsia="宋体"/>
                <w:b/>
                <w:bCs/>
                <w:color w:val="auto"/>
                <w:sz w:val="24"/>
                <w:szCs w:val="28"/>
                <w:highlight w:val="none"/>
              </w:rPr>
              <w:t>磋商小组</w:t>
            </w:r>
            <w:r>
              <w:rPr>
                <w:rFonts w:ascii="宋体" w:hAnsi="宋体" w:eastAsia="宋体"/>
                <w:b/>
                <w:bCs/>
                <w:color w:val="auto"/>
                <w:sz w:val="24"/>
                <w:szCs w:val="28"/>
                <w:highlight w:val="none"/>
              </w:rPr>
              <w:t>签字</w:t>
            </w:r>
          </w:p>
        </w:tc>
        <w:tc>
          <w:tcPr>
            <w:tcW w:w="3556" w:type="pct"/>
          </w:tcPr>
          <w:p w14:paraId="44F7CB13">
            <w:pPr>
              <w:spacing w:line="360" w:lineRule="auto"/>
              <w:rPr>
                <w:rFonts w:ascii="宋体" w:hAnsi="宋体" w:eastAsia="宋体"/>
                <w:b/>
                <w:color w:val="auto"/>
                <w:sz w:val="24"/>
                <w:highlight w:val="none"/>
              </w:rPr>
            </w:pPr>
          </w:p>
        </w:tc>
      </w:tr>
    </w:tbl>
    <w:p w14:paraId="3DE63485">
      <w:pPr>
        <w:spacing w:line="360" w:lineRule="auto"/>
        <w:ind w:firstLine="3600" w:firstLineChars="1500"/>
        <w:jc w:val="left"/>
        <w:rPr>
          <w:rFonts w:ascii="宋体" w:hAnsi="宋体" w:eastAsia="宋体"/>
          <w:color w:val="auto"/>
          <w:sz w:val="24"/>
          <w:highlight w:val="none"/>
        </w:rPr>
      </w:pPr>
      <w:r>
        <w:rPr>
          <w:rFonts w:hint="eastAsia" w:ascii="宋体" w:hAnsi="宋体" w:eastAsia="宋体"/>
          <w:color w:val="auto"/>
          <w:sz w:val="24"/>
          <w:highlight w:val="none"/>
        </w:rPr>
        <w:t>供应商公章或授权代表签字：</w:t>
      </w:r>
      <w:r>
        <w:rPr>
          <w:rFonts w:hint="eastAsia" w:ascii="宋体" w:hAnsi="宋体" w:eastAsia="宋体"/>
          <w:color w:val="auto"/>
          <w:sz w:val="24"/>
          <w:highlight w:val="none"/>
          <w:u w:val="single"/>
        </w:rPr>
        <w:t xml:space="preserve">             </w:t>
      </w:r>
    </w:p>
    <w:p w14:paraId="18B2501F">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0D126EE0">
      <w:pPr>
        <w:spacing w:line="360" w:lineRule="auto"/>
        <w:jc w:val="left"/>
        <w:rPr>
          <w:rFonts w:ascii="宋体" w:hAnsi="宋体" w:eastAsia="宋体"/>
          <w:b/>
          <w:bCs/>
          <w:sz w:val="24"/>
          <w:highlight w:val="none"/>
        </w:rPr>
      </w:pPr>
      <w:r>
        <w:rPr>
          <w:rFonts w:hint="eastAsia" w:ascii="宋体" w:hAnsi="宋体" w:eastAsia="宋体"/>
          <w:b/>
          <w:bCs/>
          <w:sz w:val="24"/>
          <w:highlight w:val="none"/>
        </w:rPr>
        <w:t>注：</w:t>
      </w:r>
    </w:p>
    <w:p w14:paraId="65EB01D2">
      <w:pPr>
        <w:spacing w:line="360" w:lineRule="auto"/>
        <w:ind w:firstLine="482" w:firstLineChars="200"/>
        <w:jc w:val="left"/>
        <w:rPr>
          <w:rFonts w:ascii="宋体" w:hAnsi="宋体" w:eastAsia="宋体"/>
          <w:bCs/>
          <w:sz w:val="24"/>
          <w:highlight w:val="none"/>
        </w:rPr>
      </w:pPr>
      <w:r>
        <w:rPr>
          <w:rFonts w:hint="eastAsia" w:ascii="宋体" w:hAnsi="宋体" w:eastAsia="宋体"/>
          <w:b/>
          <w:bCs/>
          <w:sz w:val="24"/>
          <w:highlight w:val="none"/>
        </w:rPr>
        <w:t>1.本页《报价表》由供应商在接到报价通知后依据磋商情况填写,并在规定时间内提交。</w:t>
      </w:r>
      <w:r>
        <w:rPr>
          <w:rFonts w:hint="eastAsia" w:ascii="宋体" w:hAnsi="宋体" w:eastAsia="宋体"/>
          <w:sz w:val="24"/>
          <w:highlight w:val="none"/>
        </w:rPr>
        <w:t>考虑磋商报价的方便，供应商在填写最后承诺报价后，（第一次报价-最后承诺报价）除以第一次报价后得出的优惠率视同为需求表中全部分项设备、工程量或服务的优惠浮动值（特定分项优惠除外），而不考虑措施项目清单和规费税金清单的金额改变。</w:t>
      </w:r>
      <w:r>
        <w:rPr>
          <w:rFonts w:hint="eastAsia" w:ascii="宋体" w:hAnsi="宋体" w:eastAsia="宋体"/>
          <w:bCs/>
          <w:sz w:val="24"/>
          <w:highlight w:val="none"/>
        </w:rPr>
        <w:t>此优惠率调整原则适用于合同内价格的计算及项目增减、变更时价格的计算。</w:t>
      </w:r>
    </w:p>
    <w:p w14:paraId="1727956B">
      <w:pPr>
        <w:spacing w:line="360" w:lineRule="auto"/>
        <w:ind w:firstLine="482" w:firstLineChars="200"/>
        <w:jc w:val="left"/>
        <w:rPr>
          <w:rFonts w:ascii="宋体" w:hAnsi="宋体" w:eastAsia="宋体"/>
          <w:bCs/>
          <w:color w:val="auto"/>
          <w:sz w:val="24"/>
          <w:highlight w:val="none"/>
        </w:rPr>
      </w:pPr>
      <w:r>
        <w:rPr>
          <w:rFonts w:hint="eastAsia" w:ascii="宋体" w:hAnsi="宋体" w:eastAsia="宋体"/>
          <w:b/>
          <w:bCs/>
          <w:sz w:val="24"/>
          <w:highlight w:val="none"/>
        </w:rPr>
        <w:t>2.表中大写金额与小写金额不一致的，以大写金额为准。</w:t>
      </w:r>
      <w:r>
        <w:rPr>
          <w:rFonts w:ascii="宋体" w:hAnsi="宋体" w:eastAsia="宋体"/>
          <w:bCs/>
          <w:color w:val="auto"/>
          <w:sz w:val="24"/>
          <w:highlight w:val="none"/>
        </w:rPr>
        <w:br w:type="page"/>
      </w:r>
    </w:p>
    <w:p w14:paraId="156145B4">
      <w:pPr>
        <w:spacing w:line="360" w:lineRule="auto"/>
        <w:jc w:val="center"/>
        <w:outlineLvl w:val="1"/>
        <w:rPr>
          <w:rFonts w:asciiTheme="minorEastAsia" w:hAnsiTheme="minorEastAsia" w:eastAsiaTheme="minorEastAsia"/>
          <w:b/>
          <w:color w:val="auto"/>
          <w:sz w:val="24"/>
          <w:highlight w:val="none"/>
        </w:rPr>
      </w:pPr>
      <w:bookmarkStart w:id="184" w:name="_Toc11500"/>
      <w:bookmarkStart w:id="185" w:name="_Toc32385"/>
      <w:bookmarkStart w:id="186" w:name="_Toc520983591"/>
      <w:r>
        <w:rPr>
          <w:rFonts w:hint="eastAsia" w:asciiTheme="minorEastAsia" w:hAnsiTheme="minorEastAsia" w:eastAsiaTheme="minorEastAsia"/>
          <w:b/>
          <w:color w:val="auto"/>
          <w:sz w:val="24"/>
          <w:highlight w:val="none"/>
        </w:rPr>
        <w:t>三、磋商响应函</w:t>
      </w:r>
      <w:bookmarkEnd w:id="184"/>
      <w:bookmarkEnd w:id="185"/>
      <w:bookmarkEnd w:id="186"/>
    </w:p>
    <w:p w14:paraId="58915FB7">
      <w:pPr>
        <w:pStyle w:val="15"/>
        <w:spacing w:line="360" w:lineRule="auto"/>
        <w:rPr>
          <w:rFonts w:ascii="宋体" w:hAnsi="宋体"/>
          <w:color w:val="auto"/>
          <w:sz w:val="24"/>
          <w:highlight w:val="none"/>
        </w:rPr>
      </w:pPr>
      <w:r>
        <w:rPr>
          <w:rFonts w:hint="eastAsia" w:ascii="宋体" w:hAnsi="宋体"/>
          <w:color w:val="auto"/>
          <w:sz w:val="24"/>
          <w:highlight w:val="none"/>
        </w:rPr>
        <w:t>致：采购人</w:t>
      </w:r>
    </w:p>
    <w:p w14:paraId="5D29402D">
      <w:pPr>
        <w:spacing w:line="360" w:lineRule="auto"/>
        <w:ind w:firstLine="480" w:firstLineChars="200"/>
        <w:rPr>
          <w:rFonts w:ascii="宋体" w:hAnsi="宋体" w:eastAsia="宋体"/>
          <w:dstrike/>
          <w:color w:val="auto"/>
          <w:sz w:val="24"/>
          <w:highlight w:val="none"/>
        </w:rPr>
      </w:pPr>
      <w:r>
        <w:rPr>
          <w:rFonts w:hint="eastAsia" w:ascii="宋体" w:hAnsi="宋体" w:eastAsia="宋体"/>
          <w:color w:val="auto"/>
          <w:sz w:val="24"/>
          <w:highlight w:val="none"/>
        </w:rPr>
        <w:t>根据贵方的</w:t>
      </w:r>
      <w:bookmarkStart w:id="187" w:name="_Hlk44287543"/>
      <w:r>
        <w:rPr>
          <w:rFonts w:hint="eastAsia" w:ascii="宋体" w:hAnsi="宋体" w:eastAsia="宋体"/>
          <w:color w:val="auto"/>
          <w:sz w:val="24"/>
          <w:highlight w:val="none"/>
        </w:rPr>
        <w:t>竞争性磋商公告和磋商邀请</w:t>
      </w:r>
      <w:bookmarkEnd w:id="187"/>
      <w:r>
        <w:rPr>
          <w:rFonts w:hint="eastAsia" w:ascii="宋体" w:hAnsi="宋体" w:eastAsia="宋体"/>
          <w:color w:val="auto"/>
          <w:sz w:val="24"/>
          <w:highlight w:val="none"/>
        </w:rPr>
        <w:t>，我方兹宣布同意如下：</w:t>
      </w:r>
    </w:p>
    <w:p w14:paraId="01F25B8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宋体" w:hAnsi="宋体" w:eastAsia="宋体" w:cs="宋体"/>
          <w:color w:val="auto"/>
          <w:sz w:val="24"/>
          <w:szCs w:val="24"/>
          <w:highlight w:val="none"/>
        </w:rPr>
        <w:t>我方根据磋商文件的规定，严格履行合同的责任和义务,并保证于买方要求的日期内完成，并通过买方验收。</w:t>
      </w:r>
    </w:p>
    <w:p w14:paraId="7D1B8F9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2.我方已详细审核全部磋商文件，包括磋商文件附件及更正公告（如有），我方正式认可并遵守本次磋商文件，并对磋商文件各项条款、规定及要求均无异议。</w:t>
      </w:r>
    </w:p>
    <w:p w14:paraId="0CE3FED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3.我方同意从磋商文件规定的磋商日期起遵循本磋商文件，并在磋商文件规定的磋商有效期之前均具有约束力。</w:t>
      </w:r>
    </w:p>
    <w:p w14:paraId="1D3FE38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我方声明响应文件所提供的一切资料均真实无误、及时、有效，企业运营正常。由于我方提供资料不实而造成的责任和后果由我方承担。我方同意按照贵方提出的要求，提供与磋商有关的任何证据、数据或资料。</w:t>
      </w:r>
    </w:p>
    <w:p w14:paraId="254F8263">
      <w:pPr>
        <w:spacing w:line="360" w:lineRule="auto"/>
        <w:ind w:firstLine="480" w:firstLineChars="200"/>
        <w:rPr>
          <w:rFonts w:ascii="宋体" w:hAnsi="宋体" w:eastAsia="宋体"/>
          <w:color w:val="auto"/>
          <w:sz w:val="24"/>
          <w:highlight w:val="none"/>
        </w:rPr>
      </w:pPr>
    </w:p>
    <w:p w14:paraId="66EDB91C">
      <w:pPr>
        <w:spacing w:line="360" w:lineRule="auto"/>
        <w:ind w:firstLine="4800" w:firstLineChars="2000"/>
        <w:rPr>
          <w:rFonts w:ascii="宋体" w:hAnsi="宋体" w:eastAsia="宋体"/>
          <w:color w:val="auto"/>
          <w:sz w:val="24"/>
          <w:highlight w:val="none"/>
        </w:rPr>
      </w:pPr>
      <w:r>
        <w:rPr>
          <w:rFonts w:hint="eastAsia" w:ascii="宋体" w:hAnsi="宋体" w:eastAsia="宋体"/>
          <w:color w:val="auto"/>
          <w:sz w:val="24"/>
          <w:highlight w:val="none"/>
        </w:rPr>
        <w:t>供应商电子签章：</w:t>
      </w:r>
      <w:r>
        <w:rPr>
          <w:rFonts w:hint="eastAsia" w:ascii="宋体" w:hAnsi="宋体" w:eastAsia="宋体"/>
          <w:color w:val="auto"/>
          <w:sz w:val="24"/>
          <w:highlight w:val="none"/>
          <w:u w:val="single"/>
        </w:rPr>
        <w:t xml:space="preserve">             </w:t>
      </w:r>
    </w:p>
    <w:p w14:paraId="310A0BBB">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5F8AEC28">
      <w:pPr>
        <w:widowControl/>
        <w:jc w:val="left"/>
        <w:rPr>
          <w:rFonts w:ascii="宋体" w:hAnsi="宋体" w:eastAsia="宋体"/>
          <w:color w:val="auto"/>
          <w:sz w:val="24"/>
          <w:highlight w:val="none"/>
        </w:rPr>
      </w:pPr>
      <w:r>
        <w:rPr>
          <w:rFonts w:ascii="宋体" w:hAnsi="宋体" w:eastAsia="宋体"/>
          <w:color w:val="auto"/>
          <w:sz w:val="24"/>
          <w:highlight w:val="none"/>
        </w:rPr>
        <w:br w:type="page"/>
      </w:r>
    </w:p>
    <w:p w14:paraId="3D6D7225">
      <w:pPr>
        <w:spacing w:line="360" w:lineRule="auto"/>
        <w:jc w:val="center"/>
        <w:outlineLvl w:val="1"/>
        <w:rPr>
          <w:rFonts w:asciiTheme="minorEastAsia" w:hAnsiTheme="minorEastAsia" w:eastAsiaTheme="minorEastAsia"/>
          <w:b/>
          <w:color w:val="auto"/>
          <w:sz w:val="24"/>
          <w:highlight w:val="none"/>
        </w:rPr>
      </w:pPr>
      <w:bookmarkStart w:id="188" w:name="_Toc21328"/>
      <w:r>
        <w:rPr>
          <w:rFonts w:hint="eastAsia" w:asciiTheme="minorEastAsia" w:hAnsiTheme="minorEastAsia" w:eastAsiaTheme="minorEastAsia"/>
          <w:b/>
          <w:color w:val="auto"/>
          <w:sz w:val="24"/>
          <w:highlight w:val="none"/>
        </w:rPr>
        <w:t>四、供应商资格声明书</w:t>
      </w:r>
      <w:bookmarkEnd w:id="188"/>
    </w:p>
    <w:p w14:paraId="4D197EDA">
      <w:pPr>
        <w:pStyle w:val="15"/>
        <w:spacing w:line="360" w:lineRule="auto"/>
        <w:rPr>
          <w:rFonts w:asciiTheme="minorEastAsia" w:hAnsiTheme="minorEastAsia" w:cstheme="minorEastAsia"/>
          <w:color w:val="auto"/>
          <w:sz w:val="24"/>
          <w:szCs w:val="24"/>
          <w:highlight w:val="none"/>
        </w:rPr>
      </w:pPr>
      <w:r>
        <w:rPr>
          <w:rFonts w:hint="eastAsia" w:ascii="宋体" w:hAnsi="宋体"/>
          <w:color w:val="auto"/>
          <w:sz w:val="24"/>
          <w:highlight w:val="none"/>
        </w:rPr>
        <w:t>致：采购人</w:t>
      </w:r>
    </w:p>
    <w:p w14:paraId="0BC9105D">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在参与本次项目磋商中，我单位承诺：</w:t>
      </w:r>
    </w:p>
    <w:p w14:paraId="05BC6F23">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（一）具有良好的商业信誉和健全的财务会计制度；</w:t>
      </w:r>
    </w:p>
    <w:p w14:paraId="3704F014">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（二）具有履行合同所必需的设备和专业技术能力；</w:t>
      </w:r>
    </w:p>
    <w:p w14:paraId="4F9232FE">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（三）有依法缴纳税收和社会保障资金的良好记录；</w:t>
      </w:r>
    </w:p>
    <w:p w14:paraId="5CF264BA">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62BF1D9">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（五）我单位不存在为采购项目提供整体设计、规范编制或者项目管理、监理、检测等服务后，再参加该采购项目的其他采购活动的情形（单一来源采购项目除外）；</w:t>
      </w:r>
    </w:p>
    <w:p w14:paraId="0A2386A5">
      <w:pPr>
        <w:widowControl/>
        <w:spacing w:line="360" w:lineRule="auto"/>
        <w:ind w:firstLine="480" w:firstLineChars="200"/>
        <w:jc w:val="left"/>
        <w:rPr>
          <w:rFonts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（六）与我单位存在单位负责人为同一人或者存在直接控股、管理关系的其他法人单位信息如下（如有，不论其是否参加同一合同项下的政府采购活动均须填写）：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4191"/>
        <w:gridCol w:w="2510"/>
      </w:tblGrid>
      <w:tr w14:paraId="28EF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Pr>
          <w:p w14:paraId="6100998A">
            <w:pPr>
              <w:widowControl/>
              <w:spacing w:line="360" w:lineRule="auto"/>
              <w:jc w:val="center"/>
              <w:rPr>
                <w:rFonts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序号</w:t>
            </w:r>
          </w:p>
        </w:tc>
        <w:tc>
          <w:tcPr>
            <w:tcW w:w="4501" w:type="dxa"/>
          </w:tcPr>
          <w:p w14:paraId="51F6F174">
            <w:pPr>
              <w:pStyle w:val="10"/>
              <w:jc w:val="center"/>
              <w:rPr>
                <w:rFonts w:asciiTheme="minorEastAsia" w:hAnsiTheme="minorEastAsia" w:eastAsiaTheme="minorEastAsia" w:cstheme="minorEastAsia"/>
                <w:color w:val="auto"/>
                <w:kern w:val="0"/>
                <w:sz w:val="24"/>
                <w:highlight w:val="none"/>
                <w:lang w:val="en-US"/>
              </w:rPr>
            </w:pPr>
            <w:r>
              <w:rPr>
                <w:rFonts w:hint="eastAsia" w:asciiTheme="minorEastAsia" w:hAnsiTheme="minorEastAsia" w:eastAsiaTheme="minorEastAsia" w:cstheme="minorEastAsia"/>
                <w:color w:val="auto"/>
                <w:kern w:val="0"/>
                <w:sz w:val="24"/>
                <w:highlight w:val="none"/>
                <w:lang w:val="en-US"/>
              </w:rPr>
              <w:t>单位名称</w:t>
            </w:r>
          </w:p>
        </w:tc>
        <w:tc>
          <w:tcPr>
            <w:tcW w:w="2681" w:type="dxa"/>
          </w:tcPr>
          <w:p w14:paraId="3B74D941">
            <w:pPr>
              <w:pStyle w:val="10"/>
              <w:jc w:val="center"/>
              <w:rPr>
                <w:rFonts w:asciiTheme="minorEastAsia" w:hAnsiTheme="minorEastAsia" w:eastAsiaTheme="minorEastAsia" w:cstheme="minorEastAsia"/>
                <w:color w:val="auto"/>
                <w:kern w:val="0"/>
                <w:sz w:val="24"/>
                <w:highlight w:val="none"/>
                <w:lang w:val="en-US"/>
              </w:rPr>
            </w:pPr>
            <w:r>
              <w:rPr>
                <w:rFonts w:hint="eastAsia" w:asciiTheme="minorEastAsia" w:hAnsiTheme="minorEastAsia" w:eastAsiaTheme="minorEastAsia" w:cstheme="minorEastAsia"/>
                <w:color w:val="auto"/>
                <w:kern w:val="0"/>
                <w:sz w:val="24"/>
                <w:highlight w:val="none"/>
                <w:lang w:val="en-US"/>
              </w:rPr>
              <w:t>相互关系</w:t>
            </w:r>
          </w:p>
        </w:tc>
      </w:tr>
      <w:tr w14:paraId="3764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Pr>
          <w:p w14:paraId="3C9F6342">
            <w:pPr>
              <w:pStyle w:val="10"/>
              <w:jc w:val="center"/>
              <w:rPr>
                <w:rFonts w:asciiTheme="minorEastAsia" w:hAnsiTheme="minorEastAsia" w:eastAsiaTheme="minorEastAsia" w:cstheme="minorEastAsia"/>
                <w:color w:val="auto"/>
                <w:kern w:val="0"/>
                <w:sz w:val="24"/>
                <w:highlight w:val="none"/>
                <w:lang w:val="en-US"/>
              </w:rPr>
            </w:pPr>
            <w:r>
              <w:rPr>
                <w:rFonts w:hint="eastAsia" w:asciiTheme="minorEastAsia" w:hAnsiTheme="minorEastAsia" w:eastAsiaTheme="minorEastAsia" w:cstheme="minorEastAsia"/>
                <w:color w:val="auto"/>
                <w:kern w:val="0"/>
                <w:sz w:val="24"/>
                <w:highlight w:val="none"/>
                <w:lang w:val="en-US"/>
              </w:rPr>
              <w:t>1</w:t>
            </w:r>
          </w:p>
        </w:tc>
        <w:tc>
          <w:tcPr>
            <w:tcW w:w="4501" w:type="dxa"/>
          </w:tcPr>
          <w:p w14:paraId="3AC84A4C">
            <w:pPr>
              <w:pStyle w:val="10"/>
              <w:jc w:val="center"/>
              <w:rPr>
                <w:rFonts w:asciiTheme="minorEastAsia" w:hAnsiTheme="minorEastAsia" w:eastAsiaTheme="minorEastAsia" w:cstheme="minorEastAsia"/>
                <w:color w:val="auto"/>
                <w:kern w:val="0"/>
                <w:sz w:val="24"/>
                <w:highlight w:val="none"/>
                <w:lang w:val="en-US"/>
              </w:rPr>
            </w:pPr>
          </w:p>
        </w:tc>
        <w:tc>
          <w:tcPr>
            <w:tcW w:w="2681" w:type="dxa"/>
          </w:tcPr>
          <w:p w14:paraId="449023FC">
            <w:pPr>
              <w:pStyle w:val="10"/>
              <w:jc w:val="center"/>
              <w:rPr>
                <w:rFonts w:asciiTheme="minorEastAsia" w:hAnsiTheme="minorEastAsia" w:eastAsiaTheme="minorEastAsia" w:cstheme="minorEastAsia"/>
                <w:color w:val="auto"/>
                <w:kern w:val="0"/>
                <w:sz w:val="24"/>
                <w:highlight w:val="none"/>
                <w:lang w:val="en-US"/>
              </w:rPr>
            </w:pPr>
          </w:p>
        </w:tc>
      </w:tr>
      <w:tr w14:paraId="5D2F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Pr>
          <w:p w14:paraId="64ADB545">
            <w:pPr>
              <w:pStyle w:val="10"/>
              <w:jc w:val="center"/>
              <w:rPr>
                <w:rFonts w:asciiTheme="minorEastAsia" w:hAnsiTheme="minorEastAsia" w:eastAsiaTheme="minorEastAsia" w:cstheme="minorEastAsia"/>
                <w:color w:val="auto"/>
                <w:kern w:val="0"/>
                <w:sz w:val="24"/>
                <w:highlight w:val="none"/>
                <w:lang w:val="en-US"/>
              </w:rPr>
            </w:pPr>
            <w:r>
              <w:rPr>
                <w:rFonts w:hint="eastAsia" w:asciiTheme="minorEastAsia" w:hAnsiTheme="minorEastAsia" w:eastAsiaTheme="minorEastAsia" w:cstheme="minorEastAsia"/>
                <w:color w:val="auto"/>
                <w:kern w:val="0"/>
                <w:sz w:val="24"/>
                <w:highlight w:val="none"/>
                <w:lang w:val="en-US"/>
              </w:rPr>
              <w:t>2</w:t>
            </w:r>
          </w:p>
        </w:tc>
        <w:tc>
          <w:tcPr>
            <w:tcW w:w="4501" w:type="dxa"/>
          </w:tcPr>
          <w:p w14:paraId="26392DFB">
            <w:pPr>
              <w:pStyle w:val="10"/>
              <w:jc w:val="center"/>
              <w:rPr>
                <w:rFonts w:asciiTheme="minorEastAsia" w:hAnsiTheme="minorEastAsia" w:eastAsiaTheme="minorEastAsia" w:cstheme="minorEastAsia"/>
                <w:color w:val="auto"/>
                <w:kern w:val="0"/>
                <w:sz w:val="24"/>
                <w:highlight w:val="none"/>
                <w:lang w:val="en-US"/>
              </w:rPr>
            </w:pPr>
          </w:p>
        </w:tc>
        <w:tc>
          <w:tcPr>
            <w:tcW w:w="2681" w:type="dxa"/>
          </w:tcPr>
          <w:p w14:paraId="2558AA54">
            <w:pPr>
              <w:pStyle w:val="10"/>
              <w:jc w:val="center"/>
              <w:rPr>
                <w:rFonts w:asciiTheme="minorEastAsia" w:hAnsiTheme="minorEastAsia" w:eastAsiaTheme="minorEastAsia" w:cstheme="minorEastAsia"/>
                <w:color w:val="auto"/>
                <w:kern w:val="0"/>
                <w:sz w:val="24"/>
                <w:highlight w:val="none"/>
                <w:lang w:val="en-US"/>
              </w:rPr>
            </w:pPr>
          </w:p>
        </w:tc>
      </w:tr>
    </w:tbl>
    <w:p w14:paraId="55AD080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7437A330">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供应商电子签章：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6C7DCA58">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72398CDD">
      <w:pPr>
        <w:spacing w:line="440" w:lineRule="exact"/>
        <w:ind w:firstLine="4800" w:firstLineChars="2000"/>
        <w:rPr>
          <w:rFonts w:ascii="宋体" w:hAnsi="宋体" w:eastAsia="宋体"/>
          <w:color w:val="auto"/>
          <w:sz w:val="24"/>
          <w:szCs w:val="24"/>
          <w:highlight w:val="none"/>
          <w:u w:val="single"/>
        </w:rPr>
      </w:pPr>
    </w:p>
    <w:p w14:paraId="712BB8CF">
      <w:pPr>
        <w:widowControl/>
        <w:jc w:val="left"/>
        <w:rPr>
          <w:rFonts w:ascii="宋体" w:hAnsi="宋体" w:eastAsia="宋体"/>
          <w:color w:val="auto"/>
          <w:sz w:val="24"/>
          <w:highlight w:val="none"/>
        </w:rPr>
      </w:pPr>
      <w:r>
        <w:rPr>
          <w:rFonts w:ascii="宋体" w:hAnsi="宋体" w:eastAsia="宋体"/>
          <w:color w:val="auto"/>
          <w:sz w:val="24"/>
          <w:highlight w:val="none"/>
        </w:rPr>
        <w:br w:type="page"/>
      </w:r>
    </w:p>
    <w:p w14:paraId="0449D8AE">
      <w:pPr>
        <w:spacing w:line="360" w:lineRule="auto"/>
        <w:jc w:val="center"/>
        <w:outlineLvl w:val="1"/>
        <w:rPr>
          <w:rFonts w:asciiTheme="minorEastAsia" w:hAnsiTheme="minorEastAsia" w:eastAsiaTheme="minorEastAsia"/>
          <w:b/>
          <w:color w:val="auto"/>
          <w:sz w:val="24"/>
          <w:highlight w:val="none"/>
        </w:rPr>
      </w:pPr>
      <w:bookmarkStart w:id="189" w:name="_Toc121626298"/>
      <w:bookmarkStart w:id="190" w:name="_Toc516969106"/>
      <w:bookmarkStart w:id="191" w:name="_Toc26922"/>
      <w:bookmarkStart w:id="192" w:name="_Toc520983594"/>
      <w:bookmarkStart w:id="193" w:name="_Toc204594911"/>
      <w:bookmarkStart w:id="194" w:name="_Toc31518"/>
      <w:r>
        <w:rPr>
          <w:rFonts w:hint="eastAsia" w:asciiTheme="minorEastAsia" w:hAnsiTheme="minorEastAsia" w:eastAsiaTheme="minorEastAsia"/>
          <w:b/>
          <w:color w:val="auto"/>
          <w:sz w:val="24"/>
          <w:highlight w:val="none"/>
        </w:rPr>
        <w:t>五、授权书</w:t>
      </w:r>
      <w:bookmarkEnd w:id="189"/>
      <w:bookmarkEnd w:id="190"/>
      <w:bookmarkEnd w:id="191"/>
      <w:bookmarkEnd w:id="192"/>
      <w:bookmarkEnd w:id="193"/>
      <w:bookmarkEnd w:id="194"/>
    </w:p>
    <w:p w14:paraId="49543D89">
      <w:pPr>
        <w:spacing w:line="360" w:lineRule="auto"/>
        <w:jc w:val="center"/>
        <w:rPr>
          <w:rFonts w:asciiTheme="minorEastAsia" w:hAnsiTheme="minorEastAsia" w:eastAsiaTheme="minorEastAsia"/>
          <w:b/>
          <w:color w:val="auto"/>
          <w:sz w:val="24"/>
          <w:highlight w:val="none"/>
        </w:rPr>
      </w:pPr>
    </w:p>
    <w:p w14:paraId="38B76E72">
      <w:pPr>
        <w:pStyle w:val="14"/>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磋商过程的一切事宜，包括但不限于：提交响应文件、参与磋商、签约等。供应商授权代表在采购活动过程中所签署的一切文件和处理与之有关的一切事务，本公司均予以认可并对此承担责任。供应商授权代表无转委托权。特此授权。</w:t>
      </w:r>
    </w:p>
    <w:p w14:paraId="75764538">
      <w:pPr>
        <w:pStyle w:val="14"/>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6601D094">
      <w:pPr>
        <w:pStyle w:val="14"/>
        <w:snapToGrid w:val="0"/>
        <w:spacing w:line="360" w:lineRule="auto"/>
        <w:ind w:firstLine="480" w:firstLineChars="200"/>
        <w:jc w:val="left"/>
        <w:rPr>
          <w:rFonts w:hAnsi="宋体" w:eastAsia="宋体"/>
          <w:color w:val="auto"/>
          <w:sz w:val="24"/>
          <w:highlight w:val="none"/>
        </w:rPr>
      </w:pPr>
      <w:r>
        <w:rPr>
          <w:rFonts w:hint="eastAsia" w:hAnsi="宋体" w:eastAsia="宋体"/>
          <w:color w:val="auto"/>
          <w:sz w:val="24"/>
          <w:szCs w:val="28"/>
          <w:highlight w:val="none"/>
        </w:rPr>
        <w:t>授权代表</w:t>
      </w:r>
      <w:r>
        <w:rPr>
          <w:rFonts w:hint="eastAsia" w:hAnsi="宋体" w:eastAsia="宋体"/>
          <w:color w:val="auto"/>
          <w:sz w:val="24"/>
          <w:highlight w:val="none"/>
        </w:rPr>
        <w:t>身份证明扫描件：</w:t>
      </w:r>
    </w:p>
    <w:p w14:paraId="7878FC8F">
      <w:pPr>
        <w:pStyle w:val="14"/>
        <w:snapToGrid w:val="0"/>
        <w:spacing w:line="360" w:lineRule="auto"/>
        <w:ind w:firstLine="480" w:firstLineChars="200"/>
        <w:jc w:val="left"/>
        <w:rPr>
          <w:rFonts w:hAnsi="宋体" w:eastAsia="宋体"/>
          <w:color w:val="auto"/>
          <w:sz w:val="24"/>
          <w:highlight w:val="none"/>
        </w:rPr>
      </w:pPr>
    </w:p>
    <w:p w14:paraId="307A21D2">
      <w:pPr>
        <w:pStyle w:val="14"/>
        <w:snapToGrid w:val="0"/>
        <w:spacing w:line="360" w:lineRule="auto"/>
        <w:ind w:firstLine="480" w:firstLineChars="200"/>
        <w:jc w:val="left"/>
        <w:rPr>
          <w:rFonts w:hAnsi="宋体" w:eastAsia="宋体"/>
          <w:color w:val="auto"/>
          <w:sz w:val="24"/>
          <w:highlight w:val="none"/>
        </w:rPr>
      </w:pPr>
    </w:p>
    <w:p w14:paraId="13D679F6">
      <w:pPr>
        <w:pStyle w:val="14"/>
        <w:snapToGrid w:val="0"/>
        <w:spacing w:line="360" w:lineRule="auto"/>
        <w:ind w:firstLine="480" w:firstLineChars="200"/>
        <w:jc w:val="left"/>
        <w:rPr>
          <w:rFonts w:hAnsi="宋体" w:eastAsia="宋体"/>
          <w:color w:val="auto"/>
          <w:sz w:val="24"/>
          <w:highlight w:val="none"/>
        </w:rPr>
      </w:pPr>
    </w:p>
    <w:p w14:paraId="29705CE3">
      <w:pPr>
        <w:pStyle w:val="14"/>
        <w:snapToGrid w:val="0"/>
        <w:spacing w:line="360" w:lineRule="auto"/>
        <w:ind w:firstLine="480" w:firstLineChars="200"/>
        <w:jc w:val="left"/>
        <w:rPr>
          <w:rFonts w:hAnsi="宋体" w:eastAsia="宋体"/>
          <w:color w:val="auto"/>
          <w:sz w:val="24"/>
          <w:highlight w:val="none"/>
        </w:rPr>
      </w:pPr>
    </w:p>
    <w:p w14:paraId="7108CDA2">
      <w:pPr>
        <w:pStyle w:val="14"/>
        <w:snapToGrid w:val="0"/>
        <w:spacing w:line="360" w:lineRule="auto"/>
        <w:ind w:firstLine="480" w:firstLineChars="200"/>
        <w:jc w:val="left"/>
        <w:rPr>
          <w:rFonts w:hAnsi="宋体" w:eastAsia="宋体"/>
          <w:color w:val="auto"/>
          <w:sz w:val="24"/>
          <w:szCs w:val="28"/>
          <w:highlight w:val="none"/>
          <w:u w:val="single"/>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51A79D5A">
      <w:pPr>
        <w:pStyle w:val="14"/>
        <w:snapToGrid w:val="0"/>
        <w:spacing w:line="360" w:lineRule="auto"/>
        <w:ind w:firstLine="480" w:firstLineChars="200"/>
        <w:jc w:val="left"/>
        <w:rPr>
          <w:rFonts w:hAnsi="宋体" w:eastAsia="宋体"/>
          <w:color w:val="auto"/>
          <w:sz w:val="24"/>
          <w:szCs w:val="28"/>
          <w:highlight w:val="none"/>
        </w:rPr>
      </w:pPr>
    </w:p>
    <w:p w14:paraId="6B614CEE">
      <w:pPr>
        <w:spacing w:line="360" w:lineRule="auto"/>
        <w:ind w:firstLine="360" w:firstLineChars="150"/>
        <w:rPr>
          <w:rFonts w:ascii="宋体" w:hAnsi="宋体" w:eastAsia="宋体"/>
          <w:color w:val="auto"/>
          <w:sz w:val="24"/>
          <w:szCs w:val="28"/>
          <w:highlight w:val="none"/>
        </w:rPr>
      </w:pPr>
      <w:r>
        <w:rPr>
          <w:rFonts w:hint="eastAsia" w:ascii="宋体" w:hAnsi="宋体" w:eastAsia="宋体"/>
          <w:color w:val="auto"/>
          <w:sz w:val="24"/>
          <w:szCs w:val="28"/>
          <w:highlight w:val="none"/>
        </w:rPr>
        <w:t>特此声明。</w:t>
      </w:r>
    </w:p>
    <w:p w14:paraId="78477AAB">
      <w:pPr>
        <w:spacing w:line="360" w:lineRule="auto"/>
        <w:rPr>
          <w:rFonts w:ascii="宋体" w:hAnsi="宋体" w:eastAsia="宋体"/>
          <w:color w:val="auto"/>
          <w:sz w:val="24"/>
          <w:szCs w:val="28"/>
          <w:highlight w:val="none"/>
        </w:rPr>
      </w:pPr>
    </w:p>
    <w:p w14:paraId="5A875CBB">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供应商电子签章：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413830EC">
      <w:pPr>
        <w:tabs>
          <w:tab w:val="left" w:pos="630"/>
        </w:tabs>
        <w:spacing w:line="360" w:lineRule="auto"/>
        <w:ind w:firstLine="4800" w:firstLineChars="2000"/>
        <w:rPr>
          <w:rFonts w:ascii="宋体" w:hAnsi="宋体" w:eastAsia="宋体"/>
          <w:color w:val="auto"/>
          <w:sz w:val="24"/>
          <w:szCs w:val="28"/>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18C0FDB3">
      <w:pPr>
        <w:spacing w:line="360" w:lineRule="auto"/>
        <w:rPr>
          <w:rFonts w:ascii="宋体" w:hAnsi="宋体" w:eastAsia="宋体"/>
          <w:color w:val="auto"/>
          <w:sz w:val="24"/>
          <w:szCs w:val="28"/>
          <w:highlight w:val="none"/>
        </w:rPr>
      </w:pPr>
    </w:p>
    <w:p w14:paraId="6B5B3FD4">
      <w:pPr>
        <w:spacing w:line="360" w:lineRule="auto"/>
        <w:rPr>
          <w:rFonts w:ascii="宋体" w:hAnsi="宋体" w:eastAsia="宋体"/>
          <w:color w:val="auto"/>
          <w:sz w:val="24"/>
          <w:szCs w:val="28"/>
          <w:highlight w:val="none"/>
        </w:rPr>
      </w:pPr>
    </w:p>
    <w:p w14:paraId="2E6588DB">
      <w:pPr>
        <w:pStyle w:val="14"/>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注：</w:t>
      </w:r>
    </w:p>
    <w:p w14:paraId="435EDDAB">
      <w:pPr>
        <w:pStyle w:val="14"/>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1.本项目只允许有唯一的供应商授权代表，提供身份证明扫描件；</w:t>
      </w:r>
    </w:p>
    <w:p w14:paraId="49468D45">
      <w:pPr>
        <w:spacing w:line="360" w:lineRule="auto"/>
        <w:jc w:val="left"/>
        <w:rPr>
          <w:rFonts w:ascii="宋体" w:hAnsi="宋体" w:eastAsia="宋体"/>
          <w:color w:val="auto"/>
          <w:sz w:val="24"/>
          <w:highlight w:val="none"/>
        </w:rPr>
      </w:pPr>
      <w:r>
        <w:rPr>
          <w:rFonts w:hint="eastAsia" w:ascii="宋体" w:hAnsi="宋体" w:eastAsia="宋体"/>
          <w:color w:val="auto"/>
          <w:sz w:val="24"/>
          <w:highlight w:val="none"/>
        </w:rPr>
        <w:t>2.法定代表人参加磋商的无需提供授权书，仅提供身份证明扫描件。</w:t>
      </w:r>
    </w:p>
    <w:p w14:paraId="44C401EA">
      <w:pPr>
        <w:widowControl/>
        <w:jc w:val="left"/>
        <w:rPr>
          <w:rFonts w:ascii="宋体" w:hAnsi="宋体" w:eastAsia="宋体"/>
          <w:color w:val="auto"/>
          <w:sz w:val="24"/>
          <w:highlight w:val="none"/>
        </w:rPr>
      </w:pPr>
      <w:r>
        <w:rPr>
          <w:rFonts w:ascii="宋体" w:hAnsi="宋体" w:eastAsia="宋体"/>
          <w:color w:val="auto"/>
          <w:sz w:val="24"/>
          <w:highlight w:val="none"/>
        </w:rPr>
        <w:br w:type="page"/>
      </w:r>
    </w:p>
    <w:p w14:paraId="17C0E546">
      <w:pPr>
        <w:spacing w:line="360" w:lineRule="auto"/>
        <w:jc w:val="center"/>
        <w:outlineLvl w:val="1"/>
        <w:rPr>
          <w:rFonts w:asciiTheme="minorEastAsia" w:hAnsiTheme="minorEastAsia" w:eastAsiaTheme="minorEastAsia"/>
          <w:b/>
          <w:color w:val="auto"/>
          <w:sz w:val="24"/>
          <w:highlight w:val="none"/>
        </w:rPr>
      </w:pPr>
      <w:bookmarkStart w:id="195" w:name="_Toc28033"/>
      <w:bookmarkStart w:id="196" w:name="_Toc22233"/>
      <w:r>
        <w:rPr>
          <w:rFonts w:hint="eastAsia" w:asciiTheme="minorEastAsia" w:hAnsiTheme="minorEastAsia" w:eastAsiaTheme="minorEastAsia"/>
          <w:b/>
          <w:color w:val="auto"/>
          <w:sz w:val="24"/>
          <w:highlight w:val="none"/>
        </w:rPr>
        <w:t>六、磋商响应表</w:t>
      </w:r>
      <w:bookmarkEnd w:id="195"/>
      <w:bookmarkEnd w:id="196"/>
    </w:p>
    <w:p w14:paraId="0B4FB084">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商务响应表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6"/>
        <w:gridCol w:w="2498"/>
        <w:gridCol w:w="2575"/>
        <w:gridCol w:w="810"/>
      </w:tblGrid>
      <w:tr w14:paraId="1CA6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vAlign w:val="center"/>
          </w:tcPr>
          <w:p w14:paraId="360BF274">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1124" w:type="pct"/>
            <w:vAlign w:val="center"/>
          </w:tcPr>
          <w:p w14:paraId="6FFC827A">
            <w:pPr>
              <w:pStyle w:val="14"/>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1465" w:type="pct"/>
            <w:vAlign w:val="center"/>
          </w:tcPr>
          <w:p w14:paraId="2F7CFFF6">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磋商文件要求</w:t>
            </w:r>
          </w:p>
        </w:tc>
        <w:tc>
          <w:tcPr>
            <w:tcW w:w="1510" w:type="pct"/>
            <w:vAlign w:val="center"/>
          </w:tcPr>
          <w:p w14:paraId="7C9FB883">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供应商承诺</w:t>
            </w:r>
          </w:p>
        </w:tc>
        <w:tc>
          <w:tcPr>
            <w:tcW w:w="475" w:type="pct"/>
            <w:vAlign w:val="center"/>
          </w:tcPr>
          <w:p w14:paraId="33C5EB93">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75B8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2E029C9A">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1124" w:type="pct"/>
            <w:vAlign w:val="center"/>
          </w:tcPr>
          <w:p w14:paraId="28F8D120">
            <w:pPr>
              <w:jc w:val="center"/>
              <w:rPr>
                <w:rFonts w:ascii="宋体" w:hAnsi="宋体" w:eastAsia="宋体"/>
                <w:color w:val="auto"/>
                <w:sz w:val="24"/>
                <w:highlight w:val="none"/>
              </w:rPr>
            </w:pPr>
            <w:r>
              <w:rPr>
                <w:rFonts w:asciiTheme="minorEastAsia" w:hAnsiTheme="minorEastAsia" w:eastAsiaTheme="minorEastAsia"/>
                <w:color w:val="auto"/>
                <w:sz w:val="24"/>
                <w:highlight w:val="none"/>
              </w:rPr>
              <w:t>付款方式</w:t>
            </w:r>
          </w:p>
        </w:tc>
        <w:tc>
          <w:tcPr>
            <w:tcW w:w="1465" w:type="pct"/>
            <w:vAlign w:val="center"/>
          </w:tcPr>
          <w:p w14:paraId="7A369BF8">
            <w:pPr>
              <w:jc w:val="center"/>
              <w:rPr>
                <w:rFonts w:asciiTheme="minorEastAsia" w:hAnsiTheme="minorEastAsia" w:eastAsiaTheme="minorEastAsia"/>
                <w:color w:val="auto"/>
                <w:sz w:val="24"/>
                <w:highlight w:val="none"/>
              </w:rPr>
            </w:pPr>
          </w:p>
        </w:tc>
        <w:tc>
          <w:tcPr>
            <w:tcW w:w="1510" w:type="pct"/>
            <w:vAlign w:val="center"/>
          </w:tcPr>
          <w:p w14:paraId="3F44053E">
            <w:pPr>
              <w:jc w:val="center"/>
              <w:rPr>
                <w:rFonts w:asciiTheme="minorEastAsia" w:hAnsiTheme="minorEastAsia" w:eastAsiaTheme="minorEastAsia"/>
                <w:color w:val="auto"/>
                <w:sz w:val="24"/>
                <w:highlight w:val="none"/>
              </w:rPr>
            </w:pPr>
          </w:p>
        </w:tc>
        <w:tc>
          <w:tcPr>
            <w:tcW w:w="475" w:type="pct"/>
            <w:vAlign w:val="center"/>
          </w:tcPr>
          <w:p w14:paraId="68BF4E13">
            <w:pPr>
              <w:jc w:val="center"/>
              <w:rPr>
                <w:rFonts w:asciiTheme="minorEastAsia" w:hAnsiTheme="minorEastAsia" w:eastAsiaTheme="minorEastAsia"/>
                <w:color w:val="auto"/>
                <w:sz w:val="24"/>
                <w:highlight w:val="none"/>
              </w:rPr>
            </w:pPr>
          </w:p>
        </w:tc>
      </w:tr>
      <w:tr w14:paraId="2961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44E785A6">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124" w:type="pct"/>
            <w:vAlign w:val="center"/>
          </w:tcPr>
          <w:p w14:paraId="4102CC0B">
            <w:pPr>
              <w:jc w:val="center"/>
              <w:rPr>
                <w:rFonts w:ascii="宋体" w:hAnsi="宋体" w:eastAsia="宋体"/>
                <w:color w:val="auto"/>
                <w:sz w:val="24"/>
                <w:highlight w:val="none"/>
              </w:rPr>
            </w:pPr>
            <w:r>
              <w:rPr>
                <w:rFonts w:hint="eastAsia" w:ascii="宋体" w:hAnsi="宋体" w:eastAsia="宋体"/>
                <w:color w:val="auto"/>
                <w:sz w:val="24"/>
                <w:highlight w:val="none"/>
              </w:rPr>
              <w:t>服务地点</w:t>
            </w:r>
          </w:p>
        </w:tc>
        <w:tc>
          <w:tcPr>
            <w:tcW w:w="1465" w:type="pct"/>
            <w:vAlign w:val="center"/>
          </w:tcPr>
          <w:p w14:paraId="654DC82E">
            <w:pPr>
              <w:jc w:val="center"/>
              <w:rPr>
                <w:rFonts w:asciiTheme="minorEastAsia" w:hAnsiTheme="minorEastAsia" w:eastAsiaTheme="minorEastAsia"/>
                <w:color w:val="auto"/>
                <w:sz w:val="24"/>
                <w:highlight w:val="none"/>
              </w:rPr>
            </w:pPr>
          </w:p>
        </w:tc>
        <w:tc>
          <w:tcPr>
            <w:tcW w:w="1510" w:type="pct"/>
            <w:vAlign w:val="center"/>
          </w:tcPr>
          <w:p w14:paraId="0BA4F498">
            <w:pPr>
              <w:jc w:val="center"/>
              <w:rPr>
                <w:rFonts w:asciiTheme="minorEastAsia" w:hAnsiTheme="minorEastAsia" w:eastAsiaTheme="minorEastAsia"/>
                <w:color w:val="auto"/>
                <w:sz w:val="24"/>
                <w:highlight w:val="none"/>
              </w:rPr>
            </w:pPr>
          </w:p>
        </w:tc>
        <w:tc>
          <w:tcPr>
            <w:tcW w:w="475" w:type="pct"/>
            <w:vAlign w:val="center"/>
          </w:tcPr>
          <w:p w14:paraId="6E5160B6">
            <w:pPr>
              <w:jc w:val="center"/>
              <w:rPr>
                <w:rFonts w:asciiTheme="minorEastAsia" w:hAnsiTheme="minorEastAsia" w:eastAsiaTheme="minorEastAsia"/>
                <w:color w:val="auto"/>
                <w:sz w:val="24"/>
                <w:highlight w:val="none"/>
              </w:rPr>
            </w:pPr>
          </w:p>
        </w:tc>
      </w:tr>
      <w:tr w14:paraId="7AD7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7FD2FB54">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1124" w:type="pct"/>
            <w:vAlign w:val="center"/>
          </w:tcPr>
          <w:p w14:paraId="2C02BBD0">
            <w:pPr>
              <w:jc w:val="center"/>
              <w:rPr>
                <w:rFonts w:ascii="宋体" w:hAnsi="宋体" w:eastAsia="宋体"/>
                <w:color w:val="auto"/>
                <w:sz w:val="24"/>
                <w:highlight w:val="none"/>
              </w:rPr>
            </w:pPr>
            <w:r>
              <w:rPr>
                <w:rFonts w:hint="eastAsia" w:ascii="宋体" w:hAnsi="宋体" w:eastAsia="宋体"/>
                <w:color w:val="auto"/>
                <w:sz w:val="24"/>
                <w:highlight w:val="none"/>
              </w:rPr>
              <w:t>服务期限</w:t>
            </w:r>
          </w:p>
        </w:tc>
        <w:tc>
          <w:tcPr>
            <w:tcW w:w="1465" w:type="pct"/>
            <w:vAlign w:val="center"/>
          </w:tcPr>
          <w:p w14:paraId="29DFBF0C">
            <w:pPr>
              <w:jc w:val="center"/>
              <w:rPr>
                <w:rFonts w:asciiTheme="minorEastAsia" w:hAnsiTheme="minorEastAsia" w:eastAsiaTheme="minorEastAsia"/>
                <w:color w:val="auto"/>
                <w:sz w:val="24"/>
                <w:highlight w:val="none"/>
              </w:rPr>
            </w:pPr>
          </w:p>
        </w:tc>
        <w:tc>
          <w:tcPr>
            <w:tcW w:w="1510" w:type="pct"/>
            <w:vAlign w:val="center"/>
          </w:tcPr>
          <w:p w14:paraId="2A689C1D">
            <w:pPr>
              <w:pStyle w:val="51"/>
              <w:jc w:val="center"/>
              <w:rPr>
                <w:rFonts w:asciiTheme="minorEastAsia" w:hAnsiTheme="minorEastAsia" w:eastAsiaTheme="minorEastAsia"/>
                <w:color w:val="auto"/>
                <w:highlight w:val="none"/>
              </w:rPr>
            </w:pPr>
          </w:p>
        </w:tc>
        <w:tc>
          <w:tcPr>
            <w:tcW w:w="475" w:type="pct"/>
            <w:vAlign w:val="center"/>
          </w:tcPr>
          <w:p w14:paraId="51DF5B6D">
            <w:pPr>
              <w:jc w:val="center"/>
              <w:rPr>
                <w:rFonts w:asciiTheme="minorEastAsia" w:hAnsiTheme="minorEastAsia" w:eastAsiaTheme="minorEastAsia"/>
                <w:color w:val="auto"/>
                <w:sz w:val="24"/>
                <w:highlight w:val="none"/>
              </w:rPr>
            </w:pPr>
          </w:p>
        </w:tc>
      </w:tr>
      <w:tr w14:paraId="6CBF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3" w:type="dxa"/>
            <w:vAlign w:val="center"/>
          </w:tcPr>
          <w:p w14:paraId="08C02AE7">
            <w:pPr>
              <w:jc w:val="center"/>
              <w:rPr>
                <w:rFonts w:asciiTheme="minorEastAsia" w:hAnsiTheme="minorEastAsia" w:eastAsiaTheme="minorEastAsia"/>
                <w:color w:val="auto"/>
                <w:sz w:val="24"/>
                <w:highlight w:val="none"/>
              </w:rPr>
            </w:pPr>
            <w:r>
              <w:rPr>
                <w:rFonts w:hint="eastAsia" w:asciiTheme="minorEastAsia" w:hAnsiTheme="minorEastAsia" w:eastAsiaTheme="minorEastAsia"/>
                <w:sz w:val="24"/>
                <w:highlight w:val="none"/>
              </w:rPr>
              <w:t>4</w:t>
            </w:r>
          </w:p>
        </w:tc>
        <w:tc>
          <w:tcPr>
            <w:tcW w:w="1916" w:type="dxa"/>
            <w:vAlign w:val="center"/>
          </w:tcPr>
          <w:p w14:paraId="736FF2B3">
            <w:pPr>
              <w:jc w:val="center"/>
              <w:rPr>
                <w:rFonts w:ascii="宋体" w:hAnsi="宋体" w:eastAsia="宋体"/>
                <w:color w:val="auto"/>
                <w:sz w:val="24"/>
                <w:highlight w:val="none"/>
              </w:rPr>
            </w:pPr>
            <w:r>
              <w:rPr>
                <w:rFonts w:hint="eastAsia" w:ascii="宋体" w:hAnsi="宋体" w:eastAsia="宋体"/>
                <w:sz w:val="24"/>
                <w:highlight w:val="none"/>
              </w:rPr>
              <w:t>“采购需求”所列的所有内容</w:t>
            </w:r>
          </w:p>
        </w:tc>
        <w:tc>
          <w:tcPr>
            <w:tcW w:w="1465" w:type="pct"/>
            <w:vAlign w:val="center"/>
          </w:tcPr>
          <w:p w14:paraId="3FF24B18">
            <w:pPr>
              <w:jc w:val="center"/>
              <w:rPr>
                <w:rFonts w:asciiTheme="minorEastAsia" w:hAnsiTheme="minorEastAsia" w:eastAsiaTheme="minorEastAsia"/>
                <w:color w:val="auto"/>
                <w:sz w:val="24"/>
                <w:highlight w:val="none"/>
              </w:rPr>
            </w:pPr>
          </w:p>
        </w:tc>
        <w:tc>
          <w:tcPr>
            <w:tcW w:w="1510" w:type="pct"/>
            <w:vAlign w:val="center"/>
          </w:tcPr>
          <w:p w14:paraId="69BC2E99">
            <w:pPr>
              <w:jc w:val="center"/>
              <w:rPr>
                <w:rFonts w:asciiTheme="minorEastAsia" w:hAnsiTheme="minorEastAsia" w:eastAsiaTheme="minorEastAsia"/>
                <w:color w:val="auto"/>
                <w:sz w:val="24"/>
                <w:highlight w:val="none"/>
              </w:rPr>
            </w:pPr>
          </w:p>
        </w:tc>
        <w:tc>
          <w:tcPr>
            <w:tcW w:w="475" w:type="pct"/>
            <w:vAlign w:val="center"/>
          </w:tcPr>
          <w:p w14:paraId="32D34686">
            <w:pPr>
              <w:jc w:val="center"/>
              <w:rPr>
                <w:rFonts w:asciiTheme="minorEastAsia" w:hAnsiTheme="minorEastAsia" w:eastAsiaTheme="minorEastAsia"/>
                <w:color w:val="auto"/>
                <w:sz w:val="24"/>
                <w:highlight w:val="none"/>
              </w:rPr>
            </w:pPr>
          </w:p>
        </w:tc>
      </w:tr>
    </w:tbl>
    <w:p w14:paraId="3A562974">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供应商电子签章：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2CF088A2">
      <w:pPr>
        <w:tabs>
          <w:tab w:val="left" w:pos="630"/>
        </w:tabs>
        <w:spacing w:line="360" w:lineRule="auto"/>
        <w:ind w:firstLine="4800" w:firstLineChars="2000"/>
        <w:rPr>
          <w:rFonts w:asciiTheme="minorEastAsia" w:hAnsiTheme="minorEastAsia" w:eastAsiaTheme="minorEastAsia"/>
          <w:color w:val="auto"/>
          <w:sz w:val="24"/>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19591AFF">
      <w:pPr>
        <w:pStyle w:val="15"/>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4E10DA9A">
      <w:pPr>
        <w:spacing w:line="360" w:lineRule="auto"/>
        <w:jc w:val="center"/>
        <w:outlineLvl w:val="1"/>
        <w:rPr>
          <w:rFonts w:asciiTheme="minorEastAsia" w:hAnsiTheme="minorEastAsia" w:eastAsiaTheme="minorEastAsia"/>
          <w:b/>
          <w:color w:val="auto"/>
          <w:sz w:val="24"/>
          <w:highlight w:val="none"/>
        </w:rPr>
      </w:pPr>
      <w:bookmarkStart w:id="197" w:name="_Toc29455"/>
      <w:bookmarkStart w:id="198" w:name="_Toc11260"/>
      <w:r>
        <w:rPr>
          <w:rFonts w:hint="eastAsia" w:asciiTheme="minorEastAsia" w:hAnsiTheme="minorEastAsia" w:eastAsiaTheme="minorEastAsia"/>
          <w:b/>
          <w:color w:val="auto"/>
          <w:sz w:val="24"/>
          <w:highlight w:val="none"/>
        </w:rPr>
        <w:t>七、</w:t>
      </w:r>
      <w:bookmarkEnd w:id="197"/>
      <w:bookmarkEnd w:id="198"/>
      <w:bookmarkStart w:id="199" w:name="_Toc6445"/>
      <w:bookmarkStart w:id="200" w:name="_Toc17888"/>
      <w:bookmarkStart w:id="201" w:name="_Hlk60608597"/>
      <w:r>
        <w:rPr>
          <w:rFonts w:hint="eastAsia" w:asciiTheme="minorEastAsia" w:hAnsiTheme="minorEastAsia" w:eastAsiaTheme="minorEastAsia"/>
          <w:b/>
          <w:color w:val="auto"/>
          <w:sz w:val="24"/>
          <w:highlight w:val="none"/>
        </w:rPr>
        <w:t>中小企业声明函</w:t>
      </w:r>
      <w:bookmarkEnd w:id="199"/>
      <w:bookmarkEnd w:id="200"/>
    </w:p>
    <w:p w14:paraId="63B21754">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olor w:val="auto"/>
          <w:sz w:val="24"/>
          <w:szCs w:val="24"/>
          <w:highlight w:val="none"/>
          <w:u w:val="single"/>
          <w:lang w:val="zh-CN"/>
        </w:rPr>
        <w:t>（单位</w:t>
      </w:r>
      <w:r>
        <w:rPr>
          <w:rFonts w:hint="eastAsia" w:ascii="宋体" w:hAnsi="宋体" w:eastAsia="宋体"/>
          <w:color w:val="auto"/>
          <w:sz w:val="24"/>
          <w:szCs w:val="24"/>
          <w:highlight w:val="none"/>
          <w:u w:val="single"/>
        </w:rPr>
        <w:t>名称</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lang w:val="zh-CN"/>
        </w:rPr>
        <w:t>的</w:t>
      </w:r>
      <w:r>
        <w:rPr>
          <w:rFonts w:hint="eastAsia" w:ascii="宋体" w:hAnsi="宋体" w:eastAsia="宋体"/>
          <w:color w:val="auto"/>
          <w:sz w:val="24"/>
          <w:szCs w:val="24"/>
          <w:highlight w:val="none"/>
          <w:u w:val="single"/>
          <w:lang w:val="zh-CN"/>
        </w:rPr>
        <w:t>（项目</w:t>
      </w:r>
      <w:r>
        <w:rPr>
          <w:rFonts w:hint="eastAsia" w:ascii="宋体" w:hAnsi="宋体" w:eastAsia="宋体"/>
          <w:color w:val="auto"/>
          <w:sz w:val="24"/>
          <w:szCs w:val="24"/>
          <w:highlight w:val="none"/>
          <w:u w:val="single"/>
        </w:rPr>
        <w:t>名称</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lang w:val="zh-CN"/>
        </w:rPr>
        <w:t xml:space="preserve">采购活动，服务全部由符合政策要求的中小企业承接。相关企业（含联合体中的中小企业、签订分包意向协议的中小企业）的具体情况如下： </w:t>
      </w:r>
    </w:p>
    <w:p w14:paraId="278B94A4">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1.</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36E608AF">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2.</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6EB5B46E">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w:t>
      </w:r>
    </w:p>
    <w:p w14:paraId="0E153614">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以上企业，不属于大企业的分支机构，不存在控股股东为大企业的情形，也不存在与大企业的负责人为同一人的情形。</w:t>
      </w:r>
    </w:p>
    <w:p w14:paraId="18A53F6D">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本企业对上述声明内容的真实性负责。如有虚假，将依法承担相应责任。 </w:t>
      </w:r>
    </w:p>
    <w:p w14:paraId="4EF8CB93">
      <w:pPr>
        <w:spacing w:line="360" w:lineRule="auto"/>
        <w:rPr>
          <w:rFonts w:asciiTheme="minorEastAsia" w:hAnsiTheme="minorEastAsia" w:eastAsiaTheme="minorEastAsia"/>
          <w:color w:val="auto"/>
          <w:sz w:val="24"/>
          <w:szCs w:val="24"/>
          <w:highlight w:val="none"/>
        </w:rPr>
      </w:pPr>
    </w:p>
    <w:p w14:paraId="095843F9">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供应商</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47B48067">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bookmarkEnd w:id="201"/>
    <w:p w14:paraId="5F32486B">
      <w:pPr>
        <w:keepNext w:val="0"/>
        <w:keepLines w:val="0"/>
        <w:pageBreakBefore w:val="0"/>
        <w:widowControl w:val="0"/>
        <w:tabs>
          <w:tab w:val="left" w:pos="4620"/>
        </w:tabs>
        <w:kinsoku/>
        <w:wordWrap/>
        <w:overflowPunct/>
        <w:topLinePunct w:val="0"/>
        <w:autoSpaceDE/>
        <w:autoSpaceDN/>
        <w:bidi w:val="0"/>
        <w:adjustRightInd/>
        <w:snapToGrid/>
        <w:spacing w:line="400" w:lineRule="exact"/>
        <w:jc w:val="left"/>
        <w:textAlignment w:val="auto"/>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注：</w:t>
      </w:r>
    </w:p>
    <w:p w14:paraId="510433BE">
      <w:pPr>
        <w:keepNext w:val="0"/>
        <w:keepLines w:val="0"/>
        <w:pageBreakBefore w:val="0"/>
        <w:widowControl w:val="0"/>
        <w:tabs>
          <w:tab w:val="left" w:pos="4620"/>
        </w:tabs>
        <w:kinsoku/>
        <w:wordWrap/>
        <w:overflowPunct/>
        <w:topLinePunct w:val="0"/>
        <w:autoSpaceDE/>
        <w:autoSpaceDN/>
        <w:bidi w:val="0"/>
        <w:adjustRightInd/>
        <w:snapToGrid/>
        <w:spacing w:line="400" w:lineRule="exact"/>
        <w:jc w:val="left"/>
        <w:textAlignment w:val="auto"/>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1.从业人员、营业收入、资产总额填报上一年数据，无上一年数据的新成立企业可不填报。</w:t>
      </w:r>
    </w:p>
    <w:p w14:paraId="3E9D6942">
      <w:pPr>
        <w:keepNext w:val="0"/>
        <w:keepLines w:val="0"/>
        <w:pageBreakBefore w:val="0"/>
        <w:widowControl w:val="0"/>
        <w:tabs>
          <w:tab w:val="left" w:pos="4620"/>
        </w:tabs>
        <w:kinsoku/>
        <w:wordWrap/>
        <w:overflowPunct/>
        <w:topLinePunct w:val="0"/>
        <w:autoSpaceDE/>
        <w:autoSpaceDN/>
        <w:bidi w:val="0"/>
        <w:adjustRightInd/>
        <w:snapToGrid/>
        <w:spacing w:line="400" w:lineRule="exact"/>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2.供应商应根据《政府采购促进中小企业发展管理办法》（财库﹝2020﹞46号）和《关于印发中小企业划型标准规定的通知》(工信部联企业〔2011〕300号)相关规定，如实填写中小企业声明函。</w:t>
      </w:r>
      <w:r>
        <w:rPr>
          <w:rFonts w:hint="eastAsia" w:ascii="宋体" w:hAnsi="宋体" w:eastAsia="宋体" w:cs="宋体"/>
          <w:b/>
          <w:bCs/>
          <w:color w:val="auto"/>
          <w:szCs w:val="21"/>
          <w:highlight w:val="none"/>
          <w:lang w:val="zh-CN"/>
        </w:rPr>
        <w:t>如有虚假，将依法承担相应责任。</w:t>
      </w:r>
      <w:r>
        <w:rPr>
          <w:rFonts w:hint="eastAsia" w:ascii="宋体" w:hAnsi="宋体" w:eastAsia="宋体" w:cs="宋体"/>
          <w:b/>
          <w:bCs/>
          <w:color w:val="auto"/>
          <w:szCs w:val="21"/>
          <w:highlight w:val="none"/>
        </w:rPr>
        <w:t>供应商自行登录工业和信息化部官网进行中小企业规模类型自测（查询网址https://www.miit.gov.cn/）。</w:t>
      </w:r>
    </w:p>
    <w:p w14:paraId="4EE7D0BB">
      <w:pPr>
        <w:keepNext w:val="0"/>
        <w:keepLines w:val="0"/>
        <w:pageBreakBefore w:val="0"/>
        <w:widowControl w:val="0"/>
        <w:tabs>
          <w:tab w:val="left" w:pos="4620"/>
        </w:tabs>
        <w:kinsoku/>
        <w:wordWrap/>
        <w:overflowPunct/>
        <w:topLinePunct w:val="0"/>
        <w:autoSpaceDE/>
        <w:autoSpaceDN/>
        <w:bidi w:val="0"/>
        <w:adjustRightInd/>
        <w:snapToGrid/>
        <w:spacing w:line="400" w:lineRule="exact"/>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3.上述“</w:t>
      </w:r>
      <w:r>
        <w:rPr>
          <w:rFonts w:hint="eastAsia" w:ascii="宋体" w:hAnsi="宋体" w:eastAsia="宋体" w:cs="宋体"/>
          <w:b/>
          <w:bCs/>
          <w:color w:val="auto"/>
          <w:szCs w:val="21"/>
          <w:highlight w:val="none"/>
          <w:u w:val="single"/>
          <w:lang w:val="zh-CN"/>
        </w:rPr>
        <w:t>标的名称</w:t>
      </w:r>
      <w:r>
        <w:rPr>
          <w:rFonts w:hint="eastAsia" w:ascii="宋体" w:hAnsi="宋体" w:eastAsia="宋体" w:cs="宋体"/>
          <w:b/>
          <w:bCs/>
          <w:color w:val="auto"/>
          <w:szCs w:val="21"/>
          <w:highlight w:val="none"/>
        </w:rPr>
        <w:t>”，详见第三章采购需求前附表中明确的“标的名称”。</w:t>
      </w:r>
    </w:p>
    <w:p w14:paraId="0AE64FA7">
      <w:pPr>
        <w:keepNext w:val="0"/>
        <w:keepLines w:val="0"/>
        <w:pageBreakBefore w:val="0"/>
        <w:widowControl w:val="0"/>
        <w:tabs>
          <w:tab w:val="left" w:pos="4620"/>
        </w:tabs>
        <w:kinsoku/>
        <w:wordWrap/>
        <w:overflowPunct/>
        <w:topLinePunct w:val="0"/>
        <w:autoSpaceDE/>
        <w:autoSpaceDN/>
        <w:bidi w:val="0"/>
        <w:adjustRightInd/>
        <w:snapToGrid/>
        <w:spacing w:line="400" w:lineRule="exact"/>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4.上述“</w:t>
      </w:r>
      <w:r>
        <w:rPr>
          <w:rFonts w:hint="eastAsia" w:ascii="宋体" w:hAnsi="宋体" w:eastAsia="宋体" w:cs="宋体"/>
          <w:b/>
          <w:bCs/>
          <w:color w:val="auto"/>
          <w:szCs w:val="21"/>
          <w:highlight w:val="none"/>
          <w:u w:val="single"/>
        </w:rPr>
        <w:t>采购文件中明确的所属行业</w:t>
      </w:r>
      <w:r>
        <w:rPr>
          <w:rFonts w:hint="eastAsia" w:ascii="宋体" w:hAnsi="宋体" w:eastAsia="宋体" w:cs="宋体"/>
          <w:b/>
          <w:bCs/>
          <w:color w:val="auto"/>
          <w:szCs w:val="21"/>
          <w:highlight w:val="none"/>
        </w:rPr>
        <w:t>”，详见第三章采购需求前附表中明确的“所属行业”。</w:t>
      </w:r>
    </w:p>
    <w:p w14:paraId="44017B32">
      <w:pPr>
        <w:keepNext w:val="0"/>
        <w:keepLines w:val="0"/>
        <w:pageBreakBefore w:val="0"/>
        <w:widowControl w:val="0"/>
        <w:tabs>
          <w:tab w:val="left" w:pos="4620"/>
        </w:tabs>
        <w:kinsoku/>
        <w:wordWrap/>
        <w:overflowPunct/>
        <w:topLinePunct w:val="0"/>
        <w:autoSpaceDE/>
        <w:autoSpaceDN/>
        <w:bidi w:val="0"/>
        <w:adjustRightInd/>
        <w:snapToGrid/>
        <w:spacing w:line="400" w:lineRule="exact"/>
        <w:jc w:val="left"/>
        <w:textAlignment w:val="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5．填写示例：</w:t>
      </w:r>
      <w:r>
        <w:rPr>
          <w:rFonts w:hint="eastAsia" w:ascii="宋体" w:hAnsi="宋体" w:eastAsia="宋体" w:cs="宋体"/>
          <w:b/>
          <w:bCs/>
          <w:color w:val="auto"/>
          <w:szCs w:val="21"/>
          <w:highlight w:val="none"/>
          <w:u w:val="single"/>
        </w:rPr>
        <w:t>某标的名称</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u w:val="single"/>
        </w:rPr>
        <w:t>填写第三章采购需求前附表中明确的“标的名称”</w:t>
      </w:r>
      <w:r>
        <w:rPr>
          <w:rFonts w:hint="eastAsia" w:ascii="宋体" w:hAnsi="宋体" w:eastAsia="宋体" w:cs="宋体"/>
          <w:b/>
          <w:bCs/>
          <w:color w:val="auto"/>
          <w:szCs w:val="21"/>
          <w:highlight w:val="none"/>
        </w:rPr>
        <w:t>），属于</w:t>
      </w:r>
      <w:r>
        <w:rPr>
          <w:rFonts w:hint="eastAsia" w:ascii="宋体" w:hAnsi="宋体" w:eastAsia="宋体" w:cs="宋体"/>
          <w:b/>
          <w:bCs/>
          <w:color w:val="auto"/>
          <w:szCs w:val="21"/>
          <w:highlight w:val="none"/>
          <w:u w:val="single"/>
        </w:rPr>
        <w:t>（填写第三章采购需求前附表中明确的“所属行业”，如软件和信息技术服务业）</w:t>
      </w:r>
      <w:r>
        <w:rPr>
          <w:rFonts w:hint="eastAsia" w:ascii="宋体" w:hAnsi="宋体" w:eastAsia="宋体" w:cs="宋体"/>
          <w:b/>
          <w:bCs/>
          <w:color w:val="auto"/>
          <w:szCs w:val="21"/>
          <w:highlight w:val="none"/>
        </w:rPr>
        <w:t>行业；承接企业为</w:t>
      </w:r>
      <w:r>
        <w:rPr>
          <w:rFonts w:hint="eastAsia" w:ascii="宋体" w:hAnsi="宋体" w:eastAsia="宋体" w:cs="宋体"/>
          <w:b/>
          <w:bCs/>
          <w:color w:val="auto"/>
          <w:szCs w:val="21"/>
          <w:highlight w:val="none"/>
          <w:u w:val="single"/>
          <w:lang w:val="zh-CN"/>
        </w:rPr>
        <w:t>某</w:t>
      </w:r>
      <w:r>
        <w:rPr>
          <w:rFonts w:hint="eastAsia" w:ascii="宋体" w:hAnsi="宋体" w:eastAsia="宋体" w:cs="宋体"/>
          <w:b/>
          <w:bCs/>
          <w:color w:val="auto"/>
          <w:szCs w:val="21"/>
          <w:highlight w:val="none"/>
          <w:u w:val="single"/>
        </w:rPr>
        <w:t>企业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从业人员</w:t>
      </w:r>
      <w:r>
        <w:rPr>
          <w:rFonts w:hint="eastAsia" w:ascii="宋体" w:hAnsi="宋体" w:eastAsia="宋体" w:cs="宋体"/>
          <w:b/>
          <w:bCs/>
          <w:color w:val="auto"/>
          <w:szCs w:val="21"/>
          <w:highlight w:val="none"/>
          <w:u w:val="single"/>
        </w:rPr>
        <w:t>100</w:t>
      </w:r>
      <w:r>
        <w:rPr>
          <w:rFonts w:hint="eastAsia" w:ascii="宋体" w:hAnsi="宋体" w:eastAsia="宋体" w:cs="宋体"/>
          <w:b/>
          <w:bCs/>
          <w:color w:val="auto"/>
          <w:szCs w:val="21"/>
          <w:highlight w:val="none"/>
          <w:lang w:val="zh-CN"/>
        </w:rPr>
        <w:t>人</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营业收入为</w:t>
      </w:r>
      <w:r>
        <w:rPr>
          <w:rFonts w:hint="eastAsia" w:ascii="宋体" w:hAnsi="宋体" w:eastAsia="宋体" w:cs="宋体"/>
          <w:b/>
          <w:bCs/>
          <w:color w:val="auto"/>
          <w:szCs w:val="21"/>
          <w:highlight w:val="none"/>
          <w:u w:val="single"/>
        </w:rPr>
        <w:t>10000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资产总额为</w:t>
      </w:r>
      <w:r>
        <w:rPr>
          <w:rFonts w:hint="eastAsia" w:ascii="宋体" w:hAnsi="宋体" w:eastAsia="宋体" w:cs="宋体"/>
          <w:b/>
          <w:bCs/>
          <w:color w:val="auto"/>
          <w:szCs w:val="21"/>
          <w:highlight w:val="none"/>
          <w:u w:val="single"/>
        </w:rPr>
        <w:t>5000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rPr>
        <w:t>中</w:t>
      </w:r>
      <w:r>
        <w:rPr>
          <w:rFonts w:hint="eastAsia" w:ascii="宋体" w:hAnsi="宋体" w:eastAsia="宋体" w:cs="宋体"/>
          <w:b/>
          <w:bCs/>
          <w:color w:val="auto"/>
          <w:szCs w:val="21"/>
          <w:highlight w:val="none"/>
          <w:u w:val="single"/>
          <w:lang w:val="zh-CN"/>
        </w:rPr>
        <w:t>型</w:t>
      </w:r>
      <w:r>
        <w:rPr>
          <w:rFonts w:hint="eastAsia" w:ascii="宋体" w:hAnsi="宋体" w:eastAsia="宋体" w:cs="宋体"/>
          <w:b/>
          <w:bCs/>
          <w:color w:val="auto"/>
          <w:szCs w:val="21"/>
          <w:highlight w:val="none"/>
          <w:lang w:val="zh-CN"/>
        </w:rPr>
        <w:t>企业</w:t>
      </w:r>
      <w:r>
        <w:rPr>
          <w:rFonts w:hint="eastAsia" w:ascii="宋体" w:hAnsi="宋体" w:eastAsia="宋体" w:cs="宋体"/>
          <w:b/>
          <w:bCs/>
          <w:color w:val="auto"/>
          <w:szCs w:val="21"/>
          <w:highlight w:val="none"/>
        </w:rPr>
        <w:t>[供应商自行登录工业和信息化部官网进行中小企业规模类型自测（查询网址https://www.miit.gov.cn/）]</w:t>
      </w:r>
      <w:r>
        <w:rPr>
          <w:rFonts w:hint="eastAsia" w:ascii="宋体" w:hAnsi="宋体" w:eastAsia="宋体" w:cs="宋体"/>
          <w:b/>
          <w:bCs/>
          <w:color w:val="auto"/>
          <w:szCs w:val="21"/>
          <w:highlight w:val="none"/>
          <w:lang w:val="zh-CN"/>
        </w:rPr>
        <w:t>。</w:t>
      </w:r>
    </w:p>
    <w:p w14:paraId="5898D94B">
      <w:pPr>
        <w:tabs>
          <w:tab w:val="left" w:pos="4620"/>
        </w:tabs>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77CC0E57">
      <w:pPr>
        <w:spacing w:line="360" w:lineRule="auto"/>
        <w:jc w:val="center"/>
        <w:outlineLvl w:val="1"/>
        <w:rPr>
          <w:rFonts w:asciiTheme="minorEastAsia" w:hAnsiTheme="minorEastAsia" w:eastAsiaTheme="minorEastAsia"/>
          <w:b/>
          <w:color w:val="auto"/>
          <w:sz w:val="24"/>
          <w:highlight w:val="none"/>
        </w:rPr>
      </w:pPr>
      <w:bookmarkStart w:id="202" w:name="_Toc17713"/>
      <w:bookmarkStart w:id="203" w:name="_Toc5908"/>
      <w:bookmarkStart w:id="204" w:name="_Hlk60608725"/>
      <w:r>
        <w:rPr>
          <w:rFonts w:hint="eastAsia" w:asciiTheme="minorEastAsia" w:hAnsiTheme="minorEastAsia" w:eastAsiaTheme="minorEastAsia"/>
          <w:b/>
          <w:color w:val="auto"/>
          <w:sz w:val="24"/>
          <w:highlight w:val="none"/>
        </w:rPr>
        <w:t>八、残疾人福利性单位声明函</w:t>
      </w:r>
      <w:bookmarkEnd w:id="202"/>
      <w:bookmarkEnd w:id="203"/>
    </w:p>
    <w:p w14:paraId="4BD31D45">
      <w:pPr>
        <w:pStyle w:val="10"/>
        <w:jc w:val="center"/>
        <w:rPr>
          <w:rFonts w:asciiTheme="minorEastAsia" w:hAnsiTheme="minorEastAsia" w:eastAsiaTheme="minorEastAsia"/>
          <w:color w:val="auto"/>
          <w:spacing w:val="6"/>
          <w:sz w:val="24"/>
          <w:highlight w:val="none"/>
        </w:rPr>
      </w:pPr>
      <w:r>
        <w:rPr>
          <w:rFonts w:hint="eastAsia" w:ascii="宋体" w:hAnsi="宋体" w:eastAsia="宋体"/>
          <w:i/>
          <w:color w:val="auto"/>
          <w:sz w:val="24"/>
          <w:highlight w:val="none"/>
          <w:lang w:val="en-US"/>
        </w:rPr>
        <w:t>（非残疾人福利性单位磋商，请删去“残疾人福利性单位声明函”）</w:t>
      </w:r>
    </w:p>
    <w:p w14:paraId="147FAE1E">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w:t>
      </w:r>
      <w:r>
        <w:rPr>
          <w:rFonts w:hint="eastAsia" w:asciiTheme="minorEastAsia" w:hAnsiTheme="minorEastAsia" w:eastAsiaTheme="minorEastAsia"/>
          <w:color w:val="auto"/>
          <w:sz w:val="24"/>
          <w:highlight w:val="none"/>
        </w:rPr>
        <w:t>郑重</w:t>
      </w:r>
      <w:r>
        <w:rPr>
          <w:rFonts w:hint="eastAsia" w:asciiTheme="minorEastAsia" w:hAnsiTheme="minorEastAsia" w:eastAsiaTheme="minorEastAsia"/>
          <w:color w:val="auto"/>
          <w:spacing w:val="6"/>
          <w:sz w:val="24"/>
          <w:szCs w:val="24"/>
          <w:highlight w:val="none"/>
        </w:rPr>
        <w:t>声明，根据《财政部 民政部 中国残疾人联合会关于促进残疾人就业政府采购政策的通知》（财库</w:t>
      </w:r>
      <w:r>
        <w:rPr>
          <w:rFonts w:hint="eastAsia" w:asciiTheme="minorEastAsia" w:hAnsiTheme="minorEastAsia" w:eastAsiaTheme="minorEastAsia"/>
          <w:color w:val="auto"/>
          <w:sz w:val="24"/>
          <w:szCs w:val="24"/>
          <w:highlight w:val="none"/>
        </w:rPr>
        <w:t>〔2017〕141</w:t>
      </w:r>
      <w:r>
        <w:rPr>
          <w:rFonts w:hint="eastAsia" w:asciiTheme="minorEastAsia" w:hAnsiTheme="minorEastAsia" w:eastAsiaTheme="minorEastAsia"/>
          <w:color w:val="auto"/>
          <w:spacing w:val="6"/>
          <w:sz w:val="24"/>
          <w:szCs w:val="24"/>
          <w:highlight w:val="none"/>
        </w:rPr>
        <w:t>号）的规定，本单位为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项目采购活动提供本单位制造的货物（由本单位承担工程/提供服务），或者提供其他残疾人福利性单位制造的货物（不包括使用非残疾人福利性单位注册商标的货物）。</w:t>
      </w:r>
    </w:p>
    <w:p w14:paraId="3FA786E9">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本单位对上述声明的真实性负责。如有虚假，将依法承担相应责任。</w:t>
      </w:r>
    </w:p>
    <w:p w14:paraId="74DE0CD5">
      <w:pPr>
        <w:spacing w:line="360" w:lineRule="auto"/>
        <w:ind w:firstLine="4228" w:firstLineChars="1762"/>
        <w:rPr>
          <w:rFonts w:asciiTheme="minorEastAsia" w:hAnsiTheme="minorEastAsia" w:eastAsiaTheme="minorEastAsia"/>
          <w:color w:val="auto"/>
          <w:sz w:val="24"/>
          <w:szCs w:val="24"/>
          <w:highlight w:val="none"/>
        </w:rPr>
      </w:pPr>
    </w:p>
    <w:p w14:paraId="1DD7E011">
      <w:pPr>
        <w:spacing w:line="360" w:lineRule="auto"/>
        <w:ind w:firstLine="4228" w:firstLineChars="1762"/>
        <w:rPr>
          <w:rFonts w:asciiTheme="minorEastAsia" w:hAnsiTheme="minorEastAsia" w:eastAsiaTheme="minorEastAsia"/>
          <w:color w:val="auto"/>
          <w:sz w:val="24"/>
          <w:szCs w:val="24"/>
          <w:highlight w:val="none"/>
        </w:rPr>
      </w:pPr>
    </w:p>
    <w:p w14:paraId="5CE94456">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供应商</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04A5A73D">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bookmarkEnd w:id="204"/>
    <w:p w14:paraId="60057116">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45503C33">
      <w:pPr>
        <w:spacing w:line="360" w:lineRule="auto"/>
        <w:jc w:val="center"/>
        <w:outlineLvl w:val="1"/>
        <w:rPr>
          <w:rFonts w:asciiTheme="minorEastAsia" w:hAnsiTheme="minorEastAsia" w:eastAsiaTheme="minorEastAsia"/>
          <w:b/>
          <w:color w:val="auto"/>
          <w:sz w:val="24"/>
          <w:highlight w:val="none"/>
        </w:rPr>
      </w:pPr>
      <w:bookmarkStart w:id="205" w:name="_Toc2278"/>
      <w:bookmarkStart w:id="206" w:name="_Toc20592"/>
      <w:bookmarkStart w:id="207" w:name="_Hlk44283088"/>
      <w:r>
        <w:rPr>
          <w:rFonts w:hint="eastAsia" w:ascii="宋体" w:hAnsi="宋体" w:eastAsia="宋体"/>
          <w:b/>
          <w:color w:val="auto"/>
          <w:sz w:val="24"/>
          <w:highlight w:val="none"/>
        </w:rPr>
        <w:t>九</w:t>
      </w:r>
      <w:r>
        <w:rPr>
          <w:rFonts w:hint="eastAsia" w:asciiTheme="minorEastAsia" w:hAnsiTheme="minorEastAsia" w:eastAsiaTheme="minorEastAsia"/>
          <w:b/>
          <w:color w:val="auto"/>
          <w:sz w:val="24"/>
          <w:highlight w:val="none"/>
        </w:rPr>
        <w:t>、诚信履约承诺函</w:t>
      </w:r>
      <w:bookmarkEnd w:id="205"/>
      <w:bookmarkEnd w:id="206"/>
    </w:p>
    <w:p w14:paraId="3281B3C8">
      <w:pPr>
        <w:spacing w:line="360" w:lineRule="auto"/>
        <w:rPr>
          <w:rFonts w:asciiTheme="minorEastAsia" w:hAnsiTheme="minorEastAsia" w:eastAsiaTheme="minorEastAsia"/>
          <w:b/>
          <w:bCs/>
          <w:color w:val="auto"/>
          <w:sz w:val="24"/>
          <w:highlight w:val="none"/>
        </w:rPr>
      </w:pPr>
    </w:p>
    <w:p w14:paraId="5E9F2516">
      <w:pPr>
        <w:spacing w:line="360" w:lineRule="auto"/>
        <w:rPr>
          <w:rFonts w:asciiTheme="minorEastAsia" w:hAnsiTheme="minorEastAsia" w:eastAsiaTheme="minorEastAsia"/>
          <w:b/>
          <w:bCs/>
          <w:color w:val="auto"/>
          <w:sz w:val="24"/>
          <w:highlight w:val="none"/>
          <w:u w:val="single"/>
        </w:rPr>
      </w:pPr>
      <w:r>
        <w:rPr>
          <w:rFonts w:hint="eastAsia" w:asciiTheme="minorEastAsia" w:hAnsiTheme="minorEastAsia" w:eastAsiaTheme="minorEastAsia"/>
          <w:b/>
          <w:bCs/>
          <w:color w:val="auto"/>
          <w:sz w:val="24"/>
          <w:highlight w:val="none"/>
        </w:rPr>
        <w:t>致：采购人</w:t>
      </w:r>
    </w:p>
    <w:p w14:paraId="729997E2">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成交供应商，我单位承诺在合同签订及履约过程中将严格执行《中华人民共和国政府采购法》、《中华人民共和国政府采购法实施条例》及本项目采购文件中关于合同签订及履约的相关规定，不出现以下情形：</w:t>
      </w:r>
    </w:p>
    <w:p w14:paraId="55F973F6">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3FC4EAC1">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529D014C">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238DBB75">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5D4F6C85">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2246E6DC">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B99D116">
      <w:pPr>
        <w:spacing w:line="360" w:lineRule="auto"/>
        <w:ind w:firstLine="480" w:firstLineChars="200"/>
        <w:rPr>
          <w:rFonts w:ascii="宋体" w:hAnsi="宋体" w:eastAsia="宋体" w:cs="宋体"/>
          <w:bCs/>
          <w:color w:val="auto"/>
          <w:sz w:val="24"/>
          <w:highlight w:val="none"/>
        </w:rPr>
      </w:pPr>
      <w:r>
        <w:rPr>
          <w:rFonts w:hint="eastAsia" w:ascii="宋体" w:hAnsi="宋体" w:eastAsia="宋体" w:cs="宋体"/>
          <w:bCs/>
          <w:color w:val="auto"/>
          <w:sz w:val="24"/>
          <w:highlight w:val="none"/>
        </w:rPr>
        <w:t>本承诺声明：</w:t>
      </w:r>
      <w:r>
        <w:rPr>
          <w:rFonts w:hint="eastAsia" w:ascii="宋体" w:hAnsi="宋体" w:eastAsia="宋体" w:cs="宋体"/>
          <w:bCs/>
          <w:color w:val="auto"/>
          <w:sz w:val="24"/>
          <w:highlight w:val="none"/>
          <w:u w:val="single"/>
        </w:rPr>
        <w:t xml:space="preserve">                   （供应商名称）</w:t>
      </w:r>
      <w:r>
        <w:rPr>
          <w:rFonts w:hint="eastAsia" w:ascii="宋体" w:hAnsi="宋体" w:eastAsia="宋体" w:cs="宋体"/>
          <w:bCs/>
          <w:color w:val="auto"/>
          <w:sz w:val="24"/>
          <w:highlight w:val="none"/>
        </w:rPr>
        <w:t>对本</w:t>
      </w:r>
      <w:r>
        <w:rPr>
          <w:rFonts w:hint="eastAsia" w:ascii="宋体" w:hAnsi="宋体" w:eastAsia="宋体" w:cs="宋体"/>
          <w:color w:val="auto"/>
          <w:sz w:val="24"/>
          <w:highlight w:val="none"/>
          <w:lang w:val="zh-CN"/>
        </w:rPr>
        <w:t>磋商文件</w:t>
      </w:r>
      <w:r>
        <w:rPr>
          <w:rFonts w:hint="eastAsia" w:ascii="宋体" w:hAnsi="宋体" w:eastAsia="宋体" w:cs="宋体"/>
          <w:bCs/>
          <w:color w:val="auto"/>
          <w:sz w:val="24"/>
          <w:highlight w:val="none"/>
        </w:rPr>
        <w:t>的相关要求、采购需求要求完全响应。若有幸成交将严格按照以上承诺进行服务。</w:t>
      </w:r>
    </w:p>
    <w:p w14:paraId="42087453">
      <w:pPr>
        <w:spacing w:line="360" w:lineRule="auto"/>
        <w:rPr>
          <w:rFonts w:asciiTheme="minorEastAsia" w:hAnsiTheme="minorEastAsia" w:eastAsiaTheme="minorEastAsia"/>
          <w:bCs/>
          <w:color w:val="auto"/>
          <w:sz w:val="24"/>
          <w:highlight w:val="none"/>
        </w:rPr>
      </w:pPr>
    </w:p>
    <w:p w14:paraId="0FF6B80E">
      <w:pPr>
        <w:spacing w:line="360" w:lineRule="auto"/>
        <w:rPr>
          <w:rFonts w:asciiTheme="minorEastAsia" w:hAnsiTheme="minorEastAsia" w:eastAsiaTheme="minorEastAsia"/>
          <w:bCs/>
          <w:color w:val="auto"/>
          <w:sz w:val="24"/>
          <w:highlight w:val="none"/>
        </w:rPr>
      </w:pPr>
    </w:p>
    <w:p w14:paraId="6DE9B8EB">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供应商电子签章：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3346065F">
      <w:pPr>
        <w:spacing w:line="360" w:lineRule="auto"/>
        <w:ind w:firstLine="4320" w:firstLineChars="18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68CE779D">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bookmarkEnd w:id="207"/>
    <w:p w14:paraId="140E68F7">
      <w:pPr>
        <w:spacing w:line="360" w:lineRule="auto"/>
        <w:jc w:val="center"/>
        <w:outlineLvl w:val="1"/>
        <w:rPr>
          <w:rFonts w:ascii="宋体" w:hAnsi="宋体" w:eastAsia="宋体" w:cs="宋体"/>
          <w:b/>
          <w:color w:val="auto"/>
          <w:sz w:val="24"/>
          <w:highlight w:val="none"/>
        </w:rPr>
      </w:pPr>
      <w:bookmarkStart w:id="208" w:name="_Toc7807"/>
      <w:bookmarkStart w:id="209" w:name="_Toc3826"/>
      <w:r>
        <w:rPr>
          <w:rFonts w:hint="eastAsia" w:asciiTheme="minorEastAsia" w:hAnsiTheme="minorEastAsia" w:eastAsiaTheme="minorEastAsia"/>
          <w:b/>
          <w:color w:val="auto"/>
          <w:sz w:val="24"/>
          <w:highlight w:val="none"/>
        </w:rPr>
        <w:t>十、</w:t>
      </w:r>
      <w:r>
        <w:rPr>
          <w:rFonts w:hint="eastAsia" w:ascii="宋体" w:hAnsi="宋体" w:eastAsia="宋体" w:cs="宋体"/>
          <w:b/>
          <w:color w:val="auto"/>
          <w:sz w:val="24"/>
          <w:highlight w:val="none"/>
        </w:rPr>
        <w:t>诚信</w:t>
      </w:r>
      <w:r>
        <w:rPr>
          <w:rFonts w:hint="eastAsia" w:ascii="宋体" w:hAnsi="宋体" w:eastAsia="宋体" w:cs="宋体"/>
          <w:b/>
          <w:color w:val="auto"/>
          <w:sz w:val="24"/>
          <w:highlight w:val="none"/>
          <w:lang w:val="en-US" w:eastAsia="zh-CN"/>
        </w:rPr>
        <w:t>响应</w:t>
      </w:r>
      <w:r>
        <w:rPr>
          <w:rFonts w:hint="eastAsia" w:ascii="宋体" w:hAnsi="宋体" w:eastAsia="宋体" w:cs="宋体"/>
          <w:b/>
          <w:color w:val="auto"/>
          <w:sz w:val="24"/>
          <w:highlight w:val="none"/>
        </w:rPr>
        <w:t>承诺书</w:t>
      </w:r>
    </w:p>
    <w:p w14:paraId="12812C4A">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本人以企业法定代表人的身份郑重承诺：</w:t>
      </w:r>
    </w:p>
    <w:p w14:paraId="301AB7AE">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一、将遵循公开、公正和诚实信用的原则自愿参加</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项目的响应，所提供的一切材料都是真实、有效、合法的；</w:t>
      </w:r>
    </w:p>
    <w:p w14:paraId="0DCDAEDB">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7F7057DF">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三、不出借、转让资质证书，不让他人挂靠，不以他人名义参与或者以其他方式弄虚作假，骗取成交；</w:t>
      </w:r>
    </w:p>
    <w:p w14:paraId="0AC5AFBF">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四、不与其他供应商相互串通响应报价，不排挤其他供应商的公平竞争、损害采购人的合法权益；</w:t>
      </w:r>
    </w:p>
    <w:p w14:paraId="6FBDD35F">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五、不与采购人、采购代理机构或其他供应商串通响应，损害国家利益、社会公共利益或者他人的合法权益；</w:t>
      </w:r>
    </w:p>
    <w:p w14:paraId="65A3CE23">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w:t>
      </w:r>
      <w:r>
        <w:rPr>
          <w:rFonts w:hint="eastAsia" w:ascii="宋体" w:hAnsi="宋体" w:eastAsia="宋体" w:cs="宋体"/>
          <w:color w:val="auto"/>
          <w:kern w:val="2"/>
          <w:sz w:val="21"/>
          <w:szCs w:val="21"/>
          <w:highlight w:val="none"/>
          <w:u w:val="single"/>
          <w:lang w:val="en-US" w:eastAsia="zh-CN" w:bidi="ar"/>
        </w:rPr>
        <w:t xml:space="preserve">       （企业名称）</w:t>
      </w:r>
      <w:r>
        <w:rPr>
          <w:rFonts w:hint="eastAsia" w:ascii="宋体" w:hAnsi="宋体" w:eastAsia="宋体" w:cs="宋体"/>
          <w:color w:val="auto"/>
          <w:kern w:val="2"/>
          <w:sz w:val="21"/>
          <w:szCs w:val="21"/>
          <w:highlight w:val="none"/>
          <w:lang w:val="en-US" w:eastAsia="zh-CN" w:bidi="ar"/>
        </w:rPr>
        <w:t>或</w:t>
      </w:r>
      <w:r>
        <w:rPr>
          <w:rFonts w:hint="eastAsia" w:ascii="宋体" w:hAnsi="宋体" w:eastAsia="宋体" w:cs="宋体"/>
          <w:color w:val="auto"/>
          <w:kern w:val="2"/>
          <w:sz w:val="21"/>
          <w:szCs w:val="21"/>
          <w:highlight w:val="none"/>
          <w:u w:val="single"/>
          <w:lang w:val="en-US" w:eastAsia="zh-CN" w:bidi="ar"/>
        </w:rPr>
        <w:t xml:space="preserve">       （企业名称）</w:t>
      </w:r>
      <w:r>
        <w:rPr>
          <w:rFonts w:hint="eastAsia" w:ascii="宋体" w:hAnsi="宋体" w:eastAsia="宋体" w:cs="宋体"/>
          <w:color w:val="auto"/>
          <w:kern w:val="2"/>
          <w:sz w:val="21"/>
          <w:szCs w:val="21"/>
          <w:highlight w:val="none"/>
          <w:lang w:val="en-US" w:eastAsia="zh-CN" w:bidi="ar"/>
        </w:rPr>
        <w:t>法定代表人或拟派项目经理（负责人）没有下列情形：①被列入“信用中国”网站“失信被执行人”的；②被列入“信用中国”网站“重大税收违法失信主体”的；③被列入“信用中国”网站 “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供应商所属分公司、办事处等分支机构有上述1-7项信誉要求，在此一并承诺我公司所属分公司、办事处等分支机构没有上述1-7项情形）</w:t>
      </w:r>
    </w:p>
    <w:p w14:paraId="71241E99">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七、严格遵守会议现场纪律，服从监管人员管理；</w:t>
      </w:r>
    </w:p>
    <w:p w14:paraId="1B219BC9">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八、保证成交后不转包，若有分包征得采购人同意；</w:t>
      </w:r>
    </w:p>
    <w:p w14:paraId="02E42114">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九、保证成交之后，按照响应文件要求提供相关后续服务；</w:t>
      </w:r>
    </w:p>
    <w:p w14:paraId="05A79723">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十、保证企业及所属相关人员在本次响应中无行贿等犯罪行为；</w:t>
      </w:r>
    </w:p>
    <w:p w14:paraId="72CF119B">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一、如在响应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7A5AE37B">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以上内容我已仔细阅读，本公司若有违反承诺内容的行为，自愿接受取消磋商或者中标（成交）资格、中标（成交）无效、记入不良行为记录等有关处理，愿意承担法律责任，给采购人造成损失的，依法承担赔偿责任。</w:t>
      </w:r>
    </w:p>
    <w:p w14:paraId="624B55B4">
      <w:pPr>
        <w:spacing w:line="500" w:lineRule="exact"/>
        <w:ind w:firstLine="420" w:firstLineChars="200"/>
        <w:rPr>
          <w:rFonts w:ascii="宋体" w:hAnsi="宋体" w:eastAsia="宋体" w:cs="宋体"/>
          <w:color w:val="auto"/>
          <w:szCs w:val="21"/>
          <w:highlight w:val="none"/>
        </w:rPr>
      </w:pPr>
    </w:p>
    <w:p w14:paraId="61095A77">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开户银行：基本账户：</w:t>
      </w:r>
    </w:p>
    <w:p w14:paraId="363D1C5B">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单位（签章）：法定代表人（签章）：</w:t>
      </w:r>
    </w:p>
    <w:p w14:paraId="216B7102">
      <w:pPr>
        <w:spacing w:line="500" w:lineRule="exact"/>
        <w:ind w:firstLine="420" w:firstLineChars="200"/>
        <w:rPr>
          <w:rFonts w:ascii="宋体" w:hAnsi="宋体" w:eastAsia="宋体" w:cs="宋体"/>
          <w:color w:val="auto"/>
          <w:szCs w:val="21"/>
          <w:highlight w:val="none"/>
        </w:rPr>
      </w:pPr>
    </w:p>
    <w:p w14:paraId="0780155A">
      <w:pPr>
        <w:widowControl/>
        <w:jc w:val="right"/>
        <w:rPr>
          <w:rFonts w:ascii="宋体" w:hAnsi="宋体" w:eastAsia="宋体" w:cs="宋体"/>
          <w:b/>
          <w:color w:val="auto"/>
          <w:sz w:val="28"/>
          <w:highlight w:val="none"/>
        </w:rPr>
      </w:pPr>
      <w:r>
        <w:rPr>
          <w:rFonts w:hint="eastAsia" w:ascii="宋体" w:hAnsi="宋体" w:eastAsia="宋体" w:cs="宋体"/>
          <w:color w:val="auto"/>
          <w:szCs w:val="21"/>
          <w:highlight w:val="none"/>
        </w:rPr>
        <w:t>日期：年月日</w:t>
      </w:r>
    </w:p>
    <w:p w14:paraId="6D501185">
      <w:pPr>
        <w:spacing w:line="360" w:lineRule="auto"/>
        <w:jc w:val="center"/>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十一、其他相关证明材料</w:t>
      </w:r>
      <w:bookmarkEnd w:id="208"/>
      <w:bookmarkEnd w:id="209"/>
    </w:p>
    <w:p w14:paraId="21059B10">
      <w:pPr>
        <w:tabs>
          <w:tab w:val="left" w:pos="4620"/>
        </w:tabs>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提供符合磋商邀请、采购需求及评审方法和标准规定的相关证明文件。</w:t>
      </w:r>
    </w:p>
    <w:p w14:paraId="09C53153">
      <w:pPr>
        <w:spacing w:line="360" w:lineRule="auto"/>
        <w:ind w:firstLine="435"/>
        <w:rPr>
          <w:rFonts w:asciiTheme="minorEastAsia" w:hAnsiTheme="minorEastAsia" w:eastAsiaTheme="minorEastAsia"/>
          <w:color w:val="auto"/>
          <w:sz w:val="24"/>
          <w:highlight w:val="none"/>
        </w:rPr>
      </w:pPr>
    </w:p>
    <w:p w14:paraId="46BF2D36">
      <w:pPr>
        <w:spacing w:line="360" w:lineRule="auto"/>
        <w:ind w:firstLine="480" w:firstLineChars="200"/>
        <w:rPr>
          <w:rFonts w:asciiTheme="minorEastAsia" w:hAnsiTheme="minorEastAsia" w:eastAsiaTheme="minorEastAsia"/>
          <w:color w:val="auto"/>
          <w:sz w:val="24"/>
          <w:highlight w:val="none"/>
        </w:rPr>
      </w:pPr>
    </w:p>
    <w:p w14:paraId="1032C3F3">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17F94F75">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供应商在响应文件制作时可在此栏内上传磋商文件要求上传的证明资料，如营业执照、证书等，应将上述证明材料制作成扫描件上传。</w:t>
      </w:r>
    </w:p>
    <w:p w14:paraId="2275E62F">
      <w:pPr>
        <w:spacing w:line="360" w:lineRule="auto"/>
        <w:jc w:val="center"/>
        <w:rPr>
          <w:rFonts w:asciiTheme="minorEastAsia" w:hAnsiTheme="minorEastAsia" w:eastAsiaTheme="minorEastAsia"/>
          <w:b/>
          <w:color w:val="auto"/>
          <w:sz w:val="24"/>
          <w:highlight w:val="none"/>
        </w:rPr>
      </w:pPr>
    </w:p>
    <w:p w14:paraId="277EB776">
      <w:pPr>
        <w:widowControl/>
        <w:jc w:val="left"/>
        <w:rPr>
          <w:rFonts w:ascii="宋体" w:hAnsi="宋体" w:eastAsia="宋体"/>
          <w:bCs/>
          <w:color w:val="auto"/>
          <w:sz w:val="24"/>
          <w:highlight w:val="none"/>
        </w:rPr>
      </w:pPr>
      <w:r>
        <w:rPr>
          <w:rFonts w:asciiTheme="minorEastAsia" w:hAnsiTheme="minorEastAsia" w:eastAsiaTheme="minorEastAsia"/>
          <w:color w:val="auto"/>
          <w:sz w:val="24"/>
          <w:highlight w:val="none"/>
        </w:rPr>
        <w:br w:type="page"/>
      </w:r>
    </w:p>
    <w:p w14:paraId="25E89E16">
      <w:pPr>
        <w:spacing w:line="360" w:lineRule="auto"/>
        <w:jc w:val="center"/>
        <w:outlineLvl w:val="0"/>
        <w:rPr>
          <w:rFonts w:ascii="宋体" w:hAnsi="宋体" w:eastAsia="宋体"/>
          <w:b/>
          <w:bCs/>
          <w:color w:val="auto"/>
          <w:sz w:val="28"/>
          <w:highlight w:val="none"/>
        </w:rPr>
      </w:pPr>
      <w:bookmarkStart w:id="210" w:name="_Toc63440924"/>
      <w:bookmarkStart w:id="211" w:name="_Toc19418"/>
      <w:r>
        <w:rPr>
          <w:rFonts w:hint="eastAsia" w:ascii="宋体" w:hAnsi="宋体" w:eastAsia="宋体"/>
          <w:b/>
          <w:bCs/>
          <w:color w:val="auto"/>
          <w:sz w:val="28"/>
          <w:highlight w:val="none"/>
        </w:rPr>
        <w:t>第七章  政府采购</w:t>
      </w:r>
      <w:bookmarkEnd w:id="210"/>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211"/>
    </w:p>
    <w:p w14:paraId="7CEE2A35">
      <w:pPr>
        <w:spacing w:line="360" w:lineRule="auto"/>
        <w:jc w:val="center"/>
        <w:outlineLvl w:val="1"/>
        <w:rPr>
          <w:rFonts w:ascii="仿宋" w:hAnsi="仿宋" w:eastAsia="仿宋" w:cs="仿宋"/>
          <w:b/>
          <w:bCs/>
          <w:color w:val="auto"/>
          <w:sz w:val="32"/>
          <w:szCs w:val="44"/>
          <w:highlight w:val="none"/>
        </w:rPr>
      </w:pPr>
      <w:bookmarkStart w:id="212" w:name="_Toc2142"/>
      <w:bookmarkStart w:id="213" w:name="_Toc8735"/>
      <w:r>
        <w:rPr>
          <w:rFonts w:hint="eastAsia" w:ascii="仿宋" w:hAnsi="仿宋" w:eastAsia="仿宋" w:cs="仿宋"/>
          <w:b/>
          <w:bCs/>
          <w:color w:val="auto"/>
          <w:sz w:val="32"/>
          <w:szCs w:val="44"/>
          <w:highlight w:val="none"/>
        </w:rPr>
        <w:t>询问函范本</w:t>
      </w:r>
      <w:bookmarkEnd w:id="212"/>
      <w:bookmarkEnd w:id="213"/>
    </w:p>
    <w:p w14:paraId="5AA38A35">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6906B1EE">
      <w:pPr>
        <w:adjustRightInd w:val="0"/>
        <w:snapToGrid w:val="0"/>
        <w:spacing w:line="360" w:lineRule="auto"/>
        <w:rPr>
          <w:rFonts w:cs="仿宋" w:asciiTheme="minorEastAsia" w:hAnsiTheme="minorEastAsia" w:eastAsiaTheme="minorEastAsia"/>
          <w:b/>
          <w:bCs/>
          <w:color w:val="auto"/>
          <w:sz w:val="24"/>
          <w:szCs w:val="24"/>
          <w:highlight w:val="none"/>
        </w:rPr>
      </w:pPr>
      <w:r>
        <w:rPr>
          <w:rFonts w:hint="eastAsia" w:cs="仿宋" w:asciiTheme="minorEastAsia" w:hAnsiTheme="minorEastAsia" w:eastAsiaTheme="minorEastAsia"/>
          <w:b/>
          <w:bCs/>
          <w:color w:val="auto"/>
          <w:sz w:val="24"/>
          <w:szCs w:val="24"/>
          <w:highlight w:val="none"/>
        </w:rPr>
        <w:t>致：采购人</w:t>
      </w:r>
    </w:p>
    <w:p w14:paraId="14885833">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rPr>
        <w:t xml:space="preserve">             </w:t>
      </w:r>
      <w:r>
        <w:rPr>
          <w:rFonts w:hint="eastAsia" w:cs="仿宋" w:asciiTheme="minorEastAsia" w:hAnsiTheme="minorEastAsia" w:eastAsiaTheme="minorEastAsia"/>
          <w:i/>
          <w:iCs/>
          <w:color w:val="auto"/>
          <w:sz w:val="24"/>
          <w:szCs w:val="24"/>
          <w:highlight w:val="none"/>
        </w:rPr>
        <w:t>（项目名称、编号)</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600DCA7B">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214" w:name="_Toc9092"/>
      <w:bookmarkStart w:id="215" w:name="_Toc26386"/>
      <w:r>
        <w:rPr>
          <w:rFonts w:hint="eastAsia" w:cs="仿宋" w:asciiTheme="minorEastAsia" w:hAnsiTheme="minorEastAsia" w:eastAsiaTheme="minorEastAsia"/>
          <w:color w:val="auto"/>
          <w:sz w:val="24"/>
          <w:szCs w:val="24"/>
          <w:highlight w:val="none"/>
        </w:rPr>
        <w:t>一、(事项一)</w:t>
      </w:r>
      <w:bookmarkEnd w:id="214"/>
      <w:bookmarkEnd w:id="215"/>
    </w:p>
    <w:p w14:paraId="096A379D">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2FAADEA0">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1EE47203">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20ACAC6C">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216" w:name="_Toc9273"/>
      <w:bookmarkStart w:id="217" w:name="_Toc17582"/>
      <w:r>
        <w:rPr>
          <w:rFonts w:hint="eastAsia" w:cs="仿宋" w:asciiTheme="minorEastAsia" w:hAnsiTheme="minorEastAsia" w:eastAsiaTheme="minorEastAsia"/>
          <w:color w:val="auto"/>
          <w:sz w:val="24"/>
          <w:szCs w:val="24"/>
          <w:highlight w:val="none"/>
        </w:rPr>
        <w:t>二、(事项二)</w:t>
      </w:r>
      <w:bookmarkEnd w:id="216"/>
      <w:bookmarkEnd w:id="217"/>
    </w:p>
    <w:p w14:paraId="345A675D">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51B556F">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0B87F2C7">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2BF7A62D">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4EA5AAB2">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5EE3596B">
      <w:pPr>
        <w:rPr>
          <w:rFonts w:asciiTheme="minorEastAsia" w:hAnsiTheme="minorEastAsia" w:eastAsiaTheme="minorEastAsia"/>
          <w:b/>
          <w:color w:val="auto"/>
          <w:sz w:val="52"/>
          <w:highlight w:val="none"/>
        </w:rPr>
      </w:pPr>
      <w:r>
        <w:rPr>
          <w:rFonts w:hint="eastAsia" w:ascii="仿宋" w:hAnsi="仿宋" w:eastAsia="仿宋" w:cs="仿宋"/>
          <w:b/>
          <w:bCs/>
          <w:color w:val="auto"/>
          <w:sz w:val="32"/>
          <w:szCs w:val="44"/>
          <w:highlight w:val="none"/>
        </w:rPr>
        <w:br w:type="page"/>
      </w:r>
    </w:p>
    <w:p w14:paraId="181F8151">
      <w:pPr>
        <w:jc w:val="center"/>
        <w:outlineLvl w:val="1"/>
        <w:rPr>
          <w:rFonts w:ascii="仿宋" w:hAnsi="仿宋" w:eastAsia="仿宋" w:cs="仿宋"/>
          <w:b/>
          <w:bCs/>
          <w:color w:val="auto"/>
          <w:sz w:val="32"/>
          <w:szCs w:val="44"/>
          <w:highlight w:val="none"/>
        </w:rPr>
      </w:pPr>
      <w:bookmarkStart w:id="218" w:name="_Toc6990"/>
      <w:bookmarkStart w:id="219" w:name="_Toc26673"/>
      <w:r>
        <w:rPr>
          <w:rFonts w:hint="eastAsia" w:ascii="仿宋" w:hAnsi="仿宋" w:eastAsia="仿宋" w:cs="仿宋"/>
          <w:b/>
          <w:bCs/>
          <w:color w:val="auto"/>
          <w:sz w:val="32"/>
          <w:szCs w:val="44"/>
          <w:highlight w:val="none"/>
        </w:rPr>
        <w:t>质疑函范本</w:t>
      </w:r>
      <w:bookmarkEnd w:id="218"/>
      <w:bookmarkEnd w:id="219"/>
    </w:p>
    <w:p w14:paraId="5D679401">
      <w:pPr>
        <w:adjustRightInd w:val="0"/>
        <w:snapToGrid w:val="0"/>
        <w:spacing w:beforeLines="100" w:line="360" w:lineRule="auto"/>
        <w:outlineLvl w:val="1"/>
        <w:rPr>
          <w:rFonts w:cs="仿宋" w:asciiTheme="minorEastAsia" w:hAnsiTheme="minorEastAsia" w:eastAsiaTheme="minorEastAsia"/>
          <w:b/>
          <w:bCs/>
          <w:color w:val="auto"/>
          <w:sz w:val="24"/>
          <w:szCs w:val="24"/>
          <w:highlight w:val="none"/>
        </w:rPr>
      </w:pPr>
      <w:bookmarkStart w:id="220" w:name="_Toc2994"/>
      <w:bookmarkStart w:id="221" w:name="_Toc29510"/>
      <w:r>
        <w:rPr>
          <w:rFonts w:hint="eastAsia" w:cs="仿宋" w:asciiTheme="minorEastAsia" w:hAnsiTheme="minorEastAsia" w:eastAsiaTheme="minorEastAsia"/>
          <w:b/>
          <w:bCs/>
          <w:color w:val="auto"/>
          <w:sz w:val="24"/>
          <w:szCs w:val="24"/>
          <w:highlight w:val="none"/>
        </w:rPr>
        <w:t>一、质疑供应商基本信息</w:t>
      </w:r>
      <w:bookmarkEnd w:id="220"/>
      <w:bookmarkEnd w:id="221"/>
    </w:p>
    <w:p w14:paraId="2D512393">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708F6BB4">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0E56762E">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6A24E275">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4BA5600E">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3681C45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6029F72D">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222" w:name="_Toc28130"/>
      <w:bookmarkStart w:id="223" w:name="_Toc31042"/>
      <w:r>
        <w:rPr>
          <w:rFonts w:hint="eastAsia" w:cs="仿宋" w:asciiTheme="minorEastAsia" w:hAnsiTheme="minorEastAsia" w:eastAsiaTheme="minorEastAsia"/>
          <w:b/>
          <w:bCs/>
          <w:color w:val="auto"/>
          <w:sz w:val="24"/>
          <w:szCs w:val="24"/>
          <w:highlight w:val="none"/>
        </w:rPr>
        <w:t>二、质疑项目基本情况</w:t>
      </w:r>
      <w:bookmarkEnd w:id="222"/>
      <w:bookmarkEnd w:id="223"/>
    </w:p>
    <w:p w14:paraId="02F3E928">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6CBE61F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3FA25A28">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77CE84F4">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7CFB3189">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224" w:name="_Toc20587"/>
      <w:bookmarkStart w:id="225" w:name="_Toc6486"/>
      <w:r>
        <w:rPr>
          <w:rFonts w:hint="eastAsia" w:cs="仿宋" w:asciiTheme="minorEastAsia" w:hAnsiTheme="minorEastAsia" w:eastAsiaTheme="minorEastAsia"/>
          <w:b/>
          <w:bCs/>
          <w:color w:val="auto"/>
          <w:sz w:val="24"/>
          <w:szCs w:val="24"/>
          <w:highlight w:val="none"/>
        </w:rPr>
        <w:t>三、质疑事项具体内容</w:t>
      </w:r>
      <w:bookmarkEnd w:id="224"/>
      <w:bookmarkEnd w:id="225"/>
    </w:p>
    <w:p w14:paraId="3EF8963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2B462D01">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638B8BF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12971660">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52656E0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2E38C56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52A52A3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34D6F59F">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226" w:name="_Toc20470"/>
      <w:bookmarkStart w:id="227" w:name="_Toc32755"/>
      <w:r>
        <w:rPr>
          <w:rFonts w:hint="eastAsia" w:cs="仿宋" w:asciiTheme="minorEastAsia" w:hAnsiTheme="minorEastAsia" w:eastAsiaTheme="minorEastAsia"/>
          <w:b/>
          <w:bCs/>
          <w:color w:val="auto"/>
          <w:sz w:val="24"/>
          <w:szCs w:val="24"/>
          <w:highlight w:val="none"/>
        </w:rPr>
        <w:t>四、与质疑事项相关的质疑请求</w:t>
      </w:r>
      <w:bookmarkEnd w:id="226"/>
      <w:bookmarkEnd w:id="227"/>
    </w:p>
    <w:p w14:paraId="0FC55BD3">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5C70B833">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7AAFC379">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35DA76BD">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4FE28F9D">
      <w:pPr>
        <w:outlineLvl w:val="0"/>
        <w:rPr>
          <w:rFonts w:asciiTheme="minorEastAsia" w:hAnsiTheme="minorEastAsia" w:eastAsiaTheme="minorEastAsia"/>
          <w:b/>
          <w:color w:val="auto"/>
          <w:sz w:val="28"/>
          <w:szCs w:val="32"/>
          <w:highlight w:val="none"/>
        </w:rPr>
      </w:pPr>
      <w:bookmarkStart w:id="228" w:name="_Toc21667"/>
      <w:bookmarkStart w:id="229" w:name="_Toc8368"/>
      <w:r>
        <w:rPr>
          <w:rFonts w:hint="eastAsia" w:asciiTheme="minorEastAsia" w:hAnsiTheme="minorEastAsia" w:eastAsiaTheme="minorEastAsia"/>
          <w:b/>
          <w:color w:val="auto"/>
          <w:sz w:val="28"/>
          <w:szCs w:val="32"/>
          <w:highlight w:val="none"/>
        </w:rPr>
        <w:t>质疑函制作说明：</w:t>
      </w:r>
      <w:bookmarkEnd w:id="228"/>
      <w:bookmarkEnd w:id="229"/>
    </w:p>
    <w:p w14:paraId="3FDF604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35EBFA9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FF9C5E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0767FA5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088A29E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6ED919C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ActionIcon">
    <w:altName w:val="Segoe Print"/>
    <w:panose1 w:val="00000000000000000000"/>
    <w:charset w:val="00"/>
    <w:family w:val="auto"/>
    <w:pitch w:val="default"/>
    <w:sig w:usb0="00000000" w:usb1="00000000" w:usb2="00000000" w:usb3="00000000" w:csb0="00000000" w:csb1="00000000"/>
  </w:font>
  <w:font w:name="SourceHanSansCN-Regular">
    <w:altName w:val="Segoe Print"/>
    <w:panose1 w:val="00000000000000000000"/>
    <w:charset w:val="00"/>
    <w:family w:val="auto"/>
    <w:pitch w:val="default"/>
    <w:sig w:usb0="00000000" w:usb1="00000000" w:usb2="00000000" w:usb3="00000000" w:csb0="00000000" w:csb1="00000000"/>
  </w:font>
  <w:font w:name="ModIco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3BD58">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CD447">
    <w:pPr>
      <w:pStyle w:val="17"/>
      <w:rPr>
        <w:rFonts w:asciiTheme="minorEastAsia" w:hAnsiTheme="minorEastAsia" w:eastAsiaTheme="minorEastAsia"/>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posOffset>2157730</wp:posOffset>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65768A">
                          <w:pPr>
                            <w:pStyle w:val="17"/>
                            <w:rPr>
                              <w:sz w:val="21"/>
                              <w:szCs w:val="21"/>
                            </w:rPr>
                          </w:pPr>
                          <w:r>
                            <w:rPr>
                              <w:rFonts w:hint="eastAsia" w:ascii="宋体" w:hAnsi="宋体" w:eastAsia="宋体" w:cs="宋体"/>
                              <w:sz w:val="21"/>
                              <w:szCs w:val="21"/>
                            </w:rPr>
                            <w:t>第</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页 共</w:t>
                          </w:r>
                          <w:r>
                            <w:rPr>
                              <w:rFonts w:hint="eastAsia" w:ascii="宋体" w:hAnsi="宋体" w:eastAsia="宋体" w:cs="宋体"/>
                              <w:sz w:val="21"/>
                              <w:szCs w:val="21"/>
                              <w:lang w:val="en-US" w:eastAsia="zh-CN"/>
                            </w:rPr>
                            <w:t xml:space="preserve"> 81</w:t>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9.9pt;margin-top:0pt;height:144pt;width:144pt;mso-position-horizontal-relative:margin;mso-wrap-style:none;z-index:251659264;mso-width-relative:page;mso-height-relative:page;" filled="f" stroked="f" coordsize="21600,21600" o:gfxdata="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cAboDVAAAACAEAAA8AAAAAAAAAAQAgAAAAIgAAAGRycy9kb3ducmV2&#10;LnhtbFBLAQIUABQAAAAIAIdO4kCYx6cMOAIAAG8EAAAOAAAAAAAAAAEAIAAAACQBAABkcnMvZTJv&#10;RG9jLnhtbFBLBQYAAAAABgAGAFkBAADOBQAAAAA=&#10;">
              <v:fill on="f" focussize="0,0"/>
              <v:stroke on="f" weight="0.5pt"/>
              <v:imagedata o:title=""/>
              <o:lock v:ext="edit" aspectratio="f"/>
              <v:textbox inset="0mm,0mm,0mm,0mm" style="mso-fit-shape-to-text:t;">
                <w:txbxContent>
                  <w:p w14:paraId="4C65768A">
                    <w:pPr>
                      <w:pStyle w:val="17"/>
                      <w:rPr>
                        <w:sz w:val="21"/>
                        <w:szCs w:val="21"/>
                      </w:rPr>
                    </w:pPr>
                    <w:r>
                      <w:rPr>
                        <w:rFonts w:hint="eastAsia" w:ascii="宋体" w:hAnsi="宋体" w:eastAsia="宋体" w:cs="宋体"/>
                        <w:sz w:val="21"/>
                        <w:szCs w:val="21"/>
                      </w:rPr>
                      <w:t>第</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页 共</w:t>
                    </w:r>
                    <w:r>
                      <w:rPr>
                        <w:rFonts w:hint="eastAsia" w:ascii="宋体" w:hAnsi="宋体" w:eastAsia="宋体" w:cs="宋体"/>
                        <w:sz w:val="21"/>
                        <w:szCs w:val="21"/>
                        <w:lang w:val="en-US" w:eastAsia="zh-CN"/>
                      </w:rPr>
                      <w:t xml:space="preserve"> 81</w:t>
                    </w:r>
                    <w:r>
                      <w:rPr>
                        <w:rFonts w:hint="eastAsia" w:ascii="宋体" w:hAnsi="宋体" w:eastAsia="宋体" w:cs="宋体"/>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6CE64">
    <w:pPr>
      <w:pStyle w:val="18"/>
      <w:jc w:val="left"/>
    </w:pPr>
    <w:r>
      <w:rPr>
        <w:rFonts w:hint="eastAsia" w:asciiTheme="minorEastAsia" w:hAnsiTheme="minorEastAsia" w:eastAsiaTheme="minorEastAsia"/>
      </w:rPr>
      <w:t>安徽省政府采购项目竞争性磋商文件示范文本（服务类）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3DB7F">
    <w:pPr>
      <w:pStyle w:val="18"/>
      <w:jc w:val="left"/>
    </w:pPr>
    <w:r>
      <w:rPr>
        <w:rFonts w:hint="eastAsia" w:asciiTheme="minorEastAsia" w:hAnsiTheme="minorEastAsia" w:eastAsiaTheme="minorEastAsia"/>
      </w:rPr>
      <w:t>安徽省政府采购项目竞争性磋商文件示范文本（服务类）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329C4"/>
    <w:multiLevelType w:val="singleLevel"/>
    <w:tmpl w:val="946329C4"/>
    <w:lvl w:ilvl="0" w:tentative="0">
      <w:start w:val="5"/>
      <w:numFmt w:val="chineseCounting"/>
      <w:suff w:val="space"/>
      <w:lvlText w:val="第%1章"/>
      <w:lvlJc w:val="left"/>
      <w:rPr>
        <w:rFonts w:hint="eastAsia"/>
      </w:rPr>
    </w:lvl>
  </w:abstractNum>
  <w:abstractNum w:abstractNumId="1">
    <w:nsid w:val="B970FCDD"/>
    <w:multiLevelType w:val="singleLevel"/>
    <w:tmpl w:val="B970FCDD"/>
    <w:lvl w:ilvl="0" w:tentative="0">
      <w:start w:val="4"/>
      <w:numFmt w:val="chineseCounting"/>
      <w:suff w:val="nothing"/>
      <w:lvlText w:val="%1、"/>
      <w:lvlJc w:val="left"/>
      <w:rPr>
        <w:rFonts w:hint="eastAsia"/>
      </w:rPr>
    </w:lvl>
  </w:abstractNum>
  <w:abstractNum w:abstractNumId="2">
    <w:nsid w:val="00A5F61A"/>
    <w:multiLevelType w:val="singleLevel"/>
    <w:tmpl w:val="00A5F61A"/>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1MDdmYTBjM2ViZGYxM2E0NGE5ZWVlZjI5ZjI1ZTgifQ=="/>
  </w:docVars>
  <w:rsids>
    <w:rsidRoot w:val="00276BA1"/>
    <w:rsid w:val="0000043F"/>
    <w:rsid w:val="000037F9"/>
    <w:rsid w:val="000049DA"/>
    <w:rsid w:val="00005403"/>
    <w:rsid w:val="000056B7"/>
    <w:rsid w:val="00007D87"/>
    <w:rsid w:val="000131F7"/>
    <w:rsid w:val="00014039"/>
    <w:rsid w:val="00016B6C"/>
    <w:rsid w:val="00020B57"/>
    <w:rsid w:val="00020B6D"/>
    <w:rsid w:val="000323E2"/>
    <w:rsid w:val="00040C25"/>
    <w:rsid w:val="00042139"/>
    <w:rsid w:val="00042B14"/>
    <w:rsid w:val="00044F49"/>
    <w:rsid w:val="000450C3"/>
    <w:rsid w:val="00050A3F"/>
    <w:rsid w:val="00052A18"/>
    <w:rsid w:val="00052F95"/>
    <w:rsid w:val="00054AA3"/>
    <w:rsid w:val="00056ECB"/>
    <w:rsid w:val="00057B40"/>
    <w:rsid w:val="000648D2"/>
    <w:rsid w:val="00070E0E"/>
    <w:rsid w:val="0007146E"/>
    <w:rsid w:val="00076DB7"/>
    <w:rsid w:val="00080FEB"/>
    <w:rsid w:val="00094D41"/>
    <w:rsid w:val="00097CB9"/>
    <w:rsid w:val="000A0161"/>
    <w:rsid w:val="000A10A9"/>
    <w:rsid w:val="000A6693"/>
    <w:rsid w:val="000A7970"/>
    <w:rsid w:val="000A7D94"/>
    <w:rsid w:val="000B1511"/>
    <w:rsid w:val="000B6249"/>
    <w:rsid w:val="000C1CB8"/>
    <w:rsid w:val="000C1DB1"/>
    <w:rsid w:val="000D19EC"/>
    <w:rsid w:val="000D3F37"/>
    <w:rsid w:val="000E3C74"/>
    <w:rsid w:val="000E3F9B"/>
    <w:rsid w:val="000E478E"/>
    <w:rsid w:val="000E668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6201"/>
    <w:rsid w:val="00130601"/>
    <w:rsid w:val="00132F4D"/>
    <w:rsid w:val="00133EA0"/>
    <w:rsid w:val="00137249"/>
    <w:rsid w:val="00140687"/>
    <w:rsid w:val="00146421"/>
    <w:rsid w:val="00153B20"/>
    <w:rsid w:val="00155F64"/>
    <w:rsid w:val="00157856"/>
    <w:rsid w:val="00160729"/>
    <w:rsid w:val="0016455F"/>
    <w:rsid w:val="00165398"/>
    <w:rsid w:val="00166794"/>
    <w:rsid w:val="00166ED8"/>
    <w:rsid w:val="001714C9"/>
    <w:rsid w:val="00171515"/>
    <w:rsid w:val="00172B93"/>
    <w:rsid w:val="001768BC"/>
    <w:rsid w:val="0018119B"/>
    <w:rsid w:val="001844AB"/>
    <w:rsid w:val="001853C7"/>
    <w:rsid w:val="00192879"/>
    <w:rsid w:val="001944B8"/>
    <w:rsid w:val="001967D2"/>
    <w:rsid w:val="00196DA3"/>
    <w:rsid w:val="001970C3"/>
    <w:rsid w:val="001971E5"/>
    <w:rsid w:val="001A0C0F"/>
    <w:rsid w:val="001A68E5"/>
    <w:rsid w:val="001B2A54"/>
    <w:rsid w:val="001B2BA4"/>
    <w:rsid w:val="001B5014"/>
    <w:rsid w:val="001B7327"/>
    <w:rsid w:val="001C2A15"/>
    <w:rsid w:val="001D22EA"/>
    <w:rsid w:val="001D53B4"/>
    <w:rsid w:val="001E1835"/>
    <w:rsid w:val="001F28D2"/>
    <w:rsid w:val="001F2F45"/>
    <w:rsid w:val="001F3023"/>
    <w:rsid w:val="001F35F6"/>
    <w:rsid w:val="001F4AAF"/>
    <w:rsid w:val="001F74CA"/>
    <w:rsid w:val="001F7590"/>
    <w:rsid w:val="002003B6"/>
    <w:rsid w:val="0020244A"/>
    <w:rsid w:val="002049B4"/>
    <w:rsid w:val="0020520B"/>
    <w:rsid w:val="002076AD"/>
    <w:rsid w:val="00213C55"/>
    <w:rsid w:val="00223CF4"/>
    <w:rsid w:val="00224B69"/>
    <w:rsid w:val="00224C4A"/>
    <w:rsid w:val="00231187"/>
    <w:rsid w:val="0023407E"/>
    <w:rsid w:val="00240B40"/>
    <w:rsid w:val="00244182"/>
    <w:rsid w:val="002544A1"/>
    <w:rsid w:val="00257ECE"/>
    <w:rsid w:val="00260382"/>
    <w:rsid w:val="00260B94"/>
    <w:rsid w:val="00264F2E"/>
    <w:rsid w:val="00271245"/>
    <w:rsid w:val="00272BD6"/>
    <w:rsid w:val="00273F66"/>
    <w:rsid w:val="00274A9E"/>
    <w:rsid w:val="00276BA1"/>
    <w:rsid w:val="00280984"/>
    <w:rsid w:val="002832CF"/>
    <w:rsid w:val="00283599"/>
    <w:rsid w:val="002835E3"/>
    <w:rsid w:val="00284542"/>
    <w:rsid w:val="002A14D1"/>
    <w:rsid w:val="002A1A1D"/>
    <w:rsid w:val="002A28AD"/>
    <w:rsid w:val="002B04FD"/>
    <w:rsid w:val="002B5318"/>
    <w:rsid w:val="002B6D27"/>
    <w:rsid w:val="002B7A09"/>
    <w:rsid w:val="002C060C"/>
    <w:rsid w:val="002C078A"/>
    <w:rsid w:val="002D05DD"/>
    <w:rsid w:val="002D0E4D"/>
    <w:rsid w:val="002D2965"/>
    <w:rsid w:val="002D3D02"/>
    <w:rsid w:val="002D4CB5"/>
    <w:rsid w:val="002D5900"/>
    <w:rsid w:val="002D684B"/>
    <w:rsid w:val="002E2D3A"/>
    <w:rsid w:val="002E3B26"/>
    <w:rsid w:val="002E4AB8"/>
    <w:rsid w:val="002E7FC4"/>
    <w:rsid w:val="00310070"/>
    <w:rsid w:val="0031081B"/>
    <w:rsid w:val="003110EC"/>
    <w:rsid w:val="00314289"/>
    <w:rsid w:val="003206A6"/>
    <w:rsid w:val="0032560D"/>
    <w:rsid w:val="00327C92"/>
    <w:rsid w:val="00333292"/>
    <w:rsid w:val="003344E7"/>
    <w:rsid w:val="0033580B"/>
    <w:rsid w:val="003365E7"/>
    <w:rsid w:val="003378D5"/>
    <w:rsid w:val="003473D7"/>
    <w:rsid w:val="00351995"/>
    <w:rsid w:val="00351AC8"/>
    <w:rsid w:val="00353075"/>
    <w:rsid w:val="00363E02"/>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B25A5"/>
    <w:rsid w:val="003B4130"/>
    <w:rsid w:val="003B6FA1"/>
    <w:rsid w:val="003B715B"/>
    <w:rsid w:val="003C2C62"/>
    <w:rsid w:val="003C5566"/>
    <w:rsid w:val="003C577A"/>
    <w:rsid w:val="003C7C74"/>
    <w:rsid w:val="003D1D14"/>
    <w:rsid w:val="003D6C7C"/>
    <w:rsid w:val="003D6EFB"/>
    <w:rsid w:val="003D7E52"/>
    <w:rsid w:val="003E25C6"/>
    <w:rsid w:val="003F7528"/>
    <w:rsid w:val="004011AA"/>
    <w:rsid w:val="0040202C"/>
    <w:rsid w:val="00404A8F"/>
    <w:rsid w:val="00406508"/>
    <w:rsid w:val="00410867"/>
    <w:rsid w:val="004110F6"/>
    <w:rsid w:val="004134F8"/>
    <w:rsid w:val="0041456E"/>
    <w:rsid w:val="004148E3"/>
    <w:rsid w:val="00414F7E"/>
    <w:rsid w:val="004164F8"/>
    <w:rsid w:val="00422224"/>
    <w:rsid w:val="00426F05"/>
    <w:rsid w:val="004328E1"/>
    <w:rsid w:val="004427B7"/>
    <w:rsid w:val="0044349F"/>
    <w:rsid w:val="00445F1F"/>
    <w:rsid w:val="00447862"/>
    <w:rsid w:val="00451F60"/>
    <w:rsid w:val="00452BB2"/>
    <w:rsid w:val="00456054"/>
    <w:rsid w:val="0045656D"/>
    <w:rsid w:val="00462D98"/>
    <w:rsid w:val="00463E7D"/>
    <w:rsid w:val="00472A44"/>
    <w:rsid w:val="00473A89"/>
    <w:rsid w:val="00475899"/>
    <w:rsid w:val="00482C78"/>
    <w:rsid w:val="00483ABC"/>
    <w:rsid w:val="0048634A"/>
    <w:rsid w:val="004874AE"/>
    <w:rsid w:val="0049056F"/>
    <w:rsid w:val="00492217"/>
    <w:rsid w:val="00494D24"/>
    <w:rsid w:val="004951D1"/>
    <w:rsid w:val="004960BB"/>
    <w:rsid w:val="004A1BA3"/>
    <w:rsid w:val="004A27D0"/>
    <w:rsid w:val="004A4D67"/>
    <w:rsid w:val="004B7E79"/>
    <w:rsid w:val="004C13CB"/>
    <w:rsid w:val="004C1AAB"/>
    <w:rsid w:val="004C5B90"/>
    <w:rsid w:val="004D3D4B"/>
    <w:rsid w:val="004D5498"/>
    <w:rsid w:val="004D66A5"/>
    <w:rsid w:val="004D6B00"/>
    <w:rsid w:val="004E1D50"/>
    <w:rsid w:val="004E3266"/>
    <w:rsid w:val="004E38BA"/>
    <w:rsid w:val="004E50CA"/>
    <w:rsid w:val="004F27A0"/>
    <w:rsid w:val="0050027D"/>
    <w:rsid w:val="00501382"/>
    <w:rsid w:val="005048FB"/>
    <w:rsid w:val="00510563"/>
    <w:rsid w:val="00510798"/>
    <w:rsid w:val="005119B5"/>
    <w:rsid w:val="005125F1"/>
    <w:rsid w:val="00524A11"/>
    <w:rsid w:val="00527768"/>
    <w:rsid w:val="00530EA4"/>
    <w:rsid w:val="005327FB"/>
    <w:rsid w:val="00533251"/>
    <w:rsid w:val="00533FCA"/>
    <w:rsid w:val="005346EF"/>
    <w:rsid w:val="00542F0C"/>
    <w:rsid w:val="005470D4"/>
    <w:rsid w:val="0055705E"/>
    <w:rsid w:val="005616B5"/>
    <w:rsid w:val="00566690"/>
    <w:rsid w:val="005679A4"/>
    <w:rsid w:val="00574CE6"/>
    <w:rsid w:val="0059223D"/>
    <w:rsid w:val="0059365B"/>
    <w:rsid w:val="00593ABC"/>
    <w:rsid w:val="00597B15"/>
    <w:rsid w:val="005A044C"/>
    <w:rsid w:val="005A149F"/>
    <w:rsid w:val="005A3A32"/>
    <w:rsid w:val="005B2C9F"/>
    <w:rsid w:val="005B34C9"/>
    <w:rsid w:val="005B571E"/>
    <w:rsid w:val="005C1D52"/>
    <w:rsid w:val="005C46AC"/>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3DE2"/>
    <w:rsid w:val="00627601"/>
    <w:rsid w:val="006300D0"/>
    <w:rsid w:val="00632012"/>
    <w:rsid w:val="00634694"/>
    <w:rsid w:val="00636517"/>
    <w:rsid w:val="00636EE7"/>
    <w:rsid w:val="00637690"/>
    <w:rsid w:val="00640E1E"/>
    <w:rsid w:val="0064389A"/>
    <w:rsid w:val="00645442"/>
    <w:rsid w:val="006525CD"/>
    <w:rsid w:val="00653F7F"/>
    <w:rsid w:val="00662DCD"/>
    <w:rsid w:val="00662EE8"/>
    <w:rsid w:val="00663813"/>
    <w:rsid w:val="00664AFD"/>
    <w:rsid w:val="00667567"/>
    <w:rsid w:val="0067391A"/>
    <w:rsid w:val="00674173"/>
    <w:rsid w:val="00674CCF"/>
    <w:rsid w:val="0067534F"/>
    <w:rsid w:val="00677D87"/>
    <w:rsid w:val="006834FA"/>
    <w:rsid w:val="00690DB1"/>
    <w:rsid w:val="00693404"/>
    <w:rsid w:val="006953D9"/>
    <w:rsid w:val="006A1269"/>
    <w:rsid w:val="006A5803"/>
    <w:rsid w:val="006A69C3"/>
    <w:rsid w:val="006A7C15"/>
    <w:rsid w:val="006B1242"/>
    <w:rsid w:val="006B1DBC"/>
    <w:rsid w:val="006B3712"/>
    <w:rsid w:val="006B7D9A"/>
    <w:rsid w:val="006C06D9"/>
    <w:rsid w:val="006C3E22"/>
    <w:rsid w:val="006C5716"/>
    <w:rsid w:val="006C64B2"/>
    <w:rsid w:val="006C74A9"/>
    <w:rsid w:val="006D07DE"/>
    <w:rsid w:val="006D361A"/>
    <w:rsid w:val="006D6A81"/>
    <w:rsid w:val="006E06D9"/>
    <w:rsid w:val="006E1D40"/>
    <w:rsid w:val="006E2E1F"/>
    <w:rsid w:val="006E5059"/>
    <w:rsid w:val="006F5F03"/>
    <w:rsid w:val="006F5FFF"/>
    <w:rsid w:val="00710804"/>
    <w:rsid w:val="00711FC6"/>
    <w:rsid w:val="00712952"/>
    <w:rsid w:val="007130B1"/>
    <w:rsid w:val="00713487"/>
    <w:rsid w:val="00715071"/>
    <w:rsid w:val="007231E9"/>
    <w:rsid w:val="00724F0E"/>
    <w:rsid w:val="007270A6"/>
    <w:rsid w:val="00727C59"/>
    <w:rsid w:val="00733730"/>
    <w:rsid w:val="00734E5D"/>
    <w:rsid w:val="0073600C"/>
    <w:rsid w:val="00736013"/>
    <w:rsid w:val="00737BF8"/>
    <w:rsid w:val="0074339B"/>
    <w:rsid w:val="0074478E"/>
    <w:rsid w:val="00750B60"/>
    <w:rsid w:val="00756245"/>
    <w:rsid w:val="00761662"/>
    <w:rsid w:val="00764043"/>
    <w:rsid w:val="00766A36"/>
    <w:rsid w:val="007757CF"/>
    <w:rsid w:val="007769F6"/>
    <w:rsid w:val="00780F9D"/>
    <w:rsid w:val="0078128F"/>
    <w:rsid w:val="007819D9"/>
    <w:rsid w:val="0078683C"/>
    <w:rsid w:val="00790EDB"/>
    <w:rsid w:val="00791538"/>
    <w:rsid w:val="0079326E"/>
    <w:rsid w:val="00796EDE"/>
    <w:rsid w:val="007A5A58"/>
    <w:rsid w:val="007B1C56"/>
    <w:rsid w:val="007B2EDC"/>
    <w:rsid w:val="007C1DD7"/>
    <w:rsid w:val="007C3CD5"/>
    <w:rsid w:val="007C4756"/>
    <w:rsid w:val="007C5E88"/>
    <w:rsid w:val="007C61EF"/>
    <w:rsid w:val="007C6783"/>
    <w:rsid w:val="007D03DE"/>
    <w:rsid w:val="007D1C0D"/>
    <w:rsid w:val="007D2D23"/>
    <w:rsid w:val="007E1AE9"/>
    <w:rsid w:val="007E27D6"/>
    <w:rsid w:val="007E3921"/>
    <w:rsid w:val="00801028"/>
    <w:rsid w:val="00803793"/>
    <w:rsid w:val="00804000"/>
    <w:rsid w:val="00810066"/>
    <w:rsid w:val="008101A2"/>
    <w:rsid w:val="00817A01"/>
    <w:rsid w:val="00820937"/>
    <w:rsid w:val="00825E35"/>
    <w:rsid w:val="00830A4E"/>
    <w:rsid w:val="008334F8"/>
    <w:rsid w:val="00835FFD"/>
    <w:rsid w:val="0084381F"/>
    <w:rsid w:val="00843E35"/>
    <w:rsid w:val="008524CE"/>
    <w:rsid w:val="00857633"/>
    <w:rsid w:val="0086440C"/>
    <w:rsid w:val="008674ED"/>
    <w:rsid w:val="00874EE6"/>
    <w:rsid w:val="00876659"/>
    <w:rsid w:val="0087734C"/>
    <w:rsid w:val="00882141"/>
    <w:rsid w:val="00886BD4"/>
    <w:rsid w:val="008876EC"/>
    <w:rsid w:val="008922A8"/>
    <w:rsid w:val="00895BD5"/>
    <w:rsid w:val="008A16C4"/>
    <w:rsid w:val="008A4A27"/>
    <w:rsid w:val="008A649F"/>
    <w:rsid w:val="008A6FED"/>
    <w:rsid w:val="008B39C5"/>
    <w:rsid w:val="008B51AA"/>
    <w:rsid w:val="008C67F2"/>
    <w:rsid w:val="008D064A"/>
    <w:rsid w:val="008D2537"/>
    <w:rsid w:val="008D2B0F"/>
    <w:rsid w:val="008D633C"/>
    <w:rsid w:val="008E449E"/>
    <w:rsid w:val="008E4BDD"/>
    <w:rsid w:val="008E770C"/>
    <w:rsid w:val="008F187F"/>
    <w:rsid w:val="008F402F"/>
    <w:rsid w:val="008F76E8"/>
    <w:rsid w:val="00904508"/>
    <w:rsid w:val="009078A1"/>
    <w:rsid w:val="00911E9C"/>
    <w:rsid w:val="00917405"/>
    <w:rsid w:val="00920C1F"/>
    <w:rsid w:val="00920F7C"/>
    <w:rsid w:val="00922718"/>
    <w:rsid w:val="00924743"/>
    <w:rsid w:val="00932A87"/>
    <w:rsid w:val="00934CAE"/>
    <w:rsid w:val="0093560E"/>
    <w:rsid w:val="0094257D"/>
    <w:rsid w:val="009443B6"/>
    <w:rsid w:val="00946F68"/>
    <w:rsid w:val="0095467C"/>
    <w:rsid w:val="00954A61"/>
    <w:rsid w:val="00955C6F"/>
    <w:rsid w:val="00966C7B"/>
    <w:rsid w:val="009701DC"/>
    <w:rsid w:val="009715D8"/>
    <w:rsid w:val="009811A8"/>
    <w:rsid w:val="009862EB"/>
    <w:rsid w:val="00991460"/>
    <w:rsid w:val="00995BF9"/>
    <w:rsid w:val="009975CC"/>
    <w:rsid w:val="009A0CAF"/>
    <w:rsid w:val="009A2207"/>
    <w:rsid w:val="009A2D34"/>
    <w:rsid w:val="009A5857"/>
    <w:rsid w:val="009A6565"/>
    <w:rsid w:val="009B0EDA"/>
    <w:rsid w:val="009B6C42"/>
    <w:rsid w:val="009D2998"/>
    <w:rsid w:val="009D31F7"/>
    <w:rsid w:val="009D32C2"/>
    <w:rsid w:val="009D50DB"/>
    <w:rsid w:val="009E2932"/>
    <w:rsid w:val="009E3A0A"/>
    <w:rsid w:val="009F1936"/>
    <w:rsid w:val="009F3E91"/>
    <w:rsid w:val="00A008DA"/>
    <w:rsid w:val="00A00C93"/>
    <w:rsid w:val="00A0571E"/>
    <w:rsid w:val="00A13A27"/>
    <w:rsid w:val="00A1499B"/>
    <w:rsid w:val="00A170D8"/>
    <w:rsid w:val="00A30A1B"/>
    <w:rsid w:val="00A311AD"/>
    <w:rsid w:val="00A314C2"/>
    <w:rsid w:val="00A34C55"/>
    <w:rsid w:val="00A375BF"/>
    <w:rsid w:val="00A501BF"/>
    <w:rsid w:val="00A519A0"/>
    <w:rsid w:val="00A5274A"/>
    <w:rsid w:val="00A62A2E"/>
    <w:rsid w:val="00A63A4D"/>
    <w:rsid w:val="00A63E86"/>
    <w:rsid w:val="00A67AF7"/>
    <w:rsid w:val="00A75185"/>
    <w:rsid w:val="00A754A0"/>
    <w:rsid w:val="00A757C3"/>
    <w:rsid w:val="00A75E5B"/>
    <w:rsid w:val="00A75F4B"/>
    <w:rsid w:val="00A7684A"/>
    <w:rsid w:val="00A83B69"/>
    <w:rsid w:val="00A86533"/>
    <w:rsid w:val="00A91CA2"/>
    <w:rsid w:val="00A92FB8"/>
    <w:rsid w:val="00A948F1"/>
    <w:rsid w:val="00A9773F"/>
    <w:rsid w:val="00AA0BE3"/>
    <w:rsid w:val="00AA18F9"/>
    <w:rsid w:val="00AA1D7D"/>
    <w:rsid w:val="00AA2790"/>
    <w:rsid w:val="00AA3806"/>
    <w:rsid w:val="00AA4EE3"/>
    <w:rsid w:val="00AB139D"/>
    <w:rsid w:val="00AB2A35"/>
    <w:rsid w:val="00AB2D05"/>
    <w:rsid w:val="00AB3EFB"/>
    <w:rsid w:val="00AC0B05"/>
    <w:rsid w:val="00AC1962"/>
    <w:rsid w:val="00AC7F9D"/>
    <w:rsid w:val="00AD079A"/>
    <w:rsid w:val="00AD1890"/>
    <w:rsid w:val="00AE2149"/>
    <w:rsid w:val="00AE2BF3"/>
    <w:rsid w:val="00AE33AE"/>
    <w:rsid w:val="00AE3986"/>
    <w:rsid w:val="00AE3F91"/>
    <w:rsid w:val="00AF5B63"/>
    <w:rsid w:val="00B0053D"/>
    <w:rsid w:val="00B01176"/>
    <w:rsid w:val="00B039E3"/>
    <w:rsid w:val="00B06D36"/>
    <w:rsid w:val="00B12BC4"/>
    <w:rsid w:val="00B22838"/>
    <w:rsid w:val="00B33E8F"/>
    <w:rsid w:val="00B33E95"/>
    <w:rsid w:val="00B3720B"/>
    <w:rsid w:val="00B45D0B"/>
    <w:rsid w:val="00B52FA0"/>
    <w:rsid w:val="00B5558A"/>
    <w:rsid w:val="00B56513"/>
    <w:rsid w:val="00B61B64"/>
    <w:rsid w:val="00B631E4"/>
    <w:rsid w:val="00B64376"/>
    <w:rsid w:val="00B6570C"/>
    <w:rsid w:val="00B6790B"/>
    <w:rsid w:val="00B7401F"/>
    <w:rsid w:val="00B769CF"/>
    <w:rsid w:val="00B76F2D"/>
    <w:rsid w:val="00B806C3"/>
    <w:rsid w:val="00B80D6F"/>
    <w:rsid w:val="00B84FCA"/>
    <w:rsid w:val="00B9089F"/>
    <w:rsid w:val="00B91826"/>
    <w:rsid w:val="00B91AEE"/>
    <w:rsid w:val="00B95F5A"/>
    <w:rsid w:val="00B96EAD"/>
    <w:rsid w:val="00BA4962"/>
    <w:rsid w:val="00BA4B7C"/>
    <w:rsid w:val="00BA79F5"/>
    <w:rsid w:val="00BA7EA7"/>
    <w:rsid w:val="00BB2E28"/>
    <w:rsid w:val="00BB3AB6"/>
    <w:rsid w:val="00BB766D"/>
    <w:rsid w:val="00BC007B"/>
    <w:rsid w:val="00BC1715"/>
    <w:rsid w:val="00BC26BA"/>
    <w:rsid w:val="00BC35F8"/>
    <w:rsid w:val="00BC3A1F"/>
    <w:rsid w:val="00BC481B"/>
    <w:rsid w:val="00BD08DF"/>
    <w:rsid w:val="00BD2D29"/>
    <w:rsid w:val="00BD617C"/>
    <w:rsid w:val="00BE782C"/>
    <w:rsid w:val="00BF376F"/>
    <w:rsid w:val="00BF46A6"/>
    <w:rsid w:val="00BF6CAD"/>
    <w:rsid w:val="00BF71FB"/>
    <w:rsid w:val="00C04DBF"/>
    <w:rsid w:val="00C05E4C"/>
    <w:rsid w:val="00C06545"/>
    <w:rsid w:val="00C134AF"/>
    <w:rsid w:val="00C20768"/>
    <w:rsid w:val="00C220FC"/>
    <w:rsid w:val="00C24DFA"/>
    <w:rsid w:val="00C24F9D"/>
    <w:rsid w:val="00C30182"/>
    <w:rsid w:val="00C31FC9"/>
    <w:rsid w:val="00C37A63"/>
    <w:rsid w:val="00C42248"/>
    <w:rsid w:val="00C46A36"/>
    <w:rsid w:val="00C47037"/>
    <w:rsid w:val="00C50235"/>
    <w:rsid w:val="00C509E3"/>
    <w:rsid w:val="00C53625"/>
    <w:rsid w:val="00C548BA"/>
    <w:rsid w:val="00C5679D"/>
    <w:rsid w:val="00C57784"/>
    <w:rsid w:val="00C602C1"/>
    <w:rsid w:val="00C63FC0"/>
    <w:rsid w:val="00C66392"/>
    <w:rsid w:val="00C7075D"/>
    <w:rsid w:val="00C73D09"/>
    <w:rsid w:val="00C74895"/>
    <w:rsid w:val="00C74C5E"/>
    <w:rsid w:val="00C82558"/>
    <w:rsid w:val="00C827A2"/>
    <w:rsid w:val="00C82B69"/>
    <w:rsid w:val="00C82C8E"/>
    <w:rsid w:val="00C82CB3"/>
    <w:rsid w:val="00C91B28"/>
    <w:rsid w:val="00C91F3A"/>
    <w:rsid w:val="00C93590"/>
    <w:rsid w:val="00CA31EA"/>
    <w:rsid w:val="00CA5446"/>
    <w:rsid w:val="00CB14E5"/>
    <w:rsid w:val="00CB218D"/>
    <w:rsid w:val="00CB5625"/>
    <w:rsid w:val="00CB5797"/>
    <w:rsid w:val="00CC1C17"/>
    <w:rsid w:val="00CC4F7F"/>
    <w:rsid w:val="00CC5D70"/>
    <w:rsid w:val="00CD09E1"/>
    <w:rsid w:val="00CE1780"/>
    <w:rsid w:val="00CE4913"/>
    <w:rsid w:val="00CE66BD"/>
    <w:rsid w:val="00CF0671"/>
    <w:rsid w:val="00CF247A"/>
    <w:rsid w:val="00CF44AD"/>
    <w:rsid w:val="00CF4D7C"/>
    <w:rsid w:val="00CF4FC0"/>
    <w:rsid w:val="00CF7486"/>
    <w:rsid w:val="00D00637"/>
    <w:rsid w:val="00D1072F"/>
    <w:rsid w:val="00D108A5"/>
    <w:rsid w:val="00D14585"/>
    <w:rsid w:val="00D153C8"/>
    <w:rsid w:val="00D17F98"/>
    <w:rsid w:val="00D20EFF"/>
    <w:rsid w:val="00D215B9"/>
    <w:rsid w:val="00D26D9F"/>
    <w:rsid w:val="00D31324"/>
    <w:rsid w:val="00D4386E"/>
    <w:rsid w:val="00D51432"/>
    <w:rsid w:val="00D53ED8"/>
    <w:rsid w:val="00D541A0"/>
    <w:rsid w:val="00D64857"/>
    <w:rsid w:val="00D6493A"/>
    <w:rsid w:val="00D649A5"/>
    <w:rsid w:val="00D66833"/>
    <w:rsid w:val="00D67875"/>
    <w:rsid w:val="00D71E86"/>
    <w:rsid w:val="00D731C6"/>
    <w:rsid w:val="00D745C5"/>
    <w:rsid w:val="00D75327"/>
    <w:rsid w:val="00D77D6B"/>
    <w:rsid w:val="00D80C36"/>
    <w:rsid w:val="00D81A32"/>
    <w:rsid w:val="00D86EE1"/>
    <w:rsid w:val="00D95E90"/>
    <w:rsid w:val="00D96126"/>
    <w:rsid w:val="00DA2FD5"/>
    <w:rsid w:val="00DB4B1C"/>
    <w:rsid w:val="00DB5085"/>
    <w:rsid w:val="00DB619F"/>
    <w:rsid w:val="00DB7211"/>
    <w:rsid w:val="00DC1062"/>
    <w:rsid w:val="00DC132C"/>
    <w:rsid w:val="00DC181A"/>
    <w:rsid w:val="00DC5727"/>
    <w:rsid w:val="00DD43F0"/>
    <w:rsid w:val="00DD44DE"/>
    <w:rsid w:val="00DE09AB"/>
    <w:rsid w:val="00DE1DCC"/>
    <w:rsid w:val="00DE352F"/>
    <w:rsid w:val="00DE4A3F"/>
    <w:rsid w:val="00DE5A99"/>
    <w:rsid w:val="00DF4367"/>
    <w:rsid w:val="00DF7291"/>
    <w:rsid w:val="00E0574A"/>
    <w:rsid w:val="00E1243D"/>
    <w:rsid w:val="00E12742"/>
    <w:rsid w:val="00E146D4"/>
    <w:rsid w:val="00E14815"/>
    <w:rsid w:val="00E21D37"/>
    <w:rsid w:val="00E220ED"/>
    <w:rsid w:val="00E22B44"/>
    <w:rsid w:val="00E30ACD"/>
    <w:rsid w:val="00E32735"/>
    <w:rsid w:val="00E34236"/>
    <w:rsid w:val="00E37904"/>
    <w:rsid w:val="00E44B88"/>
    <w:rsid w:val="00E60DDB"/>
    <w:rsid w:val="00E65AD9"/>
    <w:rsid w:val="00E66E36"/>
    <w:rsid w:val="00E67F21"/>
    <w:rsid w:val="00E702ED"/>
    <w:rsid w:val="00E709A4"/>
    <w:rsid w:val="00E75917"/>
    <w:rsid w:val="00E772DB"/>
    <w:rsid w:val="00E86012"/>
    <w:rsid w:val="00E860CA"/>
    <w:rsid w:val="00E86BAB"/>
    <w:rsid w:val="00E92962"/>
    <w:rsid w:val="00E94E10"/>
    <w:rsid w:val="00E96743"/>
    <w:rsid w:val="00E96A42"/>
    <w:rsid w:val="00E97497"/>
    <w:rsid w:val="00EA16D5"/>
    <w:rsid w:val="00EA49C5"/>
    <w:rsid w:val="00EA6279"/>
    <w:rsid w:val="00EB5027"/>
    <w:rsid w:val="00EB6C87"/>
    <w:rsid w:val="00EC1836"/>
    <w:rsid w:val="00EC2F6E"/>
    <w:rsid w:val="00EC3990"/>
    <w:rsid w:val="00EC484B"/>
    <w:rsid w:val="00EC7E58"/>
    <w:rsid w:val="00ED15FA"/>
    <w:rsid w:val="00ED5C9F"/>
    <w:rsid w:val="00EE050C"/>
    <w:rsid w:val="00EE2113"/>
    <w:rsid w:val="00EE5730"/>
    <w:rsid w:val="00EE6E9A"/>
    <w:rsid w:val="00EF2AC4"/>
    <w:rsid w:val="00EF397E"/>
    <w:rsid w:val="00F0340C"/>
    <w:rsid w:val="00F06F68"/>
    <w:rsid w:val="00F11241"/>
    <w:rsid w:val="00F15E9D"/>
    <w:rsid w:val="00F23FA7"/>
    <w:rsid w:val="00F24C2D"/>
    <w:rsid w:val="00F27BEC"/>
    <w:rsid w:val="00F27D59"/>
    <w:rsid w:val="00F316E1"/>
    <w:rsid w:val="00F32155"/>
    <w:rsid w:val="00F32A81"/>
    <w:rsid w:val="00F40C82"/>
    <w:rsid w:val="00F4197F"/>
    <w:rsid w:val="00F44F67"/>
    <w:rsid w:val="00F46998"/>
    <w:rsid w:val="00F5382D"/>
    <w:rsid w:val="00F53D9C"/>
    <w:rsid w:val="00F54195"/>
    <w:rsid w:val="00F5462B"/>
    <w:rsid w:val="00F54653"/>
    <w:rsid w:val="00F54FAC"/>
    <w:rsid w:val="00F569DE"/>
    <w:rsid w:val="00F57205"/>
    <w:rsid w:val="00F634AD"/>
    <w:rsid w:val="00F63677"/>
    <w:rsid w:val="00F70658"/>
    <w:rsid w:val="00F7417E"/>
    <w:rsid w:val="00F75B81"/>
    <w:rsid w:val="00F761CA"/>
    <w:rsid w:val="00F804C4"/>
    <w:rsid w:val="00F80C7E"/>
    <w:rsid w:val="00F82F83"/>
    <w:rsid w:val="00F86097"/>
    <w:rsid w:val="00F90C64"/>
    <w:rsid w:val="00F9210C"/>
    <w:rsid w:val="00F92B30"/>
    <w:rsid w:val="00F933B9"/>
    <w:rsid w:val="00F94674"/>
    <w:rsid w:val="00F94919"/>
    <w:rsid w:val="00F94A59"/>
    <w:rsid w:val="00FA25B6"/>
    <w:rsid w:val="00FA2FAF"/>
    <w:rsid w:val="00FA54F6"/>
    <w:rsid w:val="00FA64B1"/>
    <w:rsid w:val="00FA70F3"/>
    <w:rsid w:val="00FA71CD"/>
    <w:rsid w:val="00FB0453"/>
    <w:rsid w:val="00FB0C07"/>
    <w:rsid w:val="00FB205F"/>
    <w:rsid w:val="00FB298D"/>
    <w:rsid w:val="00FB3171"/>
    <w:rsid w:val="00FB444E"/>
    <w:rsid w:val="00FC1439"/>
    <w:rsid w:val="00FC3F65"/>
    <w:rsid w:val="00FC5007"/>
    <w:rsid w:val="00FC70AD"/>
    <w:rsid w:val="00FC724B"/>
    <w:rsid w:val="00FC7910"/>
    <w:rsid w:val="00FD01E0"/>
    <w:rsid w:val="00FD50FC"/>
    <w:rsid w:val="00FE1627"/>
    <w:rsid w:val="00FE2D4E"/>
    <w:rsid w:val="00FE3F22"/>
    <w:rsid w:val="00FF092F"/>
    <w:rsid w:val="00FF0DA7"/>
    <w:rsid w:val="00FF2B09"/>
    <w:rsid w:val="00FF44E0"/>
    <w:rsid w:val="00FF6C72"/>
    <w:rsid w:val="010E7B40"/>
    <w:rsid w:val="013B4944"/>
    <w:rsid w:val="014F03EF"/>
    <w:rsid w:val="015772A4"/>
    <w:rsid w:val="01722E9F"/>
    <w:rsid w:val="01915CC2"/>
    <w:rsid w:val="01B42948"/>
    <w:rsid w:val="01EB45BC"/>
    <w:rsid w:val="02555FB4"/>
    <w:rsid w:val="0263575A"/>
    <w:rsid w:val="028A3EBF"/>
    <w:rsid w:val="02EB0203"/>
    <w:rsid w:val="030E7E36"/>
    <w:rsid w:val="0321400D"/>
    <w:rsid w:val="03231B33"/>
    <w:rsid w:val="03A74512"/>
    <w:rsid w:val="03B5574C"/>
    <w:rsid w:val="04064F61"/>
    <w:rsid w:val="042B5143"/>
    <w:rsid w:val="04532E1C"/>
    <w:rsid w:val="047A1C27"/>
    <w:rsid w:val="049D3B67"/>
    <w:rsid w:val="05453E88"/>
    <w:rsid w:val="057E12A3"/>
    <w:rsid w:val="05A50F26"/>
    <w:rsid w:val="05FB6D97"/>
    <w:rsid w:val="06516012"/>
    <w:rsid w:val="066A6DB3"/>
    <w:rsid w:val="06AE129F"/>
    <w:rsid w:val="072D20A4"/>
    <w:rsid w:val="073B420D"/>
    <w:rsid w:val="075C73C2"/>
    <w:rsid w:val="076D5A73"/>
    <w:rsid w:val="07ED2710"/>
    <w:rsid w:val="082425D6"/>
    <w:rsid w:val="082543D6"/>
    <w:rsid w:val="08774DBC"/>
    <w:rsid w:val="09306D58"/>
    <w:rsid w:val="09A909AA"/>
    <w:rsid w:val="09DB3168"/>
    <w:rsid w:val="0A00672A"/>
    <w:rsid w:val="0A195A3E"/>
    <w:rsid w:val="0A304ED2"/>
    <w:rsid w:val="0A3D35AB"/>
    <w:rsid w:val="0A542106"/>
    <w:rsid w:val="0A6C4667"/>
    <w:rsid w:val="0B372620"/>
    <w:rsid w:val="0B9C2483"/>
    <w:rsid w:val="0BBE711B"/>
    <w:rsid w:val="0BD47173"/>
    <w:rsid w:val="0BDC2918"/>
    <w:rsid w:val="0BF47967"/>
    <w:rsid w:val="0C1B47F2"/>
    <w:rsid w:val="0C3513F8"/>
    <w:rsid w:val="0C380250"/>
    <w:rsid w:val="0C41127C"/>
    <w:rsid w:val="0C4264AA"/>
    <w:rsid w:val="0C61547A"/>
    <w:rsid w:val="0C6157E5"/>
    <w:rsid w:val="0C9D2EE3"/>
    <w:rsid w:val="0D2C2A43"/>
    <w:rsid w:val="0D3D1A44"/>
    <w:rsid w:val="0D570D57"/>
    <w:rsid w:val="0D755681"/>
    <w:rsid w:val="0D847672"/>
    <w:rsid w:val="0DAF1561"/>
    <w:rsid w:val="0DB25F8E"/>
    <w:rsid w:val="0DB63633"/>
    <w:rsid w:val="0DBA3094"/>
    <w:rsid w:val="0DE17D54"/>
    <w:rsid w:val="0E1C10F3"/>
    <w:rsid w:val="0F346E76"/>
    <w:rsid w:val="0F87169C"/>
    <w:rsid w:val="0F9A4F2B"/>
    <w:rsid w:val="0FA47B58"/>
    <w:rsid w:val="1041184B"/>
    <w:rsid w:val="10607C4F"/>
    <w:rsid w:val="106A2B50"/>
    <w:rsid w:val="106E6418"/>
    <w:rsid w:val="10756397"/>
    <w:rsid w:val="107E65FB"/>
    <w:rsid w:val="108A4FA0"/>
    <w:rsid w:val="10D426BF"/>
    <w:rsid w:val="10E55C9B"/>
    <w:rsid w:val="11017F57"/>
    <w:rsid w:val="11323C4E"/>
    <w:rsid w:val="116E2B13"/>
    <w:rsid w:val="117B2B3A"/>
    <w:rsid w:val="11DD1A47"/>
    <w:rsid w:val="11EC3A38"/>
    <w:rsid w:val="129540C6"/>
    <w:rsid w:val="12C42DD3"/>
    <w:rsid w:val="12D71D5F"/>
    <w:rsid w:val="13294EA9"/>
    <w:rsid w:val="133D454B"/>
    <w:rsid w:val="13516249"/>
    <w:rsid w:val="136917E4"/>
    <w:rsid w:val="138E2FF9"/>
    <w:rsid w:val="13E946D3"/>
    <w:rsid w:val="142C636E"/>
    <w:rsid w:val="14926B19"/>
    <w:rsid w:val="14A25F16"/>
    <w:rsid w:val="14B454A2"/>
    <w:rsid w:val="14F41582"/>
    <w:rsid w:val="151B7FB7"/>
    <w:rsid w:val="15606C3C"/>
    <w:rsid w:val="158C3568"/>
    <w:rsid w:val="15D63E65"/>
    <w:rsid w:val="161F43DC"/>
    <w:rsid w:val="1679722C"/>
    <w:rsid w:val="167B6427"/>
    <w:rsid w:val="168D57EA"/>
    <w:rsid w:val="169B4026"/>
    <w:rsid w:val="16B27D38"/>
    <w:rsid w:val="16E834F7"/>
    <w:rsid w:val="16F940E7"/>
    <w:rsid w:val="172B6DB1"/>
    <w:rsid w:val="175B58E8"/>
    <w:rsid w:val="178A3F42"/>
    <w:rsid w:val="18025D64"/>
    <w:rsid w:val="1845570A"/>
    <w:rsid w:val="184B770B"/>
    <w:rsid w:val="18722EE9"/>
    <w:rsid w:val="18B43502"/>
    <w:rsid w:val="19037FE5"/>
    <w:rsid w:val="19100AF6"/>
    <w:rsid w:val="1930691F"/>
    <w:rsid w:val="1941466A"/>
    <w:rsid w:val="194505FE"/>
    <w:rsid w:val="197179A6"/>
    <w:rsid w:val="1A057D8D"/>
    <w:rsid w:val="1A09162B"/>
    <w:rsid w:val="1A3741DD"/>
    <w:rsid w:val="1A3B555D"/>
    <w:rsid w:val="1A5959E3"/>
    <w:rsid w:val="1A6528FE"/>
    <w:rsid w:val="1A6E76E0"/>
    <w:rsid w:val="1A835004"/>
    <w:rsid w:val="1B2B3823"/>
    <w:rsid w:val="1B6B1E72"/>
    <w:rsid w:val="1BA61F6F"/>
    <w:rsid w:val="1BC33A5C"/>
    <w:rsid w:val="1C0A3439"/>
    <w:rsid w:val="1C623E88"/>
    <w:rsid w:val="1C63029E"/>
    <w:rsid w:val="1C67088B"/>
    <w:rsid w:val="1C6F1749"/>
    <w:rsid w:val="1C715A71"/>
    <w:rsid w:val="1CC921E7"/>
    <w:rsid w:val="1CF85987"/>
    <w:rsid w:val="1D1C4205"/>
    <w:rsid w:val="1D444EB6"/>
    <w:rsid w:val="1D8B05A9"/>
    <w:rsid w:val="1D9A07EC"/>
    <w:rsid w:val="1DA840EB"/>
    <w:rsid w:val="1DCE3BD5"/>
    <w:rsid w:val="1DCF0FA3"/>
    <w:rsid w:val="1E71779F"/>
    <w:rsid w:val="1EBB6C6C"/>
    <w:rsid w:val="1EC57AEB"/>
    <w:rsid w:val="1F1B770B"/>
    <w:rsid w:val="1F703EFB"/>
    <w:rsid w:val="1F884DA0"/>
    <w:rsid w:val="1FA41353"/>
    <w:rsid w:val="1FBB33C8"/>
    <w:rsid w:val="20133317"/>
    <w:rsid w:val="20717F2A"/>
    <w:rsid w:val="20C16461"/>
    <w:rsid w:val="20E77503"/>
    <w:rsid w:val="20FF5536"/>
    <w:rsid w:val="21050366"/>
    <w:rsid w:val="214D44F3"/>
    <w:rsid w:val="21845A3B"/>
    <w:rsid w:val="222648EA"/>
    <w:rsid w:val="222C235B"/>
    <w:rsid w:val="22426004"/>
    <w:rsid w:val="22553BBD"/>
    <w:rsid w:val="226F2197"/>
    <w:rsid w:val="227B5090"/>
    <w:rsid w:val="229C4D78"/>
    <w:rsid w:val="22A033E7"/>
    <w:rsid w:val="23146520"/>
    <w:rsid w:val="23264FFC"/>
    <w:rsid w:val="232748D0"/>
    <w:rsid w:val="23585502"/>
    <w:rsid w:val="23596C26"/>
    <w:rsid w:val="23A233FC"/>
    <w:rsid w:val="23F073B8"/>
    <w:rsid w:val="24137FEA"/>
    <w:rsid w:val="244514B2"/>
    <w:rsid w:val="24577437"/>
    <w:rsid w:val="247973AD"/>
    <w:rsid w:val="254B6F9C"/>
    <w:rsid w:val="255A0F8D"/>
    <w:rsid w:val="25626093"/>
    <w:rsid w:val="25A47FE1"/>
    <w:rsid w:val="25B14925"/>
    <w:rsid w:val="26094761"/>
    <w:rsid w:val="262D78EB"/>
    <w:rsid w:val="26415CA9"/>
    <w:rsid w:val="26A61FB0"/>
    <w:rsid w:val="26C07516"/>
    <w:rsid w:val="26EA27E4"/>
    <w:rsid w:val="26F40F6D"/>
    <w:rsid w:val="271D04C4"/>
    <w:rsid w:val="27441EF5"/>
    <w:rsid w:val="27CA60F4"/>
    <w:rsid w:val="27E85AF1"/>
    <w:rsid w:val="27F460A8"/>
    <w:rsid w:val="28031E60"/>
    <w:rsid w:val="28417E9F"/>
    <w:rsid w:val="28C50E13"/>
    <w:rsid w:val="28C929C1"/>
    <w:rsid w:val="28EB6E76"/>
    <w:rsid w:val="294E0E09"/>
    <w:rsid w:val="295220BC"/>
    <w:rsid w:val="296F5223"/>
    <w:rsid w:val="298C7B83"/>
    <w:rsid w:val="29995DFC"/>
    <w:rsid w:val="29B42C36"/>
    <w:rsid w:val="29DA6B0B"/>
    <w:rsid w:val="2A093B18"/>
    <w:rsid w:val="2A720B27"/>
    <w:rsid w:val="2A7F1496"/>
    <w:rsid w:val="2A8D7B4E"/>
    <w:rsid w:val="2ABD245A"/>
    <w:rsid w:val="2AC31382"/>
    <w:rsid w:val="2B412386"/>
    <w:rsid w:val="2B522706"/>
    <w:rsid w:val="2BB34FD2"/>
    <w:rsid w:val="2C0454EA"/>
    <w:rsid w:val="2C2A71DF"/>
    <w:rsid w:val="2C6E14CB"/>
    <w:rsid w:val="2C7212B2"/>
    <w:rsid w:val="2CEA687B"/>
    <w:rsid w:val="2D1633EB"/>
    <w:rsid w:val="2D646304"/>
    <w:rsid w:val="2D947006"/>
    <w:rsid w:val="2DAD00C8"/>
    <w:rsid w:val="2DBA2F11"/>
    <w:rsid w:val="2DE16C1F"/>
    <w:rsid w:val="2DE66F5D"/>
    <w:rsid w:val="2E1B2EA1"/>
    <w:rsid w:val="2E2E745B"/>
    <w:rsid w:val="2E63511A"/>
    <w:rsid w:val="2EB35320"/>
    <w:rsid w:val="2EC15454"/>
    <w:rsid w:val="2F111D48"/>
    <w:rsid w:val="2F317872"/>
    <w:rsid w:val="2F3F0C54"/>
    <w:rsid w:val="2F4615DA"/>
    <w:rsid w:val="2F6649D2"/>
    <w:rsid w:val="2F917CA1"/>
    <w:rsid w:val="2FA17B84"/>
    <w:rsid w:val="2FA379D4"/>
    <w:rsid w:val="2FF26266"/>
    <w:rsid w:val="2FFD0E93"/>
    <w:rsid w:val="30647164"/>
    <w:rsid w:val="30706EEC"/>
    <w:rsid w:val="30A21A3A"/>
    <w:rsid w:val="30ED2B9B"/>
    <w:rsid w:val="31197749"/>
    <w:rsid w:val="3128792B"/>
    <w:rsid w:val="314A7015"/>
    <w:rsid w:val="322B3CFE"/>
    <w:rsid w:val="322E5C7B"/>
    <w:rsid w:val="32691053"/>
    <w:rsid w:val="32764F2C"/>
    <w:rsid w:val="32A538A5"/>
    <w:rsid w:val="32C51A10"/>
    <w:rsid w:val="32DD144F"/>
    <w:rsid w:val="330E360D"/>
    <w:rsid w:val="33471ACD"/>
    <w:rsid w:val="33791178"/>
    <w:rsid w:val="33B37D2E"/>
    <w:rsid w:val="34055558"/>
    <w:rsid w:val="340A62A2"/>
    <w:rsid w:val="34160775"/>
    <w:rsid w:val="342B60E5"/>
    <w:rsid w:val="34371578"/>
    <w:rsid w:val="34667B96"/>
    <w:rsid w:val="34EE34A0"/>
    <w:rsid w:val="351078BA"/>
    <w:rsid w:val="352620DC"/>
    <w:rsid w:val="352B0250"/>
    <w:rsid w:val="353071CF"/>
    <w:rsid w:val="354D51B9"/>
    <w:rsid w:val="355157DD"/>
    <w:rsid w:val="35BC70FA"/>
    <w:rsid w:val="35E5310F"/>
    <w:rsid w:val="362D7FF8"/>
    <w:rsid w:val="3661430F"/>
    <w:rsid w:val="36963DEF"/>
    <w:rsid w:val="369D587E"/>
    <w:rsid w:val="36CF1D5D"/>
    <w:rsid w:val="36D87F64"/>
    <w:rsid w:val="36EC1C61"/>
    <w:rsid w:val="370F3BF6"/>
    <w:rsid w:val="373F7FE3"/>
    <w:rsid w:val="379E73FF"/>
    <w:rsid w:val="37A60062"/>
    <w:rsid w:val="37B7401D"/>
    <w:rsid w:val="37F45271"/>
    <w:rsid w:val="38AD0855"/>
    <w:rsid w:val="38C8216C"/>
    <w:rsid w:val="38CA4224"/>
    <w:rsid w:val="39293004"/>
    <w:rsid w:val="396C0E37"/>
    <w:rsid w:val="397F6DBC"/>
    <w:rsid w:val="39825D37"/>
    <w:rsid w:val="39882115"/>
    <w:rsid w:val="39A9066C"/>
    <w:rsid w:val="39E10D60"/>
    <w:rsid w:val="3BAB3E99"/>
    <w:rsid w:val="3BB605D0"/>
    <w:rsid w:val="3BFC5E74"/>
    <w:rsid w:val="3C0059BB"/>
    <w:rsid w:val="3C1732DC"/>
    <w:rsid w:val="3C5F3E33"/>
    <w:rsid w:val="3CA32DC2"/>
    <w:rsid w:val="3CA628B2"/>
    <w:rsid w:val="3CA911B8"/>
    <w:rsid w:val="3D006466"/>
    <w:rsid w:val="3D260D99"/>
    <w:rsid w:val="3D5B18EE"/>
    <w:rsid w:val="3DBE686D"/>
    <w:rsid w:val="3DE84BF6"/>
    <w:rsid w:val="3E0B15B7"/>
    <w:rsid w:val="3EE020AB"/>
    <w:rsid w:val="3F0C10F2"/>
    <w:rsid w:val="3F1461F9"/>
    <w:rsid w:val="3F340649"/>
    <w:rsid w:val="3F381EE7"/>
    <w:rsid w:val="3F5E4365"/>
    <w:rsid w:val="3F874C1D"/>
    <w:rsid w:val="3F917849"/>
    <w:rsid w:val="3FB35A12"/>
    <w:rsid w:val="3FEA4714"/>
    <w:rsid w:val="3FFF2A05"/>
    <w:rsid w:val="402151B1"/>
    <w:rsid w:val="405F416C"/>
    <w:rsid w:val="407231D7"/>
    <w:rsid w:val="40B03CFF"/>
    <w:rsid w:val="40FA4F7A"/>
    <w:rsid w:val="41134650"/>
    <w:rsid w:val="414D77A0"/>
    <w:rsid w:val="414F52C6"/>
    <w:rsid w:val="415470E2"/>
    <w:rsid w:val="41AF5742"/>
    <w:rsid w:val="41BB759E"/>
    <w:rsid w:val="423F17DF"/>
    <w:rsid w:val="42B740A7"/>
    <w:rsid w:val="43170066"/>
    <w:rsid w:val="4353477A"/>
    <w:rsid w:val="43783307"/>
    <w:rsid w:val="438B4CD7"/>
    <w:rsid w:val="439B2A45"/>
    <w:rsid w:val="43C05511"/>
    <w:rsid w:val="446B6021"/>
    <w:rsid w:val="44705C7F"/>
    <w:rsid w:val="44CE57BC"/>
    <w:rsid w:val="44E623E5"/>
    <w:rsid w:val="44FF52DD"/>
    <w:rsid w:val="45060392"/>
    <w:rsid w:val="45793E0E"/>
    <w:rsid w:val="457940DC"/>
    <w:rsid w:val="45A858ED"/>
    <w:rsid w:val="45EF0E26"/>
    <w:rsid w:val="45FC7108"/>
    <w:rsid w:val="45FD1795"/>
    <w:rsid w:val="465A0995"/>
    <w:rsid w:val="46781287"/>
    <w:rsid w:val="46C41D6B"/>
    <w:rsid w:val="46C73B51"/>
    <w:rsid w:val="46EB5A91"/>
    <w:rsid w:val="471F69F8"/>
    <w:rsid w:val="47282841"/>
    <w:rsid w:val="473A7BED"/>
    <w:rsid w:val="476D20B2"/>
    <w:rsid w:val="47863A67"/>
    <w:rsid w:val="478F71C4"/>
    <w:rsid w:val="47BE4F54"/>
    <w:rsid w:val="47C54534"/>
    <w:rsid w:val="47D12ED9"/>
    <w:rsid w:val="4821786A"/>
    <w:rsid w:val="4825146D"/>
    <w:rsid w:val="482B373E"/>
    <w:rsid w:val="483A1CF1"/>
    <w:rsid w:val="48A4239B"/>
    <w:rsid w:val="48B06F92"/>
    <w:rsid w:val="48E44E8E"/>
    <w:rsid w:val="48FD5F50"/>
    <w:rsid w:val="49230A4E"/>
    <w:rsid w:val="49262DB0"/>
    <w:rsid w:val="49437E06"/>
    <w:rsid w:val="49B16E10"/>
    <w:rsid w:val="49C10C94"/>
    <w:rsid w:val="4A4756D4"/>
    <w:rsid w:val="4A6169D0"/>
    <w:rsid w:val="4A783AE0"/>
    <w:rsid w:val="4ACC3E2B"/>
    <w:rsid w:val="4B014864"/>
    <w:rsid w:val="4B047121"/>
    <w:rsid w:val="4B820492"/>
    <w:rsid w:val="4B954E7C"/>
    <w:rsid w:val="4BF555AA"/>
    <w:rsid w:val="4C854292"/>
    <w:rsid w:val="4CB933F8"/>
    <w:rsid w:val="4CE30FB8"/>
    <w:rsid w:val="4D0478AD"/>
    <w:rsid w:val="4D094EC3"/>
    <w:rsid w:val="4D1D096E"/>
    <w:rsid w:val="4D700A9E"/>
    <w:rsid w:val="4DA95214"/>
    <w:rsid w:val="4E524F5E"/>
    <w:rsid w:val="4E5B174E"/>
    <w:rsid w:val="4E5F0B06"/>
    <w:rsid w:val="4E6B046C"/>
    <w:rsid w:val="4E707289"/>
    <w:rsid w:val="4E9E4717"/>
    <w:rsid w:val="4EDB1F15"/>
    <w:rsid w:val="4EEA3D40"/>
    <w:rsid w:val="4F00728A"/>
    <w:rsid w:val="4F3F6AB1"/>
    <w:rsid w:val="4F5A7C58"/>
    <w:rsid w:val="4F5D071B"/>
    <w:rsid w:val="4F617DF4"/>
    <w:rsid w:val="4F7B61E2"/>
    <w:rsid w:val="4F9B688F"/>
    <w:rsid w:val="500378DD"/>
    <w:rsid w:val="500B2D00"/>
    <w:rsid w:val="50C366B5"/>
    <w:rsid w:val="510A2FB8"/>
    <w:rsid w:val="510C6C49"/>
    <w:rsid w:val="51350283"/>
    <w:rsid w:val="5164091A"/>
    <w:rsid w:val="516E1798"/>
    <w:rsid w:val="524424F9"/>
    <w:rsid w:val="52B61649"/>
    <w:rsid w:val="52D10231"/>
    <w:rsid w:val="52F42171"/>
    <w:rsid w:val="52FB0E50"/>
    <w:rsid w:val="53285977"/>
    <w:rsid w:val="53324D84"/>
    <w:rsid w:val="53542C10"/>
    <w:rsid w:val="53803A05"/>
    <w:rsid w:val="53BF62DB"/>
    <w:rsid w:val="53DF072C"/>
    <w:rsid w:val="54087D99"/>
    <w:rsid w:val="5415239F"/>
    <w:rsid w:val="543547EF"/>
    <w:rsid w:val="54A72003"/>
    <w:rsid w:val="54D23DEC"/>
    <w:rsid w:val="54DC4C6B"/>
    <w:rsid w:val="5563713A"/>
    <w:rsid w:val="556C5FEF"/>
    <w:rsid w:val="556F788D"/>
    <w:rsid w:val="56023921"/>
    <w:rsid w:val="567E247E"/>
    <w:rsid w:val="56C42A72"/>
    <w:rsid w:val="56CF0F2B"/>
    <w:rsid w:val="56D50308"/>
    <w:rsid w:val="57A07595"/>
    <w:rsid w:val="5809250B"/>
    <w:rsid w:val="5817778A"/>
    <w:rsid w:val="582A3F3F"/>
    <w:rsid w:val="584A135A"/>
    <w:rsid w:val="58A957AC"/>
    <w:rsid w:val="58C12AF6"/>
    <w:rsid w:val="592A2449"/>
    <w:rsid w:val="59392054"/>
    <w:rsid w:val="59701C86"/>
    <w:rsid w:val="59851D75"/>
    <w:rsid w:val="59A30F9B"/>
    <w:rsid w:val="59AA358A"/>
    <w:rsid w:val="59AF6DF2"/>
    <w:rsid w:val="59C674C0"/>
    <w:rsid w:val="5A3617D9"/>
    <w:rsid w:val="5A490FF5"/>
    <w:rsid w:val="5A7F6B6C"/>
    <w:rsid w:val="5A851901"/>
    <w:rsid w:val="5A9164F8"/>
    <w:rsid w:val="5AD05272"/>
    <w:rsid w:val="5AFB613D"/>
    <w:rsid w:val="5B884B20"/>
    <w:rsid w:val="5B8C73EB"/>
    <w:rsid w:val="5BC0556E"/>
    <w:rsid w:val="5BC81C40"/>
    <w:rsid w:val="5BFE5E0F"/>
    <w:rsid w:val="5C583771"/>
    <w:rsid w:val="5CCF10EF"/>
    <w:rsid w:val="5D347D3A"/>
    <w:rsid w:val="5D83037A"/>
    <w:rsid w:val="5DA327CA"/>
    <w:rsid w:val="5E1B4A56"/>
    <w:rsid w:val="5E2D4789"/>
    <w:rsid w:val="5F3833E6"/>
    <w:rsid w:val="5F942D12"/>
    <w:rsid w:val="5FCB425A"/>
    <w:rsid w:val="5FD74633"/>
    <w:rsid w:val="6037369D"/>
    <w:rsid w:val="605D3104"/>
    <w:rsid w:val="607641C6"/>
    <w:rsid w:val="60CE5DB0"/>
    <w:rsid w:val="60E412C0"/>
    <w:rsid w:val="612A6E3D"/>
    <w:rsid w:val="615163DA"/>
    <w:rsid w:val="61E323AE"/>
    <w:rsid w:val="61F335F4"/>
    <w:rsid w:val="623331AC"/>
    <w:rsid w:val="625772C4"/>
    <w:rsid w:val="62A019CE"/>
    <w:rsid w:val="62A36DC8"/>
    <w:rsid w:val="636F3034"/>
    <w:rsid w:val="63760A8D"/>
    <w:rsid w:val="64322AF9"/>
    <w:rsid w:val="643423CE"/>
    <w:rsid w:val="64356146"/>
    <w:rsid w:val="643F0D73"/>
    <w:rsid w:val="64634A61"/>
    <w:rsid w:val="650516A8"/>
    <w:rsid w:val="65330581"/>
    <w:rsid w:val="65830E72"/>
    <w:rsid w:val="65B3280B"/>
    <w:rsid w:val="661B13ED"/>
    <w:rsid w:val="66E55C01"/>
    <w:rsid w:val="66E81280"/>
    <w:rsid w:val="67AB0BF9"/>
    <w:rsid w:val="684C3086"/>
    <w:rsid w:val="689F4499"/>
    <w:rsid w:val="68A549E1"/>
    <w:rsid w:val="68CD7398"/>
    <w:rsid w:val="68D20407"/>
    <w:rsid w:val="69110DD3"/>
    <w:rsid w:val="691B590A"/>
    <w:rsid w:val="691D526F"/>
    <w:rsid w:val="69401815"/>
    <w:rsid w:val="69542B7A"/>
    <w:rsid w:val="69676D3F"/>
    <w:rsid w:val="69676DA1"/>
    <w:rsid w:val="69791212"/>
    <w:rsid w:val="6984475F"/>
    <w:rsid w:val="699532F4"/>
    <w:rsid w:val="6A1E3BE6"/>
    <w:rsid w:val="6A2E3597"/>
    <w:rsid w:val="6A394FBA"/>
    <w:rsid w:val="6A527A52"/>
    <w:rsid w:val="6A9260A0"/>
    <w:rsid w:val="6AAA3081"/>
    <w:rsid w:val="6B5179FB"/>
    <w:rsid w:val="6B596BBE"/>
    <w:rsid w:val="6BBD539F"/>
    <w:rsid w:val="6C8D150C"/>
    <w:rsid w:val="6CAE4CE7"/>
    <w:rsid w:val="6CC60283"/>
    <w:rsid w:val="6CE35249"/>
    <w:rsid w:val="6D0C174E"/>
    <w:rsid w:val="6D4A2C62"/>
    <w:rsid w:val="6D667B04"/>
    <w:rsid w:val="6DBE53FE"/>
    <w:rsid w:val="6E39711A"/>
    <w:rsid w:val="6E997D6C"/>
    <w:rsid w:val="6E9B3E8E"/>
    <w:rsid w:val="6EC95E08"/>
    <w:rsid w:val="6EF616F6"/>
    <w:rsid w:val="6F0A5A1B"/>
    <w:rsid w:val="6F4D524D"/>
    <w:rsid w:val="6F5074C1"/>
    <w:rsid w:val="6F5D575B"/>
    <w:rsid w:val="6F712728"/>
    <w:rsid w:val="6FAA5C3A"/>
    <w:rsid w:val="6FF45107"/>
    <w:rsid w:val="6FFE1AE2"/>
    <w:rsid w:val="705619F8"/>
    <w:rsid w:val="70B717EC"/>
    <w:rsid w:val="710D0EA4"/>
    <w:rsid w:val="713C0B14"/>
    <w:rsid w:val="71467526"/>
    <w:rsid w:val="714B6A8F"/>
    <w:rsid w:val="7157594D"/>
    <w:rsid w:val="7161057A"/>
    <w:rsid w:val="71970440"/>
    <w:rsid w:val="71DD357F"/>
    <w:rsid w:val="724F4877"/>
    <w:rsid w:val="72587BCF"/>
    <w:rsid w:val="72710C91"/>
    <w:rsid w:val="72987FCC"/>
    <w:rsid w:val="72FC67AC"/>
    <w:rsid w:val="73155AC0"/>
    <w:rsid w:val="733400FF"/>
    <w:rsid w:val="736B748E"/>
    <w:rsid w:val="73C2126D"/>
    <w:rsid w:val="73D829D6"/>
    <w:rsid w:val="73DD4830"/>
    <w:rsid w:val="74027F72"/>
    <w:rsid w:val="743D226E"/>
    <w:rsid w:val="7443040B"/>
    <w:rsid w:val="74A0760B"/>
    <w:rsid w:val="74E3115A"/>
    <w:rsid w:val="74FC2405"/>
    <w:rsid w:val="754058DD"/>
    <w:rsid w:val="755F1275"/>
    <w:rsid w:val="75ED062E"/>
    <w:rsid w:val="76257DC8"/>
    <w:rsid w:val="764B4001"/>
    <w:rsid w:val="76AA29C3"/>
    <w:rsid w:val="76D944A7"/>
    <w:rsid w:val="771A04F8"/>
    <w:rsid w:val="77456248"/>
    <w:rsid w:val="775A1CF3"/>
    <w:rsid w:val="778D031B"/>
    <w:rsid w:val="77D81D41"/>
    <w:rsid w:val="784A4B73"/>
    <w:rsid w:val="784F737E"/>
    <w:rsid w:val="786924FD"/>
    <w:rsid w:val="78917997"/>
    <w:rsid w:val="789518CC"/>
    <w:rsid w:val="78E963B0"/>
    <w:rsid w:val="78F9553C"/>
    <w:rsid w:val="797352EE"/>
    <w:rsid w:val="797F3C93"/>
    <w:rsid w:val="799B26EC"/>
    <w:rsid w:val="79A90D10"/>
    <w:rsid w:val="7A122D59"/>
    <w:rsid w:val="7A1C14E2"/>
    <w:rsid w:val="7A5B3FA8"/>
    <w:rsid w:val="7AEB5324"/>
    <w:rsid w:val="7B002BB2"/>
    <w:rsid w:val="7B98728E"/>
    <w:rsid w:val="7BA174E1"/>
    <w:rsid w:val="7BA77A94"/>
    <w:rsid w:val="7BC04FC3"/>
    <w:rsid w:val="7C6807E0"/>
    <w:rsid w:val="7C921F30"/>
    <w:rsid w:val="7CA72746"/>
    <w:rsid w:val="7D121F07"/>
    <w:rsid w:val="7D7004C3"/>
    <w:rsid w:val="7DBF4FA6"/>
    <w:rsid w:val="7DC33C3F"/>
    <w:rsid w:val="7DDC7906"/>
    <w:rsid w:val="7E061F65"/>
    <w:rsid w:val="7EA81A90"/>
    <w:rsid w:val="7EFE7085"/>
    <w:rsid w:val="7F2B14FE"/>
    <w:rsid w:val="7F5D4A77"/>
    <w:rsid w:val="7F600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0" w:semiHidden="0" w:name="toc 6"/>
    <w:lsdException w:qFormat="1" w:unhideWhenUsed="0" w:uiPriority="39" w:semiHidden="0"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仿宋_GB2312" w:hAnsi="@仿宋_GB2312" w:eastAsia="@仿宋_GB2312" w:cs="@仿宋_GB2312"/>
      <w:kern w:val="2"/>
      <w:sz w:val="21"/>
      <w:lang w:val="en-US" w:eastAsia="zh-CN" w:bidi="ar-SA"/>
    </w:rPr>
  </w:style>
  <w:style w:type="paragraph" w:styleId="3">
    <w:name w:val="heading 1"/>
    <w:basedOn w:val="1"/>
    <w:next w:val="1"/>
    <w:link w:val="59"/>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5">
    <w:name w:val="heading 3"/>
    <w:basedOn w:val="1"/>
    <w:next w:val="1"/>
    <w:link w:val="61"/>
    <w:autoRedefine/>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66"/>
    <w:autoRedefine/>
    <w:qFormat/>
    <w:uiPriority w:val="0"/>
    <w:pPr>
      <w:keepNext/>
      <w:keepLines/>
      <w:spacing w:before="280" w:after="290" w:line="376" w:lineRule="auto"/>
      <w:outlineLvl w:val="3"/>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样式 ！正文 + 首行缩进:  2 字符"/>
    <w:basedOn w:val="1"/>
    <w:qFormat/>
    <w:uiPriority w:val="0"/>
    <w:pPr>
      <w:ind w:firstLine="480" w:firstLineChars="200"/>
    </w:pPr>
    <w:rPr>
      <w:rFonts w:hint="eastAsia" w:ascii="Arial" w:hAnsi="Arial" w:cs="宋体"/>
    </w:rPr>
  </w:style>
  <w:style w:type="paragraph" w:styleId="7">
    <w:name w:val="toc 7"/>
    <w:basedOn w:val="1"/>
    <w:next w:val="1"/>
    <w:qFormat/>
    <w:uiPriority w:val="39"/>
    <w:pPr>
      <w:ind w:left="1260"/>
      <w:jc w:val="left"/>
    </w:pPr>
    <w:rPr>
      <w:sz w:val="18"/>
      <w:szCs w:val="18"/>
    </w:rPr>
  </w:style>
  <w:style w:type="paragraph" w:styleId="8">
    <w:name w:val="Normal Indent"/>
    <w:basedOn w:val="1"/>
    <w:autoRedefine/>
    <w:qFormat/>
    <w:uiPriority w:val="0"/>
    <w:pPr>
      <w:autoSpaceDE w:val="0"/>
      <w:autoSpaceDN w:val="0"/>
      <w:adjustRightInd w:val="0"/>
      <w:ind w:firstLine="420"/>
      <w:jc w:val="left"/>
    </w:pPr>
    <w:rPr>
      <w:rFonts w:ascii="宋体" w:hAnsi="Times New Roman" w:eastAsia="宋体" w:cs="Times New Roman"/>
      <w:kern w:val="0"/>
      <w:sz w:val="24"/>
    </w:rPr>
  </w:style>
  <w:style w:type="paragraph" w:styleId="9">
    <w:name w:val="annotation text"/>
    <w:basedOn w:val="1"/>
    <w:link w:val="58"/>
    <w:autoRedefine/>
    <w:qFormat/>
    <w:uiPriority w:val="0"/>
    <w:pPr>
      <w:jc w:val="left"/>
    </w:pPr>
    <w:rPr>
      <w:rFonts w:ascii="Arial" w:hAnsi="Arial" w:eastAsia="黑体" w:cs="Arial"/>
    </w:rPr>
  </w:style>
  <w:style w:type="paragraph" w:styleId="10">
    <w:name w:val="Body Text"/>
    <w:basedOn w:val="1"/>
    <w:next w:val="1"/>
    <w:link w:val="67"/>
    <w:autoRedefine/>
    <w:qFormat/>
    <w:uiPriority w:val="0"/>
    <w:pPr>
      <w:spacing w:after="120"/>
    </w:pPr>
    <w:rPr>
      <w:rFonts w:ascii="@微软简标宋" w:hAnsi="@微软简标宋" w:eastAsia="@微软简标宋" w:cs="@微软简标宋"/>
      <w:szCs w:val="24"/>
      <w:lang w:val="zh-CN"/>
    </w:rPr>
  </w:style>
  <w:style w:type="paragraph" w:styleId="11">
    <w:name w:val="Body Text Indent"/>
    <w:basedOn w:val="1"/>
    <w:next w:val="12"/>
    <w:qFormat/>
    <w:uiPriority w:val="0"/>
    <w:pPr>
      <w:spacing w:after="120"/>
      <w:ind w:left="420" w:leftChars="200"/>
    </w:pPr>
    <w:rPr>
      <w:rFonts w:ascii="Times New Roman" w:hAnsi="Times New Roman" w:eastAsia="宋体"/>
      <w:szCs w:val="24"/>
    </w:rPr>
  </w:style>
  <w:style w:type="paragraph" w:styleId="12">
    <w:name w:val="envelope return"/>
    <w:basedOn w:val="1"/>
    <w:next w:val="7"/>
    <w:qFormat/>
    <w:uiPriority w:val="0"/>
    <w:pPr>
      <w:snapToGrid w:val="0"/>
    </w:pPr>
    <w:rPr>
      <w:rFonts w:ascii="Arial" w:hAnsi="Arial"/>
    </w:rPr>
  </w:style>
  <w:style w:type="paragraph" w:styleId="13">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4">
    <w:name w:val="Plain Text"/>
    <w:basedOn w:val="1"/>
    <w:link w:val="47"/>
    <w:autoRedefine/>
    <w:qFormat/>
    <w:uiPriority w:val="99"/>
    <w:rPr>
      <w:rFonts w:ascii="宋体" w:hAnsi="Courier New" w:eastAsiaTheme="minorEastAsia" w:cstheme="minorBidi"/>
      <w:szCs w:val="22"/>
    </w:rPr>
  </w:style>
  <w:style w:type="paragraph" w:styleId="15">
    <w:name w:val="Date"/>
    <w:basedOn w:val="1"/>
    <w:next w:val="1"/>
    <w:link w:val="54"/>
    <w:autoRedefine/>
    <w:qFormat/>
    <w:uiPriority w:val="0"/>
    <w:rPr>
      <w:rFonts w:ascii="Arial" w:hAnsi="Arial" w:eastAsia="宋体" w:cs="Arial"/>
      <w:b/>
      <w:sz w:val="28"/>
    </w:rPr>
  </w:style>
  <w:style w:type="paragraph" w:styleId="16">
    <w:name w:val="Balloon Text"/>
    <w:basedOn w:val="1"/>
    <w:link w:val="41"/>
    <w:autoRedefine/>
    <w:semiHidden/>
    <w:unhideWhenUsed/>
    <w:qFormat/>
    <w:uiPriority w:val="99"/>
    <w:rPr>
      <w:sz w:val="18"/>
      <w:szCs w:val="18"/>
    </w:rPr>
  </w:style>
  <w:style w:type="paragraph" w:styleId="17">
    <w:name w:val="footer"/>
    <w:basedOn w:val="1"/>
    <w:link w:val="46"/>
    <w:autoRedefine/>
    <w:unhideWhenUsed/>
    <w:qFormat/>
    <w:uiPriority w:val="99"/>
    <w:pPr>
      <w:tabs>
        <w:tab w:val="center" w:pos="4153"/>
        <w:tab w:val="right" w:pos="8306"/>
      </w:tabs>
      <w:snapToGrid w:val="0"/>
      <w:jc w:val="left"/>
    </w:pPr>
    <w:rPr>
      <w:sz w:val="18"/>
      <w:szCs w:val="18"/>
    </w:rPr>
  </w:style>
  <w:style w:type="paragraph" w:styleId="18">
    <w:name w:val="header"/>
    <w:basedOn w:val="1"/>
    <w:link w:val="45"/>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0">
    <w:name w:val="toc 6"/>
    <w:basedOn w:val="1"/>
    <w:next w:val="1"/>
    <w:qFormat/>
    <w:uiPriority w:val="0"/>
    <w:pPr>
      <w:ind w:left="2100" w:leftChars="1000"/>
    </w:pPr>
  </w:style>
  <w:style w:type="paragraph" w:styleId="21">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2">
    <w:name w:val="Normal (Web)"/>
    <w:basedOn w:val="1"/>
    <w:autoRedefine/>
    <w:qFormat/>
    <w:uiPriority w:val="0"/>
    <w:pPr>
      <w:spacing w:before="100" w:beforeAutospacing="1" w:after="100" w:afterAutospacing="1"/>
      <w:jc w:val="left"/>
    </w:pPr>
    <w:rPr>
      <w:rFonts w:cs="Times New Roman"/>
      <w:kern w:val="0"/>
      <w:sz w:val="24"/>
    </w:rPr>
  </w:style>
  <w:style w:type="paragraph" w:styleId="23">
    <w:name w:val="index 1"/>
    <w:basedOn w:val="1"/>
    <w:next w:val="1"/>
    <w:autoRedefine/>
    <w:qFormat/>
    <w:uiPriority w:val="0"/>
    <w:pPr>
      <w:jc w:val="center"/>
    </w:pPr>
    <w:rPr>
      <w:rFonts w:ascii="Arial" w:hAnsi="Arial" w:eastAsia="Arial" w:cs="Arial"/>
      <w:b/>
      <w:bCs/>
      <w:sz w:val="28"/>
    </w:rPr>
  </w:style>
  <w:style w:type="paragraph" w:styleId="24">
    <w:name w:val="Body Text First Indent"/>
    <w:basedOn w:val="10"/>
    <w:next w:val="20"/>
    <w:autoRedefine/>
    <w:unhideWhenUsed/>
    <w:qFormat/>
    <w:uiPriority w:val="99"/>
    <w:pPr>
      <w:ind w:firstLine="420" w:firstLineChars="100"/>
    </w:pPr>
  </w:style>
  <w:style w:type="paragraph" w:styleId="25">
    <w:name w:val="Body Text First Indent 2"/>
    <w:basedOn w:val="11"/>
    <w:next w:val="1"/>
    <w:qFormat/>
    <w:uiPriority w:val="0"/>
    <w:pPr>
      <w:spacing w:line="360" w:lineRule="auto"/>
      <w:ind w:firstLine="200" w:firstLineChars="200"/>
    </w:pPr>
    <w:rPr>
      <w:rFonts w:ascii="宋体"/>
      <w:szCs w:val="20"/>
    </w:rPr>
  </w:style>
  <w:style w:type="table" w:styleId="27">
    <w:name w:val="Table Grid"/>
    <w:basedOn w:val="26"/>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autoRedefine/>
    <w:qFormat/>
    <w:uiPriority w:val="0"/>
    <w:rPr>
      <w:b/>
      <w:bCs/>
    </w:rPr>
  </w:style>
  <w:style w:type="character" w:styleId="30">
    <w:name w:val="FollowedHyperlink"/>
    <w:basedOn w:val="28"/>
    <w:autoRedefine/>
    <w:semiHidden/>
    <w:unhideWhenUsed/>
    <w:qFormat/>
    <w:uiPriority w:val="99"/>
    <w:rPr>
      <w:color w:val="800080"/>
      <w:u w:val="none"/>
    </w:rPr>
  </w:style>
  <w:style w:type="character" w:styleId="31">
    <w:name w:val="Emphasis"/>
    <w:basedOn w:val="28"/>
    <w:autoRedefine/>
    <w:qFormat/>
    <w:uiPriority w:val="20"/>
    <w:rPr>
      <w:b/>
      <w:bCs/>
    </w:rPr>
  </w:style>
  <w:style w:type="character" w:styleId="32">
    <w:name w:val="HTML Definition"/>
    <w:basedOn w:val="28"/>
    <w:autoRedefine/>
    <w:semiHidden/>
    <w:unhideWhenUsed/>
    <w:qFormat/>
    <w:uiPriority w:val="99"/>
  </w:style>
  <w:style w:type="character" w:styleId="33">
    <w:name w:val="HTML Typewriter"/>
    <w:basedOn w:val="28"/>
    <w:autoRedefine/>
    <w:semiHidden/>
    <w:unhideWhenUsed/>
    <w:qFormat/>
    <w:uiPriority w:val="99"/>
    <w:rPr>
      <w:rFonts w:hint="default" w:ascii="monospace" w:hAnsi="monospace" w:eastAsia="monospace" w:cs="monospace"/>
      <w:sz w:val="20"/>
    </w:rPr>
  </w:style>
  <w:style w:type="character" w:styleId="34">
    <w:name w:val="HTML Acronym"/>
    <w:basedOn w:val="28"/>
    <w:autoRedefine/>
    <w:semiHidden/>
    <w:unhideWhenUsed/>
    <w:qFormat/>
    <w:uiPriority w:val="99"/>
    <w:rPr>
      <w:color w:val="FFFFFF"/>
      <w:sz w:val="22"/>
      <w:szCs w:val="22"/>
      <w:shd w:val="clear" w:fill="7CBCF3"/>
    </w:rPr>
  </w:style>
  <w:style w:type="character" w:styleId="35">
    <w:name w:val="HTML Variable"/>
    <w:basedOn w:val="28"/>
    <w:autoRedefine/>
    <w:semiHidden/>
    <w:unhideWhenUsed/>
    <w:qFormat/>
    <w:uiPriority w:val="99"/>
  </w:style>
  <w:style w:type="character" w:styleId="36">
    <w:name w:val="Hyperlink"/>
    <w:basedOn w:val="28"/>
    <w:autoRedefine/>
    <w:unhideWhenUsed/>
    <w:qFormat/>
    <w:uiPriority w:val="99"/>
    <w:rPr>
      <w:color w:val="0000FF" w:themeColor="hyperlink"/>
      <w:u w:val="single"/>
      <w14:textFill>
        <w14:solidFill>
          <w14:schemeClr w14:val="hlink"/>
        </w14:solidFill>
      </w14:textFill>
    </w:rPr>
  </w:style>
  <w:style w:type="character" w:styleId="37">
    <w:name w:val="HTML Code"/>
    <w:basedOn w:val="28"/>
    <w:autoRedefine/>
    <w:semiHidden/>
    <w:unhideWhenUsed/>
    <w:qFormat/>
    <w:uiPriority w:val="99"/>
    <w:rPr>
      <w:rFonts w:ascii="monospace" w:hAnsi="monospace" w:eastAsia="monospace" w:cs="monospace"/>
      <w:sz w:val="20"/>
    </w:rPr>
  </w:style>
  <w:style w:type="character" w:styleId="38">
    <w:name w:val="HTML Cite"/>
    <w:basedOn w:val="28"/>
    <w:autoRedefine/>
    <w:semiHidden/>
    <w:unhideWhenUsed/>
    <w:qFormat/>
    <w:uiPriority w:val="99"/>
  </w:style>
  <w:style w:type="character" w:styleId="39">
    <w:name w:val="HTML Keyboard"/>
    <w:basedOn w:val="28"/>
    <w:autoRedefine/>
    <w:semiHidden/>
    <w:unhideWhenUsed/>
    <w:qFormat/>
    <w:uiPriority w:val="99"/>
    <w:rPr>
      <w:rFonts w:hint="default" w:ascii="monospace" w:hAnsi="monospace" w:eastAsia="monospace" w:cs="monospace"/>
      <w:sz w:val="20"/>
    </w:rPr>
  </w:style>
  <w:style w:type="character" w:styleId="40">
    <w:name w:val="HTML Sample"/>
    <w:basedOn w:val="28"/>
    <w:autoRedefine/>
    <w:semiHidden/>
    <w:unhideWhenUsed/>
    <w:qFormat/>
    <w:uiPriority w:val="99"/>
    <w:rPr>
      <w:rFonts w:hint="default" w:ascii="monospace" w:hAnsi="monospace" w:eastAsia="monospace" w:cs="monospace"/>
    </w:rPr>
  </w:style>
  <w:style w:type="character" w:customStyle="1" w:styleId="41">
    <w:name w:val="批注框文本 Char"/>
    <w:basedOn w:val="28"/>
    <w:link w:val="16"/>
    <w:autoRedefine/>
    <w:semiHidden/>
    <w:qFormat/>
    <w:uiPriority w:val="99"/>
    <w:rPr>
      <w:rFonts w:ascii="@仿宋_GB2312" w:hAnsi="@仿宋_GB2312" w:eastAsia="@仿宋_GB2312" w:cs="@仿宋_GB2312"/>
      <w:sz w:val="18"/>
      <w:szCs w:val="18"/>
    </w:rPr>
  </w:style>
  <w:style w:type="paragraph" w:customStyle="1" w:styleId="42">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43">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44">
    <w:name w:val="D&amp;L"/>
    <w:basedOn w:val="18"/>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45">
    <w:name w:val="页眉 Char"/>
    <w:basedOn w:val="28"/>
    <w:link w:val="18"/>
    <w:autoRedefine/>
    <w:qFormat/>
    <w:uiPriority w:val="0"/>
    <w:rPr>
      <w:rFonts w:ascii="@仿宋_GB2312" w:hAnsi="@仿宋_GB2312" w:eastAsia="@仿宋_GB2312" w:cs="@仿宋_GB2312"/>
      <w:sz w:val="18"/>
      <w:szCs w:val="18"/>
    </w:rPr>
  </w:style>
  <w:style w:type="character" w:customStyle="1" w:styleId="46">
    <w:name w:val="页脚 Char"/>
    <w:basedOn w:val="28"/>
    <w:link w:val="17"/>
    <w:autoRedefine/>
    <w:qFormat/>
    <w:uiPriority w:val="99"/>
    <w:rPr>
      <w:rFonts w:ascii="@仿宋_GB2312" w:hAnsi="@仿宋_GB2312" w:eastAsia="@仿宋_GB2312" w:cs="@仿宋_GB2312"/>
      <w:sz w:val="18"/>
      <w:szCs w:val="18"/>
    </w:rPr>
  </w:style>
  <w:style w:type="character" w:customStyle="1" w:styleId="47">
    <w:name w:val="纯文本 Char"/>
    <w:link w:val="14"/>
    <w:autoRedefine/>
    <w:qFormat/>
    <w:uiPriority w:val="0"/>
    <w:rPr>
      <w:rFonts w:ascii="宋体" w:hAnsi="Courier New"/>
    </w:rPr>
  </w:style>
  <w:style w:type="character" w:customStyle="1" w:styleId="48">
    <w:name w:val="纯文本 字符1"/>
    <w:basedOn w:val="28"/>
    <w:autoRedefine/>
    <w:semiHidden/>
    <w:qFormat/>
    <w:uiPriority w:val="99"/>
    <w:rPr>
      <w:rFonts w:hAnsi="Courier New" w:cs="Courier New" w:asciiTheme="minorEastAsia"/>
      <w:szCs w:val="20"/>
    </w:rPr>
  </w:style>
  <w:style w:type="character" w:customStyle="1" w:styleId="49">
    <w:name w:val="未处理的提及1"/>
    <w:basedOn w:val="28"/>
    <w:autoRedefine/>
    <w:semiHidden/>
    <w:unhideWhenUsed/>
    <w:qFormat/>
    <w:uiPriority w:val="99"/>
    <w:rPr>
      <w:color w:val="605E5C"/>
      <w:shd w:val="clear" w:color="auto" w:fill="E1DFDD"/>
    </w:rPr>
  </w:style>
  <w:style w:type="paragraph" w:styleId="50">
    <w:name w:val="List Paragraph"/>
    <w:basedOn w:val="1"/>
    <w:autoRedefine/>
    <w:qFormat/>
    <w:uiPriority w:val="34"/>
    <w:pPr>
      <w:ind w:firstLine="420" w:firstLineChars="200"/>
    </w:pPr>
  </w:style>
  <w:style w:type="paragraph" w:customStyle="1" w:styleId="51">
    <w:name w:val="Char Char Char Char Char Char Char1 Char"/>
    <w:basedOn w:val="1"/>
    <w:autoRedefine/>
    <w:qFormat/>
    <w:uiPriority w:val="0"/>
    <w:rPr>
      <w:rFonts w:ascii="Arial" w:hAnsi="Arial" w:eastAsia="宋体" w:cs="Arial"/>
      <w:sz w:val="24"/>
    </w:rPr>
  </w:style>
  <w:style w:type="table" w:customStyle="1" w:styleId="52">
    <w:name w:val="网格表 1 浅色1"/>
    <w:basedOn w:val="26"/>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53">
    <w:name w:val="日期 字符"/>
    <w:basedOn w:val="28"/>
    <w:autoRedefine/>
    <w:semiHidden/>
    <w:qFormat/>
    <w:uiPriority w:val="99"/>
    <w:rPr>
      <w:rFonts w:ascii="@仿宋_GB2312" w:hAnsi="@仿宋_GB2312" w:eastAsia="@仿宋_GB2312" w:cs="@仿宋_GB2312"/>
      <w:szCs w:val="20"/>
    </w:rPr>
  </w:style>
  <w:style w:type="character" w:customStyle="1" w:styleId="54">
    <w:name w:val="日期 Char"/>
    <w:link w:val="15"/>
    <w:autoRedefine/>
    <w:qFormat/>
    <w:uiPriority w:val="0"/>
    <w:rPr>
      <w:rFonts w:ascii="Arial" w:hAnsi="Arial" w:eastAsia="宋体" w:cs="Arial"/>
      <w:b/>
      <w:sz w:val="28"/>
      <w:szCs w:val="20"/>
    </w:rPr>
  </w:style>
  <w:style w:type="character" w:customStyle="1" w:styleId="55">
    <w:name w:val="纯文本 Char1"/>
    <w:link w:val="56"/>
    <w:autoRedefine/>
    <w:qFormat/>
    <w:locked/>
    <w:uiPriority w:val="0"/>
    <w:rPr>
      <w:rFonts w:ascii="Arial" w:hAnsi="Arial" w:eastAsia="Arial"/>
      <w:kern w:val="2"/>
      <w:sz w:val="21"/>
      <w:lang w:val="en-US" w:eastAsia="zh-CN" w:bidi="ar-SA"/>
    </w:rPr>
  </w:style>
  <w:style w:type="paragraph" w:customStyle="1" w:styleId="56">
    <w:name w:val="纯文本1"/>
    <w:basedOn w:val="1"/>
    <w:link w:val="55"/>
    <w:autoRedefine/>
    <w:qFormat/>
    <w:uiPriority w:val="0"/>
    <w:rPr>
      <w:rFonts w:ascii="Arial" w:hAnsi="Arial" w:eastAsia="Arial" w:cstheme="minorBidi"/>
    </w:rPr>
  </w:style>
  <w:style w:type="character" w:customStyle="1" w:styleId="57">
    <w:name w:val="批注文字 Char"/>
    <w:basedOn w:val="28"/>
    <w:autoRedefine/>
    <w:semiHidden/>
    <w:qFormat/>
    <w:uiPriority w:val="99"/>
    <w:rPr>
      <w:rFonts w:ascii="@仿宋_GB2312" w:hAnsi="@仿宋_GB2312" w:eastAsia="@仿宋_GB2312" w:cs="@仿宋_GB2312"/>
      <w:szCs w:val="20"/>
    </w:rPr>
  </w:style>
  <w:style w:type="character" w:customStyle="1" w:styleId="58">
    <w:name w:val="批注文字 Char1"/>
    <w:link w:val="9"/>
    <w:autoRedefine/>
    <w:qFormat/>
    <w:uiPriority w:val="0"/>
    <w:rPr>
      <w:rFonts w:ascii="Arial" w:hAnsi="Arial" w:eastAsia="黑体" w:cs="Arial"/>
      <w:szCs w:val="20"/>
    </w:rPr>
  </w:style>
  <w:style w:type="character" w:customStyle="1" w:styleId="59">
    <w:name w:val="标题 1 Char"/>
    <w:basedOn w:val="28"/>
    <w:link w:val="3"/>
    <w:autoRedefine/>
    <w:qFormat/>
    <w:uiPriority w:val="9"/>
    <w:rPr>
      <w:rFonts w:ascii="@仿宋_GB2312" w:hAnsi="@仿宋_GB2312" w:eastAsia="@仿宋_GB2312" w:cs="@仿宋_GB2312"/>
      <w:b/>
      <w:bCs/>
      <w:kern w:val="44"/>
      <w:sz w:val="44"/>
      <w:szCs w:val="44"/>
    </w:rPr>
  </w:style>
  <w:style w:type="paragraph" w:customStyle="1" w:styleId="60">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1">
    <w:name w:val="标题 3 Char"/>
    <w:basedOn w:val="28"/>
    <w:link w:val="5"/>
    <w:autoRedefine/>
    <w:semiHidden/>
    <w:qFormat/>
    <w:uiPriority w:val="9"/>
    <w:rPr>
      <w:rFonts w:ascii="@仿宋_GB2312" w:hAnsi="@仿宋_GB2312" w:eastAsia="@仿宋_GB2312" w:cs="@仿宋_GB2312"/>
      <w:b/>
      <w:bCs/>
      <w:sz w:val="32"/>
      <w:szCs w:val="32"/>
    </w:rPr>
  </w:style>
  <w:style w:type="character" w:customStyle="1" w:styleId="62">
    <w:name w:val="fontstyle01"/>
    <w:basedOn w:val="28"/>
    <w:autoRedefine/>
    <w:qFormat/>
    <w:uiPriority w:val="0"/>
    <w:rPr>
      <w:rFonts w:hint="eastAsia" w:ascii="宋体" w:hAnsi="宋体" w:eastAsia="宋体"/>
      <w:color w:val="000000"/>
      <w:sz w:val="22"/>
      <w:szCs w:val="22"/>
    </w:rPr>
  </w:style>
  <w:style w:type="character" w:customStyle="1" w:styleId="63">
    <w:name w:val="fontstyle21"/>
    <w:basedOn w:val="28"/>
    <w:autoRedefine/>
    <w:qFormat/>
    <w:uiPriority w:val="0"/>
    <w:rPr>
      <w:rFonts w:hint="default" w:ascii="TimesNewRomanPSMT" w:hAnsi="TimesNewRomanPSMT"/>
      <w:color w:val="000000"/>
      <w:sz w:val="22"/>
      <w:szCs w:val="22"/>
    </w:rPr>
  </w:style>
  <w:style w:type="character" w:customStyle="1" w:styleId="64">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65">
    <w:name w:val="标题 4 字符"/>
    <w:basedOn w:val="28"/>
    <w:autoRedefine/>
    <w:semiHidden/>
    <w:qFormat/>
    <w:uiPriority w:val="9"/>
    <w:rPr>
      <w:rFonts w:asciiTheme="majorHAnsi" w:hAnsiTheme="majorHAnsi" w:eastAsiaTheme="majorEastAsia" w:cstheme="majorBidi"/>
      <w:b/>
      <w:bCs/>
      <w:sz w:val="28"/>
      <w:szCs w:val="28"/>
    </w:rPr>
  </w:style>
  <w:style w:type="character" w:customStyle="1" w:styleId="66">
    <w:name w:val="标题 4 Char"/>
    <w:link w:val="6"/>
    <w:autoRedefine/>
    <w:qFormat/>
    <w:uiPriority w:val="0"/>
    <w:rPr>
      <w:rFonts w:ascii="@仿宋_GB2312" w:hAnsi="@仿宋_GB2312" w:eastAsia="@仿宋_GB2312" w:cs="@仿宋_GB2312"/>
      <w:b/>
      <w:bCs/>
      <w:sz w:val="28"/>
      <w:szCs w:val="28"/>
    </w:rPr>
  </w:style>
  <w:style w:type="character" w:customStyle="1" w:styleId="67">
    <w:name w:val="正文文本 Char"/>
    <w:basedOn w:val="28"/>
    <w:link w:val="10"/>
    <w:autoRedefine/>
    <w:qFormat/>
    <w:uiPriority w:val="0"/>
    <w:rPr>
      <w:rFonts w:ascii="@微软简标宋" w:hAnsi="@微软简标宋" w:eastAsia="@微软简标宋" w:cs="@微软简标宋"/>
      <w:szCs w:val="24"/>
      <w:lang w:val="zh-CN" w:eastAsia="zh-CN"/>
    </w:rPr>
  </w:style>
  <w:style w:type="table" w:customStyle="1" w:styleId="68">
    <w:name w:val="网格型1"/>
    <w:basedOn w:val="26"/>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9">
    <w:name w:val="Table Normal"/>
    <w:autoRedefine/>
    <w:semiHidden/>
    <w:unhideWhenUsed/>
    <w:qFormat/>
    <w:uiPriority w:val="0"/>
    <w:tblPr>
      <w:tblCellMar>
        <w:top w:w="0" w:type="dxa"/>
        <w:left w:w="0" w:type="dxa"/>
        <w:bottom w:w="0" w:type="dxa"/>
        <w:right w:w="0" w:type="dxa"/>
      </w:tblCellMar>
    </w:tblPr>
  </w:style>
  <w:style w:type="paragraph" w:customStyle="1" w:styleId="70">
    <w:name w:val="Table Text"/>
    <w:basedOn w:val="1"/>
    <w:autoRedefine/>
    <w:semiHidden/>
    <w:qFormat/>
    <w:uiPriority w:val="0"/>
    <w:rPr>
      <w:rFonts w:ascii="Arial" w:hAnsi="Arial" w:eastAsia="Arial" w:cs="Arial"/>
      <w:szCs w:val="21"/>
      <w:lang w:eastAsia="en-US"/>
    </w:rPr>
  </w:style>
  <w:style w:type="paragraph" w:customStyle="1" w:styleId="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72">
    <w:name w:val="hover"/>
    <w:basedOn w:val="28"/>
    <w:qFormat/>
    <w:uiPriority w:val="0"/>
  </w:style>
  <w:style w:type="character" w:customStyle="1" w:styleId="73">
    <w:name w:val="hover1"/>
    <w:basedOn w:val="28"/>
    <w:qFormat/>
    <w:uiPriority w:val="0"/>
    <w:rPr>
      <w:color w:val="2590EB"/>
    </w:rPr>
  </w:style>
  <w:style w:type="character" w:customStyle="1" w:styleId="74">
    <w:name w:val="hover2"/>
    <w:basedOn w:val="28"/>
    <w:qFormat/>
    <w:uiPriority w:val="0"/>
    <w:rPr>
      <w:color w:val="2590EB"/>
    </w:rPr>
  </w:style>
  <w:style w:type="character" w:customStyle="1" w:styleId="75">
    <w:name w:val="hover3"/>
    <w:basedOn w:val="28"/>
    <w:qFormat/>
    <w:uiPriority w:val="0"/>
    <w:rPr>
      <w:color w:val="2590EB"/>
      <w:shd w:val="clear" w:fill="E9F4FD"/>
    </w:rPr>
  </w:style>
  <w:style w:type="character" w:customStyle="1" w:styleId="76">
    <w:name w:val="hover4"/>
    <w:basedOn w:val="28"/>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88DD5-C983-4872-8775-8B5EA31FDFED}">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83</Pages>
  <Words>2343</Words>
  <Characters>2699</Characters>
  <Lines>338</Lines>
  <Paragraphs>95</Paragraphs>
  <TotalTime>68</TotalTime>
  <ScaleCrop>false</ScaleCrop>
  <LinksUpToDate>false</LinksUpToDate>
  <CharactersWithSpaces>2777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傻傻一辈子</cp:lastModifiedBy>
  <cp:lastPrinted>2026-03-19T13:18:00Z</cp:lastPrinted>
  <dcterms:modified xsi:type="dcterms:W3CDTF">2026-05-06T02:46:02Z</dcterms:modified>
  <cp:revision>446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C4EBC83394044F5FBC37651CB02EE662_13</vt:lpwstr>
  </property>
  <property fmtid="{D5CDD505-2E9C-101B-9397-08002B2CF9AE}" pid="4" name="KSOTemplateDocerSaveRecord">
    <vt:lpwstr>eyJoZGlkIjoiMTljMDcwYWJmYjExZWQzNTVmZDAzZTYwM2JlMzJmZDYiLCJ1c2VySWQiOiIzODU2Mzk2OTQifQ==</vt:lpwstr>
  </property>
</Properties>
</file>