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171CD">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bookmarkStart w:id="0" w:name="_Hlk9544796"/>
    </w:p>
    <w:p w14:paraId="641AD5A7">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p>
    <w:p w14:paraId="60E30A83">
      <w:pPr>
        <w:keepNext w:val="0"/>
        <w:keepLines w:val="0"/>
        <w:pageBreakBefore w:val="0"/>
        <w:widowControl w:val="0"/>
        <w:tabs>
          <w:tab w:val="left" w:pos="315"/>
          <w:tab w:val="left" w:pos="8820"/>
        </w:tabs>
        <w:kinsoku/>
        <w:wordWrap/>
        <w:overflowPunct/>
        <w:topLinePunct w:val="0"/>
        <w:autoSpaceDE/>
        <w:autoSpaceDN/>
        <w:bidi w:val="0"/>
        <w:adjustRightInd/>
        <w:snapToGrid/>
        <w:spacing w:line="800" w:lineRule="exact"/>
        <w:ind w:right="267" w:rightChars="127"/>
        <w:jc w:val="center"/>
        <w:textAlignment w:val="auto"/>
        <w:rPr>
          <w:rFonts w:hint="default" w:asciiTheme="minorEastAsia" w:hAnsiTheme="minorEastAsia" w:eastAsiaTheme="minorEastAsia"/>
          <w:b/>
          <w:bCs/>
          <w:color w:val="auto"/>
          <w:sz w:val="52"/>
          <w:szCs w:val="52"/>
          <w:highlight w:val="none"/>
          <w:lang w:val="en-US"/>
        </w:rPr>
      </w:pPr>
      <w:r>
        <w:rPr>
          <w:rFonts w:hint="eastAsia" w:asciiTheme="minorEastAsia" w:hAnsiTheme="minorEastAsia" w:eastAsiaTheme="minorEastAsia"/>
          <w:b/>
          <w:bCs/>
          <w:color w:val="auto"/>
          <w:sz w:val="48"/>
          <w:szCs w:val="48"/>
          <w:highlight w:val="none"/>
          <w:lang w:val="en-US" w:eastAsia="zh-CN"/>
        </w:rPr>
        <w:t xml:space="preserve"> 滁州城投交控运营高速污水处理设备运维服务项目（二次）</w:t>
      </w:r>
    </w:p>
    <w:p w14:paraId="2BA3405C">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52"/>
          <w:szCs w:val="52"/>
          <w:highlight w:val="none"/>
          <w:lang w:val="en-US" w:eastAsia="zh-CN"/>
        </w:rPr>
      </w:pPr>
      <w:r>
        <w:rPr>
          <w:rFonts w:hint="eastAsia" w:asciiTheme="minorEastAsia" w:hAnsiTheme="minorEastAsia" w:eastAsiaTheme="minorEastAsia"/>
          <w:b/>
          <w:bCs/>
          <w:color w:val="auto"/>
          <w:sz w:val="52"/>
          <w:szCs w:val="52"/>
          <w:highlight w:val="none"/>
        </w:rPr>
        <w:t>询价</w:t>
      </w:r>
      <w:bookmarkEnd w:id="0"/>
      <w:r>
        <w:rPr>
          <w:rFonts w:hint="eastAsia" w:asciiTheme="minorEastAsia" w:hAnsiTheme="minorEastAsia" w:eastAsiaTheme="minorEastAsia"/>
          <w:b/>
          <w:bCs/>
          <w:color w:val="auto"/>
          <w:sz w:val="52"/>
          <w:szCs w:val="52"/>
          <w:highlight w:val="none"/>
          <w:lang w:val="en-US" w:eastAsia="zh-CN"/>
        </w:rPr>
        <w:t>采购文件</w:t>
      </w:r>
    </w:p>
    <w:p w14:paraId="71277AF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C1BEA3">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项目编号： HXJY1110001064021001001</w:t>
      </w:r>
    </w:p>
    <w:p w14:paraId="78ABBD46">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 </w:t>
      </w:r>
    </w:p>
    <w:p w14:paraId="269AA10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BFFF10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2D9A790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4B3C6167">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lang w:val="en-US"/>
        </w:rPr>
      </w:pPr>
      <w:r>
        <w:rPr>
          <w:rFonts w:hint="eastAsia" w:asciiTheme="minorEastAsia" w:hAnsiTheme="minorEastAsia" w:eastAsiaTheme="minorEastAsia"/>
          <w:b/>
          <w:color w:val="auto"/>
          <w:spacing w:val="20"/>
          <w:kern w:val="0"/>
          <w:sz w:val="32"/>
          <w:szCs w:val="32"/>
          <w:highlight w:val="none"/>
        </w:rPr>
        <w:t>采</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购</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人：</w:t>
      </w:r>
      <w:r>
        <w:rPr>
          <w:rFonts w:hint="eastAsia" w:asciiTheme="minorEastAsia" w:hAnsiTheme="minorEastAsia" w:eastAsiaTheme="minorEastAsia"/>
          <w:b/>
          <w:color w:val="auto"/>
          <w:spacing w:val="20"/>
          <w:kern w:val="0"/>
          <w:sz w:val="32"/>
          <w:szCs w:val="32"/>
          <w:highlight w:val="none"/>
          <w:u w:val="single"/>
          <w:lang w:val="en-US" w:eastAsia="zh-CN"/>
        </w:rPr>
        <w:t xml:space="preserve"> 滁州市城投交通控股有限公司 </w:t>
      </w:r>
      <w:r>
        <w:rPr>
          <w:rFonts w:hint="eastAsia" w:ascii="宋体"/>
          <w:b/>
          <w:color w:val="auto"/>
          <w:sz w:val="32"/>
          <w:szCs w:val="32"/>
          <w:highlight w:val="none"/>
          <w:u w:val="single"/>
          <w:lang w:val="en-US" w:eastAsia="zh-CN"/>
        </w:rPr>
        <w:t xml:space="preserve">  </w:t>
      </w:r>
      <w:r>
        <w:rPr>
          <w:rFonts w:hint="eastAsia" w:asciiTheme="minorEastAsia" w:hAnsiTheme="minorEastAsia" w:eastAsiaTheme="minorEastAsia"/>
          <w:b/>
          <w:color w:val="auto"/>
          <w:spacing w:val="20"/>
          <w:kern w:val="0"/>
          <w:sz w:val="32"/>
          <w:szCs w:val="32"/>
          <w:highlight w:val="none"/>
          <w:u w:val="single"/>
          <w:lang w:val="en-US" w:eastAsia="zh-CN"/>
        </w:rPr>
        <w:t>（盖章）</w:t>
      </w:r>
    </w:p>
    <w:p w14:paraId="56C6924D">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p>
    <w:p w14:paraId="690E158C">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代理机构：</w:t>
      </w:r>
      <w:r>
        <w:rPr>
          <w:rFonts w:hint="eastAsia" w:asciiTheme="minorEastAsia" w:hAnsiTheme="minorEastAsia" w:eastAsiaTheme="minorEastAsia"/>
          <w:b/>
          <w:color w:val="auto"/>
          <w:spacing w:val="20"/>
          <w:kern w:val="0"/>
          <w:sz w:val="32"/>
          <w:szCs w:val="32"/>
          <w:highlight w:val="none"/>
          <w:u w:val="single"/>
          <w:lang w:val="en-US" w:eastAsia="zh-CN"/>
        </w:rPr>
        <w:t>滁州市城投工程咨询管理有限公司（盖章）</w:t>
      </w:r>
    </w:p>
    <w:p w14:paraId="0C38F9B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199E3F2F">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bookmarkStart w:id="87" w:name="_GoBack"/>
      <w:bookmarkEnd w:id="87"/>
      <w:r>
        <w:rPr>
          <w:rFonts w:hint="eastAsia" w:asciiTheme="minorEastAsia" w:hAnsiTheme="minorEastAsia" w:eastAsiaTheme="minorEastAsia"/>
          <w:b/>
          <w:color w:val="auto"/>
          <w:sz w:val="36"/>
          <w:highlight w:val="none"/>
          <w:u w:val="single"/>
        </w:rPr>
        <w:t>202</w:t>
      </w:r>
      <w:r>
        <w:rPr>
          <w:rFonts w:hint="eastAsia" w:asciiTheme="minorEastAsia" w:hAnsiTheme="minorEastAsia" w:eastAsiaTheme="minorEastAsia"/>
          <w:b/>
          <w:color w:val="auto"/>
          <w:sz w:val="36"/>
          <w:highlight w:val="none"/>
          <w:u w:val="single"/>
          <w:lang w:val="en-US" w:eastAsia="zh-CN"/>
        </w:rPr>
        <w:t>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 xml:space="preserve">9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1E061AE7">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3D660BC1">
      <w:pPr>
        <w:pStyle w:val="19"/>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color w:val="auto"/>
          <w:highlight w:val="none"/>
        </w:rPr>
        <w:fldChar w:fldCharType="begin"/>
      </w:r>
      <w:r>
        <w:rPr>
          <w:color w:val="auto"/>
          <w:highlight w:val="none"/>
        </w:rPr>
        <w:instrText xml:space="preserve"> HYPERLINK \l "_Toc17729"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w:t>
      </w:r>
      <w:r>
        <w:rPr>
          <w:rFonts w:hint="eastAsia" w:asciiTheme="minorEastAsia" w:hAnsiTheme="minorEastAsia"/>
          <w:color w:val="auto"/>
          <w:highlight w:val="none"/>
        </w:rPr>
        <w:t>询价邀请</w:t>
      </w:r>
      <w:r>
        <w:rPr>
          <w:color w:val="auto"/>
          <w:highlight w:val="none"/>
        </w:rPr>
        <w:tab/>
      </w:r>
      <w:r>
        <w:rPr>
          <w:rFonts w:hint="eastAsia"/>
          <w:color w:val="auto"/>
          <w:highlight w:val="none"/>
        </w:rPr>
        <w:t>1</w:t>
      </w:r>
      <w:r>
        <w:rPr>
          <w:rFonts w:hint="eastAsia"/>
          <w:color w:val="auto"/>
          <w:highlight w:val="none"/>
        </w:rPr>
        <w:fldChar w:fldCharType="end"/>
      </w:r>
    </w:p>
    <w:p w14:paraId="39FCA9D7">
      <w:pPr>
        <w:pStyle w:val="19"/>
        <w:tabs>
          <w:tab w:val="right" w:leader="dot" w:pos="8279"/>
        </w:tabs>
        <w:rPr>
          <w:color w:val="auto"/>
          <w:highlight w:val="none"/>
        </w:rPr>
      </w:pPr>
      <w:r>
        <w:rPr>
          <w:color w:val="auto"/>
          <w:highlight w:val="none"/>
        </w:rPr>
        <w:fldChar w:fldCharType="begin"/>
      </w:r>
      <w:r>
        <w:rPr>
          <w:color w:val="auto"/>
          <w:highlight w:val="none"/>
        </w:rPr>
        <w:instrText xml:space="preserve"> HYPERLINK \l "_Toc3199"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供应商</w:t>
      </w:r>
      <w:r>
        <w:rPr>
          <w:rFonts w:asciiTheme="minorEastAsia" w:hAnsiTheme="minorEastAsia"/>
          <w:color w:val="auto"/>
          <w:highlight w:val="none"/>
        </w:rPr>
        <w:t>须知</w:t>
      </w:r>
      <w:r>
        <w:rPr>
          <w:color w:val="auto"/>
          <w:highlight w:val="none"/>
        </w:rPr>
        <w:tab/>
      </w:r>
      <w:r>
        <w:rPr>
          <w:rFonts w:hint="eastAsia"/>
          <w:color w:val="auto"/>
          <w:highlight w:val="none"/>
          <w:lang w:val="en-US" w:eastAsia="zh-CN"/>
        </w:rPr>
        <w:t>5</w:t>
      </w:r>
      <w:r>
        <w:rPr>
          <w:rFonts w:hint="eastAsia"/>
          <w:color w:val="auto"/>
          <w:highlight w:val="none"/>
        </w:rPr>
        <w:fldChar w:fldCharType="end"/>
      </w:r>
    </w:p>
    <w:p w14:paraId="6AA34812">
      <w:pPr>
        <w:pStyle w:val="19"/>
        <w:tabs>
          <w:tab w:val="right" w:leader="dot" w:pos="8279"/>
        </w:tabs>
        <w:rPr>
          <w:rFonts w:asciiTheme="minorEastAsia" w:hAnsiTheme="minorEastAsia"/>
          <w:bCs/>
          <w:color w:val="auto"/>
          <w:szCs w:val="24"/>
          <w:highlight w:val="none"/>
        </w:rPr>
      </w:pPr>
      <w:r>
        <w:rPr>
          <w:color w:val="auto"/>
          <w:highlight w:val="none"/>
        </w:rPr>
        <w:fldChar w:fldCharType="begin"/>
      </w:r>
      <w:r>
        <w:rPr>
          <w:color w:val="auto"/>
          <w:highlight w:val="none"/>
        </w:rPr>
        <w:instrText xml:space="preserve"> HYPERLINK \l "_Toc1471"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5</w:t>
      </w:r>
    </w:p>
    <w:p w14:paraId="22BCF0E2">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"_Toc15765" </w:instrText>
      </w:r>
      <w:r>
        <w:rPr>
          <w:color w:val="auto"/>
          <w:highlight w:val="none"/>
        </w:rPr>
        <w:fldChar w:fldCharType="separate"/>
      </w:r>
      <w:r>
        <w:rPr>
          <w:rFonts w:hint="eastAsia" w:asciiTheme="minorEastAsia" w:hAnsiTheme="minorEastAsia"/>
          <w:color w:val="auto"/>
          <w:highlight w:val="none"/>
        </w:rPr>
        <w:t>第四章  评审方法和标准</w:t>
      </w:r>
      <w:r>
        <w:rPr>
          <w:color w:val="auto"/>
          <w:highlight w:val="none"/>
        </w:rPr>
        <w:tab/>
      </w:r>
      <w:r>
        <w:rPr>
          <w:rFonts w:hint="eastAsia"/>
          <w:color w:val="auto"/>
          <w:highlight w:val="none"/>
        </w:rPr>
        <w:fldChar w:fldCharType="end"/>
      </w:r>
      <w:r>
        <w:rPr>
          <w:rFonts w:hint="eastAsia"/>
          <w:color w:val="auto"/>
          <w:highlight w:val="none"/>
          <w:lang w:val="en-US" w:eastAsia="zh-CN"/>
        </w:rPr>
        <w:t>20</w:t>
      </w:r>
    </w:p>
    <w:p w14:paraId="1E6C7626">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"_Toc5156"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合同</w:t>
      </w:r>
      <w:r>
        <w:rPr>
          <w:color w:val="auto"/>
          <w:highlight w:val="none"/>
        </w:rPr>
        <w:tab/>
      </w:r>
      <w:r>
        <w:rPr>
          <w:rFonts w:hint="eastAsia"/>
          <w:color w:val="auto"/>
          <w:highlight w:val="none"/>
        </w:rPr>
        <w:fldChar w:fldCharType="end"/>
      </w:r>
      <w:r>
        <w:rPr>
          <w:rFonts w:hint="eastAsia"/>
          <w:color w:val="auto"/>
          <w:highlight w:val="none"/>
          <w:lang w:val="en-US" w:eastAsia="zh-CN"/>
        </w:rPr>
        <w:t>23</w:t>
      </w:r>
    </w:p>
    <w:p w14:paraId="2A8FBFCB">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"_Toc29013" </w:instrText>
      </w:r>
      <w:r>
        <w:rPr>
          <w:color w:val="auto"/>
          <w:highlight w:val="none"/>
        </w:rPr>
        <w:fldChar w:fldCharType="separate"/>
      </w:r>
      <w:r>
        <w:rPr>
          <w:rFonts w:hint="eastAsia" w:asciiTheme="minorEastAsia" w:hAnsiTheme="minorEastAsia"/>
          <w:color w:val="auto"/>
          <w:highlight w:val="none"/>
        </w:rPr>
        <w:t>第六章  响应文件格式</w:t>
      </w:r>
      <w:r>
        <w:rPr>
          <w:color w:val="auto"/>
          <w:highlight w:val="none"/>
        </w:rPr>
        <w:tab/>
      </w:r>
      <w:r>
        <w:rPr>
          <w:rFonts w:hint="eastAsia"/>
          <w:color w:val="auto"/>
          <w:highlight w:val="none"/>
        </w:rPr>
        <w:fldChar w:fldCharType="end"/>
      </w:r>
      <w:r>
        <w:rPr>
          <w:rFonts w:hint="eastAsia"/>
          <w:color w:val="auto"/>
          <w:highlight w:val="none"/>
          <w:lang w:val="en-US" w:eastAsia="zh-CN"/>
        </w:rPr>
        <w:t>31</w:t>
      </w:r>
    </w:p>
    <w:p w14:paraId="57637F0D">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"_Toc1141" </w:instrText>
      </w:r>
      <w:r>
        <w:rPr>
          <w:color w:val="auto"/>
          <w:highlight w:val="none"/>
        </w:rPr>
        <w:fldChar w:fldCharType="separate"/>
      </w:r>
      <w:r>
        <w:rPr>
          <w:rFonts w:hint="eastAsia"/>
          <w:color w:val="auto"/>
          <w:highlight w:val="none"/>
        </w:rPr>
        <w:t>第七章  政府采购供应商询问函和质疑函范本</w:t>
      </w:r>
      <w:r>
        <w:rPr>
          <w:color w:val="auto"/>
          <w:highlight w:val="none"/>
        </w:rPr>
        <w:tab/>
      </w:r>
      <w:r>
        <w:rPr>
          <w:rFonts w:hint="eastAsia"/>
          <w:color w:val="auto"/>
          <w:highlight w:val="none"/>
        </w:rPr>
        <w:fldChar w:fldCharType="end"/>
      </w:r>
      <w:r>
        <w:rPr>
          <w:rFonts w:hint="eastAsia"/>
          <w:color w:val="auto"/>
          <w:highlight w:val="none"/>
          <w:lang w:val="en-US" w:eastAsia="zh-CN"/>
        </w:rPr>
        <w:t>41</w:t>
      </w:r>
    </w:p>
    <w:p w14:paraId="6E6DF015">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2359EDF4">
      <w:pPr>
        <w:pStyle w:val="19"/>
        <w:tabs>
          <w:tab w:val="right" w:leader="dot" w:pos="8279"/>
        </w:tabs>
        <w:rPr>
          <w:rFonts w:asciiTheme="minorEastAsia" w:hAnsiTheme="minorEastAsia"/>
          <w:b/>
          <w:color w:val="auto"/>
          <w:sz w:val="28"/>
          <w:highlight w:val="none"/>
        </w:rPr>
        <w:sectPr>
          <w:headerReference r:id="rId3" w:type="default"/>
          <w:footerReference r:id="rId4" w:type="default"/>
          <w:pgSz w:w="11905" w:h="16838"/>
          <w:pgMar w:top="1417" w:right="1417" w:bottom="1417" w:left="1417" w:header="851" w:footer="992" w:gutter="0"/>
          <w:cols w:space="0" w:num="1"/>
          <w:rtlGutter w:val="0"/>
          <w:docGrid w:type="lines" w:linePitch="313" w:charSpace="0"/>
        </w:sectPr>
      </w:pPr>
    </w:p>
    <w:p w14:paraId="07112A33">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17729"/>
      <w:r>
        <w:rPr>
          <w:rFonts w:hint="eastAsia" w:asciiTheme="minorEastAsia" w:hAnsiTheme="minorEastAsia" w:eastAsiaTheme="minorEastAsia"/>
          <w:b/>
          <w:color w:val="auto"/>
          <w:sz w:val="28"/>
          <w:highlight w:val="none"/>
        </w:rPr>
        <w:t>第一章 询价</w:t>
      </w:r>
      <w:bookmarkEnd w:id="1"/>
      <w:r>
        <w:rPr>
          <w:rFonts w:hint="eastAsia" w:asciiTheme="minorEastAsia" w:hAnsiTheme="minorEastAsia" w:eastAsiaTheme="minorEastAsia"/>
          <w:b/>
          <w:color w:val="auto"/>
          <w:sz w:val="28"/>
          <w:highlight w:val="none"/>
          <w:lang w:val="en-US" w:eastAsia="zh-CN"/>
        </w:rPr>
        <w:t>公告</w:t>
      </w:r>
    </w:p>
    <w:p w14:paraId="7E59153C">
      <w:pPr>
        <w:keepNext/>
        <w:keepLines/>
        <w:spacing w:before="260" w:after="260"/>
        <w:rPr>
          <w:rFonts w:ascii="黑体" w:hAnsi="黑体" w:eastAsia="黑体" w:cs="黑体"/>
          <w:color w:val="auto"/>
          <w:kern w:val="0"/>
          <w:sz w:val="28"/>
          <w:szCs w:val="28"/>
          <w:highlight w:val="none"/>
          <w:u w:color="000000"/>
        </w:rPr>
      </w:pPr>
      <w:bookmarkStart w:id="2" w:name="_Toc35393799"/>
      <w:bookmarkStart w:id="3" w:name="_Toc28359013"/>
      <w:bookmarkStart w:id="4" w:name="_Toc28359090"/>
      <w:bookmarkStart w:id="5" w:name="_Toc35393630"/>
      <w:r>
        <w:rPr>
          <w:rFonts w:hint="eastAsia" w:ascii="黑体" w:hAnsi="黑体" w:eastAsia="黑体" w:cs="黑体"/>
          <w:color w:val="auto"/>
          <w:kern w:val="0"/>
          <w:sz w:val="28"/>
          <w:szCs w:val="28"/>
          <w:highlight w:val="none"/>
          <w:u w:color="000000"/>
        </w:rPr>
        <w:t>一、项目基本情况</w:t>
      </w:r>
    </w:p>
    <w:p w14:paraId="585AD88B">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项目编号：HXJY1110001064021001001</w:t>
      </w:r>
      <w:r>
        <w:rPr>
          <w:rFonts w:hint="eastAsia" w:ascii="仿宋" w:hAnsi="仿宋" w:eastAsia="仿宋" w:cs="Times New Roman"/>
          <w:color w:val="auto"/>
          <w:kern w:val="0"/>
          <w:sz w:val="28"/>
          <w:szCs w:val="28"/>
          <w:highlight w:val="none"/>
          <w:u w:color="000000"/>
          <w:lang w:val="en-US" w:eastAsia="zh-CN"/>
        </w:rPr>
        <w:t xml:space="preserve">   </w:t>
      </w:r>
    </w:p>
    <w:p w14:paraId="2B92CD3B">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项目名称：</w:t>
      </w:r>
      <w:r>
        <w:rPr>
          <w:rFonts w:hint="eastAsia" w:ascii="仿宋" w:hAnsi="仿宋" w:eastAsia="仿宋" w:cs="Times New Roman"/>
          <w:color w:val="auto"/>
          <w:kern w:val="0"/>
          <w:sz w:val="28"/>
          <w:szCs w:val="28"/>
          <w:highlight w:val="none"/>
          <w:u w:color="000000"/>
          <w:lang w:val="en-US" w:eastAsia="zh-CN"/>
        </w:rPr>
        <w:t>滁州城投交控运营高速污水处理设备运维服务项目（二次）</w:t>
      </w:r>
    </w:p>
    <w:p w14:paraId="12535DE7">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预算金额：</w:t>
      </w:r>
      <w:r>
        <w:rPr>
          <w:rFonts w:hint="eastAsia" w:ascii="仿宋" w:hAnsi="仿宋" w:eastAsia="仿宋" w:cs="Times New Roman"/>
          <w:color w:val="auto"/>
          <w:kern w:val="0"/>
          <w:sz w:val="28"/>
          <w:szCs w:val="28"/>
          <w:highlight w:val="none"/>
          <w:u w:color="000000"/>
          <w:lang w:val="en-US" w:eastAsia="zh-CN"/>
        </w:rPr>
        <w:t>28</w:t>
      </w:r>
      <w:r>
        <w:rPr>
          <w:rFonts w:hint="eastAsia" w:ascii="仿宋" w:hAnsi="仿宋" w:eastAsia="仿宋" w:cs="Times New Roman"/>
          <w:color w:val="auto"/>
          <w:kern w:val="0"/>
          <w:sz w:val="28"/>
          <w:szCs w:val="28"/>
          <w:highlight w:val="none"/>
          <w:u w:color="000000"/>
        </w:rPr>
        <w:t>万元</w:t>
      </w:r>
      <w:r>
        <w:rPr>
          <w:rFonts w:hint="eastAsia" w:ascii="仿宋" w:hAnsi="仿宋" w:eastAsia="仿宋" w:cs="Times New Roman"/>
          <w:color w:val="auto"/>
          <w:kern w:val="0"/>
          <w:sz w:val="28"/>
          <w:szCs w:val="28"/>
          <w:highlight w:val="none"/>
          <w:u w:color="000000"/>
          <w:lang w:val="en-US" w:eastAsia="zh-CN"/>
        </w:rPr>
        <w:t>/年</w:t>
      </w:r>
    </w:p>
    <w:p w14:paraId="108E59D8">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最高限价：</w:t>
      </w:r>
      <w:r>
        <w:rPr>
          <w:rFonts w:hint="eastAsia" w:ascii="仿宋" w:hAnsi="仿宋" w:eastAsia="仿宋" w:cs="Times New Roman"/>
          <w:color w:val="auto"/>
          <w:kern w:val="0"/>
          <w:sz w:val="28"/>
          <w:szCs w:val="28"/>
          <w:highlight w:val="none"/>
          <w:u w:color="000000"/>
          <w:lang w:val="en-US" w:eastAsia="zh-CN"/>
        </w:rPr>
        <w:t>本项目最高限价为280000元/年，供应商报价不得高于最高限价，否则，其响应文件按无效响应处理</w:t>
      </w:r>
      <w:r>
        <w:rPr>
          <w:rFonts w:hint="eastAsia" w:ascii="仿宋" w:hAnsi="仿宋" w:eastAsia="仿宋" w:cs="Times New Roman"/>
          <w:color w:val="auto"/>
          <w:kern w:val="0"/>
          <w:sz w:val="28"/>
          <w:szCs w:val="28"/>
          <w:highlight w:val="none"/>
          <w:u w:color="000000"/>
        </w:rPr>
        <w:t>。</w:t>
      </w:r>
    </w:p>
    <w:p w14:paraId="00A6A24C">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采购需求：</w:t>
      </w:r>
      <w:r>
        <w:rPr>
          <w:rFonts w:hint="eastAsia" w:ascii="仿宋" w:hAnsi="仿宋" w:eastAsia="仿宋" w:cs="Times New Roman"/>
          <w:color w:val="auto"/>
          <w:kern w:val="0"/>
          <w:sz w:val="28"/>
          <w:szCs w:val="28"/>
          <w:highlight w:val="none"/>
          <w:u w:color="000000"/>
          <w:lang w:val="en-US" w:eastAsia="zh-CN"/>
        </w:rPr>
        <w:t>详见采购需求</w:t>
      </w:r>
    </w:p>
    <w:p w14:paraId="13E3FEC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合同履行期限：</w:t>
      </w: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服务期1±N年（N为0，1，2），合同一年一签，服务期内每年进行综合考评，考评结果决定是否续签</w:t>
      </w:r>
      <w:r>
        <w:rPr>
          <w:rFonts w:hint="eastAsia" w:ascii="仿宋" w:hAnsi="仿宋" w:eastAsia="仿宋" w:cs="Times New Roman"/>
          <w:color w:val="auto"/>
          <w:kern w:val="0"/>
          <w:sz w:val="28"/>
          <w:szCs w:val="28"/>
          <w:highlight w:val="none"/>
          <w:u w:color="000000"/>
        </w:rPr>
        <w:t>。</w:t>
      </w:r>
    </w:p>
    <w:p w14:paraId="674F2E6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本项目不接受联合体。</w:t>
      </w:r>
    </w:p>
    <w:bookmarkEnd w:id="2"/>
    <w:bookmarkEnd w:id="3"/>
    <w:bookmarkEnd w:id="4"/>
    <w:bookmarkEnd w:id="5"/>
    <w:p w14:paraId="4E6BAE3A">
      <w:pPr>
        <w:keepNext/>
        <w:keepLines/>
        <w:spacing w:before="260" w:after="260"/>
        <w:rPr>
          <w:rFonts w:ascii="黑体" w:hAnsi="黑体" w:eastAsia="黑体" w:cs="黑体"/>
          <w:color w:val="auto"/>
          <w:kern w:val="0"/>
          <w:sz w:val="28"/>
          <w:szCs w:val="28"/>
          <w:highlight w:val="none"/>
          <w:u w:color="000000"/>
        </w:rPr>
      </w:pPr>
      <w:bookmarkStart w:id="6" w:name="_Toc28359014"/>
      <w:bookmarkStart w:id="7" w:name="_Toc28359091"/>
      <w:bookmarkStart w:id="8" w:name="_Toc35393800"/>
      <w:bookmarkStart w:id="9" w:name="_Toc35393631"/>
      <w:r>
        <w:rPr>
          <w:rFonts w:hint="eastAsia" w:ascii="黑体" w:hAnsi="黑体" w:eastAsia="黑体" w:cs="黑体"/>
          <w:color w:val="auto"/>
          <w:kern w:val="0"/>
          <w:sz w:val="28"/>
          <w:szCs w:val="28"/>
          <w:highlight w:val="none"/>
          <w:u w:color="000000"/>
        </w:rPr>
        <w:t>二、申请人的资格要求</w:t>
      </w:r>
    </w:p>
    <w:p w14:paraId="32139F64">
      <w:pPr>
        <w:widowControl/>
        <w:ind w:firstLine="560" w:firstLineChars="200"/>
        <w:textAlignment w:val="baseline"/>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pP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1.供应商</w:t>
      </w:r>
      <w:bookmarkStart w:id="10" w:name="_Toc28359081"/>
      <w:bookmarkEnd w:id="10"/>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须具有有效的营业执照且具有相应的服务能力；</w:t>
      </w:r>
    </w:p>
    <w:p w14:paraId="2F5BCE37">
      <w:pPr>
        <w:widowControl/>
        <w:ind w:firstLine="560" w:firstLineChars="200"/>
        <w:textAlignment w:val="baseline"/>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pPr>
      <w:r>
        <w:rPr>
          <w:rFonts w:hint="eastAsia" w:ascii="仿宋" w:hAnsi="仿宋" w:eastAsia="仿宋" w:cs="仿宋"/>
          <w:i w:val="0"/>
          <w:iCs w:val="0"/>
          <w:caps w:val="0"/>
          <w:color w:val="auto"/>
          <w:spacing w:val="0"/>
          <w:kern w:val="0"/>
          <w:sz w:val="28"/>
          <w:szCs w:val="28"/>
          <w:highlight w:val="none"/>
          <w:u w:val="none" w:color="auto"/>
          <w:shd w:val="clear" w:color="auto" w:fill="FFFFFF"/>
          <w:lang w:val="en-US" w:eastAsia="zh-CN" w:bidi="ar"/>
        </w:rPr>
        <w:t>2.供应商具有污水处理站维保业绩；</w:t>
      </w:r>
    </w:p>
    <w:bookmarkEnd w:id="6"/>
    <w:bookmarkEnd w:id="7"/>
    <w:bookmarkEnd w:id="8"/>
    <w:bookmarkEnd w:id="9"/>
    <w:p w14:paraId="45A007AD">
      <w:pPr>
        <w:keepNext/>
        <w:keepLines/>
        <w:spacing w:before="260" w:after="260"/>
        <w:rPr>
          <w:rFonts w:ascii="黑体" w:hAnsi="黑体" w:eastAsia="黑体" w:cs="黑体"/>
          <w:color w:val="auto"/>
          <w:kern w:val="0"/>
          <w:sz w:val="28"/>
          <w:szCs w:val="28"/>
          <w:highlight w:val="none"/>
          <w:u w:color="000000"/>
        </w:rPr>
      </w:pPr>
      <w:bookmarkStart w:id="11" w:name="_Toc28359092"/>
      <w:bookmarkStart w:id="12" w:name="_Toc35393632"/>
      <w:bookmarkStart w:id="13" w:name="_Toc28359015"/>
      <w:bookmarkStart w:id="14" w:name="_Toc35393801"/>
      <w:r>
        <w:rPr>
          <w:rFonts w:hint="eastAsia" w:ascii="黑体" w:hAnsi="黑体" w:eastAsia="黑体" w:cs="黑体"/>
          <w:color w:val="auto"/>
          <w:kern w:val="0"/>
          <w:sz w:val="28"/>
          <w:szCs w:val="28"/>
          <w:highlight w:val="none"/>
          <w:u w:color="000000"/>
        </w:rPr>
        <w:t>三、获取</w:t>
      </w:r>
      <w:r>
        <w:rPr>
          <w:rFonts w:hint="eastAsia" w:ascii="黑体" w:hAnsi="黑体" w:eastAsia="黑体" w:cs="黑体"/>
          <w:color w:val="auto"/>
          <w:kern w:val="0"/>
          <w:sz w:val="28"/>
          <w:szCs w:val="28"/>
          <w:highlight w:val="none"/>
          <w:u w:color="000000"/>
          <w:lang w:val="en-US" w:eastAsia="zh-CN"/>
        </w:rPr>
        <w:t>询价</w:t>
      </w:r>
      <w:r>
        <w:rPr>
          <w:rFonts w:hint="eastAsia" w:ascii="黑体" w:hAnsi="黑体" w:eastAsia="黑体" w:cs="黑体"/>
          <w:color w:val="auto"/>
          <w:kern w:val="0"/>
          <w:sz w:val="28"/>
          <w:szCs w:val="28"/>
          <w:highlight w:val="none"/>
          <w:u w:color="000000"/>
        </w:rPr>
        <w:t>采购文件</w:t>
      </w:r>
    </w:p>
    <w:p w14:paraId="01759034">
      <w:pPr>
        <w:pageBreakBefore w:val="0"/>
        <w:kinsoku/>
        <w:overflowPunct/>
        <w:topLinePunct w:val="0"/>
        <w:autoSpaceDE/>
        <w:autoSpaceDN/>
        <w:bidi w:val="0"/>
        <w:spacing w:line="240" w:lineRule="auto"/>
        <w:ind w:firstLine="54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1.采购文件获取方式：</w:t>
      </w:r>
    </w:p>
    <w:p w14:paraId="2FA3B47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9</w:t>
      </w:r>
      <w:r>
        <w:rPr>
          <w:rFonts w:hint="eastAsia" w:ascii="仿宋" w:hAnsi="仿宋" w:eastAsia="仿宋" w:cs="Times New Roman"/>
          <w:color w:val="auto"/>
          <w:kern w:val="0"/>
          <w:sz w:val="28"/>
          <w:szCs w:val="28"/>
          <w:highlight w:val="none"/>
          <w:u w:color="000000"/>
        </w:rPr>
        <w:t>月</w:t>
      </w:r>
      <w:r>
        <w:rPr>
          <w:rFonts w:hint="eastAsia" w:ascii="仿宋" w:hAnsi="仿宋" w:eastAsia="仿宋" w:cs="Times New Roman"/>
          <w:color w:val="auto"/>
          <w:kern w:val="0"/>
          <w:sz w:val="28"/>
          <w:szCs w:val="28"/>
          <w:highlight w:val="none"/>
          <w:u w:color="000000"/>
          <w:lang w:val="en-US" w:eastAsia="zh-CN"/>
        </w:rPr>
        <w:t>29</w:t>
      </w:r>
      <w:r>
        <w:rPr>
          <w:rFonts w:hint="eastAsia" w:ascii="仿宋" w:hAnsi="仿宋" w:eastAsia="仿宋" w:cs="Times New Roman"/>
          <w:color w:val="auto"/>
          <w:kern w:val="0"/>
          <w:sz w:val="28"/>
          <w:szCs w:val="28"/>
          <w:highlight w:val="none"/>
          <w:u w:color="000000"/>
        </w:rPr>
        <w:t>日至</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p>
    <w:p w14:paraId="4DAE67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7"/>
        <w:jc w:val="left"/>
        <w:textAlignment w:val="auto"/>
        <w:rPr>
          <w:rFonts w:ascii="微软雅黑" w:hAnsi="微软雅黑" w:eastAsia="微软雅黑" w:cs="微软雅黑"/>
          <w:i w:val="0"/>
          <w:iCs w:val="0"/>
          <w:caps w:val="0"/>
          <w:color w:val="auto"/>
          <w:spacing w:val="0"/>
          <w:sz w:val="21"/>
          <w:szCs w:val="21"/>
          <w:highlight w:val="none"/>
        </w:rPr>
      </w:pPr>
      <w:r>
        <w:rPr>
          <w:rFonts w:ascii="仿宋" w:hAnsi="仿宋" w:eastAsia="仿宋" w:cs="仿宋"/>
          <w:i w:val="0"/>
          <w:iCs w:val="0"/>
          <w:caps w:val="0"/>
          <w:color w:val="auto"/>
          <w:spacing w:val="0"/>
          <w:kern w:val="0"/>
          <w:sz w:val="28"/>
          <w:szCs w:val="28"/>
          <w:highlight w:val="none"/>
          <w:shd w:val="clear" w:color="auto" w:fill="FFFFFF"/>
          <w:lang w:val="en-US" w:eastAsia="zh-CN" w:bidi="ar"/>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请于公告发布之日起从滁州市城投工程咨询管理有限公司官网（https://www.czctgczx.com/）下载。供应商自行承担因未按要求获取询价采购文件导致无法上传电子响应文件的风险。</w:t>
      </w:r>
    </w:p>
    <w:p w14:paraId="2ABF1F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方式：（1）供应商须登录新点电子交易平台【滁州专区】查询、获取询价采购文件。首次登录办理入库手续，办理入库不收取任何费用。新点电子招投标统一认证平台使用相关问题（如系统登录、信息登记、录入及提交、数字证书关联等）请拨打服务电话：0512-58151515（工作日）。  </w:t>
      </w:r>
    </w:p>
    <w:p w14:paraId="151F23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（2）供应商登录新点电子交易平台【滁州专区】获取询价采购文件及其它资料（含澄清和补充说明等）。如在询价采购文件获取过程中遇到系统问题，请拨打技术支持服务热线 0512-58151515或者网站首页在线客服。</w:t>
      </w:r>
    </w:p>
    <w:p w14:paraId="392FAA7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2.询价采购文件及相关资料售价：人民币0元/套（含清单控制价、图纸及澄清答疑文件）</w:t>
      </w:r>
    </w:p>
    <w:bookmarkEnd w:id="11"/>
    <w:bookmarkEnd w:id="12"/>
    <w:bookmarkEnd w:id="13"/>
    <w:bookmarkEnd w:id="14"/>
    <w:p w14:paraId="512A2CFF">
      <w:pPr>
        <w:keepNext/>
        <w:keepLines/>
        <w:spacing w:before="260" w:after="260"/>
        <w:rPr>
          <w:rFonts w:ascii="黑体" w:hAnsi="黑体" w:eastAsia="黑体" w:cs="黑体"/>
          <w:color w:val="auto"/>
          <w:kern w:val="0"/>
          <w:sz w:val="28"/>
          <w:szCs w:val="28"/>
          <w:highlight w:val="none"/>
          <w:u w:color="000000"/>
        </w:rPr>
      </w:pPr>
      <w:bookmarkStart w:id="15" w:name="_Toc35393802"/>
      <w:bookmarkStart w:id="16" w:name="_Toc28359016"/>
      <w:bookmarkStart w:id="17" w:name="_Toc35393633"/>
      <w:bookmarkStart w:id="18" w:name="_Toc28359093"/>
      <w:r>
        <w:rPr>
          <w:rFonts w:hint="eastAsia" w:ascii="黑体" w:hAnsi="黑体" w:eastAsia="黑体" w:cs="黑体"/>
          <w:color w:val="auto"/>
          <w:kern w:val="0"/>
          <w:sz w:val="28"/>
          <w:szCs w:val="28"/>
          <w:highlight w:val="none"/>
          <w:u w:color="000000"/>
        </w:rPr>
        <w:t>四、响应文件提交</w:t>
      </w:r>
    </w:p>
    <w:p w14:paraId="72BC9FDF">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截止时间：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点00分（北京时间）（从</w:t>
      </w:r>
      <w:r>
        <w:rPr>
          <w:rFonts w:hint="eastAsia" w:ascii="仿宋" w:hAnsi="仿宋" w:eastAsia="仿宋" w:cs="Times New Roman"/>
          <w:color w:val="auto"/>
          <w:kern w:val="0"/>
          <w:sz w:val="28"/>
          <w:szCs w:val="28"/>
          <w:highlight w:val="none"/>
          <w:u w:color="000000"/>
          <w:lang w:eastAsia="zh-CN"/>
        </w:rPr>
        <w:t>询价采购文件</w:t>
      </w:r>
      <w:r>
        <w:rPr>
          <w:rFonts w:hint="eastAsia" w:ascii="仿宋" w:hAnsi="仿宋" w:eastAsia="仿宋" w:cs="Times New Roman"/>
          <w:color w:val="auto"/>
          <w:kern w:val="0"/>
          <w:sz w:val="28"/>
          <w:szCs w:val="28"/>
          <w:highlight w:val="none"/>
          <w:u w:color="000000"/>
        </w:rPr>
        <w:t>开始发出之日起至供应商提交响应文件截止之日止不得少于3个工作日）</w:t>
      </w:r>
    </w:p>
    <w:p w14:paraId="27C86F5E">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方式：网上递交加密响应文件</w:t>
      </w:r>
    </w:p>
    <w:bookmarkEnd w:id="15"/>
    <w:bookmarkEnd w:id="16"/>
    <w:bookmarkEnd w:id="17"/>
    <w:bookmarkEnd w:id="18"/>
    <w:p w14:paraId="2EB338CE">
      <w:pPr>
        <w:keepNext/>
        <w:keepLines/>
        <w:spacing w:before="260" w:after="260"/>
        <w:rPr>
          <w:rFonts w:ascii="黑体" w:hAnsi="黑体" w:eastAsia="黑体" w:cs="黑体"/>
          <w:color w:val="auto"/>
          <w:kern w:val="0"/>
          <w:sz w:val="28"/>
          <w:szCs w:val="28"/>
          <w:highlight w:val="none"/>
          <w:u w:color="000000"/>
        </w:rPr>
      </w:pPr>
      <w:bookmarkStart w:id="19" w:name="_Toc14529"/>
      <w:bookmarkStart w:id="20" w:name="_Toc2396"/>
      <w:r>
        <w:rPr>
          <w:rFonts w:hint="eastAsia" w:ascii="黑体" w:hAnsi="黑体" w:eastAsia="黑体" w:cs="黑体"/>
          <w:color w:val="auto"/>
          <w:kern w:val="0"/>
          <w:sz w:val="28"/>
          <w:szCs w:val="28"/>
          <w:highlight w:val="none"/>
          <w:u w:color="000000"/>
        </w:rPr>
        <w:t>五、开启</w:t>
      </w:r>
    </w:p>
    <w:p w14:paraId="1154310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时间：</w:t>
      </w:r>
      <w:r>
        <w:rPr>
          <w:rFonts w:hint="eastAsia" w:ascii="仿宋" w:hAnsi="仿宋" w:eastAsia="仿宋" w:cs="Times New Roman"/>
          <w:color w:val="auto"/>
          <w:kern w:val="0"/>
          <w:sz w:val="28"/>
          <w:szCs w:val="28"/>
          <w:highlight w:val="none"/>
          <w:u w:color="000000"/>
          <w:lang w:eastAsia="zh-CN"/>
        </w:rPr>
        <w:t>2026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w:t>
      </w:r>
    </w:p>
    <w:p w14:paraId="15776A90">
      <w:pPr>
        <w:keepNext w:val="0"/>
        <w:keepLines w:val="0"/>
        <w:pageBreakBefore w:val="0"/>
        <w:widowControl/>
        <w:kinsoku/>
        <w:wordWrap w:val="0"/>
        <w:overflowPunct/>
        <w:topLinePunct w:val="0"/>
        <w:autoSpaceDE/>
        <w:autoSpaceDN/>
        <w:bidi w:val="0"/>
        <w:adjustRightInd/>
        <w:snapToGrid/>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网上开启，供应商登录滁州市城投工程咨询管理有限公司不见面开标系统参与网上开标（网址：http://js.etrading.cn/EpointBidOpening/bidopeninghallaction/hall/login）。</w:t>
      </w:r>
    </w:p>
    <w:p w14:paraId="3194547C">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六、公告期限</w:t>
      </w:r>
    </w:p>
    <w:p w14:paraId="17DD1C71">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自本公告发布之日起3个工作日。</w:t>
      </w:r>
    </w:p>
    <w:bookmarkEnd w:id="19"/>
    <w:bookmarkEnd w:id="20"/>
    <w:p w14:paraId="41FD9EC3">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七、其他补充事宜</w:t>
      </w:r>
    </w:p>
    <w:p w14:paraId="08832032">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1.供应商登录新点电子交易平台【滁州专区】获取</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采购文件及其它资料（含澄清和补充说明等）。如在</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采购文件获取过程中遇到系统问题，请拨打技术支持服务热线0512-58151515或者网站首页在线客服。</w:t>
      </w:r>
    </w:p>
    <w:p w14:paraId="65B7BDE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2.本项目采用不见面开标，供应商登录滁州市城投工程咨询管理有限公司不见面开标系统参与网上开标（网址：http://js.etrading.cn/EpointBidOpening/bidopeninghallaction/hall/login）。</w:t>
      </w:r>
    </w:p>
    <w:p w14:paraId="52D041D8">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3.供应商应在投标截止时间之前，登录新点电子交易平台【滁州专区】上传响应文件。逾期上传响应文件的，电子系统不予受理。</w:t>
      </w:r>
    </w:p>
    <w:p w14:paraId="12F14C91">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4.供应商的联系人电话(手机)、电子邮箱等通讯方式在开启过程中必须保持畅通，否则因上述原因造成的后果，责任自负。</w:t>
      </w:r>
    </w:p>
    <w:p w14:paraId="328D5344">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5.本项目采用电子招投标方式，请供应商在“新点电子交易平台”常用下载专区下载“新点电子交易平台专用投标文件制作软件”，仔细阅读</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询价</w:t>
      </w:r>
      <w:r>
        <w:rPr>
          <w:rFonts w:hint="eastAsia" w:ascii="仿宋" w:hAnsi="仿宋" w:eastAsia="仿宋" w:cs="仿宋"/>
          <w:b w:val="0"/>
          <w:bCs w:val="0"/>
          <w:color w:val="auto"/>
          <w:sz w:val="28"/>
          <w:szCs w:val="28"/>
          <w:highlight w:val="none"/>
          <w:lang w:val="en-US" w:eastAsia="zh-CN"/>
        </w:rPr>
        <w:t>采购文件要求和相关操作手册，以免影响响应文件编制，因供应商未及时关注相关信息对响应造成的不利后果由其自行承担。投标软件制作工具下载：https://download.bqpoint.com/download/downloaddetail.html?SourceFrom=Ztb&amp;ZtbSoftXiaQuCode=0128&amp;ZtbSoftType=tballinclusive。</w:t>
      </w:r>
    </w:p>
    <w:p w14:paraId="2451E14B">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b w:val="0"/>
          <w:bCs w:val="0"/>
          <w:color w:val="auto"/>
          <w:sz w:val="28"/>
          <w:szCs w:val="28"/>
          <w:highlight w:val="none"/>
          <w:lang w:val="en-US" w:eastAsia="zh-CN"/>
        </w:rPr>
        <w:t>6.本项目开评标实行全流程电子化，在线完成开评标活动。开标时供应商无需到达开标现场，不接受现场解密，实行远程解密和在线询标。各供应商认真学习《新点电子交易平台投标人操作手册》，务必掌握远程解密方法和在线回复询标方法</w:t>
      </w:r>
      <w:r>
        <w:rPr>
          <w:rFonts w:hint="eastAsia" w:ascii="仿宋" w:hAnsi="仿宋" w:eastAsia="仿宋" w:cs="Times New Roman"/>
          <w:color w:val="auto"/>
          <w:kern w:val="0"/>
          <w:sz w:val="28"/>
          <w:szCs w:val="28"/>
          <w:highlight w:val="none"/>
          <w:u w:color="000000"/>
        </w:rPr>
        <w:t>。</w:t>
      </w:r>
    </w:p>
    <w:p w14:paraId="07DAF5B2">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八、凡对本次采购提出询问，请按以下方式联系</w:t>
      </w:r>
    </w:p>
    <w:p w14:paraId="6CC7F6FD">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1.采购人信息</w:t>
      </w:r>
    </w:p>
    <w:p w14:paraId="4353746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  称：</w:t>
      </w:r>
      <w:r>
        <w:rPr>
          <w:rFonts w:hint="eastAsia" w:ascii="仿宋" w:hAnsi="仿宋" w:eastAsia="仿宋" w:cs="Times New Roman"/>
          <w:color w:val="auto"/>
          <w:kern w:val="0"/>
          <w:sz w:val="28"/>
          <w:szCs w:val="28"/>
          <w:highlight w:val="none"/>
          <w:u w:color="000000"/>
          <w:lang w:val="en-US" w:eastAsia="zh-CN"/>
        </w:rPr>
        <w:t>滁州市城投交通控股有限公司</w:t>
      </w:r>
    </w:p>
    <w:p w14:paraId="6CB67518">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  址：</w:t>
      </w:r>
      <w:r>
        <w:rPr>
          <w:rFonts w:hint="eastAsia" w:ascii="仿宋" w:hAnsi="仿宋" w:eastAsia="仿宋" w:cs="Times New Roman"/>
          <w:color w:val="auto"/>
          <w:kern w:val="0"/>
          <w:sz w:val="28"/>
          <w:szCs w:val="28"/>
          <w:highlight w:val="none"/>
          <w:u w:color="000000"/>
          <w:lang w:val="en-US" w:eastAsia="zh-CN"/>
        </w:rPr>
        <w:t>滁州市中都大道1598号15层</w:t>
      </w:r>
    </w:p>
    <w:p w14:paraId="5698FE93">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 xml:space="preserve">孙工 </w:t>
      </w:r>
    </w:p>
    <w:p w14:paraId="61011135">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 xml:space="preserve">0550-3500336 </w:t>
      </w:r>
    </w:p>
    <w:p w14:paraId="151402DE">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2.代理机构信息</w:t>
      </w:r>
    </w:p>
    <w:p w14:paraId="0EAF1B5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滁州市城投工程咨询管理有限公司</w:t>
      </w:r>
    </w:p>
    <w:p w14:paraId="70DC87B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地址：滁州市龙蟠大道109号房产大厦</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楼</w:t>
      </w:r>
    </w:p>
    <w:p w14:paraId="3EE40834">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关勤勤</w:t>
      </w:r>
    </w:p>
    <w:p w14:paraId="1EF38CB8">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18909605753</w:t>
      </w:r>
    </w:p>
    <w:p w14:paraId="4063AE3C">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21B18EFB">
      <w:pPr>
        <w:spacing w:line="360" w:lineRule="auto"/>
        <w:jc w:val="center"/>
        <w:outlineLvl w:val="0"/>
        <w:rPr>
          <w:rFonts w:asciiTheme="minorEastAsia" w:hAnsiTheme="minorEastAsia" w:eastAsiaTheme="minorEastAsia"/>
          <w:b/>
          <w:color w:val="auto"/>
          <w:sz w:val="28"/>
          <w:highlight w:val="none"/>
        </w:rPr>
      </w:pPr>
      <w:bookmarkStart w:id="21"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1"/>
    </w:p>
    <w:p w14:paraId="68D88FAC">
      <w:pPr>
        <w:spacing w:line="360" w:lineRule="auto"/>
        <w:jc w:val="center"/>
        <w:outlineLvl w:val="1"/>
        <w:rPr>
          <w:rFonts w:asciiTheme="minorEastAsia" w:hAnsiTheme="minorEastAsia" w:eastAsiaTheme="minorEastAsia"/>
          <w:b/>
          <w:color w:val="auto"/>
          <w:sz w:val="24"/>
          <w:highlight w:val="none"/>
        </w:rPr>
      </w:pPr>
      <w:bookmarkStart w:id="22" w:name="_Toc12172"/>
      <w:bookmarkStart w:id="23"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2"/>
      <w:bookmarkEnd w:id="23"/>
    </w:p>
    <w:p w14:paraId="173E936C">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2028"/>
        <w:gridCol w:w="6339"/>
      </w:tblGrid>
      <w:tr w14:paraId="1463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CA9C574">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072" w:type="pct"/>
            <w:vAlign w:val="center"/>
          </w:tcPr>
          <w:p w14:paraId="4235DF59">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350" w:type="pct"/>
            <w:vAlign w:val="center"/>
          </w:tcPr>
          <w:p w14:paraId="4254168E">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711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577" w:type="pct"/>
            <w:vAlign w:val="center"/>
          </w:tcPr>
          <w:p w14:paraId="2A9A9F98">
            <w:pPr>
              <w:pStyle w:val="46"/>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072" w:type="pct"/>
            <w:vAlign w:val="center"/>
          </w:tcPr>
          <w:p w14:paraId="117AF8F6">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现场考察或标前答疑会</w:t>
            </w:r>
          </w:p>
        </w:tc>
        <w:tc>
          <w:tcPr>
            <w:tcW w:w="3350" w:type="pct"/>
            <w:vAlign w:val="center"/>
          </w:tcPr>
          <w:p w14:paraId="607E78CC">
            <w:pPr>
              <w:spacing w:line="360" w:lineRule="auto"/>
              <w:rPr>
                <w:rFonts w:asciiTheme="minorEastAsia" w:hAnsiTheme="minorEastAsia" w:eastAsiaTheme="minorEastAsia"/>
                <w:b w:val="0"/>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tc>
      </w:tr>
      <w:tr w14:paraId="2F57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CDFE6D8">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6</w:t>
            </w:r>
            <w:r>
              <w:rPr>
                <w:rFonts w:asciiTheme="minorEastAsia" w:hAnsiTheme="minorEastAsia" w:eastAsiaTheme="minorEastAsia"/>
                <w:bCs/>
                <w:color w:val="auto"/>
                <w:kern w:val="2"/>
                <w:highlight w:val="none"/>
              </w:rPr>
              <w:t>.1</w:t>
            </w:r>
          </w:p>
        </w:tc>
        <w:tc>
          <w:tcPr>
            <w:tcW w:w="1072" w:type="pct"/>
            <w:vAlign w:val="center"/>
          </w:tcPr>
          <w:p w14:paraId="4B079295">
            <w:pPr>
              <w:pStyle w:val="45"/>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350" w:type="pct"/>
            <w:vAlign w:val="center"/>
          </w:tcPr>
          <w:p w14:paraId="2E825B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 xml:space="preserve">  10 </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 xml:space="preserve"> 8  </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0</w:t>
            </w:r>
            <w:r>
              <w:rPr>
                <w:rFonts w:hint="eastAsia" w:asciiTheme="minorEastAsia" w:hAnsiTheme="minorEastAsia" w:eastAsiaTheme="minorEastAsia"/>
                <w:b w:val="0"/>
                <w:color w:val="auto"/>
                <w:sz w:val="24"/>
                <w:highlight w:val="none"/>
                <w:u w:val="single"/>
              </w:rPr>
              <w:t>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225D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restart"/>
            <w:vAlign w:val="center"/>
          </w:tcPr>
          <w:p w14:paraId="097A89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7</w:t>
            </w:r>
            <w:r>
              <w:rPr>
                <w:rFonts w:asciiTheme="minorEastAsia" w:hAnsiTheme="minorEastAsia" w:eastAsiaTheme="minorEastAsia"/>
                <w:bCs/>
                <w:color w:val="auto"/>
                <w:kern w:val="2"/>
                <w:highlight w:val="none"/>
              </w:rPr>
              <w:t>.1</w:t>
            </w:r>
          </w:p>
        </w:tc>
        <w:tc>
          <w:tcPr>
            <w:tcW w:w="1072" w:type="pct"/>
            <w:vMerge w:val="restart"/>
            <w:vAlign w:val="center"/>
          </w:tcPr>
          <w:p w14:paraId="2E91C83D">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350" w:type="pct"/>
            <w:vAlign w:val="center"/>
          </w:tcPr>
          <w:p w14:paraId="4FA4CE04">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t>☑</w:t>
            </w:r>
            <w:r>
              <w:rPr>
                <w:rFonts w:asciiTheme="minorEastAsia" w:hAnsiTheme="minorEastAsia" w:eastAsiaTheme="minorEastAsia"/>
                <w:b w:val="0"/>
                <w:color w:val="auto"/>
                <w:sz w:val="24"/>
                <w:highlight w:val="none"/>
              </w:rPr>
              <w:t>不分包     □分为</w:t>
            </w:r>
            <w:r>
              <w:rPr>
                <w:rFonts w:hint="eastAsia" w:asciiTheme="minorEastAsia" w:hAnsiTheme="minorEastAsia" w:eastAsiaTheme="minorEastAsia"/>
                <w:b w:val="0"/>
                <w:color w:val="auto"/>
                <w:sz w:val="24"/>
                <w:highlight w:val="none"/>
              </w:rPr>
              <w:t>/</w:t>
            </w:r>
            <w:r>
              <w:rPr>
                <w:rFonts w:asciiTheme="minorEastAsia" w:hAnsiTheme="minorEastAsia" w:eastAsiaTheme="minorEastAsia"/>
                <w:b w:val="0"/>
                <w:color w:val="auto"/>
                <w:sz w:val="24"/>
                <w:highlight w:val="none"/>
              </w:rPr>
              <w:t>个包</w:t>
            </w:r>
          </w:p>
        </w:tc>
      </w:tr>
      <w:tr w14:paraId="555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continue"/>
            <w:vAlign w:val="center"/>
          </w:tcPr>
          <w:p w14:paraId="114719C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072" w:type="pct"/>
            <w:vMerge w:val="continue"/>
            <w:vAlign w:val="center"/>
          </w:tcPr>
          <w:p w14:paraId="259AFAA1">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350" w:type="pct"/>
            <w:vAlign w:val="center"/>
          </w:tcPr>
          <w:p w14:paraId="1CECC8B7">
            <w:pPr>
              <w:pStyle w:val="45"/>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val="0"/>
                <w:bCs w:val="0"/>
                <w:color w:val="auto"/>
                <w:sz w:val="24"/>
                <w:szCs w:val="18"/>
                <w:highlight w:val="none"/>
                <w:u w:val="single"/>
              </w:rPr>
              <w:t>/</w:t>
            </w:r>
            <w:r>
              <w:rPr>
                <w:rFonts w:asciiTheme="minorEastAsia" w:hAnsiTheme="minorEastAsia" w:eastAsiaTheme="minorEastAsia"/>
                <w:b w:val="0"/>
                <w:bCs w:val="0"/>
                <w:color w:val="auto"/>
                <w:sz w:val="24"/>
                <w:szCs w:val="18"/>
                <w:highlight w:val="none"/>
                <w:u w:val="single"/>
              </w:rPr>
              <w:t xml:space="preserve">        </w:t>
            </w:r>
          </w:p>
        </w:tc>
      </w:tr>
      <w:tr w14:paraId="71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DD5C89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10</w:t>
            </w:r>
            <w:r>
              <w:rPr>
                <w:rFonts w:asciiTheme="minorEastAsia" w:hAnsiTheme="minorEastAsia" w:eastAsiaTheme="minorEastAsia"/>
                <w:bCs/>
                <w:color w:val="auto"/>
                <w:kern w:val="2"/>
                <w:highlight w:val="none"/>
              </w:rPr>
              <w:t>.1</w:t>
            </w:r>
          </w:p>
        </w:tc>
        <w:tc>
          <w:tcPr>
            <w:tcW w:w="1072" w:type="pct"/>
            <w:vAlign w:val="center"/>
          </w:tcPr>
          <w:p w14:paraId="7540227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350" w:type="pct"/>
            <w:vAlign w:val="center"/>
          </w:tcPr>
          <w:p w14:paraId="1BC62F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rPr>
              <w:t>日历日</w:t>
            </w:r>
          </w:p>
        </w:tc>
      </w:tr>
      <w:tr w14:paraId="21C0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885790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11.2</w:t>
            </w:r>
          </w:p>
        </w:tc>
        <w:tc>
          <w:tcPr>
            <w:tcW w:w="1072" w:type="pct"/>
            <w:vAlign w:val="center"/>
          </w:tcPr>
          <w:p w14:paraId="0E1F50B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350" w:type="pct"/>
            <w:vAlign w:val="center"/>
          </w:tcPr>
          <w:p w14:paraId="3988ADF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bCs w:val="0"/>
                <w:color w:val="auto"/>
                <w:sz w:val="28"/>
                <w:szCs w:val="28"/>
                <w:highlight w:val="none"/>
                <w:u w:val="single"/>
              </w:rPr>
              <w:t xml:space="preserve"> </w:t>
            </w:r>
            <w:r>
              <w:rPr>
                <w:rFonts w:hint="eastAsia" w:asciiTheme="minorEastAsia" w:hAnsiTheme="minorEastAsia" w:eastAsiaTheme="minorEastAsia"/>
                <w:b/>
                <w:bCs w:val="0"/>
                <w:color w:val="auto"/>
                <w:sz w:val="28"/>
                <w:szCs w:val="28"/>
                <w:highlight w:val="none"/>
                <w:u w:val="single"/>
                <w:lang w:val="en-US" w:eastAsia="zh-CN"/>
              </w:rPr>
              <w:t xml:space="preserve">30 </w:t>
            </w:r>
            <w:r>
              <w:rPr>
                <w:rFonts w:hint="eastAsia" w:asciiTheme="minorEastAsia" w:hAnsiTheme="minorEastAsia" w:eastAsiaTheme="minorEastAsia"/>
                <w:b w:val="0"/>
                <w:color w:val="auto"/>
                <w:sz w:val="24"/>
                <w:highlight w:val="none"/>
              </w:rPr>
              <w:t>分钟内</w:t>
            </w:r>
            <w:r>
              <w:rPr>
                <w:rFonts w:hint="eastAsia" w:ascii="宋体" w:hAnsi="宋体" w:eastAsia="宋体" w:cs="宋体"/>
                <w:b w:val="0"/>
                <w:color w:val="auto"/>
                <w:sz w:val="24"/>
                <w:szCs w:val="24"/>
                <w:highlight w:val="none"/>
              </w:rPr>
              <w:t>（以本项目网上招投标系统解密倒计时为准）</w:t>
            </w:r>
          </w:p>
        </w:tc>
      </w:tr>
      <w:tr w14:paraId="5A9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73B990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072" w:type="pct"/>
            <w:vAlign w:val="center"/>
          </w:tcPr>
          <w:p w14:paraId="75CCB67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350" w:type="pct"/>
            <w:vAlign w:val="center"/>
          </w:tcPr>
          <w:p w14:paraId="4700050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115EDAD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☑采购人确定</w:t>
            </w:r>
          </w:p>
        </w:tc>
      </w:tr>
      <w:tr w14:paraId="363B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FF847D">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21</w:t>
            </w:r>
            <w:r>
              <w:rPr>
                <w:rFonts w:asciiTheme="minorEastAsia" w:hAnsiTheme="minorEastAsia" w:eastAsiaTheme="minorEastAsia"/>
                <w:bCs/>
                <w:color w:val="auto"/>
                <w:kern w:val="2"/>
                <w:highlight w:val="none"/>
              </w:rPr>
              <w:t>.1</w:t>
            </w:r>
          </w:p>
        </w:tc>
        <w:tc>
          <w:tcPr>
            <w:tcW w:w="1072" w:type="pct"/>
            <w:vAlign w:val="center"/>
          </w:tcPr>
          <w:p w14:paraId="3E00E773">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350" w:type="pct"/>
            <w:vAlign w:val="center"/>
          </w:tcPr>
          <w:p w14:paraId="2950DD1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128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AFF454D">
            <w:pPr>
              <w:pStyle w:val="46"/>
              <w:pBdr>
                <w:bottom w:val="none" w:color="auto" w:sz="0" w:space="0"/>
              </w:pBdr>
              <w:tabs>
                <w:tab w:val="clear" w:pos="4153"/>
                <w:tab w:val="clear" w:pos="8306"/>
              </w:tabs>
              <w:adjustRightInd/>
              <w:spacing w:line="240" w:lineRule="auto"/>
              <w:textAlignment w:val="auto"/>
              <w:rPr>
                <w:rFonts w:ascii="宋体" w:hAnsi="宋体" w:eastAsia="宋体" w:cstheme="minorBidi"/>
                <w:bCs/>
                <w:color w:val="auto"/>
                <w:kern w:val="2"/>
                <w:highlight w:val="none"/>
              </w:rPr>
            </w:pPr>
            <w:r>
              <w:rPr>
                <w:rFonts w:hint="eastAsia" w:ascii="宋体" w:hAnsi="宋体" w:eastAsia="宋体" w:cs="宋体"/>
                <w:bCs/>
                <w:color w:val="auto"/>
                <w:szCs w:val="24"/>
                <w:highlight w:val="none"/>
              </w:rPr>
              <w:t>22.1</w:t>
            </w:r>
          </w:p>
        </w:tc>
        <w:tc>
          <w:tcPr>
            <w:tcW w:w="1072" w:type="pct"/>
            <w:vAlign w:val="center"/>
          </w:tcPr>
          <w:p w14:paraId="45F30629">
            <w:pPr>
              <w:pStyle w:val="45"/>
              <w:widowControl w:val="0"/>
              <w:spacing w:before="0" w:beforeAutospacing="0" w:after="0" w:afterAutospacing="0" w:line="360" w:lineRule="auto"/>
              <w:jc w:val="both"/>
              <w:rPr>
                <w:rFonts w:ascii="宋体" w:hAnsi="宋体" w:eastAsia="宋体" w:cstheme="minorBidi"/>
                <w:b w:val="0"/>
                <w:color w:val="auto"/>
                <w:sz w:val="24"/>
                <w:highlight w:val="none"/>
              </w:rPr>
            </w:pPr>
            <w:r>
              <w:rPr>
                <w:rFonts w:hint="eastAsia" w:ascii="宋体" w:hAnsi="宋体" w:eastAsia="宋体" w:cs="宋体"/>
                <w:b w:val="0"/>
                <w:color w:val="auto"/>
                <w:sz w:val="24"/>
                <w:szCs w:val="24"/>
                <w:highlight w:val="none"/>
              </w:rPr>
              <w:t>告知询价结果的形式</w:t>
            </w:r>
          </w:p>
        </w:tc>
        <w:tc>
          <w:tcPr>
            <w:tcW w:w="3350" w:type="pct"/>
            <w:vAlign w:val="center"/>
          </w:tcPr>
          <w:p w14:paraId="783AC166">
            <w:pPr>
              <w:pStyle w:val="45"/>
              <w:widowControl w:val="0"/>
              <w:spacing w:before="0" w:beforeAutospacing="0" w:after="0" w:afterAutospacing="0" w:line="360" w:lineRule="auto"/>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sym w:font="Wingdings" w:char="00FE"/>
            </w:r>
            <w:r>
              <w:rPr>
                <w:rFonts w:hint="eastAsia" w:ascii="宋体" w:hAnsi="宋体" w:eastAsia="宋体" w:cs="宋体"/>
                <w:b w:val="0"/>
                <w:color w:val="auto"/>
                <w:sz w:val="24"/>
                <w:szCs w:val="24"/>
                <w:highlight w:val="none"/>
              </w:rPr>
              <w:t>供应商自行登录电子</w:t>
            </w:r>
            <w:r>
              <w:rPr>
                <w:rFonts w:hint="eastAsia" w:ascii="宋体" w:hAnsi="宋体" w:eastAsia="宋体" w:cs="宋体"/>
                <w:b w:val="0"/>
                <w:bCs w:val="0"/>
                <w:color w:val="auto"/>
                <w:sz w:val="24"/>
                <w:szCs w:val="24"/>
                <w:highlight w:val="none"/>
              </w:rPr>
              <w:t>交易</w:t>
            </w:r>
            <w:r>
              <w:rPr>
                <w:rFonts w:hint="eastAsia" w:ascii="宋体" w:hAnsi="宋体" w:eastAsia="宋体" w:cs="宋体"/>
                <w:b w:val="0"/>
                <w:color w:val="auto"/>
                <w:sz w:val="24"/>
                <w:szCs w:val="24"/>
                <w:highlight w:val="none"/>
              </w:rPr>
              <w:t>系统查看</w:t>
            </w:r>
          </w:p>
          <w:p w14:paraId="79CAE0A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询价现场告知</w:t>
            </w:r>
          </w:p>
        </w:tc>
      </w:tr>
      <w:tr w14:paraId="5CAD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CF261F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3</w:t>
            </w:r>
            <w:r>
              <w:rPr>
                <w:rFonts w:asciiTheme="minorEastAsia" w:hAnsiTheme="minorEastAsia" w:eastAsiaTheme="minorEastAsia"/>
                <w:bCs/>
                <w:color w:val="auto"/>
                <w:kern w:val="2"/>
                <w:highlight w:val="none"/>
              </w:rPr>
              <w:t>.1</w:t>
            </w:r>
          </w:p>
        </w:tc>
        <w:tc>
          <w:tcPr>
            <w:tcW w:w="1072" w:type="pct"/>
            <w:vAlign w:val="center"/>
          </w:tcPr>
          <w:p w14:paraId="3A86F0CF">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350" w:type="pct"/>
          </w:tcPr>
          <w:p w14:paraId="73536B2E">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（1）金额：</w:t>
            </w:r>
          </w:p>
          <w:p w14:paraId="14502A2B">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□免收</w:t>
            </w:r>
          </w:p>
          <w:p w14:paraId="7D71E1EE">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☑合同价的</w:t>
            </w:r>
            <w:r>
              <w:rPr>
                <w:rFonts w:hint="eastAsia" w:eastAsia="宋体" w:asciiTheme="minorEastAsia" w:hAnsiTheme="minorEastAsia"/>
                <w:color w:val="auto"/>
                <w:sz w:val="24"/>
                <w:highlight w:val="none"/>
                <w:lang w:val="en-US" w:eastAsia="zh-CN"/>
              </w:rPr>
              <w:t>10</w:t>
            </w:r>
            <w:r>
              <w:rPr>
                <w:rFonts w:hint="default" w:eastAsia="宋体" w:asciiTheme="minorEastAsia" w:hAnsiTheme="minorEastAsia"/>
                <w:color w:val="auto"/>
                <w:sz w:val="24"/>
                <w:highlight w:val="none"/>
                <w:lang w:val="en-US" w:eastAsia="zh-CN"/>
              </w:rPr>
              <w:t>%</w:t>
            </w:r>
          </w:p>
          <w:p w14:paraId="32F75B71">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□定额收取：人民币         元</w:t>
            </w:r>
          </w:p>
          <w:p w14:paraId="393D1B94">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（2）支付方式：</w:t>
            </w:r>
          </w:p>
          <w:p w14:paraId="0BFB508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转账/电汇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支票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汇票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本票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 xml:space="preserve">保险 </w:t>
            </w:r>
            <w:r>
              <w:rPr>
                <w:rFonts w:hint="default" w:eastAsia="宋体" w:asciiTheme="minorEastAsia" w:hAnsiTheme="minorEastAsia"/>
                <w:color w:val="auto"/>
                <w:sz w:val="24"/>
                <w:highlight w:val="none"/>
                <w:lang w:val="en-US" w:eastAsia="zh-CN"/>
              </w:rPr>
              <w:sym w:font="Wingdings" w:char="00FE"/>
            </w:r>
            <w:r>
              <w:rPr>
                <w:rFonts w:hint="default" w:eastAsia="宋体" w:asciiTheme="minorEastAsia" w:hAnsiTheme="minorEastAsia"/>
                <w:color w:val="auto"/>
                <w:sz w:val="24"/>
                <w:highlight w:val="none"/>
                <w:lang w:val="en-US" w:eastAsia="zh-CN"/>
              </w:rPr>
              <w:t>保函</w:t>
            </w:r>
          </w:p>
          <w:p w14:paraId="26481922">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 xml:space="preserve">（3）收取单位：另行通知 </w:t>
            </w:r>
          </w:p>
          <w:p w14:paraId="16278DB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（4）收取账号：另行通知</w:t>
            </w:r>
          </w:p>
          <w:p w14:paraId="5D82E1B9">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（5）退还时间</w:t>
            </w:r>
            <w:r>
              <w:rPr>
                <w:rFonts w:hint="eastAsia" w:eastAsia="宋体" w:asciiTheme="minorEastAsia" w:hAnsiTheme="minorEastAsia"/>
                <w:color w:val="auto"/>
                <w:sz w:val="24"/>
                <w:highlight w:val="none"/>
                <w:lang w:val="en-US" w:eastAsia="zh-CN"/>
              </w:rPr>
              <w:t>：服务期满后</w:t>
            </w:r>
            <w:r>
              <w:rPr>
                <w:rFonts w:hint="default" w:eastAsia="宋体" w:asciiTheme="minorEastAsia" w:hAnsiTheme="minorEastAsia"/>
                <w:color w:val="auto"/>
                <w:sz w:val="24"/>
                <w:highlight w:val="none"/>
                <w:lang w:val="en-US" w:eastAsia="zh-CN"/>
              </w:rPr>
              <w:t>一次性退还。</w:t>
            </w:r>
          </w:p>
          <w:p w14:paraId="410988AC">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注意事项：</w:t>
            </w:r>
          </w:p>
          <w:p w14:paraId="5D3D5055">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（1）以上各类机构出具的以担保函、保证保险承担责任的方式均须满足无条件见索即付条件。</w:t>
            </w:r>
          </w:p>
          <w:p w14:paraId="07CBB012">
            <w:pPr>
              <w:spacing w:line="360" w:lineRule="auto"/>
              <w:rPr>
                <w:rFonts w:hint="default" w:eastAsia="宋体" w:asciiTheme="minorEastAsia" w:hAnsiTheme="minorEastAsia"/>
                <w:color w:val="auto"/>
                <w:sz w:val="24"/>
                <w:highlight w:val="none"/>
                <w:lang w:val="en-US" w:eastAsia="zh-CN"/>
              </w:rPr>
            </w:pPr>
            <w:r>
              <w:rPr>
                <w:rFonts w:hint="default" w:eastAsia="宋体" w:asciiTheme="minorEastAsia" w:hAnsiTheme="minorEastAsia"/>
                <w:color w:val="auto"/>
                <w:sz w:val="24"/>
                <w:highlight w:val="none"/>
                <w:lang w:val="en-US" w:eastAsia="zh-CN"/>
              </w:rPr>
              <w:t>（2）以担保函、保证保险形式缴纳履约保证金的，受益人和收取单位须为采购人。</w:t>
            </w:r>
          </w:p>
        </w:tc>
      </w:tr>
      <w:tr w14:paraId="5A9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4B931AE">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4</w:t>
            </w:r>
            <w:r>
              <w:rPr>
                <w:rFonts w:asciiTheme="minorEastAsia" w:hAnsiTheme="minorEastAsia" w:eastAsiaTheme="minorEastAsia"/>
                <w:bCs/>
                <w:color w:val="auto"/>
                <w:kern w:val="2"/>
                <w:highlight w:val="none"/>
              </w:rPr>
              <w:t>.1</w:t>
            </w:r>
          </w:p>
        </w:tc>
        <w:tc>
          <w:tcPr>
            <w:tcW w:w="1072" w:type="pct"/>
            <w:vAlign w:val="center"/>
          </w:tcPr>
          <w:p w14:paraId="55CD743D">
            <w:pPr>
              <w:pStyle w:val="45"/>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rPr>
              <w:t>代理费用</w:t>
            </w:r>
            <w:r>
              <w:rPr>
                <w:rFonts w:hint="eastAsia" w:asciiTheme="minorEastAsia" w:hAnsiTheme="minorEastAsia" w:eastAsiaTheme="minorEastAsia"/>
                <w:b w:val="0"/>
                <w:color w:val="auto"/>
                <w:sz w:val="24"/>
                <w:highlight w:val="none"/>
                <w:lang w:val="en-US" w:eastAsia="zh-CN"/>
              </w:rPr>
              <w:t>及专家评审费</w:t>
            </w:r>
          </w:p>
        </w:tc>
        <w:tc>
          <w:tcPr>
            <w:tcW w:w="3350" w:type="pct"/>
            <w:vAlign w:val="center"/>
          </w:tcPr>
          <w:p w14:paraId="3D57633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cs="宋体"/>
                <w:color w:val="auto"/>
                <w:spacing w:val="14"/>
                <w:sz w:val="24"/>
                <w:szCs w:val="24"/>
                <w:highlight w:val="none"/>
              </w:rPr>
              <w:t>成交供应商</w:t>
            </w:r>
          </w:p>
          <w:p w14:paraId="1E5B7AC7">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银行转账</w:t>
            </w:r>
            <w:r>
              <w:rPr>
                <w:rFonts w:ascii="宋体" w:hAnsi="宋体" w:eastAsia="宋体" w:cs="宋体"/>
                <w:color w:val="auto"/>
                <w:sz w:val="24"/>
                <w:szCs w:val="24"/>
                <w:highlight w:val="none"/>
                <w:u w:val="single"/>
              </w:rPr>
              <w:t xml:space="preserve">  </w:t>
            </w:r>
          </w:p>
          <w:p w14:paraId="20C3D46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b w:val="0"/>
                <w:color w:val="auto"/>
                <w:sz w:val="24"/>
                <w:highlight w:val="none"/>
                <w:u w:val="none"/>
                <w:lang w:val="en-US" w:eastAsia="zh-CN"/>
              </w:rPr>
              <w:t>代理费3000</w:t>
            </w:r>
            <w:r>
              <w:rPr>
                <w:rFonts w:hint="eastAsia" w:ascii="宋体" w:hAnsi="宋体" w:eastAsia="宋体" w:cs="宋体"/>
                <w:b w:val="0"/>
                <w:bCs w:val="0"/>
                <w:color w:val="auto"/>
                <w:sz w:val="24"/>
                <w:szCs w:val="24"/>
                <w:highlight w:val="none"/>
                <w:u w:val="none"/>
                <w:lang w:val="en-US" w:eastAsia="zh-CN"/>
              </w:rPr>
              <w:t>元。专家评审费约1240元</w:t>
            </w:r>
            <w:r>
              <w:rPr>
                <w:rFonts w:hint="eastAsia" w:ascii="宋体" w:hAnsi="宋体" w:eastAsia="宋体"/>
                <w:b w:val="0"/>
                <w:color w:val="auto"/>
                <w:sz w:val="24"/>
                <w:highlight w:val="none"/>
                <w:u w:val="none"/>
                <w:lang w:val="en-US" w:eastAsia="zh-CN"/>
              </w:rPr>
              <w:t>（最终以实际发生为准，按实计收），成交供应商在领取成交通知书前一次性支付给代理公司；</w:t>
            </w:r>
          </w:p>
        </w:tc>
      </w:tr>
      <w:tr w14:paraId="5E49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3FC90F5">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25.1</w:t>
            </w:r>
          </w:p>
        </w:tc>
        <w:tc>
          <w:tcPr>
            <w:tcW w:w="1072" w:type="pct"/>
            <w:vAlign w:val="center"/>
          </w:tcPr>
          <w:p w14:paraId="662D7216">
            <w:pPr>
              <w:pStyle w:val="45"/>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签订合同</w:t>
            </w:r>
          </w:p>
        </w:tc>
        <w:tc>
          <w:tcPr>
            <w:tcW w:w="3350" w:type="pct"/>
            <w:vAlign w:val="center"/>
          </w:tcPr>
          <w:p w14:paraId="71ACE8E8">
            <w:pPr>
              <w:pStyle w:val="4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lang w:val="en-US" w:eastAsia="zh-CN"/>
              </w:rPr>
              <w:t>采购人与成交供应商应当自成交通知书发出之日起30日内签订合同。</w:t>
            </w:r>
          </w:p>
        </w:tc>
      </w:tr>
      <w:tr w14:paraId="7F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0066954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3</w:t>
            </w:r>
          </w:p>
        </w:tc>
        <w:tc>
          <w:tcPr>
            <w:tcW w:w="1072" w:type="pct"/>
            <w:vAlign w:val="center"/>
          </w:tcPr>
          <w:p w14:paraId="5EE1F34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50" w:type="pct"/>
            <w:vAlign w:val="center"/>
          </w:tcPr>
          <w:p w14:paraId="646E869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szCs w:val="24"/>
                <w:highlight w:val="none"/>
              </w:rPr>
              <w:t>如</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对</w:t>
            </w:r>
            <w:r>
              <w:rPr>
                <w:rFonts w:hint="eastAsia" w:ascii="宋体" w:hAnsi="宋体" w:eastAsia="宋体" w:cs="宋体"/>
                <w:b w:val="0"/>
                <w:color w:val="auto"/>
                <w:sz w:val="24"/>
                <w:szCs w:val="24"/>
                <w:highlight w:val="none"/>
                <w:lang w:val="en-US" w:eastAsia="zh-CN"/>
              </w:rPr>
              <w:t>询价采购</w:t>
            </w:r>
            <w:r>
              <w:rPr>
                <w:rFonts w:hint="eastAsia" w:ascii="宋体" w:hAnsi="宋体" w:eastAsia="宋体" w:cs="宋体"/>
                <w:b w:val="0"/>
                <w:color w:val="auto"/>
                <w:sz w:val="24"/>
                <w:szCs w:val="24"/>
                <w:highlight w:val="none"/>
              </w:rPr>
              <w:t>文件有疑问，请于</w:t>
            </w:r>
            <w:r>
              <w:rPr>
                <w:rFonts w:hint="eastAsia" w:ascii="宋体" w:hAnsi="宋体" w:eastAsia="宋体" w:cs="宋体"/>
                <w:b w:val="0"/>
                <w:color w:val="auto"/>
                <w:sz w:val="24"/>
                <w:szCs w:val="24"/>
                <w:highlight w:val="none"/>
                <w:lang w:eastAsia="zh-CN"/>
              </w:rPr>
              <w:t>2026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lang w:val="en-US" w:eastAsia="zh-CN"/>
              </w:rPr>
              <w:t>8</w:t>
            </w: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b w:val="0"/>
                <w:color w:val="auto"/>
                <w:sz w:val="24"/>
                <w:szCs w:val="24"/>
                <w:highlight w:val="none"/>
              </w:rPr>
              <w:t>日</w:t>
            </w:r>
            <w:r>
              <w:rPr>
                <w:rFonts w:hint="eastAsia" w:ascii="宋体" w:hAnsi="宋体" w:eastAsia="宋体" w:cs="宋体"/>
                <w:b w:val="0"/>
                <w:color w:val="auto"/>
                <w:sz w:val="24"/>
                <w:szCs w:val="24"/>
                <w:highlight w:val="none"/>
                <w:lang w:val="en-US" w:eastAsia="zh-CN"/>
              </w:rPr>
              <w:t>17</w:t>
            </w:r>
            <w:r>
              <w:rPr>
                <w:rFonts w:hint="eastAsia" w:ascii="宋体" w:hAnsi="宋体" w:eastAsia="宋体" w:cs="宋体"/>
                <w:b w:val="0"/>
                <w:color w:val="auto"/>
                <w:sz w:val="24"/>
                <w:szCs w:val="24"/>
                <w:highlight w:val="none"/>
              </w:rPr>
              <w:t>时前</w:t>
            </w:r>
            <w:r>
              <w:rPr>
                <w:rFonts w:hint="eastAsia" w:ascii="宋体" w:hAnsi="宋体" w:eastAsia="宋体" w:cs="宋体"/>
                <w:b w:val="0"/>
                <w:color w:val="auto"/>
                <w:sz w:val="24"/>
                <w:szCs w:val="24"/>
                <w:highlight w:val="none"/>
                <w:lang w:val="en-US" w:eastAsia="zh-CN"/>
              </w:rPr>
              <w:t>通过新点电子交易平台【滁州专区】对询价采购文件提出澄清（质疑）</w:t>
            </w:r>
            <w:r>
              <w:rPr>
                <w:rFonts w:hint="eastAsia" w:ascii="宋体" w:hAnsi="宋体" w:eastAsia="宋体" w:cs="宋体"/>
                <w:b w:val="0"/>
                <w:color w:val="auto"/>
                <w:sz w:val="24"/>
                <w:szCs w:val="24"/>
                <w:highlight w:val="none"/>
              </w:rPr>
              <w:t>，</w:t>
            </w:r>
            <w:r>
              <w:rPr>
                <w:rFonts w:hint="eastAsia" w:ascii="宋体" w:hAnsi="宋体" w:eastAsia="宋体" w:cs="宋体"/>
                <w:b w:val="0"/>
                <w:color w:val="auto"/>
                <w:sz w:val="24"/>
                <w:szCs w:val="24"/>
                <w:highlight w:val="none"/>
                <w:lang w:val="en-US" w:eastAsia="zh-CN"/>
              </w:rPr>
              <w:t>采购人</w:t>
            </w:r>
            <w:r>
              <w:rPr>
                <w:rFonts w:hint="eastAsia" w:ascii="宋体" w:hAnsi="宋体" w:eastAsia="宋体" w:cs="宋体"/>
                <w:b w:val="0"/>
                <w:color w:val="auto"/>
                <w:sz w:val="24"/>
                <w:szCs w:val="24"/>
                <w:highlight w:val="none"/>
              </w:rPr>
              <w:t>将在</w:t>
            </w:r>
            <w:r>
              <w:rPr>
                <w:rFonts w:hint="eastAsia" w:ascii="宋体" w:hAnsi="宋体" w:eastAsia="宋体" w:cs="宋体"/>
                <w:b w:val="0"/>
                <w:color w:val="auto"/>
                <w:sz w:val="24"/>
                <w:szCs w:val="24"/>
                <w:highlight w:val="none"/>
                <w:lang w:eastAsia="zh-CN"/>
              </w:rPr>
              <w:t>2026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rPr>
              <w:fldChar w:fldCharType="end"/>
            </w:r>
            <w:r>
              <w:rPr>
                <w:rFonts w:hint="eastAsia" w:ascii="宋体" w:hAnsi="宋体" w:eastAsia="宋体" w:cs="宋体"/>
                <w:b w:val="0"/>
                <w:color w:val="auto"/>
                <w:sz w:val="24"/>
                <w:szCs w:val="24"/>
                <w:highlight w:val="none"/>
                <w:lang w:val="en-US" w:eastAsia="zh-CN"/>
              </w:rPr>
              <w:t>9</w:t>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时后</w:t>
            </w:r>
            <w:r>
              <w:rPr>
                <w:rFonts w:hint="eastAsia" w:ascii="宋体" w:hAnsi="宋体" w:eastAsia="宋体" w:cs="宋体"/>
                <w:b w:val="0"/>
                <w:color w:val="auto"/>
                <w:sz w:val="24"/>
                <w:szCs w:val="24"/>
                <w:highlight w:val="none"/>
                <w:lang w:eastAsia="zh-CN"/>
              </w:rPr>
              <w:t>在</w:t>
            </w:r>
            <w:r>
              <w:rPr>
                <w:rFonts w:hint="eastAsia" w:ascii="宋体" w:hAnsi="宋体" w:eastAsia="宋体" w:cs="宋体"/>
                <w:b w:val="0"/>
                <w:color w:val="auto"/>
                <w:sz w:val="24"/>
                <w:szCs w:val="24"/>
                <w:highlight w:val="none"/>
              </w:rPr>
              <w:t>滁州市城投工程咨询管理有限公司（https://www.czctgczx.com/）</w:t>
            </w:r>
            <w:r>
              <w:rPr>
                <w:rFonts w:hint="eastAsia" w:ascii="宋体" w:hAnsi="宋体" w:eastAsia="宋体" w:cs="宋体"/>
                <w:b w:val="0"/>
                <w:color w:val="auto"/>
                <w:sz w:val="24"/>
                <w:szCs w:val="24"/>
                <w:highlight w:val="none"/>
                <w:lang w:val="en-US" w:eastAsia="zh-CN"/>
              </w:rPr>
              <w:t>网站发布</w:t>
            </w:r>
            <w:r>
              <w:rPr>
                <w:rFonts w:hint="eastAsia" w:ascii="宋体" w:hAnsi="宋体" w:eastAsia="宋体" w:cs="宋体"/>
                <w:b w:val="0"/>
                <w:color w:val="auto"/>
                <w:sz w:val="24"/>
                <w:szCs w:val="24"/>
                <w:highlight w:val="none"/>
              </w:rPr>
              <w:t>，请各位</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注意查看有关澄清内容，如不及时查看造成后果由</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自负。</w:t>
            </w:r>
          </w:p>
        </w:tc>
      </w:tr>
      <w:tr w14:paraId="0F4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3A2A1FF8">
            <w:pPr>
              <w:pStyle w:val="45"/>
              <w:widowControl w:val="0"/>
              <w:spacing w:before="0" w:beforeAutospacing="0" w:after="0" w:afterAutospacing="0" w:line="360" w:lineRule="auto"/>
              <w:jc w:val="center"/>
              <w:rPr>
                <w:rFonts w:ascii="宋体" w:hAnsi="宋体" w:eastAsia="宋体" w:cs="宋体"/>
                <w:b w:val="0"/>
                <w:color w:val="auto"/>
                <w:kern w:val="2"/>
                <w:sz w:val="24"/>
                <w:szCs w:val="24"/>
                <w:highlight w:val="none"/>
                <w:lang w:bidi="ar"/>
              </w:rPr>
            </w:pPr>
            <w:r>
              <w:rPr>
                <w:rFonts w:hint="eastAsia" w:ascii="宋体" w:hAnsi="宋体" w:eastAsia="宋体" w:cs="宋体"/>
                <w:b/>
                <w:bCs/>
                <w:color w:val="auto"/>
                <w:sz w:val="21"/>
                <w:szCs w:val="21"/>
                <w:highlight w:val="none"/>
              </w:rPr>
              <w:t>需要补充的其他内容</w:t>
            </w:r>
          </w:p>
        </w:tc>
      </w:tr>
      <w:tr w14:paraId="5D92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6A8FCA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w:t>
            </w:r>
          </w:p>
        </w:tc>
        <w:tc>
          <w:tcPr>
            <w:tcW w:w="1072" w:type="pct"/>
            <w:vAlign w:val="center"/>
          </w:tcPr>
          <w:p w14:paraId="2FFE3CEA">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电子招标投标</w:t>
            </w:r>
          </w:p>
        </w:tc>
        <w:tc>
          <w:tcPr>
            <w:tcW w:w="3350" w:type="pct"/>
            <w:vAlign w:val="center"/>
          </w:tcPr>
          <w:p w14:paraId="01678FB7">
            <w:pPr>
              <w:keepNext w:val="0"/>
              <w:keepLines w:val="0"/>
              <w:pageBreakBefore w:val="0"/>
              <w:kinsoku/>
              <w:overflowPunct/>
              <w:topLinePunct w:val="0"/>
              <w:autoSpaceDE/>
              <w:autoSpaceDN/>
              <w:bidi w:val="0"/>
              <w:spacing w:line="440" w:lineRule="exact"/>
              <w:jc w:val="left"/>
              <w:textAlignment w:val="auto"/>
              <w:rPr>
                <w:rFonts w:ascii="宋体" w:hAnsi="宋体" w:eastAsia="宋体" w:cs="宋体"/>
                <w:b w:val="0"/>
                <w:color w:val="auto"/>
                <w:kern w:val="2"/>
                <w:sz w:val="24"/>
                <w:szCs w:val="24"/>
                <w:highlight w:val="none"/>
                <w:lang w:bidi="ar"/>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b w:val="0"/>
                <w:bCs/>
                <w:color w:val="auto"/>
                <w:kern w:val="0"/>
                <w:sz w:val="24"/>
                <w:szCs w:val="24"/>
                <w:highlight w:val="none"/>
                <w:lang w:val="en-US" w:eastAsia="zh-CN" w:bidi="ar-SA"/>
              </w:rPr>
              <w:t>是，具体要求：按询价采购文件规定。</w:t>
            </w:r>
          </w:p>
        </w:tc>
      </w:tr>
      <w:tr w14:paraId="1191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2C69D64">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w:t>
            </w:r>
          </w:p>
        </w:tc>
        <w:tc>
          <w:tcPr>
            <w:tcW w:w="1072" w:type="pct"/>
            <w:vAlign w:val="center"/>
          </w:tcPr>
          <w:p w14:paraId="65817853">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付款方式</w:t>
            </w:r>
          </w:p>
        </w:tc>
        <w:tc>
          <w:tcPr>
            <w:tcW w:w="3350" w:type="pct"/>
            <w:vAlign w:val="center"/>
          </w:tcPr>
          <w:p w14:paraId="2109CC28">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default"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运维期服务费每半年结算支付，成交供应商提交的结算资料经审核同意后一个月内完成付款。</w:t>
            </w:r>
          </w:p>
          <w:p w14:paraId="18FF4928">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本项目合同签订由采购人与成交供应商签订，付款时由成交供应商按照明巢、来六、滁合公司对应金额分别向对应单位请款。支付前成交供应商须提供等额增值税专用发票。</w:t>
            </w:r>
          </w:p>
        </w:tc>
      </w:tr>
      <w:tr w14:paraId="731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B59C5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3</w:t>
            </w:r>
          </w:p>
        </w:tc>
        <w:tc>
          <w:tcPr>
            <w:tcW w:w="1072" w:type="pct"/>
            <w:vAlign w:val="center"/>
          </w:tcPr>
          <w:p w14:paraId="71DDFC3C">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评审过程中的澄清、说明或补正</w:t>
            </w:r>
          </w:p>
        </w:tc>
        <w:tc>
          <w:tcPr>
            <w:tcW w:w="3350" w:type="pct"/>
            <w:vAlign w:val="center"/>
          </w:tcPr>
          <w:p w14:paraId="25EDA310">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（1）询价小组通过网上招投标系统将需要澄清、说明或补正的内容以询标函的形式发送给供应商，供应商应安排专人登录网上招投标系统并保持在线状态，以便及时接收询价小组可能发出的询标函。</w:t>
            </w:r>
          </w:p>
          <w:p w14:paraId="30B50F4F">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tc>
      </w:tr>
      <w:tr w14:paraId="5450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E3B9F58">
            <w:pPr>
              <w:pStyle w:val="46"/>
              <w:pBdr>
                <w:bottom w:val="none" w:color="auto" w:sz="0" w:space="0"/>
              </w:pBdr>
              <w:tabs>
                <w:tab w:val="clear" w:pos="4153"/>
                <w:tab w:val="clear" w:pos="8306"/>
              </w:tabs>
              <w:adjustRightInd/>
              <w:spacing w:line="240" w:lineRule="auto"/>
              <w:textAlignment w:val="auto"/>
              <w:rPr>
                <w:rFonts w:hint="default"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4</w:t>
            </w:r>
          </w:p>
        </w:tc>
        <w:tc>
          <w:tcPr>
            <w:tcW w:w="2028" w:type="dxa"/>
            <w:vAlign w:val="center"/>
          </w:tcPr>
          <w:p w14:paraId="47295A48">
            <w:pPr>
              <w:pStyle w:val="46"/>
              <w:pBdr>
                <w:bottom w:val="none" w:color="auto" w:sz="0" w:space="0"/>
              </w:pBdr>
              <w:tabs>
                <w:tab w:val="clear" w:pos="4153"/>
                <w:tab w:val="clear" w:pos="8306"/>
              </w:tabs>
              <w:adjustRightInd/>
              <w:spacing w:line="400" w:lineRule="exac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重要说明</w:t>
            </w:r>
          </w:p>
        </w:tc>
        <w:tc>
          <w:tcPr>
            <w:tcW w:w="6339" w:type="dxa"/>
            <w:vAlign w:val="center"/>
          </w:tcPr>
          <w:p w14:paraId="6EBA5873">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bCs w:val="0"/>
                <w:color w:val="auto"/>
                <w:szCs w:val="21"/>
                <w:highlight w:val="none"/>
                <w:lang w:val="en-US" w:eastAsia="zh-CN"/>
              </w:rPr>
              <w:t>响应文件递交截止时间止提交响应文件的供应商少于3家或经评审符合采购文件要求的供应商不足3家的，可在合格供应商中按照最低价原则确定成交候选人。</w:t>
            </w:r>
          </w:p>
        </w:tc>
      </w:tr>
    </w:tbl>
    <w:p w14:paraId="2D465309">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4" w:name="_Toc29229"/>
      <w:bookmarkStart w:id="25"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4"/>
      <w:bookmarkEnd w:id="25"/>
    </w:p>
    <w:p w14:paraId="321F8C7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w:t>
      </w:r>
      <w:r>
        <w:rPr>
          <w:rFonts w:hint="eastAsia" w:asciiTheme="minorEastAsia" w:hAnsiTheme="minorEastAsia" w:eastAsiaTheme="minorEastAsia"/>
          <w:b/>
          <w:color w:val="auto"/>
          <w:sz w:val="24"/>
          <w:highlight w:val="none"/>
          <w:lang w:eastAsia="zh-CN"/>
        </w:rPr>
        <w:t>代理机构</w:t>
      </w:r>
      <w:r>
        <w:rPr>
          <w:rFonts w:hint="eastAsia" w:asciiTheme="minorEastAsia" w:hAnsiTheme="minorEastAsia" w:eastAsiaTheme="minorEastAsia"/>
          <w:b/>
          <w:color w:val="auto"/>
          <w:sz w:val="24"/>
          <w:highlight w:val="none"/>
        </w:rPr>
        <w:t>及供应商</w:t>
      </w:r>
    </w:p>
    <w:p w14:paraId="5290322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.1采购人：</w:t>
      </w:r>
      <w:r>
        <w:rPr>
          <w:rFonts w:hint="eastAsia" w:asciiTheme="minorEastAsia" w:hAnsiTheme="minorEastAsia" w:eastAsiaTheme="minorEastAsia"/>
          <w:color w:val="auto"/>
          <w:sz w:val="24"/>
          <w:highlight w:val="none"/>
          <w:lang w:val="en-US" w:eastAsia="zh-CN"/>
        </w:rPr>
        <w:t>滁州市城投交通控股有限公司</w:t>
      </w:r>
      <w:r>
        <w:rPr>
          <w:rFonts w:asciiTheme="minorEastAsia" w:hAnsiTheme="minorEastAsia" w:eastAsiaTheme="minorEastAsia"/>
          <w:color w:val="auto"/>
          <w:sz w:val="24"/>
          <w:highlight w:val="none"/>
        </w:rPr>
        <w:t>。</w:t>
      </w:r>
    </w:p>
    <w:p w14:paraId="2A5ABE1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滁州市城投工程咨询管理有限公司</w:t>
      </w:r>
      <w:r>
        <w:rPr>
          <w:rFonts w:asciiTheme="minorEastAsia" w:hAnsiTheme="minorEastAsia" w:eastAsiaTheme="minorEastAsia"/>
          <w:color w:val="auto"/>
          <w:sz w:val="24"/>
          <w:highlight w:val="none"/>
        </w:rPr>
        <w:t>。</w:t>
      </w:r>
    </w:p>
    <w:p w14:paraId="0535F59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lang w:val="en-US" w:eastAsia="zh-CN"/>
        </w:rPr>
        <w:t>滁州市城投交通控股有限公司或上级单位的纪检或监察部门</w:t>
      </w:r>
      <w:r>
        <w:rPr>
          <w:rFonts w:hint="eastAsia" w:asciiTheme="minorEastAsia" w:hAnsiTheme="minorEastAsia" w:eastAsiaTheme="minorEastAsia"/>
          <w:color w:val="auto"/>
          <w:sz w:val="24"/>
          <w:highlight w:val="none"/>
        </w:rPr>
        <w:t>。</w:t>
      </w:r>
    </w:p>
    <w:p w14:paraId="74D0821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.4供应商：是指</w:t>
      </w:r>
      <w:r>
        <w:rPr>
          <w:rFonts w:hint="eastAsia" w:asciiTheme="minorEastAsia" w:hAnsiTheme="minorEastAsia" w:eastAsiaTheme="minorEastAsia"/>
          <w:color w:val="auto"/>
          <w:sz w:val="24"/>
          <w:highlight w:val="none"/>
          <w:lang w:val="en-US" w:eastAsia="zh-CN"/>
        </w:rPr>
        <w:t>满足本项目参与条件的单位</w:t>
      </w:r>
      <w:r>
        <w:rPr>
          <w:rFonts w:hint="eastAsia" w:asciiTheme="minorEastAsia" w:hAnsiTheme="minorEastAsia" w:eastAsiaTheme="minorEastAsia"/>
          <w:color w:val="auto"/>
          <w:sz w:val="24"/>
          <w:highlight w:val="none"/>
        </w:rPr>
        <w:t>。</w:t>
      </w:r>
    </w:p>
    <w:p w14:paraId="46B640D2">
      <w:pPr>
        <w:spacing w:line="460" w:lineRule="exact"/>
        <w:ind w:firstLine="435"/>
        <w:rPr>
          <w:rFonts w:asciiTheme="minorEastAsia" w:hAnsiTheme="minorEastAsia" w:eastAsiaTheme="minorEastAsia"/>
          <w:color w:val="auto"/>
          <w:sz w:val="24"/>
          <w:highlight w:val="none"/>
        </w:rPr>
      </w:pPr>
      <w:bookmarkStart w:id="26" w:name="_Hlk60605411"/>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bookmarkEnd w:id="26"/>
      <w:r>
        <w:rPr>
          <w:rFonts w:hint="eastAsia" w:ascii="宋体" w:hAnsi="宋体" w:eastAsia="宋体"/>
          <w:bCs/>
          <w:color w:val="auto"/>
          <w:kern w:val="0"/>
          <w:sz w:val="24"/>
          <w:szCs w:val="28"/>
          <w:highlight w:val="none"/>
          <w:lang w:val="en-US" w:eastAsia="zh-CN"/>
        </w:rPr>
        <w:t>本项目不接受联合体</w:t>
      </w:r>
      <w:r>
        <w:rPr>
          <w:rFonts w:asciiTheme="minorEastAsia" w:hAnsiTheme="minorEastAsia" w:eastAsiaTheme="minorEastAsia"/>
          <w:color w:val="auto"/>
          <w:sz w:val="24"/>
          <w:highlight w:val="none"/>
        </w:rPr>
        <w:t>。</w:t>
      </w:r>
    </w:p>
    <w:p w14:paraId="0B8D59B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734852E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本项目的采购人已获得足以支付本次采购后所签订的合同项下的资金。</w:t>
      </w:r>
    </w:p>
    <w:p w14:paraId="1E7B922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72D3428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72FB563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AE3A63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参照</w:t>
      </w:r>
      <w:r>
        <w:rPr>
          <w:rFonts w:hint="eastAsia" w:asciiTheme="minorEastAsia" w:hAnsiTheme="minorEastAsia" w:eastAsiaTheme="minorEastAsia"/>
          <w:color w:val="auto"/>
          <w:sz w:val="24"/>
          <w:highlight w:val="none"/>
        </w:rPr>
        <w:t>《中华人民共和国政府采购法》、《中华人民共和国政府采购法实施条例》有关规定的约束，其权利受到上述法律法规的保护。</w:t>
      </w:r>
    </w:p>
    <w:p w14:paraId="555F455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构成</w:t>
      </w:r>
    </w:p>
    <w:p w14:paraId="7F7B383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5.1</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包括下列内容：</w:t>
      </w:r>
    </w:p>
    <w:p w14:paraId="3597D84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5F83DC89">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7FC12A3">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4BB1BC">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532EFD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合同</w:t>
      </w:r>
    </w:p>
    <w:p w14:paraId="0E5945F4">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07BC3A00">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9DF5F8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本项目不组织</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w:t>
      </w:r>
    </w:p>
    <w:p w14:paraId="4A2518B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不要求供应商提供样品。除仅凭书面方式不能准确描述采购需求，或者需要对样品进行主观判断以确认是否满足采购需求等特殊情况除外。</w:t>
      </w:r>
    </w:p>
    <w:p w14:paraId="7D3139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4BC5B0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供应商应认真阅读</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所有的事项、格式、条款和技术规范等。</w:t>
      </w:r>
    </w:p>
    <w:p w14:paraId="3F10FC5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的澄清与修改</w:t>
      </w:r>
    </w:p>
    <w:p w14:paraId="4EE7F52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提交给代理机构。</w:t>
      </w:r>
    </w:p>
    <w:p w14:paraId="5D1C2A6B">
      <w:pPr>
        <w:keepNext w:val="0"/>
        <w:keepLines w:val="0"/>
        <w:pageBreakBefore w:val="0"/>
        <w:widowControl w:val="0"/>
        <w:kinsoku/>
        <w:wordWrap w:val="0"/>
        <w:overflowPunct/>
        <w:topLinePunct w:val="0"/>
        <w:autoSpaceDE/>
        <w:autoSpaceDN/>
        <w:bidi w:val="0"/>
        <w:adjustRightInd/>
        <w:snapToGrid/>
        <w:spacing w:line="46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进行澄清与修改。</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Theme="minorEastAsia" w:hAnsiTheme="minorEastAsia" w:eastAsiaTheme="minorEastAsia"/>
          <w:color w:val="auto"/>
          <w:sz w:val="24"/>
          <w:highlight w:val="none"/>
        </w:rPr>
        <w:t>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不承担供应商未及时关注相关信息引发的相关责任。</w:t>
      </w:r>
    </w:p>
    <w:p w14:paraId="2C86D94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6.3任何人或任何组织向供应商提供的任何书面或口头资料，未经</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在网上发布或书面通知，均作无效处理，不得作为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的组成部分。</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对供应商由此而做出的推论、理解和结论概不负责。</w:t>
      </w:r>
    </w:p>
    <w:p w14:paraId="79FAB4BF">
      <w:pPr>
        <w:spacing w:line="460" w:lineRule="exact"/>
        <w:ind w:firstLine="435"/>
        <w:rPr>
          <w:rFonts w:hint="eastAsia" w:asciiTheme="minorEastAsia" w:hAnsiTheme="minorEastAsia" w:eastAsiaTheme="minorEastAsia"/>
          <w:i/>
          <w:iCs/>
          <w:color w:val="auto"/>
          <w:sz w:val="24"/>
          <w:highlight w:val="none"/>
          <w:lang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p>
    <w:p w14:paraId="112CDE9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3E0B982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4C1872CB">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5860873">
      <w:pPr>
        <w:spacing w:line="460" w:lineRule="exact"/>
        <w:ind w:firstLine="435"/>
        <w:rPr>
          <w:rFonts w:asciiTheme="minorEastAsia" w:hAnsiTheme="minorEastAsia" w:eastAsiaTheme="minorEastAsia"/>
          <w:color w:val="auto"/>
          <w:sz w:val="24"/>
          <w:highlight w:val="none"/>
        </w:rPr>
      </w:pPr>
      <w:bookmarkStart w:id="27"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7"/>
    <w:p w14:paraId="23A89A3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2CE8AD0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14C24F0">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22D3CA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.1供应商应完整地按</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70E2458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2供应商应提交</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要求的证明文件，证明其响应内容符合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8" w:name="_Hlk11703583"/>
      <w:r>
        <w:rPr>
          <w:rFonts w:asciiTheme="minorEastAsia" w:hAnsiTheme="minorEastAsia" w:eastAsiaTheme="minorEastAsia"/>
          <w:color w:val="auto"/>
          <w:sz w:val="24"/>
          <w:highlight w:val="none"/>
        </w:rPr>
        <w:t>。</w:t>
      </w:r>
    </w:p>
    <w:bookmarkEnd w:id="28"/>
    <w:p w14:paraId="799CC38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77104C2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18B0E5D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9" w:name="_Hlk23199390"/>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9"/>
    </w:p>
    <w:p w14:paraId="6006ED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9.2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2328124D">
      <w:pPr>
        <w:spacing w:line="460" w:lineRule="exact"/>
        <w:ind w:firstLine="435"/>
        <w:rPr>
          <w:rFonts w:asciiTheme="minorEastAsia" w:hAnsiTheme="minorEastAsia" w:eastAsiaTheme="minorEastAsia"/>
          <w:color w:val="auto"/>
          <w:sz w:val="24"/>
          <w:highlight w:val="none"/>
        </w:rPr>
      </w:pPr>
      <w:bookmarkStart w:id="30" w:name="_Hlk23199512"/>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30"/>
    <w:p w14:paraId="56768E1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B3E05F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606387C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B4188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131DA5F4">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3C9ED91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6B6B860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1.1供应商应当在询价公告规定的响应文件提交截止时间前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314D6D6">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1.2供应商应在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4BC395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3ED36D6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5C4C36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3C89FB9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142943C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的规定，从响应文件的有效性和完整性对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的响应程度进行审查，以确定是否对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的实质性要求做出响应。</w:t>
      </w:r>
    </w:p>
    <w:p w14:paraId="5FAA3AD9">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书面提出回避申请，并说明理由。</w:t>
      </w:r>
    </w:p>
    <w:p w14:paraId="7E0716F8">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5955F4D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应当</w:t>
      </w:r>
      <w:bookmarkStart w:id="31" w:name="_Hlk22478676"/>
      <w:r>
        <w:rPr>
          <w:rFonts w:asciiTheme="minorEastAsia" w:hAnsiTheme="minorEastAsia" w:eastAsiaTheme="minorEastAsia"/>
          <w:color w:val="auto"/>
          <w:sz w:val="24"/>
          <w:highlight w:val="none"/>
        </w:rPr>
        <w:t>终止询价</w:t>
      </w:r>
      <w:bookmarkEnd w:id="31"/>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66FE232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16D11A4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53C0404">
      <w:pPr>
        <w:spacing w:line="460" w:lineRule="exact"/>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（3</w:t>
      </w:r>
      <w:r>
        <w:rPr>
          <w:rFonts w:asciiTheme="minorEastAsia" w:hAnsiTheme="minorEastAsia" w:eastAsiaTheme="minorEastAsia"/>
          <w:b/>
          <w:bCs/>
          <w:color w:val="auto"/>
          <w:sz w:val="24"/>
          <w:highlight w:val="none"/>
        </w:rPr>
        <w:t>）在采购过程中符合竞争要求的供应商或者报价未超过采购预算的供应商不足3</w:t>
      </w:r>
      <w:r>
        <w:rPr>
          <w:rFonts w:hint="eastAsia" w:asciiTheme="minorEastAsia" w:hAnsiTheme="minorEastAsia" w:eastAsiaTheme="minorEastAsia"/>
          <w:b/>
          <w:bCs/>
          <w:color w:val="auto"/>
          <w:sz w:val="24"/>
          <w:highlight w:val="none"/>
        </w:rPr>
        <w:t>家的。</w:t>
      </w:r>
      <w:r>
        <w:rPr>
          <w:rFonts w:hint="eastAsia" w:asciiTheme="minorEastAsia" w:hAnsiTheme="minorEastAsia" w:eastAsiaTheme="minorEastAsia"/>
          <w:b/>
          <w:bCs/>
          <w:color w:val="auto"/>
          <w:sz w:val="24"/>
          <w:highlight w:val="none"/>
          <w:lang w:val="en-US" w:eastAsia="zh-CN"/>
        </w:rPr>
        <w:t>第一次采购失败原则上进行第二次公开询价。</w:t>
      </w:r>
    </w:p>
    <w:p w14:paraId="37A3459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7F654DA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2C0D2B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15.2询价小组要求供应商澄清、说明或者更正响应文件应当以书面形式（询标）作出。供应商的澄清、说明或者更正应当由法定代表人或其授权代表签字或者加盖公章（电子签章）。</w:t>
      </w:r>
    </w:p>
    <w:p w14:paraId="683C9B08">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r>
        <w:rPr>
          <w:rFonts w:hint="eastAsia" w:asciiTheme="minorEastAsia" w:hAnsiTheme="minorEastAsia" w:eastAsiaTheme="minorEastAsia"/>
          <w:b/>
          <w:color w:val="auto"/>
          <w:sz w:val="24"/>
          <w:highlight w:val="none"/>
          <w:lang w:val="en-US" w:eastAsia="zh-CN"/>
        </w:rPr>
        <w:t>本项目采用远程开标，具体操作方法详见服务指南&gt;交易须知&gt;开标大厅远程解密、质疑(异议)及回复以及评标过程中询标流程操作手册</w:t>
      </w:r>
      <w:r>
        <w:rPr>
          <w:rFonts w:hint="eastAsia" w:asciiTheme="minorEastAsia" w:hAnsiTheme="minorEastAsia" w:eastAsiaTheme="minorEastAsia"/>
          <w:b/>
          <w:color w:val="auto"/>
          <w:sz w:val="24"/>
          <w:highlight w:val="none"/>
        </w:rPr>
        <w:t>。</w:t>
      </w:r>
    </w:p>
    <w:p w14:paraId="5967CEF6">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27E6B22E">
      <w:pPr>
        <w:spacing w:line="460" w:lineRule="exact"/>
        <w:ind w:firstLine="435"/>
        <w:rPr>
          <w:rFonts w:asciiTheme="minorEastAsia" w:hAnsiTheme="minorEastAsia" w:eastAsiaTheme="minorEastAsia"/>
          <w:color w:val="auto"/>
          <w:sz w:val="24"/>
          <w:highlight w:val="none"/>
        </w:rPr>
      </w:pPr>
      <w:bookmarkStart w:id="32" w:name="_Hlk60605471"/>
      <w:r>
        <w:rPr>
          <w:rFonts w:hint="eastAsia" w:ascii="宋体" w:hAnsi="宋体" w:eastAsia="宋体"/>
          <w:color w:val="auto"/>
          <w:sz w:val="24"/>
          <w:highlight w:val="none"/>
        </w:rPr>
        <w:t>16.1</w:t>
      </w:r>
      <w:r>
        <w:rPr>
          <w:rFonts w:asciiTheme="minorEastAsia" w:hAnsiTheme="minorEastAsia" w:eastAsiaTheme="minorEastAsia"/>
          <w:color w:val="auto"/>
          <w:sz w:val="24"/>
          <w:highlight w:val="none"/>
        </w:rPr>
        <w:t>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审且报价最低的供应商获得成交候选人推荐资格；报价相同的，则由询价小组采取随机抽取方式确定。</w:t>
      </w:r>
      <w:bookmarkEnd w:id="32"/>
    </w:p>
    <w:p w14:paraId="34A9B3EA">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F72C7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询价小组应当从质量和服务均能满足询价</w:t>
      </w:r>
      <w:r>
        <w:rPr>
          <w:rFonts w:hint="eastAsia" w:asciiTheme="minorEastAsia" w:hAnsiTheme="minorEastAsia" w:eastAsiaTheme="minorEastAsia"/>
          <w:color w:val="auto"/>
          <w:sz w:val="24"/>
          <w:highlight w:val="none"/>
          <w:lang w:val="en-US" w:eastAsia="zh-CN"/>
        </w:rPr>
        <w:t>采购文件</w:t>
      </w:r>
      <w:r>
        <w:rPr>
          <w:rFonts w:hint="eastAsia" w:asciiTheme="minorEastAsia" w:hAnsiTheme="minorEastAsia" w:eastAsiaTheme="minorEastAsia"/>
          <w:color w:val="auto"/>
          <w:sz w:val="24"/>
          <w:highlight w:val="none"/>
        </w:rPr>
        <w:t>实质性响应要求的供应商中，按照报价由低到高的顺序提出</w:t>
      </w:r>
      <w:r>
        <w:rPr>
          <w:rFonts w:asciiTheme="minorEastAsia" w:hAnsiTheme="minorEastAsia" w:eastAsiaTheme="minorEastAsia"/>
          <w:color w:val="auto"/>
          <w:sz w:val="24"/>
          <w:highlight w:val="none"/>
        </w:rPr>
        <w:t>3名成交候选人</w:t>
      </w:r>
      <w:r>
        <w:rPr>
          <w:rFonts w:hint="eastAsia" w:asciiTheme="minorEastAsia" w:hAnsiTheme="minorEastAsia" w:eastAsiaTheme="minorEastAsia"/>
          <w:color w:val="auto"/>
          <w:sz w:val="24"/>
          <w:highlight w:val="none"/>
        </w:rPr>
        <w:t>。</w:t>
      </w:r>
    </w:p>
    <w:p w14:paraId="336DEF7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6A7ED9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5A135C0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38A0FB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6FC31ED4">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.保密要求</w:t>
      </w:r>
    </w:p>
    <w:p w14:paraId="5A83ACD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.1评审应在严格保密的情况下进行。</w:t>
      </w:r>
    </w:p>
    <w:p w14:paraId="4C7F63B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51B77D3D">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6080B13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未规定的，采取随机抽取的方式确定。</w:t>
      </w:r>
    </w:p>
    <w:p w14:paraId="43E759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宋体" w:hAnsi="宋体" w:eastAsia="宋体"/>
          <w:color w:val="auto"/>
          <w:sz w:val="24"/>
          <w:szCs w:val="18"/>
          <w:highlight w:val="none"/>
        </w:rPr>
        <w:t>网上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CFC4BE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5245A1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r>
        <w:rPr>
          <w:rFonts w:hint="eastAsia" w:asciiTheme="minorEastAsia" w:hAnsiTheme="minorEastAsia" w:eastAsiaTheme="minorEastAsia"/>
          <w:color w:val="auto"/>
          <w:sz w:val="24"/>
          <w:highlight w:val="none"/>
        </w:rPr>
        <w:t>中标通知书须加盖采购人、</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公章后，方可发出。</w:t>
      </w:r>
    </w:p>
    <w:p w14:paraId="10EED7A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0C532B93">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576A3D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3079BC73">
      <w:pPr>
        <w:spacing w:line="46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22.1在公告成交结果的同时，</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13F4E36C">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22.2代理机构对未成交的供应商不做未成交原因的解释</w:t>
      </w:r>
      <w:r>
        <w:rPr>
          <w:rFonts w:asciiTheme="minorEastAsia" w:hAnsiTheme="minorEastAsia" w:eastAsiaTheme="minorEastAsia"/>
          <w:color w:val="auto"/>
          <w:sz w:val="24"/>
          <w:highlight w:val="none"/>
        </w:rPr>
        <w:t>。</w:t>
      </w:r>
    </w:p>
    <w:p w14:paraId="0AEA43C8">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5163565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DD297C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13B2C677">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6FCE695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本项目代理费用的收取按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38CBC63C">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5C71E9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规定的时间内完成政府采购合同签订及合同公告。</w:t>
      </w:r>
    </w:p>
    <w:p w14:paraId="5FC446A9">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、成交供应商的响应文件及其澄清文件等，均为签订合同的依据。</w:t>
      </w:r>
    </w:p>
    <w:p w14:paraId="2138B78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3E6805C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25.4当出现法规规定的成交无效或成交结果无效情形时，采购人可依法与排名下一位的成交候选人另行签订合同，或依法重新开展采购活动。</w:t>
      </w:r>
    </w:p>
    <w:p w14:paraId="70ECC754">
      <w:pPr>
        <w:spacing w:line="460" w:lineRule="exact"/>
        <w:ind w:firstLine="437"/>
        <w:outlineLvl w:val="2"/>
        <w:rPr>
          <w:rFonts w:asciiTheme="minorEastAsia" w:hAnsiTheme="minorEastAsia" w:eastAsiaTheme="minorEastAsia"/>
          <w:b/>
          <w:color w:val="auto"/>
          <w:sz w:val="24"/>
          <w:highlight w:val="none"/>
        </w:rPr>
      </w:pPr>
      <w:bookmarkStart w:id="33" w:name="_Toc2583661"/>
      <w:bookmarkStart w:id="34" w:name="_Toc518923100"/>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3"/>
      <w:bookmarkEnd w:id="34"/>
    </w:p>
    <w:p w14:paraId="5B7BFED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D163D1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代理机构工作人员不得接受采购人或者供应商组织的宴请、旅游、娱乐，不得收受礼品、现金、有价证券等，不得向采购人或者供应商报销应当由个人承担的费用。</w:t>
      </w:r>
    </w:p>
    <w:p w14:paraId="47C41AA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0EE79A3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27.1供应商认为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、采购过程和成交结果使自己的权益受到损害的，可以在知道或者应知其权益受到损害之日起七个工作日内，以书面形式向采购人或其委托的</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提出质疑。</w:t>
      </w:r>
    </w:p>
    <w:p w14:paraId="7BDC566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27.2质疑供应商应按照财政部制定的《政府采购质疑函范本》格式（详见</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058D1C1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27.3</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41A52F3">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B3C6E30">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.需要补充的其他内容</w:t>
      </w:r>
    </w:p>
    <w:p w14:paraId="4B9CCC8D">
      <w:pPr>
        <w:spacing w:line="460" w:lineRule="exact"/>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07A19837">
      <w:pPr>
        <w:rPr>
          <w:rFonts w:hint="eastAsia" w:asciiTheme="minorEastAsia" w:hAnsiTheme="minorEastAsia" w:eastAsiaTheme="minorEastAsia"/>
          <w:color w:val="auto"/>
          <w:sz w:val="24"/>
          <w:highlight w:val="none"/>
        </w:rPr>
        <w:sectPr>
          <w:headerReference r:id="rId5" w:type="default"/>
          <w:footerReference r:id="rId6" w:type="default"/>
          <w:pgSz w:w="11905" w:h="16838"/>
          <w:pgMar w:top="1417" w:right="1417" w:bottom="1417" w:left="1417" w:header="851" w:footer="992" w:gutter="0"/>
          <w:pgNumType w:fmt="decimal" w:start="1"/>
          <w:cols w:space="0" w:num="1"/>
          <w:rtlGutter w:val="0"/>
          <w:docGrid w:type="lines" w:linePitch="313" w:charSpace="0"/>
        </w:sectPr>
      </w:pPr>
    </w:p>
    <w:p w14:paraId="32B20729">
      <w:pPr>
        <w:spacing w:line="380" w:lineRule="exact"/>
        <w:jc w:val="center"/>
        <w:outlineLvl w:val="0"/>
        <w:rPr>
          <w:rFonts w:asciiTheme="minorEastAsia" w:hAnsiTheme="minorEastAsia" w:eastAsiaTheme="minorEastAsia"/>
          <w:b/>
          <w:color w:val="auto"/>
          <w:sz w:val="28"/>
          <w:highlight w:val="none"/>
        </w:rPr>
      </w:pPr>
      <w:bookmarkStart w:id="35" w:name="_Toc1471"/>
      <w:r>
        <w:rPr>
          <w:rFonts w:hint="eastAsia" w:asciiTheme="minorEastAsia" w:hAnsiTheme="minorEastAsia" w:eastAsiaTheme="minorEastAsia"/>
          <w:b/>
          <w:color w:val="auto"/>
          <w:sz w:val="28"/>
          <w:highlight w:val="none"/>
        </w:rPr>
        <w:t>第三章  采购需求</w:t>
      </w:r>
      <w:bookmarkEnd w:id="35"/>
    </w:p>
    <w:p w14:paraId="4E61BA9B">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一、项目</w:t>
      </w:r>
      <w:r>
        <w:rPr>
          <w:rFonts w:hint="eastAsia" w:ascii="宋体" w:hAnsi="宋体" w:eastAsia="宋体" w:cs="宋体"/>
          <w:b/>
          <w:bCs/>
          <w:color w:val="auto"/>
          <w:sz w:val="28"/>
          <w:szCs w:val="28"/>
          <w:highlight w:val="none"/>
          <w:lang w:val="en-US" w:eastAsia="zh-CN"/>
        </w:rPr>
        <w:t>概况</w:t>
      </w:r>
    </w:p>
    <w:p w14:paraId="36EA060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服务范围为明合高速滁州段和来六高速路安徽段共计10座污水处理站的污水处理设备及收集回用管道的运维服务和来六高速安徽段施官服务区、宁信高速滁州段南谯服务区和章广收费站的污水收集、提升及输送管道等设施设备运维服务。</w:t>
      </w:r>
    </w:p>
    <w:p w14:paraId="34C3887D">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相关设备设施简况：明合高速滁州段和来六高速路安徽段共计10座污水处理站于2023年6月投入运行，其中明合高速滁州段的污水处理站在2024年9月至2026年8月期间由外委单位运维服务。来六高速安徽段施官服务区、宁信高速滁州段南谯服务区和章广收费站的污水处理相关设备设施于2026年2月投入运行，尚在工程质保期。</w:t>
      </w:r>
    </w:p>
    <w:p w14:paraId="7CE7F1D7">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二、服务内容</w:t>
      </w:r>
    </w:p>
    <w:p w14:paraId="0FFD3485">
      <w:pPr>
        <w:pStyle w:val="25"/>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500" w:lineRule="exact"/>
        <w:ind w:firstLine="482" w:firstLineChars="200"/>
        <w:jc w:val="both"/>
        <w:textAlignment w:val="auto"/>
        <w:rPr>
          <w:rFonts w:hint="default" w:ascii="宋体" w:hAnsi="宋体" w:eastAsia="宋体" w:cs="宋体"/>
          <w:b/>
          <w:bCs/>
          <w:i w:val="0"/>
          <w:iCs w:val="0"/>
          <w:caps w:val="0"/>
          <w:color w:val="auto"/>
          <w:spacing w:val="0"/>
          <w:kern w:val="2"/>
          <w:sz w:val="24"/>
          <w:szCs w:val="24"/>
          <w:highlight w:val="none"/>
          <w:shd w:val="clear" w:fill="FFFFFF"/>
          <w:lang w:val="en-US" w:eastAsia="zh-CN" w:bidi="ar-SA"/>
        </w:rPr>
      </w:pP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（一）污水处理设备管道运维</w:t>
      </w:r>
    </w:p>
    <w:p w14:paraId="46562D2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一体化污水处理站（MBR工艺）</w:t>
      </w:r>
      <w:r>
        <w:rPr>
          <w:rFonts w:hint="eastAsia" w:ascii="宋体" w:hAnsi="宋体" w:eastAsia="宋体" w:cs="宋体"/>
          <w:b/>
          <w:bCs/>
          <w:color w:val="auto"/>
          <w:sz w:val="24"/>
          <w:szCs w:val="24"/>
          <w:highlight w:val="none"/>
          <w:lang w:val="en-US" w:eastAsia="zh-CN"/>
        </w:rPr>
        <w:t>运维服务</w:t>
      </w:r>
    </w:p>
    <w:p w14:paraId="7BE953E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污水处理站数量及规模情况</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S09</w:t>
      </w:r>
      <w:r>
        <w:rPr>
          <w:rFonts w:hint="eastAsia" w:ascii="宋体" w:hAnsi="宋体" w:eastAsia="宋体" w:cs="宋体"/>
          <w:color w:val="auto"/>
          <w:sz w:val="24"/>
          <w:szCs w:val="24"/>
          <w:highlight w:val="none"/>
        </w:rPr>
        <w:t>明</w:t>
      </w:r>
      <w:r>
        <w:rPr>
          <w:rFonts w:hint="eastAsia" w:ascii="宋体" w:hAnsi="宋体" w:eastAsia="宋体" w:cs="宋体"/>
          <w:color w:val="auto"/>
          <w:sz w:val="24"/>
          <w:szCs w:val="24"/>
          <w:highlight w:val="none"/>
          <w:lang w:val="en-US" w:eastAsia="zh-CN"/>
        </w:rPr>
        <w:t>合</w:t>
      </w:r>
      <w:r>
        <w:rPr>
          <w:rFonts w:hint="eastAsia" w:ascii="宋体" w:hAnsi="宋体" w:eastAsia="宋体" w:cs="宋体"/>
          <w:color w:val="auto"/>
          <w:sz w:val="24"/>
          <w:szCs w:val="24"/>
          <w:highlight w:val="none"/>
        </w:rPr>
        <w:t>高速公路滁州段现设有8座，</w:t>
      </w:r>
      <w:r>
        <w:rPr>
          <w:rFonts w:hint="eastAsia" w:ascii="宋体" w:hAnsi="宋体" w:eastAsia="宋体" w:cs="宋体"/>
          <w:color w:val="auto"/>
          <w:sz w:val="24"/>
          <w:szCs w:val="24"/>
          <w:highlight w:val="none"/>
          <w:lang w:val="en-US" w:eastAsia="zh-CN"/>
        </w:rPr>
        <w:t>S2213来六高速公路安徽段现设有2座</w:t>
      </w:r>
      <w:r>
        <w:rPr>
          <w:rFonts w:hint="eastAsia" w:ascii="宋体" w:hAnsi="宋体" w:eastAsia="宋体" w:cs="宋体"/>
          <w:color w:val="auto"/>
          <w:sz w:val="24"/>
          <w:szCs w:val="24"/>
          <w:highlight w:val="none"/>
        </w:rPr>
        <w:t>。处理规模详见下表1-1。</w:t>
      </w:r>
    </w:p>
    <w:p w14:paraId="3D5AE077">
      <w:pPr>
        <w:spacing w:line="56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 1-1 污水处理站处理规模</w:t>
      </w:r>
    </w:p>
    <w:p w14:paraId="324B6AC3">
      <w:pPr>
        <w:spacing w:line="96" w:lineRule="exact"/>
        <w:rPr>
          <w:rFonts w:hint="eastAsia" w:ascii="宋体" w:hAnsi="宋体" w:eastAsia="宋体" w:cs="宋体"/>
          <w:color w:val="auto"/>
          <w:sz w:val="24"/>
          <w:szCs w:val="24"/>
          <w:highlight w:val="none"/>
        </w:rPr>
      </w:pPr>
    </w:p>
    <w:tbl>
      <w:tblPr>
        <w:tblStyle w:val="26"/>
        <w:tblW w:w="889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16"/>
        <w:gridCol w:w="4476"/>
      </w:tblGrid>
      <w:tr w14:paraId="50D86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EC4BD29">
            <w:pPr>
              <w:spacing w:line="560" w:lineRule="exact"/>
              <w:ind w:firstLine="24" w:firstLineChars="1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设站位置</w:t>
            </w:r>
          </w:p>
        </w:tc>
        <w:tc>
          <w:tcPr>
            <w:tcW w:w="4476" w:type="dxa"/>
            <w:noWrap w:val="0"/>
            <w:vAlign w:val="top"/>
          </w:tcPr>
          <w:p w14:paraId="5905283F">
            <w:pPr>
              <w:spacing w:line="5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处理规模</w:t>
            </w:r>
          </w:p>
        </w:tc>
      </w:tr>
      <w:tr w14:paraId="0D122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425E6A25">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梅市服务区（东侧）</w:t>
            </w:r>
          </w:p>
        </w:tc>
        <w:tc>
          <w:tcPr>
            <w:tcW w:w="4476" w:type="dxa"/>
            <w:noWrap w:val="0"/>
            <w:vAlign w:val="top"/>
          </w:tcPr>
          <w:p w14:paraId="0CE2794D">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9CE9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4416" w:type="dxa"/>
            <w:noWrap w:val="0"/>
            <w:vAlign w:val="top"/>
          </w:tcPr>
          <w:p w14:paraId="1FBBFE9B">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梅市服务区（西侧）</w:t>
            </w:r>
          </w:p>
        </w:tc>
        <w:tc>
          <w:tcPr>
            <w:tcW w:w="4476" w:type="dxa"/>
            <w:noWrap w:val="0"/>
            <w:vAlign w:val="top"/>
          </w:tcPr>
          <w:p w14:paraId="16A74E8B">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m3/d</w:t>
            </w:r>
          </w:p>
        </w:tc>
      </w:tr>
      <w:tr w14:paraId="4C8FE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3C66D668">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定远服务区（东侧）</w:t>
            </w:r>
          </w:p>
        </w:tc>
        <w:tc>
          <w:tcPr>
            <w:tcW w:w="4476" w:type="dxa"/>
            <w:noWrap w:val="0"/>
            <w:vAlign w:val="top"/>
          </w:tcPr>
          <w:p w14:paraId="68B460F3">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7ADE5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00CD4612">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仓镇服务区（西侧）</w:t>
            </w:r>
          </w:p>
        </w:tc>
        <w:tc>
          <w:tcPr>
            <w:tcW w:w="4476" w:type="dxa"/>
            <w:noWrap w:val="0"/>
            <w:vAlign w:val="top"/>
          </w:tcPr>
          <w:p w14:paraId="13BEF4E7">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9C45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4416" w:type="dxa"/>
            <w:noWrap w:val="0"/>
            <w:vAlign w:val="top"/>
          </w:tcPr>
          <w:p w14:paraId="03B7D447">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大桥收费站</w:t>
            </w:r>
          </w:p>
        </w:tc>
        <w:tc>
          <w:tcPr>
            <w:tcW w:w="4476" w:type="dxa"/>
            <w:noWrap w:val="0"/>
            <w:vAlign w:val="top"/>
          </w:tcPr>
          <w:p w14:paraId="1DE9F9FF">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74B18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16" w:type="dxa"/>
            <w:noWrap w:val="0"/>
            <w:vAlign w:val="top"/>
          </w:tcPr>
          <w:p w14:paraId="3458F0C3">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三和集收费站</w:t>
            </w:r>
          </w:p>
        </w:tc>
        <w:tc>
          <w:tcPr>
            <w:tcW w:w="4476" w:type="dxa"/>
            <w:noWrap w:val="0"/>
            <w:vAlign w:val="top"/>
          </w:tcPr>
          <w:p w14:paraId="52D9C204">
            <w:pPr>
              <w:spacing w:line="560" w:lineRule="exact"/>
              <w:ind w:leftChars="-2" w:hanging="4" w:hanging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 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/d</w:t>
            </w:r>
          </w:p>
        </w:tc>
      </w:tr>
      <w:tr w14:paraId="5EC10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387C87BD">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桑涧养护工区</w:t>
            </w:r>
          </w:p>
        </w:tc>
        <w:tc>
          <w:tcPr>
            <w:tcW w:w="4476" w:type="dxa"/>
            <w:noWrap w:val="0"/>
            <w:vAlign w:val="top"/>
          </w:tcPr>
          <w:p w14:paraId="103FD2E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 m³/d</w:t>
            </w:r>
          </w:p>
        </w:tc>
      </w:tr>
      <w:tr w14:paraId="108E7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0924C8DA">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来六高速施官收费</w:t>
            </w:r>
          </w:p>
        </w:tc>
        <w:tc>
          <w:tcPr>
            <w:tcW w:w="4476" w:type="dxa"/>
            <w:noWrap w:val="0"/>
            <w:vAlign w:val="top"/>
          </w:tcPr>
          <w:p w14:paraId="2401EA5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20 m³/d</w:t>
            </w:r>
          </w:p>
        </w:tc>
      </w:tr>
      <w:tr w14:paraId="31055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63971F4">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明合高速</w:t>
            </w:r>
            <w:r>
              <w:rPr>
                <w:rFonts w:hint="eastAsia" w:ascii="宋体" w:hAnsi="宋体" w:eastAsia="宋体" w:cs="宋体"/>
                <w:color w:val="auto"/>
                <w:sz w:val="24"/>
                <w:szCs w:val="24"/>
                <w:highlight w:val="none"/>
              </w:rPr>
              <w:t>桑涧管理中心</w:t>
            </w:r>
          </w:p>
        </w:tc>
        <w:tc>
          <w:tcPr>
            <w:tcW w:w="4476" w:type="dxa"/>
            <w:noWrap w:val="0"/>
            <w:vAlign w:val="top"/>
          </w:tcPr>
          <w:p w14:paraId="4F4B4CA7">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 m³/d</w:t>
            </w:r>
          </w:p>
        </w:tc>
      </w:tr>
      <w:tr w14:paraId="3ED58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416ACD66">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来六高速来安北</w:t>
            </w:r>
            <w:r>
              <w:rPr>
                <w:rFonts w:hint="eastAsia" w:ascii="宋体" w:hAnsi="宋体" w:eastAsia="宋体" w:cs="宋体"/>
                <w:color w:val="auto"/>
                <w:sz w:val="24"/>
                <w:szCs w:val="24"/>
                <w:highlight w:val="none"/>
              </w:rPr>
              <w:t>管理中心</w:t>
            </w:r>
          </w:p>
        </w:tc>
        <w:tc>
          <w:tcPr>
            <w:tcW w:w="4476" w:type="dxa"/>
            <w:noWrap w:val="0"/>
            <w:vAlign w:val="top"/>
          </w:tcPr>
          <w:p w14:paraId="3E02CCD7">
            <w:pPr>
              <w:spacing w:line="560" w:lineRule="exact"/>
              <w:ind w:left="0" w:leftChars="-2" w:hanging="4" w:hangingChars="2"/>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50 m³/d</w:t>
            </w:r>
          </w:p>
        </w:tc>
      </w:tr>
      <w:tr w14:paraId="638B8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4416" w:type="dxa"/>
            <w:noWrap w:val="0"/>
            <w:vAlign w:val="top"/>
          </w:tcPr>
          <w:p w14:paraId="14CC24F0">
            <w:pPr>
              <w:spacing w:line="560" w:lineRule="exact"/>
              <w:ind w:left="1" w:leftChars="-2" w:hanging="5" w:hangingChars="2"/>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合计</w:t>
            </w:r>
          </w:p>
        </w:tc>
        <w:tc>
          <w:tcPr>
            <w:tcW w:w="4476" w:type="dxa"/>
            <w:noWrap w:val="0"/>
            <w:vAlign w:val="top"/>
          </w:tcPr>
          <w:p w14:paraId="206A7A25">
            <w:pPr>
              <w:spacing w:line="560" w:lineRule="exact"/>
              <w:ind w:left="1" w:leftChars="-2" w:hanging="5" w:hangingChars="2"/>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780</w:t>
            </w:r>
            <w:r>
              <w:rPr>
                <w:rFonts w:hint="eastAsia" w:ascii="宋体" w:hAnsi="宋体" w:eastAsia="宋体" w:cs="宋体"/>
                <w:b/>
                <w:bCs/>
                <w:color w:val="auto"/>
                <w:sz w:val="24"/>
                <w:szCs w:val="24"/>
                <w:highlight w:val="none"/>
              </w:rPr>
              <w:t>m³/d</w:t>
            </w:r>
          </w:p>
        </w:tc>
      </w:tr>
    </w:tbl>
    <w:p w14:paraId="27D302BD">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59264" behindDoc="1" locked="0" layoutInCell="1" allowOverlap="1">
            <wp:simplePos x="0" y="0"/>
            <wp:positionH relativeFrom="column">
              <wp:posOffset>-22225</wp:posOffset>
            </wp:positionH>
            <wp:positionV relativeFrom="paragraph">
              <wp:posOffset>491490</wp:posOffset>
            </wp:positionV>
            <wp:extent cx="5726430" cy="396240"/>
            <wp:effectExtent l="12700" t="12700" r="21590" b="19685"/>
            <wp:wrapTopAndBottom/>
            <wp:docPr id="2" name="图示 2"/>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污水处理工艺说明：</w:t>
      </w:r>
    </w:p>
    <w:p w14:paraId="7A1AA498">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服务内容及要求：</w:t>
      </w:r>
    </w:p>
    <w:p w14:paraId="6FDAFCB1">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污水处理站的运维，包括常规运维、MBR膜运维、回用运维等工作。常规运维工作具体指日常及定期巡检、设备维护、设备维修、污泥抽运处置、站点清淤、消毒杀虫、例行水质检测等，保证处理站正常运行、出水水质达标、保证站点卫生</w:t>
      </w:r>
      <w:r>
        <w:rPr>
          <w:rFonts w:hint="eastAsia" w:ascii="宋体" w:hAnsi="宋体" w:eastAsia="宋体" w:cs="宋体"/>
          <w:color w:val="auto"/>
          <w:sz w:val="24"/>
          <w:szCs w:val="24"/>
          <w:highlight w:val="none"/>
          <w:lang w:val="en-US" w:eastAsia="zh-CN"/>
        </w:rPr>
        <w:t>和设施完好</w:t>
      </w:r>
      <w:r>
        <w:rPr>
          <w:rFonts w:hint="eastAsia" w:ascii="宋体" w:hAnsi="宋体" w:eastAsia="宋体" w:cs="宋体"/>
          <w:color w:val="auto"/>
          <w:sz w:val="24"/>
          <w:szCs w:val="24"/>
          <w:highlight w:val="none"/>
        </w:rPr>
        <w:t>。MBR膜运维工作，具体包括MBR膜定期清洗、MBR膜定期换新。回用运维工作，指对出水回用</w:t>
      </w:r>
      <w:r>
        <w:rPr>
          <w:rFonts w:hint="eastAsia" w:ascii="宋体" w:hAnsi="宋体" w:eastAsia="宋体" w:cs="宋体"/>
          <w:color w:val="auto"/>
          <w:sz w:val="24"/>
          <w:szCs w:val="24"/>
          <w:highlight w:val="none"/>
          <w:lang w:val="en-US" w:eastAsia="zh-CN"/>
        </w:rPr>
        <w:t>至厕所、溢流外排等系统的检查维护</w:t>
      </w:r>
      <w:r>
        <w:rPr>
          <w:rFonts w:hint="eastAsia" w:ascii="宋体" w:hAnsi="宋体" w:eastAsia="宋体" w:cs="宋体"/>
          <w:color w:val="auto"/>
          <w:sz w:val="24"/>
          <w:szCs w:val="24"/>
          <w:highlight w:val="none"/>
        </w:rPr>
        <w:t>。</w:t>
      </w:r>
    </w:p>
    <w:p w14:paraId="0166CA00">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2）优化处理工艺</w:t>
      </w:r>
      <w:r>
        <w:rPr>
          <w:rFonts w:hint="eastAsia" w:ascii="宋体" w:hAnsi="宋体" w:eastAsia="宋体" w:cs="宋体"/>
          <w:color w:val="auto"/>
          <w:sz w:val="24"/>
          <w:szCs w:val="24"/>
          <w:highlight w:val="none"/>
          <w:lang w:val="en-US" w:eastAsia="zh-CN"/>
        </w:rPr>
        <w:t>电气控制</w:t>
      </w:r>
      <w:r>
        <w:rPr>
          <w:rFonts w:hint="eastAsia" w:ascii="宋体" w:hAnsi="宋体" w:eastAsia="宋体" w:cs="宋体"/>
          <w:color w:val="auto"/>
          <w:sz w:val="24"/>
          <w:szCs w:val="24"/>
          <w:highlight w:val="none"/>
        </w:rPr>
        <w:t>参数，确保污水处理站运行效能，处理后水质达到GB/T 18920-2002和GB 18918-2002标准；</w:t>
      </w:r>
    </w:p>
    <w:p w14:paraId="7A9738B3">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）正式运维前配合发包人对现有污水处理站进行检查，相关设备、管道等能够正常运转即视为满足运维托管条件。</w:t>
      </w:r>
    </w:p>
    <w:p w14:paraId="4BEA80DA">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）承担化粪池、隔油池、污泥池的固体废弃物处置及远程控制流量费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如有）</w:t>
      </w:r>
      <w:r>
        <w:rPr>
          <w:rFonts w:hint="eastAsia" w:ascii="宋体" w:hAnsi="宋体" w:eastAsia="宋体" w:cs="宋体"/>
          <w:color w:val="auto"/>
          <w:sz w:val="24"/>
          <w:szCs w:val="24"/>
          <w:highlight w:val="none"/>
        </w:rPr>
        <w:t>等。具体详见下表1-2。</w:t>
      </w:r>
    </w:p>
    <w:p w14:paraId="613CCC4E">
      <w:pPr>
        <w:spacing w:line="560" w:lineRule="exact"/>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 1-2 污水处理站运行维护要求</w:t>
      </w:r>
    </w:p>
    <w:tbl>
      <w:tblPr>
        <w:tblStyle w:val="26"/>
        <w:tblW w:w="942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276"/>
        <w:gridCol w:w="1848"/>
        <w:gridCol w:w="5446"/>
      </w:tblGrid>
      <w:tr w14:paraId="20849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54" w:type="dxa"/>
            <w:noWrap w:val="0"/>
            <w:vAlign w:val="center"/>
          </w:tcPr>
          <w:p w14:paraId="0D2C69A3">
            <w:pPr>
              <w:pStyle w:val="71"/>
              <w:spacing w:before="179" w:line="22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序号</w:t>
            </w:r>
          </w:p>
        </w:tc>
        <w:tc>
          <w:tcPr>
            <w:tcW w:w="1276" w:type="dxa"/>
            <w:noWrap w:val="0"/>
            <w:vAlign w:val="center"/>
          </w:tcPr>
          <w:p w14:paraId="31701C64">
            <w:pPr>
              <w:pStyle w:val="71"/>
              <w:spacing w:before="180" w:line="22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名称</w:t>
            </w:r>
          </w:p>
        </w:tc>
        <w:tc>
          <w:tcPr>
            <w:tcW w:w="1848" w:type="dxa"/>
            <w:noWrap w:val="0"/>
            <w:vAlign w:val="center"/>
          </w:tcPr>
          <w:p w14:paraId="09F73AFA">
            <w:pPr>
              <w:pStyle w:val="71"/>
              <w:spacing w:before="180" w:line="22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维护内容</w:t>
            </w:r>
          </w:p>
        </w:tc>
        <w:tc>
          <w:tcPr>
            <w:tcW w:w="5446" w:type="dxa"/>
            <w:noWrap w:val="0"/>
            <w:vAlign w:val="center"/>
          </w:tcPr>
          <w:p w14:paraId="5C346A09">
            <w:pPr>
              <w:pStyle w:val="71"/>
              <w:spacing w:before="180" w:line="22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维护频次（次）</w:t>
            </w:r>
          </w:p>
        </w:tc>
      </w:tr>
      <w:tr w14:paraId="657CB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Merge w:val="restart"/>
            <w:tcBorders>
              <w:bottom w:val="nil"/>
            </w:tcBorders>
            <w:noWrap w:val="0"/>
            <w:vAlign w:val="center"/>
          </w:tcPr>
          <w:p w14:paraId="36C2547B">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76" w:type="dxa"/>
            <w:vMerge w:val="restart"/>
            <w:tcBorders>
              <w:bottom w:val="nil"/>
            </w:tcBorders>
            <w:noWrap w:val="0"/>
            <w:vAlign w:val="center"/>
          </w:tcPr>
          <w:p w14:paraId="03BD531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提升泵</w:t>
            </w:r>
          </w:p>
        </w:tc>
        <w:tc>
          <w:tcPr>
            <w:tcW w:w="1848" w:type="dxa"/>
            <w:noWrap w:val="0"/>
            <w:vAlign w:val="center"/>
          </w:tcPr>
          <w:p w14:paraId="644FD17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更换润滑油</w:t>
            </w:r>
          </w:p>
        </w:tc>
        <w:tc>
          <w:tcPr>
            <w:tcW w:w="5446" w:type="dxa"/>
            <w:vMerge w:val="restart"/>
            <w:tcBorders>
              <w:bottom w:val="nil"/>
            </w:tcBorders>
            <w:noWrap w:val="0"/>
            <w:vAlign w:val="center"/>
          </w:tcPr>
          <w:p w14:paraId="05807F6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每台泵每季度维护不少于1 次。</w:t>
            </w:r>
          </w:p>
        </w:tc>
      </w:tr>
      <w:tr w14:paraId="5F27A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tcBorders>
              <w:top w:val="nil"/>
            </w:tcBorders>
            <w:noWrap w:val="0"/>
            <w:vAlign w:val="center"/>
          </w:tcPr>
          <w:p w14:paraId="0F8D9997">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5D66B6C7">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2DEA8B2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更换机封</w:t>
            </w:r>
          </w:p>
        </w:tc>
        <w:tc>
          <w:tcPr>
            <w:tcW w:w="5446" w:type="dxa"/>
            <w:vMerge w:val="continue"/>
            <w:tcBorders>
              <w:top w:val="nil"/>
            </w:tcBorders>
            <w:noWrap w:val="0"/>
            <w:vAlign w:val="center"/>
          </w:tcPr>
          <w:p w14:paraId="2FF17E2A">
            <w:pPr>
              <w:spacing w:line="440" w:lineRule="exact"/>
              <w:jc w:val="center"/>
              <w:rPr>
                <w:rFonts w:hint="eastAsia" w:ascii="宋体" w:hAnsi="宋体" w:eastAsia="宋体" w:cs="宋体"/>
                <w:color w:val="auto"/>
                <w:sz w:val="24"/>
                <w:szCs w:val="24"/>
                <w:highlight w:val="none"/>
              </w:rPr>
            </w:pPr>
          </w:p>
        </w:tc>
      </w:tr>
      <w:tr w14:paraId="04AE0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4" w:type="dxa"/>
            <w:vMerge w:val="restart"/>
            <w:tcBorders>
              <w:bottom w:val="nil"/>
            </w:tcBorders>
            <w:noWrap w:val="0"/>
            <w:vAlign w:val="center"/>
          </w:tcPr>
          <w:p w14:paraId="1433AAB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76" w:type="dxa"/>
            <w:vMerge w:val="restart"/>
            <w:tcBorders>
              <w:bottom w:val="nil"/>
            </w:tcBorders>
            <w:noWrap w:val="0"/>
            <w:vAlign w:val="center"/>
          </w:tcPr>
          <w:p w14:paraId="668B86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曝气风机</w:t>
            </w:r>
          </w:p>
        </w:tc>
        <w:tc>
          <w:tcPr>
            <w:tcW w:w="1848" w:type="dxa"/>
            <w:noWrap w:val="0"/>
            <w:vAlign w:val="center"/>
          </w:tcPr>
          <w:p w14:paraId="571979F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换油</w:t>
            </w:r>
          </w:p>
        </w:tc>
        <w:tc>
          <w:tcPr>
            <w:tcW w:w="5446" w:type="dxa"/>
            <w:noWrap w:val="0"/>
            <w:vAlign w:val="center"/>
          </w:tcPr>
          <w:p w14:paraId="335B55A9">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每台曝气风机每季度维护不少于1 次。</w:t>
            </w:r>
          </w:p>
        </w:tc>
      </w:tr>
      <w:tr w14:paraId="156BA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2" w:hRule="atLeast"/>
        </w:trPr>
        <w:tc>
          <w:tcPr>
            <w:tcW w:w="854" w:type="dxa"/>
            <w:vMerge w:val="continue"/>
            <w:tcBorders>
              <w:top w:val="nil"/>
            </w:tcBorders>
            <w:noWrap w:val="0"/>
            <w:vAlign w:val="center"/>
          </w:tcPr>
          <w:p w14:paraId="554CF19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6D778E00">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BBE2EE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更换皮带</w:t>
            </w:r>
          </w:p>
        </w:tc>
        <w:tc>
          <w:tcPr>
            <w:tcW w:w="5446" w:type="dxa"/>
            <w:noWrap w:val="0"/>
            <w:vAlign w:val="center"/>
          </w:tcPr>
          <w:p w14:paraId="5552F92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根据皮带老化程度、性能状态及时更换。</w:t>
            </w:r>
          </w:p>
        </w:tc>
      </w:tr>
      <w:tr w14:paraId="5C46F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restart"/>
            <w:tcBorders>
              <w:bottom w:val="nil"/>
            </w:tcBorders>
            <w:noWrap w:val="0"/>
            <w:vAlign w:val="center"/>
          </w:tcPr>
          <w:p w14:paraId="256956A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76" w:type="dxa"/>
            <w:vMerge w:val="restart"/>
            <w:tcBorders>
              <w:bottom w:val="nil"/>
            </w:tcBorders>
            <w:noWrap w:val="0"/>
            <w:vAlign w:val="center"/>
          </w:tcPr>
          <w:p w14:paraId="4E57D6AC">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w:t>
            </w:r>
          </w:p>
        </w:tc>
        <w:tc>
          <w:tcPr>
            <w:tcW w:w="1848" w:type="dxa"/>
            <w:noWrap w:val="0"/>
            <w:vAlign w:val="center"/>
          </w:tcPr>
          <w:p w14:paraId="11BCE1E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防腐处理</w:t>
            </w:r>
          </w:p>
        </w:tc>
        <w:tc>
          <w:tcPr>
            <w:tcW w:w="5446" w:type="dxa"/>
            <w:noWrap w:val="0"/>
            <w:vAlign w:val="center"/>
          </w:tcPr>
          <w:p w14:paraId="2C299FC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 1 次。</w:t>
            </w:r>
          </w:p>
        </w:tc>
      </w:tr>
      <w:tr w14:paraId="2A277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tcBorders>
              <w:top w:val="nil"/>
            </w:tcBorders>
            <w:noWrap w:val="0"/>
            <w:vAlign w:val="center"/>
          </w:tcPr>
          <w:p w14:paraId="669EB39B">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2E20D5E9">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BD92AA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管道清理</w:t>
            </w:r>
          </w:p>
        </w:tc>
        <w:tc>
          <w:tcPr>
            <w:tcW w:w="5446" w:type="dxa"/>
            <w:noWrap w:val="0"/>
            <w:vAlign w:val="center"/>
          </w:tcPr>
          <w:p w14:paraId="145148E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管道检查每月不少于1次，疏通与清理每年 1 次。</w:t>
            </w:r>
          </w:p>
        </w:tc>
      </w:tr>
      <w:tr w14:paraId="7BD54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4" w:type="dxa"/>
            <w:vMerge w:val="restart"/>
            <w:tcBorders>
              <w:bottom w:val="nil"/>
            </w:tcBorders>
            <w:noWrap w:val="0"/>
            <w:vAlign w:val="center"/>
          </w:tcPr>
          <w:p w14:paraId="15A4663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76" w:type="dxa"/>
            <w:vMerge w:val="restart"/>
            <w:tcBorders>
              <w:bottom w:val="nil"/>
            </w:tcBorders>
            <w:noWrap w:val="0"/>
            <w:vAlign w:val="center"/>
          </w:tcPr>
          <w:p w14:paraId="6E3A556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w:t>
            </w:r>
          </w:p>
        </w:tc>
        <w:tc>
          <w:tcPr>
            <w:tcW w:w="1848" w:type="dxa"/>
            <w:noWrap w:val="0"/>
            <w:vAlign w:val="center"/>
          </w:tcPr>
          <w:p w14:paraId="02BBE63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加润滑油</w:t>
            </w:r>
          </w:p>
        </w:tc>
        <w:tc>
          <w:tcPr>
            <w:tcW w:w="5446" w:type="dxa"/>
            <w:noWrap w:val="0"/>
            <w:vAlign w:val="center"/>
          </w:tcPr>
          <w:p w14:paraId="16D1540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每处阀门每月维护不少于1 次。</w:t>
            </w:r>
          </w:p>
        </w:tc>
      </w:tr>
      <w:tr w14:paraId="2116B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tcBorders>
              <w:top w:val="nil"/>
            </w:tcBorders>
            <w:noWrap w:val="0"/>
            <w:vAlign w:val="center"/>
          </w:tcPr>
          <w:p w14:paraId="12900CC9">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0A99B2CB">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0693C3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除锈</w:t>
            </w:r>
          </w:p>
        </w:tc>
        <w:tc>
          <w:tcPr>
            <w:tcW w:w="5446" w:type="dxa"/>
            <w:noWrap w:val="0"/>
            <w:vAlign w:val="center"/>
          </w:tcPr>
          <w:p w14:paraId="5FD42BF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阀门除锈每年 1 次。</w:t>
            </w:r>
          </w:p>
        </w:tc>
      </w:tr>
      <w:tr w14:paraId="1945F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54" w:type="dxa"/>
            <w:vMerge w:val="restart"/>
            <w:noWrap w:val="0"/>
            <w:vAlign w:val="center"/>
          </w:tcPr>
          <w:p w14:paraId="4EEEF45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76" w:type="dxa"/>
            <w:vMerge w:val="restart"/>
            <w:noWrap w:val="0"/>
            <w:vAlign w:val="center"/>
          </w:tcPr>
          <w:p w14:paraId="3BC0FD3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加药装置</w:t>
            </w:r>
          </w:p>
        </w:tc>
        <w:tc>
          <w:tcPr>
            <w:tcW w:w="1848" w:type="dxa"/>
            <w:noWrap w:val="0"/>
            <w:vAlign w:val="center"/>
          </w:tcPr>
          <w:p w14:paraId="04270BE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更换加药软管</w:t>
            </w:r>
          </w:p>
        </w:tc>
        <w:tc>
          <w:tcPr>
            <w:tcW w:w="5446" w:type="dxa"/>
            <w:noWrap w:val="0"/>
            <w:vAlign w:val="center"/>
          </w:tcPr>
          <w:p w14:paraId="2E4DFFF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每年更换加药软管 1 次。</w:t>
            </w:r>
          </w:p>
        </w:tc>
      </w:tr>
      <w:tr w14:paraId="702E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54" w:type="dxa"/>
            <w:vMerge w:val="continue"/>
            <w:noWrap w:val="0"/>
            <w:vAlign w:val="center"/>
          </w:tcPr>
          <w:p w14:paraId="4899F581">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278CAFC7">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4A1F88E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搅拌机维养</w:t>
            </w:r>
          </w:p>
        </w:tc>
        <w:tc>
          <w:tcPr>
            <w:tcW w:w="5446" w:type="dxa"/>
            <w:noWrap w:val="0"/>
            <w:vAlign w:val="center"/>
          </w:tcPr>
          <w:p w14:paraId="41CC805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每季度搅拌机维养不少于 1 次。</w:t>
            </w:r>
          </w:p>
        </w:tc>
      </w:tr>
      <w:tr w14:paraId="2CF29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35CC950E">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5997220F">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63899F4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加药计量泵维养</w:t>
            </w:r>
          </w:p>
        </w:tc>
        <w:tc>
          <w:tcPr>
            <w:tcW w:w="5446" w:type="dxa"/>
            <w:noWrap w:val="0"/>
            <w:vAlign w:val="center"/>
          </w:tcPr>
          <w:p w14:paraId="4DC8992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每季度加药计量泵维养不少于1 次。</w:t>
            </w:r>
          </w:p>
        </w:tc>
      </w:tr>
      <w:tr w14:paraId="72771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noWrap w:val="0"/>
            <w:vAlign w:val="center"/>
          </w:tcPr>
          <w:p w14:paraId="244C8429">
            <w:pPr>
              <w:spacing w:line="440" w:lineRule="exact"/>
              <w:jc w:val="center"/>
              <w:rPr>
                <w:rFonts w:hint="eastAsia" w:ascii="宋体" w:hAnsi="宋体" w:eastAsia="宋体" w:cs="宋体"/>
                <w:color w:val="auto"/>
                <w:sz w:val="24"/>
                <w:szCs w:val="24"/>
                <w:highlight w:val="none"/>
              </w:rPr>
            </w:pPr>
          </w:p>
        </w:tc>
        <w:tc>
          <w:tcPr>
            <w:tcW w:w="1276" w:type="dxa"/>
            <w:vMerge w:val="continue"/>
            <w:noWrap w:val="0"/>
            <w:vAlign w:val="center"/>
          </w:tcPr>
          <w:p w14:paraId="2B5C8660">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7BFCC4E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更换加药剂</w:t>
            </w:r>
          </w:p>
        </w:tc>
        <w:tc>
          <w:tcPr>
            <w:tcW w:w="5446" w:type="dxa"/>
            <w:noWrap w:val="0"/>
            <w:vAlign w:val="center"/>
          </w:tcPr>
          <w:p w14:paraId="0232915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每月更换加药剂不少于 1 次。</w:t>
            </w:r>
          </w:p>
        </w:tc>
      </w:tr>
      <w:tr w14:paraId="67F1A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2" w:hRule="atLeast"/>
        </w:trPr>
        <w:tc>
          <w:tcPr>
            <w:tcW w:w="854" w:type="dxa"/>
            <w:vMerge w:val="restart"/>
            <w:noWrap w:val="0"/>
            <w:vAlign w:val="center"/>
          </w:tcPr>
          <w:p w14:paraId="250C10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76" w:type="dxa"/>
            <w:vMerge w:val="restart"/>
            <w:tcBorders>
              <w:bottom w:val="nil"/>
            </w:tcBorders>
            <w:noWrap w:val="0"/>
            <w:vAlign w:val="center"/>
          </w:tcPr>
          <w:p w14:paraId="01FCE20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自动化仪器仪表</w:t>
            </w:r>
          </w:p>
        </w:tc>
        <w:tc>
          <w:tcPr>
            <w:tcW w:w="1848" w:type="dxa"/>
            <w:noWrap w:val="0"/>
            <w:vAlign w:val="center"/>
          </w:tcPr>
          <w:p w14:paraId="455B8ED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控制柜检修及清理</w:t>
            </w:r>
          </w:p>
        </w:tc>
        <w:tc>
          <w:tcPr>
            <w:tcW w:w="5446" w:type="dxa"/>
            <w:noWrap w:val="0"/>
            <w:vAlign w:val="center"/>
          </w:tcPr>
          <w:p w14:paraId="7ACD0C6D">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控制柜元器件维修及更换，控制柜清理</w:t>
            </w:r>
            <w:r>
              <w:rPr>
                <w:rFonts w:hint="eastAsia" w:ascii="宋体" w:hAnsi="宋体" w:eastAsia="宋体" w:cs="宋体"/>
                <w:color w:val="auto"/>
                <w:sz w:val="24"/>
                <w:szCs w:val="24"/>
                <w:highlight w:val="none"/>
                <w:lang w:eastAsia="zh-CN"/>
              </w:rPr>
              <w:t>；</w:t>
            </w:r>
          </w:p>
          <w:p w14:paraId="4E01CEE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控制电路的维修检查，每年一次</w:t>
            </w:r>
          </w:p>
        </w:tc>
      </w:tr>
      <w:tr w14:paraId="7DA38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48ABDCE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bottom w:val="nil"/>
            </w:tcBorders>
            <w:noWrap w:val="0"/>
            <w:vAlign w:val="center"/>
          </w:tcPr>
          <w:p w14:paraId="2826361A">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59D709F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物位计更换</w:t>
            </w:r>
          </w:p>
        </w:tc>
        <w:tc>
          <w:tcPr>
            <w:tcW w:w="5446" w:type="dxa"/>
            <w:noWrap w:val="0"/>
            <w:vAlign w:val="center"/>
          </w:tcPr>
          <w:p w14:paraId="743D81A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根据浮球式液位计老化程度、性能状态及时更换。</w:t>
            </w:r>
          </w:p>
        </w:tc>
      </w:tr>
      <w:tr w14:paraId="4B73E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vMerge w:val="continue"/>
            <w:noWrap w:val="0"/>
            <w:vAlign w:val="center"/>
          </w:tcPr>
          <w:p w14:paraId="777C57EA">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bottom w:val="nil"/>
            </w:tcBorders>
            <w:noWrap w:val="0"/>
            <w:vAlign w:val="center"/>
          </w:tcPr>
          <w:p w14:paraId="771372A5">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3A47696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电动调节阀</w:t>
            </w:r>
          </w:p>
        </w:tc>
        <w:tc>
          <w:tcPr>
            <w:tcW w:w="5446" w:type="dxa"/>
            <w:noWrap w:val="0"/>
            <w:vAlign w:val="center"/>
          </w:tcPr>
          <w:p w14:paraId="32410CD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电动调节阀执行机构检修每年不少于1次</w:t>
            </w:r>
          </w:p>
        </w:tc>
      </w:tr>
      <w:tr w14:paraId="09448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continue"/>
            <w:noWrap w:val="0"/>
            <w:vAlign w:val="center"/>
          </w:tcPr>
          <w:p w14:paraId="31E01B96">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7B6EDAF1">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25C559EB">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电磁流量计</w:t>
            </w:r>
          </w:p>
        </w:tc>
        <w:tc>
          <w:tcPr>
            <w:tcW w:w="5446" w:type="dxa"/>
            <w:noWrap w:val="0"/>
            <w:vAlign w:val="center"/>
          </w:tcPr>
          <w:p w14:paraId="041CF27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执行机构及电路检修，每年不少于1次</w:t>
            </w:r>
          </w:p>
        </w:tc>
      </w:tr>
      <w:tr w14:paraId="222F1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54" w:type="dxa"/>
            <w:vMerge w:val="restart"/>
            <w:tcBorders>
              <w:bottom w:val="nil"/>
            </w:tcBorders>
            <w:noWrap w:val="0"/>
            <w:vAlign w:val="center"/>
          </w:tcPr>
          <w:p w14:paraId="19A4EE23">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276" w:type="dxa"/>
            <w:vMerge w:val="restart"/>
            <w:tcBorders>
              <w:bottom w:val="nil"/>
            </w:tcBorders>
            <w:noWrap w:val="0"/>
            <w:vAlign w:val="center"/>
          </w:tcPr>
          <w:p w14:paraId="374D427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设备间检修</w:t>
            </w:r>
          </w:p>
        </w:tc>
        <w:tc>
          <w:tcPr>
            <w:tcW w:w="1848" w:type="dxa"/>
            <w:noWrap w:val="0"/>
            <w:vAlign w:val="center"/>
          </w:tcPr>
          <w:p w14:paraId="3227AE8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设备间防腐除锈</w:t>
            </w:r>
          </w:p>
        </w:tc>
        <w:tc>
          <w:tcPr>
            <w:tcW w:w="5446" w:type="dxa"/>
            <w:noWrap w:val="0"/>
            <w:vAlign w:val="center"/>
          </w:tcPr>
          <w:p w14:paraId="30CBE7E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 1 次</w:t>
            </w:r>
          </w:p>
        </w:tc>
      </w:tr>
      <w:tr w14:paraId="7402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854" w:type="dxa"/>
            <w:vMerge w:val="continue"/>
            <w:tcBorders>
              <w:top w:val="nil"/>
            </w:tcBorders>
            <w:noWrap w:val="0"/>
            <w:vAlign w:val="center"/>
          </w:tcPr>
          <w:p w14:paraId="715DB5CD">
            <w:pPr>
              <w:spacing w:line="440" w:lineRule="exact"/>
              <w:jc w:val="center"/>
              <w:rPr>
                <w:rFonts w:hint="eastAsia" w:ascii="宋体" w:hAnsi="宋体" w:eastAsia="宋体" w:cs="宋体"/>
                <w:color w:val="auto"/>
                <w:sz w:val="24"/>
                <w:szCs w:val="24"/>
                <w:highlight w:val="none"/>
              </w:rPr>
            </w:pPr>
          </w:p>
        </w:tc>
        <w:tc>
          <w:tcPr>
            <w:tcW w:w="1276" w:type="dxa"/>
            <w:vMerge w:val="continue"/>
            <w:tcBorders>
              <w:top w:val="nil"/>
            </w:tcBorders>
            <w:noWrap w:val="0"/>
            <w:vAlign w:val="center"/>
          </w:tcPr>
          <w:p w14:paraId="088B955B">
            <w:pPr>
              <w:spacing w:line="440" w:lineRule="exact"/>
              <w:jc w:val="center"/>
              <w:rPr>
                <w:rFonts w:hint="eastAsia" w:ascii="宋体" w:hAnsi="宋体" w:eastAsia="宋体" w:cs="宋体"/>
                <w:color w:val="auto"/>
                <w:sz w:val="24"/>
                <w:szCs w:val="24"/>
                <w:highlight w:val="none"/>
              </w:rPr>
            </w:pPr>
          </w:p>
        </w:tc>
        <w:tc>
          <w:tcPr>
            <w:tcW w:w="1848" w:type="dxa"/>
            <w:noWrap w:val="0"/>
            <w:vAlign w:val="center"/>
          </w:tcPr>
          <w:p w14:paraId="789DE9D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设备间配套维修更换</w:t>
            </w:r>
          </w:p>
        </w:tc>
        <w:tc>
          <w:tcPr>
            <w:tcW w:w="5446" w:type="dxa"/>
            <w:noWrap w:val="0"/>
            <w:vAlign w:val="center"/>
          </w:tcPr>
          <w:p w14:paraId="54B5C23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设备间配套的门锁、窗户、散热风扇等固定件维修更换；设备间配套照明电气检修；每年 1 次。</w:t>
            </w:r>
          </w:p>
        </w:tc>
      </w:tr>
      <w:tr w14:paraId="3C2F8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854" w:type="dxa"/>
            <w:noWrap w:val="0"/>
            <w:vAlign w:val="center"/>
          </w:tcPr>
          <w:p w14:paraId="374610A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276" w:type="dxa"/>
            <w:noWrap w:val="0"/>
            <w:vAlign w:val="center"/>
          </w:tcPr>
          <w:p w14:paraId="087F70FC">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远程控制</w:t>
            </w:r>
          </w:p>
        </w:tc>
        <w:tc>
          <w:tcPr>
            <w:tcW w:w="1848" w:type="dxa"/>
            <w:noWrap w:val="0"/>
            <w:vAlign w:val="center"/>
          </w:tcPr>
          <w:p w14:paraId="1774770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流量费</w:t>
            </w:r>
          </w:p>
        </w:tc>
        <w:tc>
          <w:tcPr>
            <w:tcW w:w="5446" w:type="dxa"/>
            <w:noWrap w:val="0"/>
            <w:vAlign w:val="center"/>
          </w:tcPr>
          <w:p w14:paraId="6D8C2A8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以年计（若有）</w:t>
            </w:r>
          </w:p>
        </w:tc>
      </w:tr>
      <w:tr w14:paraId="54797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854" w:type="dxa"/>
            <w:noWrap w:val="0"/>
            <w:vAlign w:val="center"/>
          </w:tcPr>
          <w:p w14:paraId="1A8C4C9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276" w:type="dxa"/>
            <w:noWrap w:val="0"/>
            <w:vAlign w:val="center"/>
          </w:tcPr>
          <w:p w14:paraId="092AC24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设备更换</w:t>
            </w:r>
          </w:p>
        </w:tc>
        <w:tc>
          <w:tcPr>
            <w:tcW w:w="1848" w:type="dxa"/>
            <w:noWrap w:val="0"/>
            <w:vAlign w:val="center"/>
          </w:tcPr>
          <w:p w14:paraId="27E4734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风机、泵、膜、填料、控制柜等主要设备</w:t>
            </w:r>
          </w:p>
        </w:tc>
        <w:tc>
          <w:tcPr>
            <w:tcW w:w="5446" w:type="dxa"/>
            <w:noWrap w:val="0"/>
            <w:vAlign w:val="center"/>
          </w:tcPr>
          <w:p w14:paraId="49FADBC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运维期内发生设备损坏（非</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责任）的设备更换， 应经发包方审核同意后支付更换费用。</w:t>
            </w:r>
          </w:p>
        </w:tc>
      </w:tr>
      <w:tr w14:paraId="3B650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54" w:type="dxa"/>
            <w:noWrap w:val="0"/>
            <w:vAlign w:val="center"/>
          </w:tcPr>
          <w:p w14:paraId="5B6ABC69">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276" w:type="dxa"/>
            <w:noWrap w:val="0"/>
            <w:vAlign w:val="center"/>
          </w:tcPr>
          <w:p w14:paraId="7DAD8C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菌群培养</w:t>
            </w:r>
          </w:p>
        </w:tc>
        <w:tc>
          <w:tcPr>
            <w:tcW w:w="1848" w:type="dxa"/>
            <w:noWrap w:val="0"/>
            <w:vAlign w:val="center"/>
          </w:tcPr>
          <w:p w14:paraId="417C35BD">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检查菌群活性</w:t>
            </w:r>
          </w:p>
        </w:tc>
        <w:tc>
          <w:tcPr>
            <w:tcW w:w="5446" w:type="dxa"/>
            <w:noWrap w:val="0"/>
            <w:vAlign w:val="center"/>
          </w:tcPr>
          <w:p w14:paraId="51F3650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根据菌群数量、活性，及时采取补充厌氧菌、好氧菌、碳源、生物酶等措施，每季度</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1次。</w:t>
            </w:r>
          </w:p>
        </w:tc>
      </w:tr>
      <w:tr w14:paraId="71FFF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854" w:type="dxa"/>
            <w:noWrap w:val="0"/>
            <w:vAlign w:val="center"/>
          </w:tcPr>
          <w:p w14:paraId="2B8BE03C">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p>
        </w:tc>
        <w:tc>
          <w:tcPr>
            <w:tcW w:w="1276" w:type="dxa"/>
            <w:noWrap w:val="0"/>
            <w:vAlign w:val="center"/>
          </w:tcPr>
          <w:p w14:paraId="27AA2795">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污泥处置、化粪池清掏</w:t>
            </w:r>
          </w:p>
        </w:tc>
        <w:tc>
          <w:tcPr>
            <w:tcW w:w="1848" w:type="dxa"/>
            <w:noWrap w:val="0"/>
            <w:vAlign w:val="center"/>
          </w:tcPr>
          <w:p w14:paraId="55AC20E3">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c>
          <w:tcPr>
            <w:tcW w:w="5446" w:type="dxa"/>
            <w:noWrap w:val="0"/>
            <w:vAlign w:val="center"/>
          </w:tcPr>
          <w:p w14:paraId="77F03567">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污水站污泥处置：原则上每季度 1 次。</w:t>
            </w:r>
          </w:p>
          <w:p w14:paraId="1BCF680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化粪池清掏：根据实际需要，每年不少于 1 次。</w:t>
            </w:r>
          </w:p>
        </w:tc>
      </w:tr>
      <w:tr w14:paraId="08DD0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854" w:type="dxa"/>
            <w:noWrap w:val="0"/>
            <w:vAlign w:val="center"/>
          </w:tcPr>
          <w:p w14:paraId="0B07E306">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276" w:type="dxa"/>
            <w:noWrap w:val="0"/>
            <w:vAlign w:val="center"/>
          </w:tcPr>
          <w:p w14:paraId="45B0B258">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例行水质检测</w:t>
            </w:r>
          </w:p>
        </w:tc>
        <w:tc>
          <w:tcPr>
            <w:tcW w:w="1848" w:type="dxa"/>
            <w:noWrap w:val="0"/>
            <w:vAlign w:val="center"/>
          </w:tcPr>
          <w:p w14:paraId="7E58919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w:t>
            </w:r>
          </w:p>
        </w:tc>
        <w:tc>
          <w:tcPr>
            <w:tcW w:w="5446" w:type="dxa"/>
            <w:noWrap w:val="0"/>
            <w:vAlign w:val="center"/>
          </w:tcPr>
          <w:p w14:paraId="40F52096">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每季度1次。</w:t>
            </w:r>
          </w:p>
        </w:tc>
      </w:tr>
      <w:tr w14:paraId="1C584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9424" w:type="dxa"/>
            <w:gridSpan w:val="4"/>
            <w:noWrap w:val="0"/>
            <w:vAlign w:val="center"/>
          </w:tcPr>
          <w:p w14:paraId="1CFA6F75">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1、以上内容和频次为最低标准，</w:t>
            </w:r>
            <w:r>
              <w:rPr>
                <w:rFonts w:hint="eastAsia" w:ascii="宋体" w:hAnsi="宋体" w:eastAsia="宋体" w:cs="宋体"/>
                <w:b/>
                <w:bCs/>
                <w:color w:val="auto"/>
                <w:sz w:val="24"/>
                <w:szCs w:val="24"/>
                <w:highlight w:val="none"/>
                <w:lang w:val="en-US" w:eastAsia="zh-CN"/>
              </w:rPr>
              <w:t>采购人</w:t>
            </w:r>
            <w:r>
              <w:rPr>
                <w:rFonts w:hint="eastAsia" w:ascii="宋体" w:hAnsi="宋体" w:eastAsia="宋体" w:cs="宋体"/>
                <w:b/>
                <w:bCs/>
                <w:color w:val="auto"/>
                <w:sz w:val="24"/>
                <w:szCs w:val="24"/>
                <w:highlight w:val="none"/>
              </w:rPr>
              <w:t>将不定期进行检查</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成交供应商应定期提供运维记录和水质检测报告</w:t>
            </w:r>
            <w:r>
              <w:rPr>
                <w:rFonts w:hint="eastAsia" w:ascii="宋体" w:hAnsi="宋体" w:eastAsia="宋体" w:cs="宋体"/>
                <w:b/>
                <w:bCs/>
                <w:color w:val="auto"/>
                <w:sz w:val="24"/>
                <w:szCs w:val="24"/>
                <w:highlight w:val="none"/>
              </w:rPr>
              <w:t>；</w:t>
            </w:r>
          </w:p>
          <w:p w14:paraId="6B36A589">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en-US" w:eastAsia="zh-CN"/>
              </w:rPr>
              <w:t>成交供应商</w:t>
            </w:r>
            <w:r>
              <w:rPr>
                <w:rFonts w:hint="eastAsia" w:ascii="宋体" w:hAnsi="宋体" w:eastAsia="宋体" w:cs="宋体"/>
                <w:b/>
                <w:bCs/>
                <w:color w:val="auto"/>
                <w:sz w:val="24"/>
                <w:szCs w:val="24"/>
                <w:highlight w:val="none"/>
              </w:rPr>
              <w:t>定期到每个站点巡检，巡检需要填运维记录双方</w:t>
            </w:r>
            <w:r>
              <w:rPr>
                <w:rFonts w:hint="eastAsia" w:ascii="宋体" w:hAnsi="宋体" w:eastAsia="宋体" w:cs="宋体"/>
                <w:b/>
                <w:bCs/>
                <w:color w:val="auto"/>
                <w:sz w:val="24"/>
                <w:szCs w:val="24"/>
                <w:highlight w:val="none"/>
                <w:lang w:val="en-US" w:eastAsia="zh-CN"/>
              </w:rPr>
              <w:t>代表</w:t>
            </w:r>
            <w:r>
              <w:rPr>
                <w:rFonts w:hint="eastAsia" w:ascii="宋体" w:hAnsi="宋体" w:eastAsia="宋体" w:cs="宋体"/>
                <w:b/>
                <w:bCs/>
                <w:color w:val="auto"/>
                <w:sz w:val="24"/>
                <w:szCs w:val="24"/>
                <w:highlight w:val="none"/>
              </w:rPr>
              <w:t>签字确认；</w:t>
            </w:r>
          </w:p>
          <w:p w14:paraId="00D12C3D">
            <w:pPr>
              <w:spacing w:line="5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成交供应商</w:t>
            </w:r>
            <w:r>
              <w:rPr>
                <w:rFonts w:hint="eastAsia" w:ascii="宋体" w:hAnsi="宋体" w:eastAsia="宋体" w:cs="宋体"/>
                <w:b/>
                <w:bCs/>
                <w:color w:val="auto"/>
                <w:sz w:val="24"/>
                <w:szCs w:val="24"/>
                <w:highlight w:val="none"/>
              </w:rPr>
              <w:t>在春节、国庆节、劳动节等重大节假日期间必须安排</w:t>
            </w:r>
            <w:r>
              <w:rPr>
                <w:rFonts w:hint="eastAsia" w:ascii="宋体" w:hAnsi="宋体" w:eastAsia="宋体" w:cs="宋体"/>
                <w:b/>
                <w:bCs/>
                <w:color w:val="auto"/>
                <w:sz w:val="24"/>
                <w:szCs w:val="24"/>
                <w:highlight w:val="none"/>
                <w:lang w:val="en-US" w:eastAsia="zh-CN"/>
              </w:rPr>
              <w:t>运维</w:t>
            </w:r>
            <w:r>
              <w:rPr>
                <w:rFonts w:hint="eastAsia" w:ascii="宋体" w:hAnsi="宋体" w:eastAsia="宋体" w:cs="宋体"/>
                <w:b/>
                <w:bCs/>
                <w:color w:val="auto"/>
                <w:sz w:val="24"/>
                <w:szCs w:val="24"/>
                <w:highlight w:val="none"/>
              </w:rPr>
              <w:t>人员驻点应急；</w:t>
            </w:r>
          </w:p>
          <w:p w14:paraId="29810959">
            <w:pPr>
              <w:spacing w:line="500" w:lineRule="exact"/>
              <w:rPr>
                <w:rFonts w:hint="eastAsia" w:ascii="宋体" w:hAnsi="宋体" w:eastAsia="宋体" w:cs="宋体"/>
                <w:color w:val="auto"/>
                <w:spacing w:val="-5"/>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en-US" w:eastAsia="zh-CN"/>
              </w:rPr>
              <w:t>年度</w:t>
            </w:r>
            <w:r>
              <w:rPr>
                <w:rFonts w:hint="eastAsia" w:ascii="宋体" w:hAnsi="宋体" w:eastAsia="宋体" w:cs="宋体"/>
                <w:b/>
                <w:bCs/>
                <w:color w:val="auto"/>
                <w:sz w:val="24"/>
                <w:szCs w:val="24"/>
                <w:highlight w:val="none"/>
              </w:rPr>
              <w:t>运维期合同结束</w:t>
            </w:r>
            <w:r>
              <w:rPr>
                <w:rFonts w:hint="eastAsia" w:ascii="宋体" w:hAnsi="宋体" w:eastAsia="宋体" w:cs="宋体"/>
                <w:b/>
                <w:bCs/>
                <w:color w:val="auto"/>
                <w:sz w:val="24"/>
                <w:szCs w:val="24"/>
                <w:highlight w:val="none"/>
                <w:lang w:val="en-US" w:eastAsia="zh-CN"/>
              </w:rPr>
              <w:t>前1个月</w:t>
            </w:r>
            <w:r>
              <w:rPr>
                <w:rFonts w:hint="eastAsia" w:ascii="宋体" w:hAnsi="宋体" w:eastAsia="宋体" w:cs="宋体"/>
                <w:b/>
                <w:bCs/>
                <w:color w:val="auto"/>
                <w:sz w:val="24"/>
                <w:szCs w:val="24"/>
                <w:highlight w:val="none"/>
              </w:rPr>
              <w:t>，每个站点污水设备完好，出水达标情况良好为续签条件。</w:t>
            </w:r>
          </w:p>
        </w:tc>
      </w:tr>
    </w:tbl>
    <w:p w14:paraId="62317EF1">
      <w:pPr>
        <w:numPr>
          <w:ilvl w:val="0"/>
          <w:numId w:val="0"/>
        </w:num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eastAsia="宋体" w:cs="宋体"/>
          <w:b/>
          <w:bCs/>
          <w:color w:val="auto"/>
          <w:sz w:val="24"/>
          <w:szCs w:val="24"/>
          <w:highlight w:val="none"/>
          <w:lang w:val="en-US" w:eastAsia="zh-CN"/>
        </w:rPr>
        <w:t>污水管网设备运维服务</w:t>
      </w:r>
    </w:p>
    <w:p w14:paraId="7883BDAA">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包括</w:t>
      </w:r>
      <w:r>
        <w:rPr>
          <w:rFonts w:hint="eastAsia" w:ascii="宋体" w:hAnsi="宋体" w:eastAsia="宋体" w:cs="宋体"/>
          <w:color w:val="auto"/>
          <w:sz w:val="24"/>
          <w:szCs w:val="24"/>
          <w:highlight w:val="none"/>
          <w:lang w:val="en-US" w:eastAsia="zh-CN"/>
        </w:rPr>
        <w:t>来六高速施官服务区和宁信高速南谯服务区、章广收费站的2</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val="en-US" w:eastAsia="zh-CN"/>
        </w:rPr>
        <w:t>接至乡镇污水处理厂的市政</w:t>
      </w:r>
      <w:r>
        <w:rPr>
          <w:rFonts w:hint="eastAsia" w:ascii="宋体" w:hAnsi="宋体" w:eastAsia="宋体" w:cs="宋体"/>
          <w:color w:val="auto"/>
          <w:sz w:val="24"/>
          <w:szCs w:val="24"/>
          <w:highlight w:val="none"/>
        </w:rPr>
        <w:t>污水</w:t>
      </w:r>
      <w:r>
        <w:rPr>
          <w:rFonts w:hint="eastAsia" w:ascii="宋体" w:hAnsi="宋体" w:eastAsia="宋体" w:cs="宋体"/>
          <w:color w:val="auto"/>
          <w:sz w:val="24"/>
          <w:szCs w:val="24"/>
          <w:highlight w:val="none"/>
          <w:lang w:val="en-US" w:eastAsia="zh-CN"/>
        </w:rPr>
        <w:t>管道及沿线提升站等机电设备</w:t>
      </w:r>
      <w:r>
        <w:rPr>
          <w:rFonts w:hint="eastAsia" w:ascii="宋体" w:hAnsi="宋体" w:eastAsia="宋体" w:cs="宋体"/>
          <w:color w:val="auto"/>
          <w:sz w:val="24"/>
          <w:szCs w:val="24"/>
          <w:highlight w:val="none"/>
        </w:rPr>
        <w:t>的运维工作。</w:t>
      </w:r>
      <w:r>
        <w:rPr>
          <w:rFonts w:hint="eastAsia" w:ascii="宋体" w:hAnsi="宋体" w:eastAsia="宋体" w:cs="宋体"/>
          <w:color w:val="auto"/>
          <w:sz w:val="24"/>
          <w:szCs w:val="24"/>
          <w:highlight w:val="none"/>
          <w:lang w:val="en-US" w:eastAsia="zh-CN"/>
        </w:rPr>
        <w:t>服务起点自站点的污水收集池出口，服务终点为管道终点（乡镇污水处理厂的接入口）。</w:t>
      </w:r>
      <w:r>
        <w:rPr>
          <w:rFonts w:hint="eastAsia" w:ascii="宋体" w:hAnsi="宋体" w:eastAsia="宋体" w:cs="宋体"/>
          <w:color w:val="auto"/>
          <w:sz w:val="24"/>
          <w:szCs w:val="24"/>
          <w:highlight w:val="none"/>
        </w:rPr>
        <w:t>管网运维工作具体指对区域范围内的市政污水管网及检查井进行日常巡检及维护，定期清掏检查井内沉淀物</w:t>
      </w:r>
      <w:r>
        <w:rPr>
          <w:rFonts w:hint="eastAsia" w:ascii="宋体" w:hAnsi="宋体" w:eastAsia="宋体" w:cs="宋体"/>
          <w:color w:val="auto"/>
          <w:sz w:val="24"/>
          <w:szCs w:val="24"/>
          <w:highlight w:val="none"/>
          <w:lang w:val="en-US" w:eastAsia="zh-CN"/>
        </w:rPr>
        <w:t>并合规处置</w:t>
      </w:r>
      <w:r>
        <w:rPr>
          <w:rFonts w:hint="eastAsia" w:ascii="宋体" w:hAnsi="宋体" w:eastAsia="宋体" w:cs="宋体"/>
          <w:color w:val="auto"/>
          <w:sz w:val="24"/>
          <w:szCs w:val="24"/>
          <w:highlight w:val="none"/>
        </w:rPr>
        <w:t>、疏通污水管道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对沿线提升站等机电设备及仪表的日常检查、维护、维修等</w:t>
      </w:r>
      <w:r>
        <w:rPr>
          <w:rFonts w:hint="eastAsia" w:ascii="宋体" w:hAnsi="宋体" w:eastAsia="宋体" w:cs="宋体"/>
          <w:color w:val="auto"/>
          <w:sz w:val="24"/>
          <w:szCs w:val="24"/>
          <w:highlight w:val="none"/>
        </w:rPr>
        <w:t>。</w:t>
      </w:r>
    </w:p>
    <w:p w14:paraId="73433D96">
      <w:pPr>
        <w:pStyle w:val="25"/>
        <w:keepNext w:val="0"/>
        <w:keepLines w:val="0"/>
        <w:pageBreakBefore w:val="0"/>
        <w:widowControl w:val="0"/>
        <w:numPr>
          <w:ilvl w:val="0"/>
          <w:numId w:val="0"/>
        </w:numPr>
        <w:kinsoku/>
        <w:wordWrap/>
        <w:overflowPunct/>
        <w:topLinePunct w:val="0"/>
        <w:autoSpaceDE/>
        <w:autoSpaceDN/>
        <w:bidi w:val="0"/>
        <w:adjustRightInd/>
        <w:snapToGrid/>
        <w:spacing w:before="0" w:beforeLines="50" w:after="0" w:afterLines="50" w:line="500" w:lineRule="exact"/>
        <w:ind w:firstLine="482" w:firstLineChars="200"/>
        <w:jc w:val="both"/>
        <w:textAlignment w:val="auto"/>
        <w:rPr>
          <w:rFonts w:hint="eastAsia" w:ascii="宋体" w:hAnsi="宋体" w:eastAsia="宋体" w:cs="宋体"/>
          <w:b/>
          <w:bCs/>
          <w:i w:val="0"/>
          <w:iCs w:val="0"/>
          <w:caps w:val="0"/>
          <w:color w:val="auto"/>
          <w:spacing w:val="0"/>
          <w:kern w:val="2"/>
          <w:sz w:val="24"/>
          <w:szCs w:val="24"/>
          <w:highlight w:val="none"/>
          <w:shd w:val="clear" w:fill="FFFFFF"/>
          <w:lang w:val="en-US" w:eastAsia="zh-CN" w:bidi="ar-SA"/>
        </w:rPr>
      </w:pP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w:t>
      </w:r>
      <w:r>
        <w:rPr>
          <w:rFonts w:hint="eastAsia" w:hAnsi="宋体" w:eastAsia="宋体" w:cs="宋体"/>
          <w:b/>
          <w:bCs/>
          <w:i w:val="0"/>
          <w:iCs w:val="0"/>
          <w:caps w:val="0"/>
          <w:color w:val="auto"/>
          <w:spacing w:val="0"/>
          <w:kern w:val="2"/>
          <w:sz w:val="24"/>
          <w:szCs w:val="24"/>
          <w:highlight w:val="none"/>
          <w:shd w:val="clear" w:fill="FFFFFF"/>
          <w:lang w:val="en-US" w:eastAsia="zh-CN" w:bidi="ar-SA"/>
        </w:rPr>
        <w:t>二</w:t>
      </w:r>
      <w:r>
        <w:rPr>
          <w:rFonts w:hint="eastAsia" w:ascii="宋体" w:hAnsi="宋体" w:eastAsia="宋体" w:cs="宋体"/>
          <w:b/>
          <w:bCs/>
          <w:i w:val="0"/>
          <w:iCs w:val="0"/>
          <w:caps w:val="0"/>
          <w:color w:val="auto"/>
          <w:spacing w:val="0"/>
          <w:kern w:val="2"/>
          <w:sz w:val="24"/>
          <w:szCs w:val="24"/>
          <w:highlight w:val="none"/>
          <w:shd w:val="clear" w:fill="FFFFFF"/>
          <w:lang w:val="en-US" w:eastAsia="zh-CN" w:bidi="ar-SA"/>
        </w:rPr>
        <w:t>）故障响应及维修服务标准</w:t>
      </w:r>
    </w:p>
    <w:p w14:paraId="2D1F1ECC">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1、一般性常规故障</w:t>
      </w:r>
    </w:p>
    <w:p w14:paraId="2B02C871">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①响应时限：接到通知后6小时内响应，24小时内到场并完成维修。</w:t>
      </w:r>
    </w:p>
    <w:p w14:paraId="7CB2FAD0">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②维修收费规则：因乙方（维保单位）维保疏漏或设备自身问题导致的故障，免费维修；因第三方或不可抗力造成的损坏，实行有偿维修，费用由双方协商确定。</w:t>
      </w:r>
    </w:p>
    <w:p w14:paraId="2E53F469">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③违约管控：未按时响应或未按期完工的，单次支付违约金500元；逾期超过3天的，甲方有权委托第三方维修，所发生全部费用由乙方承担。</w:t>
      </w:r>
    </w:p>
    <w:p w14:paraId="35BCFF85">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2、紧急抢修故障</w:t>
      </w:r>
    </w:p>
    <w:p w14:paraId="1ECFCF7A">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①响应时限：甲方通知后2小时内人员抵达现场。</w:t>
      </w:r>
    </w:p>
    <w:p w14:paraId="29F69765">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②维修收费规则：属于乙方维保责任的故障全额免费维修；因外力或自然灾害导致的损坏，维修费用另行协商。</w:t>
      </w:r>
    </w:p>
    <w:p w14:paraId="40C5B859">
      <w:pPr>
        <w:spacing w:line="56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③违约管控：因维修滞后或维保不到位造成甲方或第三方人身、财产损失的，乙方承担全部赔偿责任。</w:t>
      </w:r>
    </w:p>
    <w:p w14:paraId="2D8D938E">
      <w:pPr>
        <w:keepNext w:val="0"/>
        <w:keepLines w:val="0"/>
        <w:pageBreakBefore w:val="0"/>
        <w:widowControl w:val="0"/>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三、人员配置</w:t>
      </w:r>
    </w:p>
    <w:p w14:paraId="53C1F0E9">
      <w:p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本项目须配备</w:t>
      </w:r>
      <w:r>
        <w:rPr>
          <w:rFonts w:hint="eastAsia" w:ascii="宋体" w:hAnsi="宋体" w:eastAsia="宋体" w:cs="宋体"/>
          <w:b/>
          <w:bCs/>
          <w:color w:val="auto"/>
          <w:sz w:val="24"/>
          <w:szCs w:val="24"/>
          <w:highlight w:val="none"/>
        </w:rPr>
        <w:t>项目负责人 1 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相关专业中级工程师及以上职称或机电工程专业二级及以上注册建造师或市政公用工程专业二级及以上注册建造师</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、污废水处理工 1 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持有</w:t>
      </w:r>
      <w:r>
        <w:rPr>
          <w:rFonts w:hint="eastAsia" w:ascii="宋体" w:hAnsi="宋体" w:eastAsia="宋体" w:cs="宋体"/>
          <w:b/>
          <w:bCs/>
          <w:color w:val="auto"/>
          <w:sz w:val="24"/>
          <w:szCs w:val="24"/>
          <w:highlight w:val="none"/>
        </w:rPr>
        <w:t>污水处理工职业技能</w:t>
      </w:r>
      <w:r>
        <w:rPr>
          <w:rFonts w:hint="eastAsia" w:ascii="宋体" w:hAnsi="宋体" w:eastAsia="宋体" w:cs="宋体"/>
          <w:b/>
          <w:bCs/>
          <w:color w:val="auto"/>
          <w:sz w:val="24"/>
          <w:szCs w:val="24"/>
          <w:highlight w:val="none"/>
          <w:lang w:val="en-US" w:eastAsia="zh-CN"/>
        </w:rPr>
        <w:t>等级证书</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电工</w:t>
      </w:r>
      <w:r>
        <w:rPr>
          <w:rFonts w:hint="eastAsia" w:ascii="宋体" w:hAnsi="宋体" w:eastAsia="宋体" w:cs="宋体"/>
          <w:b/>
          <w:bCs/>
          <w:color w:val="auto"/>
          <w:sz w:val="24"/>
          <w:szCs w:val="24"/>
          <w:highlight w:val="none"/>
        </w:rPr>
        <w:t>1人</w:t>
      </w:r>
      <w:r>
        <w:rPr>
          <w:rFonts w:hint="eastAsia" w:ascii="宋体" w:hAnsi="宋体" w:eastAsia="宋体" w:cs="宋体"/>
          <w:b/>
          <w:bCs/>
          <w:color w:val="auto"/>
          <w:sz w:val="24"/>
          <w:szCs w:val="24"/>
          <w:highlight w:val="none"/>
          <w:lang w:eastAsia="zh-CN"/>
        </w:rPr>
        <w:t>（持有应急管理部门颁发的特种作业操作证，操作项目为“低压电工作业”</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如有其他</w:t>
      </w:r>
      <w:r>
        <w:rPr>
          <w:rFonts w:hint="eastAsia" w:ascii="宋体" w:hAnsi="宋体" w:eastAsia="宋体" w:cs="宋体"/>
          <w:b/>
          <w:bCs/>
          <w:color w:val="auto"/>
          <w:sz w:val="24"/>
          <w:szCs w:val="24"/>
          <w:highlight w:val="none"/>
        </w:rPr>
        <w:t>特种作业人员</w:t>
      </w:r>
      <w:r>
        <w:rPr>
          <w:rFonts w:hint="eastAsia" w:ascii="宋体" w:hAnsi="宋体" w:eastAsia="宋体" w:cs="宋体"/>
          <w:b/>
          <w:bCs/>
          <w:color w:val="auto"/>
          <w:sz w:val="24"/>
          <w:szCs w:val="24"/>
          <w:highlight w:val="none"/>
          <w:lang w:val="en-US" w:eastAsia="zh-CN"/>
        </w:rPr>
        <w:t>也</w:t>
      </w:r>
      <w:r>
        <w:rPr>
          <w:rFonts w:hint="eastAsia" w:ascii="宋体" w:hAnsi="宋体" w:eastAsia="宋体" w:cs="宋体"/>
          <w:b/>
          <w:bCs/>
          <w:color w:val="auto"/>
          <w:sz w:val="24"/>
          <w:szCs w:val="24"/>
          <w:highlight w:val="none"/>
        </w:rPr>
        <w:t>须持证。</w:t>
      </w:r>
      <w:r>
        <w:rPr>
          <w:rFonts w:hint="eastAsia" w:ascii="宋体" w:hAnsi="宋体" w:eastAsia="宋体" w:cs="宋体"/>
          <w:b/>
          <w:bCs/>
          <w:color w:val="auto"/>
          <w:sz w:val="24"/>
          <w:szCs w:val="24"/>
          <w:highlight w:val="none"/>
          <w:lang w:val="en-US" w:eastAsia="zh-CN"/>
        </w:rPr>
        <w:t>响应时无需提供证书扫描件，合同签订前准备相应人员名单及证书供采购人审查，审查不合格的，采购人有权拒签合同。</w:t>
      </w:r>
    </w:p>
    <w:p w14:paraId="0AD0DD33">
      <w:pPr>
        <w:spacing w:line="560" w:lineRule="exact"/>
        <w:ind w:firstLine="482" w:firstLineChars="200"/>
        <w:jc w:val="left"/>
        <w:rPr>
          <w:rFonts w:hint="default" w:ascii="宋体" w:hAnsi="宋体" w:eastAsia="宋体" w:cs="宋体"/>
          <w:b/>
          <w:bCs/>
          <w:color w:val="auto"/>
          <w:sz w:val="24"/>
          <w:szCs w:val="24"/>
          <w:highlight w:val="none"/>
          <w:lang w:val="en-US" w:eastAsia="zh-CN"/>
        </w:rPr>
      </w:pPr>
      <w:r>
        <w:rPr>
          <w:rFonts w:hint="default" w:ascii="宋体" w:hAnsi="宋体" w:eastAsia="宋体" w:cs="宋体"/>
          <w:b/>
          <w:bCs/>
          <w:color w:val="auto"/>
          <w:sz w:val="24"/>
          <w:szCs w:val="24"/>
          <w:highlight w:val="none"/>
          <w:lang w:val="en-US" w:eastAsia="zh-CN"/>
        </w:rPr>
        <w:t>注：相关专业指环境工程、给排水、市政工程、机电或自动化专业。</w:t>
      </w:r>
    </w:p>
    <w:p w14:paraId="76FAE06C">
      <w:pPr>
        <w:keepNext w:val="0"/>
        <w:keepLines w:val="0"/>
        <w:pageBreakBefore w:val="0"/>
        <w:widowControl w:val="0"/>
        <w:numPr>
          <w:ilvl w:val="0"/>
          <w:numId w:val="0"/>
        </w:numPr>
        <w:kinsoku/>
        <w:wordWrap/>
        <w:overflowPunct/>
        <w:topLinePunct w:val="0"/>
        <w:autoSpaceDE/>
        <w:autoSpaceDN/>
        <w:bidi w:val="0"/>
        <w:adjustRightInd/>
        <w:snapToGrid/>
        <w:spacing w:before="0" w:beforeLines="50" w:beforeAutospacing="0" w:after="0" w:afterLines="50" w:afterAutospacing="0" w:line="500" w:lineRule="exact"/>
        <w:ind w:firstLine="562" w:firstLineChars="200"/>
        <w:jc w:val="left"/>
        <w:textAlignment w:val="auto"/>
        <w:rPr>
          <w:rFonts w:hint="eastAsia" w:ascii="宋体" w:hAnsi="宋体" w:eastAsia="宋体" w:cs="宋体"/>
          <w:b/>
          <w:bCs/>
          <w:color w:val="auto"/>
          <w:sz w:val="28"/>
          <w:szCs w:val="28"/>
          <w:highlight w:val="none"/>
          <w:lang w:val="en-US" w:eastAsia="zh-CN"/>
        </w:rPr>
      </w:pPr>
      <w:bookmarkStart w:id="36" w:name="_Toc15765"/>
      <w:r>
        <w:rPr>
          <w:rFonts w:hint="eastAsia" w:ascii="宋体" w:hAnsi="宋体" w:eastAsia="宋体" w:cs="宋体"/>
          <w:b/>
          <w:bCs/>
          <w:color w:val="auto"/>
          <w:kern w:val="2"/>
          <w:sz w:val="28"/>
          <w:szCs w:val="28"/>
          <w:highlight w:val="none"/>
          <w:lang w:val="en-US" w:eastAsia="zh-CN" w:bidi="ar-SA"/>
        </w:rPr>
        <w:t>四、</w:t>
      </w:r>
      <w:r>
        <w:rPr>
          <w:rFonts w:hint="eastAsia" w:ascii="宋体" w:hAnsi="宋体" w:eastAsia="宋体" w:cs="宋体"/>
          <w:b/>
          <w:bCs/>
          <w:color w:val="auto"/>
          <w:sz w:val="28"/>
          <w:szCs w:val="28"/>
          <w:highlight w:val="none"/>
          <w:lang w:val="en-US" w:eastAsia="zh-CN"/>
        </w:rPr>
        <w:t>响应报价</w:t>
      </w:r>
    </w:p>
    <w:p w14:paraId="0FDFF6F7">
      <w:pPr>
        <w:spacing w:line="560" w:lineRule="exact"/>
        <w:ind w:firstLine="482"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供应商应结合项目服务内容、运维频次、站点分布及管理要求，合理测算并填报年度运维服务费用。成交后，除采购文件明确约定为“</w:t>
      </w:r>
      <w:r>
        <w:rPr>
          <w:rFonts w:hint="eastAsia" w:ascii="宋体" w:hAnsi="宋体" w:eastAsia="宋体" w:cs="宋体"/>
          <w:color w:val="auto"/>
          <w:sz w:val="24"/>
          <w:szCs w:val="24"/>
          <w:highlight w:val="none"/>
          <w:lang w:val="en-US" w:eastAsia="zh-CN"/>
        </w:rPr>
        <w:t>单独支付</w:t>
      </w:r>
      <w:r>
        <w:rPr>
          <w:rFonts w:hint="default" w:ascii="宋体" w:hAnsi="宋体" w:eastAsia="宋体" w:cs="宋体"/>
          <w:color w:val="auto"/>
          <w:sz w:val="24"/>
          <w:szCs w:val="24"/>
          <w:highlight w:val="none"/>
          <w:lang w:val="en-US" w:eastAsia="zh-CN"/>
        </w:rPr>
        <w:t>”或“由采购人另行支付”的费用外，采购人不再支付任何额外费用。</w:t>
      </w:r>
    </w:p>
    <w:p w14:paraId="4948CD8D">
      <w:pPr>
        <w:spacing w:line="560" w:lineRule="exact"/>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2.费用包含范围：</w:t>
      </w:r>
    </w:p>
    <w:p w14:paraId="59943B96">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响应报价须涵盖为完成本项目全部运维工作所需的一切费用，包括但不限于：</w:t>
      </w:r>
    </w:p>
    <w:p w14:paraId="303FFC9D">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人员费用：项目负责人、污废水处理工、机电工及其他特种作业人员的工资、奖金、社保、住房公积金、意外伤害保险、差旅费、食宿费、交通费等；</w:t>
      </w:r>
    </w:p>
    <w:p w14:paraId="738234AE">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设备及材料费用：日常维保所需的所有耗材、润滑油、药剂（含加药装置药剂）、菌种、碳源、生物酶、皮带、密封件、轴承、过滤器、照明灯具、门锁等低值易耗品；</w:t>
      </w:r>
    </w:p>
    <w:p w14:paraId="3EA3A3E3">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lang w:val="en-US" w:eastAsia="zh-CN"/>
        </w:rPr>
        <w:t>运维作业费用：设备检查、清洁、调试、润滑、防腐处理、管道疏通、清掏、站点保洁、消毒杀虫、节假日驻点值守等；</w:t>
      </w:r>
    </w:p>
    <w:p w14:paraId="75382B50">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检测及处置费用：例行水质检测费、污泥及化粪池沉淀物合规处置费、远程控制流量费；</w:t>
      </w:r>
    </w:p>
    <w:p w14:paraId="7A1C220F">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default" w:ascii="宋体" w:hAnsi="宋体" w:eastAsia="宋体" w:cs="宋体"/>
          <w:color w:val="auto"/>
          <w:sz w:val="24"/>
          <w:szCs w:val="24"/>
          <w:highlight w:val="none"/>
          <w:lang w:val="en-US" w:eastAsia="zh-CN"/>
        </w:rPr>
        <w:t>管理及其他费用：管理费、利润、税金、办公费、通讯费、运维档案管理费、安全文明施工费、风险费及政策性文件规定调整费用等。</w:t>
      </w:r>
    </w:p>
    <w:p w14:paraId="6D819393">
      <w:pPr>
        <w:spacing w:line="560" w:lineRule="exact"/>
        <w:ind w:left="479" w:leftChars="228" w:firstLine="0" w:firstLine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w:t>
      </w:r>
      <w:r>
        <w:rPr>
          <w:rFonts w:hint="default" w:ascii="宋体" w:hAnsi="宋体" w:eastAsia="宋体" w:cs="宋体"/>
          <w:b/>
          <w:bCs/>
          <w:color w:val="auto"/>
          <w:sz w:val="24"/>
          <w:szCs w:val="24"/>
          <w:highlight w:val="none"/>
          <w:lang w:val="en-US" w:eastAsia="zh-CN"/>
        </w:rPr>
        <w:t>费用不包含范围（由采购人另行支付或据实结算）</w:t>
      </w:r>
      <w:r>
        <w:rPr>
          <w:rFonts w:hint="default" w:ascii="宋体" w:hAnsi="宋体" w:eastAsia="宋体" w:cs="宋体"/>
          <w:color w:val="auto"/>
          <w:sz w:val="24"/>
          <w:szCs w:val="24"/>
          <w:highlight w:val="none"/>
          <w:lang w:val="en-US" w:eastAsia="zh-CN"/>
        </w:rPr>
        <w:br w:type="textWrapping"/>
      </w:r>
      <w:r>
        <w:rPr>
          <w:rFonts w:hint="default" w:ascii="宋体" w:hAnsi="宋体" w:eastAsia="宋体" w:cs="宋体"/>
          <w:color w:val="auto"/>
          <w:sz w:val="24"/>
          <w:szCs w:val="24"/>
          <w:highlight w:val="none"/>
          <w:lang w:val="en-US" w:eastAsia="zh-CN"/>
        </w:rPr>
        <w:t>以下费用不在年度包干总价内，按实际发生另行支付或据实结算：</w:t>
      </w:r>
    </w:p>
    <w:p w14:paraId="32E9AED9">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（1）设备维修时，涉及设备更换及相关材料的采购费用由</w:t>
      </w:r>
      <w:r>
        <w:rPr>
          <w:rFonts w:hint="default"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承担，其余所有相关费用由成交供应商自行承担</w:t>
      </w:r>
      <w:r>
        <w:rPr>
          <w:rFonts w:hint="default" w:ascii="宋体" w:hAnsi="宋体" w:eastAsia="宋体" w:cs="宋体"/>
          <w:color w:val="auto"/>
          <w:sz w:val="24"/>
          <w:szCs w:val="24"/>
          <w:highlight w:val="none"/>
          <w:lang w:val="en-US" w:eastAsia="zh-CN"/>
        </w:rPr>
        <w:t>；</w:t>
      </w:r>
    </w:p>
    <w:p w14:paraId="386D69FE">
      <w:pPr>
        <w:spacing w:line="56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应急抢修中属于非</w:t>
      </w:r>
      <w:r>
        <w:rPr>
          <w:rFonts w:hint="eastAsia" w:ascii="宋体" w:hAnsi="宋体" w:eastAsia="宋体" w:cs="宋体"/>
          <w:color w:val="auto"/>
          <w:sz w:val="24"/>
          <w:szCs w:val="24"/>
          <w:highlight w:val="none"/>
          <w:lang w:val="en-US" w:eastAsia="zh-CN"/>
        </w:rPr>
        <w:t>成交供应商</w:t>
      </w:r>
      <w:r>
        <w:rPr>
          <w:rFonts w:hint="default" w:ascii="宋体" w:hAnsi="宋体" w:eastAsia="宋体" w:cs="宋体"/>
          <w:color w:val="auto"/>
          <w:sz w:val="24"/>
          <w:szCs w:val="24"/>
          <w:highlight w:val="none"/>
          <w:lang w:val="en-US" w:eastAsia="zh-CN"/>
        </w:rPr>
        <w:t>责任导致的损坏修复费用（如第三方或不可抗力造成），另行协商支付。</w:t>
      </w:r>
    </w:p>
    <w:p w14:paraId="28DA360D">
      <w:pPr>
        <w:pStyle w:val="25"/>
        <w:rPr>
          <w:rFonts w:hint="eastAsia"/>
          <w:color w:val="auto"/>
          <w:highlight w:val="none"/>
        </w:rPr>
      </w:pPr>
    </w:p>
    <w:p w14:paraId="561FD522">
      <w:pPr>
        <w:spacing w:line="380" w:lineRule="exact"/>
        <w:jc w:val="center"/>
        <w:outlineLvl w:val="0"/>
        <w:rPr>
          <w:rFonts w:hint="eastAsia" w:asciiTheme="minorEastAsia" w:hAnsiTheme="minorEastAsia" w:eastAsiaTheme="minorEastAsia"/>
          <w:b/>
          <w:color w:val="auto"/>
          <w:sz w:val="28"/>
          <w:highlight w:val="none"/>
        </w:rPr>
        <w:sectPr>
          <w:headerReference r:id="rId7" w:type="default"/>
          <w:footerReference r:id="rId8" w:type="default"/>
          <w:pgSz w:w="11906" w:h="16839"/>
          <w:pgMar w:top="1078" w:right="1234" w:bottom="1156" w:left="1587" w:header="873" w:footer="942" w:gutter="0"/>
          <w:cols w:space="720" w:num="1"/>
        </w:sectPr>
      </w:pPr>
    </w:p>
    <w:p w14:paraId="6628585C">
      <w:pPr>
        <w:spacing w:line="380" w:lineRule="exact"/>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36"/>
    </w:p>
    <w:p w14:paraId="16B54348">
      <w:pPr>
        <w:spacing w:line="360" w:lineRule="auto"/>
        <w:ind w:firstLine="437"/>
        <w:outlineLvl w:val="1"/>
        <w:rPr>
          <w:rFonts w:asciiTheme="minorEastAsia" w:hAnsiTheme="minorEastAsia" w:eastAsiaTheme="minorEastAsia"/>
          <w:b/>
          <w:color w:val="auto"/>
          <w:sz w:val="24"/>
          <w:highlight w:val="none"/>
        </w:rPr>
      </w:pPr>
      <w:bookmarkStart w:id="37" w:name="_Toc1221"/>
      <w:bookmarkStart w:id="38" w:name="_Toc11117"/>
      <w:r>
        <w:rPr>
          <w:rFonts w:hint="eastAsia" w:asciiTheme="minorEastAsia" w:hAnsiTheme="minorEastAsia" w:eastAsiaTheme="minorEastAsia"/>
          <w:b/>
          <w:color w:val="auto"/>
          <w:sz w:val="24"/>
          <w:highlight w:val="none"/>
        </w:rPr>
        <w:t>一、总则</w:t>
      </w:r>
      <w:bookmarkEnd w:id="37"/>
      <w:bookmarkEnd w:id="38"/>
    </w:p>
    <w:p w14:paraId="10F7AD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571A17E8">
      <w:pPr>
        <w:spacing w:line="360" w:lineRule="auto"/>
        <w:ind w:firstLine="437"/>
        <w:outlineLvl w:val="1"/>
        <w:rPr>
          <w:rFonts w:asciiTheme="minorEastAsia" w:hAnsiTheme="minorEastAsia" w:eastAsiaTheme="minorEastAsia"/>
          <w:b/>
          <w:color w:val="auto"/>
          <w:sz w:val="24"/>
          <w:highlight w:val="none"/>
        </w:rPr>
      </w:pPr>
      <w:bookmarkStart w:id="39" w:name="_Toc21906"/>
      <w:bookmarkStart w:id="40" w:name="_Toc20555"/>
      <w:r>
        <w:rPr>
          <w:rFonts w:hint="eastAsia" w:asciiTheme="minorEastAsia" w:hAnsiTheme="minorEastAsia" w:eastAsiaTheme="minorEastAsia"/>
          <w:b/>
          <w:color w:val="auto"/>
          <w:sz w:val="24"/>
          <w:highlight w:val="none"/>
        </w:rPr>
        <w:t>二、评审方法</w:t>
      </w:r>
      <w:bookmarkEnd w:id="39"/>
      <w:bookmarkEnd w:id="40"/>
    </w:p>
    <w:p w14:paraId="5295B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的实质性要求。评审表如下：</w:t>
      </w:r>
    </w:p>
    <w:tbl>
      <w:tblPr>
        <w:tblStyle w:val="26"/>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485"/>
        <w:gridCol w:w="3559"/>
        <w:gridCol w:w="3578"/>
      </w:tblGrid>
      <w:tr w14:paraId="66B2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B45545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4"/>
                <w:szCs w:val="22"/>
                <w:highlight w:val="none"/>
              </w:rPr>
              <w:t>评审表</w:t>
            </w:r>
          </w:p>
        </w:tc>
      </w:tr>
      <w:tr w14:paraId="5605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53" w:type="pct"/>
            <w:tcBorders>
              <w:bottom w:val="single" w:color="auto" w:sz="4" w:space="0"/>
            </w:tcBorders>
            <w:vAlign w:val="center"/>
          </w:tcPr>
          <w:p w14:paraId="45EB93BD">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783" w:type="pct"/>
            <w:tcBorders>
              <w:bottom w:val="single" w:color="auto" w:sz="4" w:space="0"/>
            </w:tcBorders>
            <w:vAlign w:val="center"/>
          </w:tcPr>
          <w:p w14:paraId="13AF8D1B">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val="0"/>
              <w:snapToGrid w:val="0"/>
              <w:spacing w:line="240" w:lineRule="exact"/>
              <w:ind w:right="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rPr>
              <w:t>审查指标</w:t>
            </w:r>
          </w:p>
        </w:tc>
        <w:tc>
          <w:tcPr>
            <w:tcW w:w="1877" w:type="pct"/>
            <w:tcBorders>
              <w:bottom w:val="single" w:color="auto" w:sz="4" w:space="0"/>
            </w:tcBorders>
            <w:vAlign w:val="center"/>
          </w:tcPr>
          <w:p w14:paraId="50922701">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审查标准</w:t>
            </w:r>
          </w:p>
        </w:tc>
        <w:tc>
          <w:tcPr>
            <w:tcW w:w="1886" w:type="pct"/>
            <w:tcBorders>
              <w:bottom w:val="single" w:color="auto" w:sz="4" w:space="0"/>
            </w:tcBorders>
            <w:vAlign w:val="center"/>
          </w:tcPr>
          <w:p w14:paraId="6268EE2F">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6097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53" w:type="pct"/>
            <w:tcBorders>
              <w:bottom w:val="single" w:color="auto" w:sz="4" w:space="0"/>
            </w:tcBorders>
            <w:vAlign w:val="center"/>
          </w:tcPr>
          <w:p w14:paraId="0A45383A">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783" w:type="pct"/>
            <w:tcBorders>
              <w:bottom w:val="single" w:color="auto" w:sz="4" w:space="0"/>
            </w:tcBorders>
            <w:vAlign w:val="center"/>
          </w:tcPr>
          <w:p w14:paraId="2F0EEA65">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1877" w:type="pct"/>
            <w:tcBorders>
              <w:bottom w:val="single" w:color="auto" w:sz="4" w:space="0"/>
            </w:tcBorders>
            <w:vAlign w:val="center"/>
          </w:tcPr>
          <w:p w14:paraId="30B05E0A">
            <w:pPr>
              <w:keepNext w:val="0"/>
              <w:keepLines w:val="0"/>
              <w:pageBreakBefore w:val="0"/>
              <w:widowControl w:val="0"/>
              <w:kinsoku/>
              <w:wordWrap/>
              <w:overflowPunct/>
              <w:topLinePunct w:val="0"/>
              <w:autoSpaceDE/>
              <w:autoSpaceDN/>
              <w:bidi w:val="0"/>
              <w:spacing w:line="440" w:lineRule="exact"/>
              <w:ind w:right="-1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61530D5B">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tc>
        <w:tc>
          <w:tcPr>
            <w:tcW w:w="1886" w:type="pct"/>
            <w:vAlign w:val="center"/>
          </w:tcPr>
          <w:p w14:paraId="65617274">
            <w:pPr>
              <w:keepNext w:val="0"/>
              <w:keepLines w:val="0"/>
              <w:pageBreakBefore w:val="0"/>
              <w:widowControl w:val="0"/>
              <w:kinsoku/>
              <w:wordWrap/>
              <w:overflowPunct/>
              <w:topLinePunct w:val="0"/>
              <w:autoSpaceDE/>
              <w:autoSpaceDN/>
              <w:bidi w:val="0"/>
              <w:spacing w:line="440" w:lineRule="exact"/>
              <w:jc w:val="left"/>
              <w:textAlignment w:val="auto"/>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028F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Borders>
              <w:bottom w:val="single" w:color="auto" w:sz="4" w:space="0"/>
            </w:tcBorders>
            <w:vAlign w:val="center"/>
          </w:tcPr>
          <w:p w14:paraId="33A9A009">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2</w:t>
            </w:r>
          </w:p>
        </w:tc>
        <w:tc>
          <w:tcPr>
            <w:tcW w:w="783" w:type="pct"/>
            <w:tcBorders>
              <w:bottom w:val="single" w:color="auto" w:sz="4" w:space="0"/>
            </w:tcBorders>
            <w:vAlign w:val="center"/>
          </w:tcPr>
          <w:p w14:paraId="40DC5319">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rPr>
              <w:t>供应商资格声明书</w:t>
            </w:r>
          </w:p>
        </w:tc>
        <w:tc>
          <w:tcPr>
            <w:tcW w:w="1877" w:type="pct"/>
            <w:tcBorders>
              <w:bottom w:val="single" w:color="auto" w:sz="4" w:space="0"/>
            </w:tcBorders>
            <w:vAlign w:val="center"/>
          </w:tcPr>
          <w:p w14:paraId="0560F950">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eastAsia="zh-CN"/>
              </w:rPr>
              <w:t>询价采购文件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886" w:type="pct"/>
            <w:tcBorders>
              <w:bottom w:val="single" w:color="auto" w:sz="4" w:space="0"/>
            </w:tcBorders>
            <w:vAlign w:val="center"/>
          </w:tcPr>
          <w:p w14:paraId="5CCD63B6">
            <w:pPr>
              <w:keepNext w:val="0"/>
              <w:keepLines w:val="0"/>
              <w:pageBreakBefore w:val="0"/>
              <w:widowControl w:val="0"/>
              <w:kinsoku/>
              <w:wordWrap/>
              <w:overflowPunct/>
              <w:topLinePunct w:val="0"/>
              <w:autoSpaceDE/>
              <w:autoSpaceDN/>
              <w:bidi w:val="0"/>
              <w:spacing w:line="440" w:lineRule="exact"/>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4E4D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53" w:type="pct"/>
            <w:tcBorders>
              <w:bottom w:val="single" w:color="auto" w:sz="4" w:space="0"/>
            </w:tcBorders>
            <w:vAlign w:val="center"/>
          </w:tcPr>
          <w:p w14:paraId="7DD50DE3">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3</w:t>
            </w:r>
          </w:p>
        </w:tc>
        <w:tc>
          <w:tcPr>
            <w:tcW w:w="783" w:type="pct"/>
            <w:tcBorders>
              <w:bottom w:val="single" w:color="auto" w:sz="4" w:space="0"/>
            </w:tcBorders>
            <w:vAlign w:val="center"/>
          </w:tcPr>
          <w:p w14:paraId="23EDF7D6">
            <w:pPr>
              <w:keepNext w:val="0"/>
              <w:keepLines w:val="0"/>
              <w:pageBreakBefore w:val="0"/>
              <w:widowControl w:val="0"/>
              <w:kinsoku/>
              <w:wordWrap/>
              <w:overflowPunct/>
              <w:topLinePunct w:val="0"/>
              <w:autoSpaceDE/>
              <w:autoSpaceDN/>
              <w:bidi w:val="0"/>
              <w:spacing w:line="440" w:lineRule="exact"/>
              <w:ind w:right="-10"/>
              <w:jc w:val="center"/>
              <w:textAlignment w:val="auto"/>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业绩</w:t>
            </w:r>
          </w:p>
        </w:tc>
        <w:tc>
          <w:tcPr>
            <w:tcW w:w="1877" w:type="pct"/>
            <w:tcBorders>
              <w:bottom w:val="single" w:color="auto" w:sz="4" w:space="0"/>
            </w:tcBorders>
            <w:vAlign w:val="center"/>
          </w:tcPr>
          <w:p w14:paraId="7679A1E7">
            <w:pPr>
              <w:keepNext w:val="0"/>
              <w:keepLines w:val="0"/>
              <w:pageBreakBefore w:val="0"/>
              <w:widowControl w:val="0"/>
              <w:kinsoku/>
              <w:wordWrap/>
              <w:overflowPunct/>
              <w:topLinePunct w:val="0"/>
              <w:autoSpaceDE/>
              <w:autoSpaceDN/>
              <w:bidi w:val="0"/>
              <w:spacing w:line="440" w:lineRule="exact"/>
              <w:ind w:right="-11"/>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供应商具有污水处理站（或污水处理设备）维保业绩</w:t>
            </w:r>
          </w:p>
        </w:tc>
        <w:tc>
          <w:tcPr>
            <w:tcW w:w="1886" w:type="pct"/>
            <w:tcBorders>
              <w:bottom w:val="single" w:color="auto" w:sz="4" w:space="0"/>
            </w:tcBorders>
            <w:vAlign w:val="center"/>
          </w:tcPr>
          <w:p w14:paraId="1A66FFA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扫描件</w:t>
            </w:r>
          </w:p>
        </w:tc>
      </w:tr>
      <w:tr w14:paraId="5365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3E462C72">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lang w:val="en-US" w:eastAsia="zh-CN"/>
              </w:rPr>
              <w:t>4</w:t>
            </w:r>
          </w:p>
        </w:tc>
        <w:tc>
          <w:tcPr>
            <w:tcW w:w="783" w:type="pct"/>
            <w:vAlign w:val="center"/>
          </w:tcPr>
          <w:p w14:paraId="642B720E">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77" w:type="pct"/>
            <w:vAlign w:val="center"/>
          </w:tcPr>
          <w:p w14:paraId="4B06B1E9">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886" w:type="pct"/>
            <w:vAlign w:val="center"/>
          </w:tcPr>
          <w:p w14:paraId="44DA79CA">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7697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230A458B">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lang w:val="en-US" w:eastAsia="zh-CN"/>
              </w:rPr>
              <w:t>5</w:t>
            </w:r>
          </w:p>
        </w:tc>
        <w:tc>
          <w:tcPr>
            <w:tcW w:w="783" w:type="pct"/>
            <w:vAlign w:val="center"/>
          </w:tcPr>
          <w:p w14:paraId="20829D31">
            <w:pPr>
              <w:keepNext w:val="0"/>
              <w:keepLines w:val="0"/>
              <w:pageBreakBefore w:val="0"/>
              <w:widowControl w:val="0"/>
              <w:kinsoku/>
              <w:wordWrap/>
              <w:overflowPunct/>
              <w:topLinePunct w:val="0"/>
              <w:autoSpaceDE/>
              <w:autoSpaceDN/>
              <w:bidi w:val="0"/>
              <w:spacing w:line="440" w:lineRule="exact"/>
              <w:ind w:right="-1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77" w:type="pct"/>
            <w:vAlign w:val="center"/>
          </w:tcPr>
          <w:p w14:paraId="33ECFBF8">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886" w:type="pct"/>
            <w:vAlign w:val="center"/>
          </w:tcPr>
          <w:p w14:paraId="354C7990">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法定代表人参加询价的无需此件，提供身份证明即可。</w:t>
            </w:r>
            <w:r>
              <w:rPr>
                <w:rFonts w:hint="eastAsia" w:ascii="宋体" w:hAnsi="宋体" w:eastAsia="宋体"/>
                <w:color w:val="auto"/>
                <w:sz w:val="24"/>
                <w:highlight w:val="none"/>
              </w:rPr>
              <w:t>详见第六章响应文件格式。</w:t>
            </w:r>
          </w:p>
        </w:tc>
      </w:tr>
      <w:tr w14:paraId="0693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4A7A393F">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6</w:t>
            </w:r>
          </w:p>
        </w:tc>
        <w:tc>
          <w:tcPr>
            <w:tcW w:w="783" w:type="pct"/>
            <w:vAlign w:val="center"/>
          </w:tcPr>
          <w:p w14:paraId="309CCEA3">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77" w:type="pct"/>
            <w:vAlign w:val="center"/>
          </w:tcPr>
          <w:p w14:paraId="702EEF31">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供应商须知正文第9条要求</w:t>
            </w:r>
          </w:p>
        </w:tc>
        <w:tc>
          <w:tcPr>
            <w:tcW w:w="1886" w:type="pct"/>
            <w:vAlign w:val="center"/>
          </w:tcPr>
          <w:p w14:paraId="453D79E9">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DE6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2A1ECA67">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7</w:t>
            </w:r>
          </w:p>
        </w:tc>
        <w:tc>
          <w:tcPr>
            <w:tcW w:w="783" w:type="pct"/>
            <w:vAlign w:val="center"/>
          </w:tcPr>
          <w:p w14:paraId="3C2F91F0">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77" w:type="pct"/>
            <w:vAlign w:val="center"/>
          </w:tcPr>
          <w:p w14:paraId="57F38D58">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采购需求中对付款方式、供货期限、供货地点、免费质保期等实质性要求</w:t>
            </w:r>
          </w:p>
        </w:tc>
        <w:tc>
          <w:tcPr>
            <w:tcW w:w="1886" w:type="pct"/>
            <w:vAlign w:val="center"/>
          </w:tcPr>
          <w:p w14:paraId="3E9D1BFF">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DA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18B9C8E2">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bookmarkStart w:id="41" w:name="_Hlk60605773"/>
            <w:bookmarkStart w:id="42" w:name="_Hlk23204339"/>
            <w:r>
              <w:rPr>
                <w:rFonts w:hint="eastAsia" w:ascii="宋体" w:hAnsi="宋体" w:eastAsia="宋体"/>
                <w:color w:val="auto"/>
                <w:sz w:val="24"/>
                <w:highlight w:val="none"/>
                <w:lang w:val="en-US" w:eastAsia="zh-CN"/>
              </w:rPr>
              <w:t>8</w:t>
            </w:r>
          </w:p>
        </w:tc>
        <w:tc>
          <w:tcPr>
            <w:tcW w:w="783" w:type="pct"/>
            <w:vAlign w:val="center"/>
          </w:tcPr>
          <w:p w14:paraId="219A0044">
            <w:pPr>
              <w:keepNext w:val="0"/>
              <w:keepLines w:val="0"/>
              <w:pageBreakBefore w:val="0"/>
              <w:widowControl w:val="0"/>
              <w:kinsoku/>
              <w:wordWrap/>
              <w:overflowPunct/>
              <w:topLinePunct w:val="0"/>
              <w:autoSpaceDE/>
              <w:autoSpaceDN/>
              <w:bidi w:val="0"/>
              <w:spacing w:line="440" w:lineRule="exact"/>
              <w:ind w:right="-10"/>
              <w:jc w:val="center"/>
              <w:textAlignment w:val="auto"/>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分项报价清单</w:t>
            </w:r>
          </w:p>
        </w:tc>
        <w:tc>
          <w:tcPr>
            <w:tcW w:w="1877" w:type="pct"/>
            <w:vAlign w:val="center"/>
          </w:tcPr>
          <w:p w14:paraId="2881E795">
            <w:pPr>
              <w:keepNext w:val="0"/>
              <w:keepLines w:val="0"/>
              <w:pageBreakBefore w:val="0"/>
              <w:widowControl w:val="0"/>
              <w:kinsoku/>
              <w:wordWrap/>
              <w:overflowPunct/>
              <w:topLinePunct w:val="0"/>
              <w:autoSpaceDE/>
              <w:autoSpaceDN/>
              <w:bidi w:val="0"/>
              <w:spacing w:line="440" w:lineRule="exact"/>
              <w:ind w:right="-11"/>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要求</w:t>
            </w:r>
          </w:p>
        </w:tc>
        <w:tc>
          <w:tcPr>
            <w:tcW w:w="1886" w:type="pct"/>
            <w:vAlign w:val="center"/>
          </w:tcPr>
          <w:p w14:paraId="4BA981EA">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C6E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vAlign w:val="center"/>
          </w:tcPr>
          <w:p w14:paraId="631110A2">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9</w:t>
            </w:r>
          </w:p>
        </w:tc>
        <w:tc>
          <w:tcPr>
            <w:tcW w:w="783" w:type="pct"/>
            <w:vAlign w:val="center"/>
          </w:tcPr>
          <w:p w14:paraId="1125E072">
            <w:pPr>
              <w:keepNext w:val="0"/>
              <w:keepLines w:val="0"/>
              <w:pageBreakBefore w:val="0"/>
              <w:widowControl w:val="0"/>
              <w:kinsoku/>
              <w:wordWrap/>
              <w:overflowPunct/>
              <w:topLinePunct w:val="0"/>
              <w:autoSpaceDE/>
              <w:autoSpaceDN/>
              <w:bidi w:val="0"/>
              <w:spacing w:line="440" w:lineRule="exact"/>
              <w:ind w:right="-10"/>
              <w:jc w:val="center"/>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77" w:type="pct"/>
            <w:vAlign w:val="center"/>
          </w:tcPr>
          <w:p w14:paraId="4D4EC6FD">
            <w:pPr>
              <w:keepNext w:val="0"/>
              <w:keepLines w:val="0"/>
              <w:pageBreakBefore w:val="0"/>
              <w:widowControl w:val="0"/>
              <w:kinsoku/>
              <w:wordWrap/>
              <w:overflowPunct/>
              <w:topLinePunct w:val="0"/>
              <w:autoSpaceDE/>
              <w:autoSpaceDN/>
              <w:bidi w:val="0"/>
              <w:spacing w:line="440" w:lineRule="exact"/>
              <w:ind w:right="-10"/>
              <w:jc w:val="left"/>
              <w:textAlignment w:val="auto"/>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列明的其他实质性要求</w:t>
            </w:r>
          </w:p>
        </w:tc>
        <w:tc>
          <w:tcPr>
            <w:tcW w:w="1886" w:type="pct"/>
            <w:vAlign w:val="center"/>
          </w:tcPr>
          <w:p w14:paraId="199D307C">
            <w:pPr>
              <w:keepNext w:val="0"/>
              <w:keepLines w:val="0"/>
              <w:pageBreakBefore w:val="0"/>
              <w:widowControl w:val="0"/>
              <w:kinsoku/>
              <w:wordWrap/>
              <w:overflowPunct/>
              <w:topLinePunct w:val="0"/>
              <w:autoSpaceDE/>
              <w:autoSpaceDN/>
              <w:bidi w:val="0"/>
              <w:adjustRightInd w:val="0"/>
              <w:snapToGrid w:val="0"/>
              <w:spacing w:line="440" w:lineRule="exact"/>
              <w:ind w:right="-10"/>
              <w:jc w:val="left"/>
              <w:textAlignment w:val="auto"/>
              <w:rPr>
                <w:rFonts w:asciiTheme="minorEastAsia" w:hAnsiTheme="minorEastAsia" w:eastAsiaTheme="minorEastAsia"/>
                <w:color w:val="auto"/>
                <w:sz w:val="24"/>
                <w:highlight w:val="none"/>
              </w:rPr>
            </w:pPr>
          </w:p>
        </w:tc>
      </w:tr>
      <w:bookmarkEnd w:id="41"/>
    </w:tbl>
    <w:p w14:paraId="46EDBF9E">
      <w:pPr>
        <w:spacing w:line="360" w:lineRule="auto"/>
        <w:ind w:firstLine="435"/>
        <w:rPr>
          <w:rFonts w:asciiTheme="minorEastAsia" w:hAnsiTheme="minorEastAsia" w:eastAsiaTheme="minorEastAsia"/>
          <w:color w:val="auto"/>
          <w:sz w:val="24"/>
          <w:highlight w:val="none"/>
        </w:rPr>
      </w:pPr>
      <w:bookmarkStart w:id="4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bookmarkEnd w:id="42"/>
    <w:bookmarkEnd w:id="43"/>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须在规定时间内解密。因供应商自身原因导致响应文件在规定时间内未能解密、解密失败或解密超时，响应文件无效；</w:t>
      </w:r>
      <w:r>
        <w:rPr>
          <w:rFonts w:hint="eastAsia" w:asciiTheme="minorEastAsia" w:hAnsiTheme="minorEastAsia" w:eastAsiaTheme="minorEastAsia"/>
          <w:color w:val="auto"/>
          <w:sz w:val="24"/>
          <w:highlight w:val="none"/>
          <w:lang w:val="en-US" w:eastAsia="zh-CN"/>
        </w:rPr>
        <w:t>在规定时间内完成解密</w:t>
      </w:r>
      <w:r>
        <w:rPr>
          <w:rFonts w:hint="eastAsia" w:asciiTheme="minorEastAsia" w:hAnsiTheme="minorEastAsia" w:eastAsiaTheme="minorEastAsia"/>
          <w:color w:val="auto"/>
          <w:sz w:val="24"/>
          <w:highlight w:val="none"/>
        </w:rPr>
        <w:t>，否则响应文件将被拒绝。</w:t>
      </w:r>
    </w:p>
    <w:p w14:paraId="62C40E3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24590E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5C6FF0F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询价小组</w:t>
      </w:r>
      <w:r>
        <w:rPr>
          <w:rFonts w:hint="eastAsia" w:asciiTheme="minorEastAsia" w:hAnsiTheme="minorEastAsia" w:eastAsiaTheme="minorEastAsia"/>
          <w:color w:val="auto"/>
          <w:sz w:val="24"/>
          <w:highlight w:val="none"/>
        </w:rPr>
        <w:t>无法查看并检验电子响应文件中相关资料的；</w:t>
      </w:r>
    </w:p>
    <w:p w14:paraId="1342F57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）责令停产停业的；</w:t>
      </w:r>
    </w:p>
    <w:p w14:paraId="5EE037E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）暂停或者取消参与政府采购项目资格的；</w:t>
      </w:r>
    </w:p>
    <w:p w14:paraId="28E1E19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）单位负责人为同一人或者存在直接控股、管理关系的不同单位的；</w:t>
      </w:r>
    </w:p>
    <w:p w14:paraId="7B53064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）供应商基本资格条件和特定资格条件中有一项及以上不符合要求的；</w:t>
      </w:r>
    </w:p>
    <w:p w14:paraId="7C32401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）询价评审时查询响应文件制作机器码、文件创建标识码及造价软件加密锁号。若存在响应文件制作机器码或创建标识码或造价软件加密锁号信息与其他供应商雷同的，响应无效；</w:t>
      </w:r>
    </w:p>
    <w:p w14:paraId="078689A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）其它情形，经询价小组提出按无效响应处理；</w:t>
      </w:r>
    </w:p>
    <w:p w14:paraId="2E35BB0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）供应商响应MAC地址或供应商联系人或联系电话相同的，由询价小组否决其响应；</w:t>
      </w:r>
    </w:p>
    <w:p w14:paraId="2BE516F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）供应商单方面出现其他供应商材料的；</w:t>
      </w:r>
    </w:p>
    <w:p w14:paraId="618C8E8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）询价公告未写明允许采购进口产品，供应商所投产品为进口产品的；</w:t>
      </w:r>
    </w:p>
    <w:p w14:paraId="3CD6CC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规定的其它无效情形。</w:t>
      </w:r>
    </w:p>
    <w:p w14:paraId="2C6DF6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w:t>
      </w:r>
    </w:p>
    <w:p w14:paraId="01D5C3F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3A665D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规定提交备选方案的除外；</w:t>
      </w:r>
    </w:p>
    <w:p w14:paraId="6CBCF35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的实质性要求和条件作出响应；</w:t>
      </w:r>
    </w:p>
    <w:p w14:paraId="3EBB1A6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给定的单价最高限价；</w:t>
      </w:r>
    </w:p>
    <w:p w14:paraId="73AF384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的计算错误进行修正后，供应商不接受修正的报价的。</w:t>
      </w:r>
    </w:p>
    <w:p w14:paraId="511D05F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（7）其它情形，经询价小组提出按无效响应处理的；</w:t>
      </w:r>
    </w:p>
    <w:p w14:paraId="071205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7989D97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（6）其它情形，经询价小组提出按无效响应处理的；</w:t>
      </w:r>
    </w:p>
    <w:p w14:paraId="2B74BA6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21455D05">
      <w:pPr>
        <w:widowControl/>
        <w:jc w:val="left"/>
        <w:rPr>
          <w:rFonts w:asciiTheme="minorEastAsia" w:hAnsiTheme="minorEastAsia" w:eastAsiaTheme="minorEastAsia"/>
          <w:bCs/>
          <w:color w:val="auto"/>
          <w:sz w:val="24"/>
          <w:highlight w:val="none"/>
        </w:rPr>
      </w:pPr>
    </w:p>
    <w:p w14:paraId="224F24CE">
      <w:pPr>
        <w:rPr>
          <w:rFonts w:ascii="宋体" w:hAnsi="宋体" w:eastAsia="宋体" w:cs="宋体"/>
          <w:b/>
          <w:color w:val="auto"/>
          <w:sz w:val="28"/>
          <w:highlight w:val="none"/>
        </w:rPr>
      </w:pPr>
      <w:bookmarkStart w:id="44" w:name="_Toc5156"/>
      <w:bookmarkStart w:id="45" w:name="_Toc26650379"/>
      <w:r>
        <w:rPr>
          <w:rFonts w:hint="eastAsia" w:ascii="宋体" w:hAnsi="宋体" w:eastAsia="宋体" w:cs="宋体"/>
          <w:b/>
          <w:color w:val="auto"/>
          <w:sz w:val="28"/>
          <w:highlight w:val="none"/>
        </w:rPr>
        <w:br w:type="page"/>
      </w:r>
    </w:p>
    <w:p w14:paraId="5DD4B22E">
      <w:p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第五章  合同</w:t>
      </w:r>
      <w:bookmarkEnd w:id="44"/>
      <w:bookmarkEnd w:id="45"/>
    </w:p>
    <w:p w14:paraId="0213EBBB">
      <w:pPr>
        <w:spacing w:line="500" w:lineRule="exact"/>
        <w:jc w:val="center"/>
        <w:rPr>
          <w:rFonts w:hint="eastAsia" w:ascii="宋体" w:hAnsi="宋体" w:eastAsia="宋体" w:cs="宋体"/>
          <w:b/>
          <w:bCs/>
          <w:color w:val="auto"/>
          <w:sz w:val="21"/>
          <w:szCs w:val="21"/>
          <w:highlight w:val="none"/>
        </w:rPr>
      </w:pPr>
      <w:bookmarkStart w:id="46" w:name="_Toc29013"/>
      <w:r>
        <w:rPr>
          <w:rFonts w:hint="eastAsia" w:ascii="宋体" w:hAnsi="宋体" w:eastAsia="宋体" w:cs="宋体"/>
          <w:b/>
          <w:bCs/>
          <w:color w:val="auto"/>
          <w:sz w:val="21"/>
          <w:szCs w:val="21"/>
          <w:highlight w:val="none"/>
        </w:rPr>
        <w:t>（签订合同时，仅以此文本为基准，具体条款双方协定）</w:t>
      </w:r>
    </w:p>
    <w:p w14:paraId="01BD287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甲方（采购人）：</w:t>
      </w:r>
    </w:p>
    <w:p w14:paraId="30EB828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 </w:t>
      </w:r>
    </w:p>
    <w:p w14:paraId="3144DEA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p>
    <w:p w14:paraId="254D010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w:t>
      </w:r>
    </w:p>
    <w:p w14:paraId="72E3589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乙方（供应商）： </w:t>
      </w:r>
    </w:p>
    <w:p w14:paraId="33A989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p w14:paraId="7EA5AB3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住所地：</w:t>
      </w:r>
    </w:p>
    <w:p w14:paraId="03B6174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w:t>
      </w:r>
    </w:p>
    <w:p w14:paraId="2B352A4B">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通过公开</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方式确定乙方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为本项目</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。为进一步明确双方的责任，确保合同的顺利履行，根据现行有效法律、法规的规定，经甲乙双方充分协商，特订立本合同，以便共同遵守。</w:t>
      </w:r>
    </w:p>
    <w:p w14:paraId="31FD837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0F3534D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p>
    <w:p w14:paraId="4A53EE3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F1947A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EE623C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签订地点：</w:t>
      </w:r>
      <w:r>
        <w:rPr>
          <w:rFonts w:hint="eastAsia" w:ascii="宋体" w:hAnsi="宋体" w:eastAsia="宋体" w:cs="宋体"/>
          <w:color w:val="auto"/>
          <w:sz w:val="21"/>
          <w:szCs w:val="21"/>
          <w:highlight w:val="none"/>
          <w:u w:val="single"/>
        </w:rPr>
        <w:t xml:space="preserve">                       </w:t>
      </w:r>
    </w:p>
    <w:p w14:paraId="723704C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二、合同标的及要求：</w:t>
      </w:r>
    </w:p>
    <w:p w14:paraId="11883AC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本项目为运维服务，具体详见</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val="en-US" w:eastAsia="zh-CN"/>
        </w:rPr>
        <w:t>采购需求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须按照服务要求内容对本项目进行服务。</w:t>
      </w:r>
    </w:p>
    <w:p w14:paraId="652AC71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三、合同履约期限</w:t>
      </w:r>
    </w:p>
    <w:p w14:paraId="5E146C74">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u w:val="single"/>
        </w:rPr>
        <w:t xml:space="preserve">     年      月       日</w:t>
      </w:r>
      <w:r>
        <w:rPr>
          <w:rFonts w:hint="eastAsia" w:ascii="宋体" w:hAnsi="宋体" w:eastAsia="宋体" w:cs="宋体"/>
          <w:color w:val="auto"/>
          <w:sz w:val="21"/>
          <w:szCs w:val="21"/>
          <w:highlight w:val="none"/>
        </w:rPr>
        <w:t xml:space="preserve">起至 </w:t>
      </w:r>
      <w:r>
        <w:rPr>
          <w:rFonts w:hint="eastAsia" w:ascii="宋体" w:hAnsi="宋体" w:eastAsia="宋体" w:cs="宋体"/>
          <w:color w:val="auto"/>
          <w:sz w:val="21"/>
          <w:szCs w:val="21"/>
          <w:highlight w:val="none"/>
          <w:u w:val="single"/>
        </w:rPr>
        <w:t xml:space="preserve">     年     月       日止</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服务期内每年考核合格后，可续签下一年合同，最长不超过</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如服务期满，乙方不再续约的，须在年度服务期满前3个月书面告知甲方。</w:t>
      </w:r>
    </w:p>
    <w:p w14:paraId="3AE331E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四、合同价款</w:t>
      </w:r>
    </w:p>
    <w:p w14:paraId="1FDC947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合同价：大写：</w:t>
      </w:r>
      <w:r>
        <w:rPr>
          <w:rFonts w:hint="eastAsia" w:ascii="宋体" w:hAnsi="宋体" w:eastAsia="宋体" w:cs="宋体"/>
          <w:color w:val="auto"/>
          <w:sz w:val="21"/>
          <w:szCs w:val="21"/>
          <w:highlight w:val="none"/>
          <w:u w:val="single"/>
          <w:lang w:val="en-US" w:eastAsia="zh-CN"/>
        </w:rPr>
        <w:t xml:space="preserve">                  ；小写：     。</w:t>
      </w:r>
    </w:p>
    <w:p w14:paraId="3160955F">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合同价款支付方式：</w:t>
      </w:r>
      <w:r>
        <w:rPr>
          <w:rFonts w:hint="eastAsia" w:ascii="宋体" w:hAnsi="宋体" w:eastAsia="宋体" w:cs="宋体"/>
          <w:color w:val="auto"/>
          <w:sz w:val="21"/>
          <w:szCs w:val="21"/>
          <w:highlight w:val="none"/>
          <w:u w:val="single"/>
          <w:lang w:val="en-US" w:eastAsia="zh-CN"/>
        </w:rPr>
        <w:t xml:space="preserve">                                            。</w:t>
      </w:r>
    </w:p>
    <w:p w14:paraId="151C2954">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本合同由滁州市城投交通控股有限公司统一组织采购并签订。服务费用由以下三家项目公司分别结算并支付：</w:t>
      </w:r>
    </w:p>
    <w:p w14:paraId="1E457BC9">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安徽来六高速公路开发有限公司</w:t>
      </w:r>
    </w:p>
    <w:p w14:paraId="7C66D52D">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安徽明巢高速公路开发有限公司</w:t>
      </w:r>
    </w:p>
    <w:p w14:paraId="3AA9216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安徽滁合高速公路开发有限公司</w:t>
      </w:r>
    </w:p>
    <w:p w14:paraId="1B6D1E72">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乙方应按照三家项目公司各自应付的费用金额，分别向对应项目公司开具合法有效的增值税专用发票。各项目公司收到发票后，按合同约定的支付期限支付服务费用。</w:t>
      </w:r>
    </w:p>
    <w:p w14:paraId="23BE3B23">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各项目公司仅对自己应付的服务费用承担支付义务，相互之间不承担连带责任。乙方不得以任一项目公司未支付为由，要求其他项目公司代为支付或暂停全部服务工作。</w:t>
      </w:r>
    </w:p>
    <w:p w14:paraId="098E49E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因统一甲方与项目公司之间、或项目公司相互之间的支付比例、金额或责任划分产生争议的，由甲方负责协调处理。该等争议不得作为乙方延迟履行服务义务、暂停服务工作或主张免责的理由，否则乙方应承担合同约定的违约责任。</w:t>
      </w:r>
    </w:p>
    <w:p w14:paraId="465023E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lang w:val="en-US" w:eastAsia="zh-CN"/>
        </w:rPr>
        <w:t>若乙方未按约定分别开具发票，或开票信息错误导致项目公司无法及时支付的，视为乙方未提交有效支付申请，项目公司有权顺延支付且不承担逾期付款责任。</w:t>
      </w:r>
    </w:p>
    <w:p w14:paraId="772AD25D">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考核与结算</w:t>
      </w:r>
      <w:r>
        <w:rPr>
          <w:rFonts w:hint="eastAsia" w:ascii="宋体" w:hAnsi="宋体" w:eastAsia="宋体" w:cs="宋体"/>
          <w:color w:val="auto"/>
          <w:sz w:val="21"/>
          <w:szCs w:val="21"/>
          <w:highlight w:val="none"/>
        </w:rPr>
        <w:t>：</w:t>
      </w:r>
    </w:p>
    <w:p w14:paraId="2F778A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val="en-US" w:eastAsia="zh-CN"/>
        </w:rPr>
        <w:t>考核</w:t>
      </w:r>
    </w:p>
    <w:p w14:paraId="4E36ED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甲方按</w:t>
      </w:r>
      <w:r>
        <w:rPr>
          <w:rFonts w:hint="eastAsia" w:ascii="宋体" w:hAnsi="宋体" w:eastAsia="宋体" w:cs="宋体"/>
          <w:color w:val="auto"/>
          <w:sz w:val="21"/>
          <w:szCs w:val="21"/>
          <w:highlight w:val="none"/>
          <w:lang w:val="en-US" w:eastAsia="zh-CN"/>
        </w:rPr>
        <w:t>年度</w:t>
      </w:r>
      <w:r>
        <w:rPr>
          <w:rFonts w:hint="eastAsia" w:ascii="宋体" w:hAnsi="宋体" w:eastAsia="宋体" w:cs="宋体"/>
          <w:color w:val="auto"/>
          <w:sz w:val="21"/>
          <w:szCs w:val="21"/>
          <w:highlight w:val="none"/>
        </w:rPr>
        <w:t>组织考核，年度综合考核得分≥80分为合格，可续签；＜80分则合同终止，且甲方有权重新采购。</w:t>
      </w:r>
      <w:r>
        <w:rPr>
          <w:rFonts w:hint="eastAsia" w:ascii="宋体" w:hAnsi="宋体" w:eastAsia="宋体" w:cs="宋体"/>
          <w:color w:val="auto"/>
          <w:sz w:val="21"/>
          <w:szCs w:val="21"/>
          <w:highlight w:val="none"/>
          <w:lang w:val="en-US" w:eastAsia="zh-CN"/>
        </w:rPr>
        <w:t>考核内容包括：服务频次（详见询价文件）、异常状况响应、安全文明运维、运维记录情况、处理后水质检测结果、假期应急值守、环保投诉协助处置等。</w:t>
      </w:r>
    </w:p>
    <w:p w14:paraId="35FEF8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2.结算</w:t>
      </w:r>
    </w:p>
    <w:p w14:paraId="77AB8A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（1）结算总原则</w:t>
      </w:r>
    </w:p>
    <w:p w14:paraId="5A50B35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终止或解除的，双方按乙方实际服务期间、实际完成工作量、考核结果及本合同约定进行结算，多退少补。因乙方违约或擅自退出导致合同解除的，甲方有权从应结算费用中扣除考核扣款、违约金、赔偿金、代履行费用及其他应扣款项；不足部分，甲方有权继续追偿。</w:t>
      </w:r>
    </w:p>
    <w:p w14:paraId="17454C18">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实际服务期间</w:t>
      </w:r>
    </w:p>
    <w:p w14:paraId="63800A9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实际服务期间自合同约定服务起始日或乙方实际进场之日起，至合同解除/终止之日或甲方指定第三方接管之日止。甲方或第三方已接管后，不再计入乙方服务期间。</w:t>
      </w:r>
    </w:p>
    <w:p w14:paraId="51A957A1">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应结算金额计算公式</w:t>
      </w:r>
    </w:p>
    <w:p w14:paraId="39ECCA8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应结算总额 = Σ（各分项年度包干价 ÷ 12 × 实际服务月数）＋按约定应由甲方另行支付或据实结算的费用－已支付服务费－考核扣款－违约金－赔偿金－其他应扣款。</w:t>
      </w:r>
    </w:p>
    <w:p w14:paraId="772506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注：1.实际服务月数取值为整数位；2.赔偿金包括：招标人另行委托第三方修复更新费用、招标人代付的相关民事赔偿等。</w:t>
      </w:r>
    </w:p>
    <w:p w14:paraId="05D1AD8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计算结果为正数的，甲方向乙方支付；为负数的，乙方应在收到甲方书面通知后10日内退还或补足，逾期按同期贷款市场报价利率计息。</w:t>
      </w:r>
    </w:p>
    <w:p w14:paraId="675DA97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甲方另行支付或据实结算</w:t>
      </w:r>
      <w:r>
        <w:rPr>
          <w:rFonts w:hint="eastAsia" w:ascii="宋体" w:hAnsi="宋体" w:eastAsia="宋体" w:cs="宋体"/>
          <w:color w:val="auto"/>
          <w:sz w:val="21"/>
          <w:szCs w:val="21"/>
          <w:highlight w:val="none"/>
          <w:lang w:val="en-US" w:eastAsia="zh-CN"/>
        </w:rPr>
        <w:t>：设备维修时，涉及设备更换及相关材料的采购费用由甲方承担，其余所有相关费用由乙方自行承担，包含在响应报价中</w:t>
      </w:r>
      <w:r>
        <w:rPr>
          <w:rFonts w:hint="default" w:ascii="宋体" w:hAnsi="宋体" w:eastAsia="宋体" w:cs="宋体"/>
          <w:color w:val="auto"/>
          <w:sz w:val="21"/>
          <w:szCs w:val="21"/>
          <w:highlight w:val="none"/>
          <w:lang w:val="en-US" w:eastAsia="zh-CN"/>
        </w:rPr>
        <w:t>；应急抢修中属于非</w:t>
      </w:r>
      <w:r>
        <w:rPr>
          <w:rFonts w:hint="eastAsia" w:ascii="宋体" w:hAnsi="宋体" w:eastAsia="宋体" w:cs="宋体"/>
          <w:color w:val="auto"/>
          <w:sz w:val="21"/>
          <w:szCs w:val="21"/>
          <w:highlight w:val="none"/>
          <w:lang w:val="en-US" w:eastAsia="zh-CN"/>
        </w:rPr>
        <w:t>成交供应商</w:t>
      </w:r>
      <w:r>
        <w:rPr>
          <w:rFonts w:hint="default" w:ascii="宋体" w:hAnsi="宋体" w:eastAsia="宋体" w:cs="宋体"/>
          <w:color w:val="auto"/>
          <w:sz w:val="21"/>
          <w:szCs w:val="21"/>
          <w:highlight w:val="none"/>
          <w:lang w:val="en-US" w:eastAsia="zh-CN"/>
        </w:rPr>
        <w:t>责任导致的损坏修复费用（如第三方或不可抗力造成），另行协商支付。</w:t>
      </w:r>
    </w:p>
    <w:p w14:paraId="3911BB78">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不同情形下的处理</w:t>
      </w:r>
    </w:p>
    <w:p w14:paraId="0BDBB55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①服务期满甲方决定不续签，或年度综合考核得分＜80分导致不再续签/终止的：按实际服务期间结算，考核扣款可在结算中扣除，乙方应完成交接。</w:t>
      </w:r>
    </w:p>
    <w:p w14:paraId="464ED4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②因不可抗力或双方协商一致解除的：按实际服务期间结算，据实费用协商处理，双方互不承担违约责任，法律另有规定除外。</w:t>
      </w:r>
    </w:p>
    <w:p w14:paraId="6A5EB71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七、不可抗力</w:t>
      </w:r>
    </w:p>
    <w:p w14:paraId="7C14B3E5">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果双方任何一方由于受诸如战争、严重火灾、洪水、台风、地震等不可抗力的事故，致使影响合同履行时，履行合同的期限应予以延长，延长的期限应相当于事故所影响的时间。不可抗力事故系指甲乙双方在缔结合同时所不能预见的，并且它的发生及其后果是无法避免和无法克服的事故。</w:t>
      </w:r>
    </w:p>
    <w:p w14:paraId="606F552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2.甲乙双方的任何一方由于不可抗力的原因不能履行合同时，应及时向对方通报不能履行或不能完全履行的理由，允许延期履行、部分履行或者不履行合同，并根据情况可部分或全部免予承担违约责任。</w:t>
      </w:r>
    </w:p>
    <w:p w14:paraId="4F2805E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八、转让与分包</w:t>
      </w:r>
    </w:p>
    <w:p w14:paraId="79267767">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1.除甲方事先书面同意外，乙方不得部分转让、全部转让、分包其应履行的合同义务。</w:t>
      </w:r>
    </w:p>
    <w:p w14:paraId="1456D4AD">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2.乙方应在投标文件中或以其他书面形式对甲方确认本合同项下所授予的所有分包合同。但该确认不 解除乙方承担的本合同下的任何责任或义务。意即在本合同项下，乙方对甲方负总责，承担连带责任。</w:t>
      </w:r>
    </w:p>
    <w:p w14:paraId="3950D13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九、合同文件及资料的使用</w:t>
      </w:r>
    </w:p>
    <w:p w14:paraId="436312E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1.乙方在未经甲方同意的情况下，不得将合同、合同中的规定、有关计划、图纸、样本或甲方为上述 内容向乙方提供的资料透露给任何人。</w:t>
      </w:r>
    </w:p>
    <w:p w14:paraId="0F64D66A">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2.除非执行合同需要，在事先未得到甲方同意的情况下，乙方不得使用前款所列的任何文件和资料。</w:t>
      </w:r>
    </w:p>
    <w:p w14:paraId="48ED9C3E">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十、违约责任</w:t>
      </w:r>
    </w:p>
    <w:p w14:paraId="73F69CCB">
      <w:pPr>
        <w:pStyle w:val="9"/>
        <w:keepNext w:val="0"/>
        <w:keepLines w:val="0"/>
        <w:pageBreakBefore w:val="0"/>
        <w:widowControl w:val="0"/>
        <w:kinsoku/>
        <w:wordWrap/>
        <w:overflowPunct/>
        <w:topLinePunct w:val="0"/>
        <w:autoSpaceDE/>
        <w:autoSpaceDN/>
        <w:bidi w:val="0"/>
        <w:adjustRightInd/>
        <w:snapToGrid/>
        <w:spacing w:after="0" w:line="480" w:lineRule="exact"/>
        <w:ind w:left="436"/>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（一）甲方违约责任</w:t>
      </w:r>
    </w:p>
    <w:p w14:paraId="5A21EE09">
      <w:pPr>
        <w:pStyle w:val="9"/>
        <w:keepNext w:val="0"/>
        <w:keepLines w:val="0"/>
        <w:pageBreakBefore w:val="0"/>
        <w:widowControl w:val="0"/>
        <w:kinsoku/>
        <w:wordWrap/>
        <w:overflowPunct/>
        <w:topLinePunct w:val="0"/>
        <w:autoSpaceDE/>
        <w:autoSpaceDN/>
        <w:bidi w:val="0"/>
        <w:adjustRightInd/>
        <w:snapToGrid/>
        <w:spacing w:after="0" w:line="48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1.甲方应当按合同约定资金支付的方式、时间和条件，及时支付采购资金。对于满足合同约定支付条 件的，甲方应当自收到发票后30日内将资金支付到合同约定的供应商账户，不得以机构变动、人员更替、政策调整等为由延迟付款，不得将采购文件和合同中未规定的义务作为向供应商付款的条件。甲方逾期支付资金的违约责任</w:t>
      </w:r>
      <w:r>
        <w:rPr>
          <w:rFonts w:hint="eastAsia" w:ascii="宋体" w:hAnsi="宋体" w:eastAsia="宋体" w:cs="宋体"/>
          <w:b w:val="0"/>
          <w:bCs w:val="0"/>
          <w:color w:val="auto"/>
          <w:sz w:val="21"/>
          <w:szCs w:val="21"/>
          <w:highlight w:val="none"/>
          <w:u w:val="none"/>
          <w:lang w:eastAsia="zh-CN"/>
        </w:rPr>
        <w:t>：</w:t>
      </w:r>
      <w:r>
        <w:rPr>
          <w:rFonts w:hint="eastAsia" w:ascii="宋体" w:hAnsi="宋体" w:eastAsia="宋体" w:cs="宋体"/>
          <w:b w:val="0"/>
          <w:bCs w:val="0"/>
          <w:color w:val="auto"/>
          <w:sz w:val="21"/>
          <w:szCs w:val="21"/>
          <w:highlight w:val="none"/>
          <w:u w:val="single"/>
        </w:rPr>
        <w:t xml:space="preserve">逾期支付资金按同期银行贷款利率支付违约金 </w:t>
      </w:r>
      <w:r>
        <w:rPr>
          <w:rFonts w:hint="eastAsia" w:ascii="宋体" w:hAnsi="宋体" w:eastAsia="宋体" w:cs="宋体"/>
          <w:b w:val="0"/>
          <w:bCs w:val="0"/>
          <w:color w:val="auto"/>
          <w:spacing w:val="-1"/>
          <w:sz w:val="21"/>
          <w:szCs w:val="21"/>
          <w:highlight w:val="none"/>
        </w:rPr>
        <w:t>。</w:t>
      </w:r>
    </w:p>
    <w:p w14:paraId="5473477A">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2.因甲方原因导致变更、中止或者终止政府采购合同的，甲方应当对乙方受到的损</w:t>
      </w:r>
      <w:r>
        <w:rPr>
          <w:rFonts w:hint="eastAsia" w:ascii="宋体" w:hAnsi="宋体" w:eastAsia="宋体" w:cs="宋体"/>
          <w:b w:val="0"/>
          <w:bCs w:val="0"/>
          <w:color w:val="auto"/>
          <w:spacing w:val="1"/>
          <w:sz w:val="21"/>
          <w:szCs w:val="21"/>
          <w:highlight w:val="none"/>
        </w:rPr>
        <w:t>失予以赔偿或者补</w:t>
      </w:r>
      <w:r>
        <w:rPr>
          <w:rFonts w:hint="eastAsia" w:ascii="宋体" w:hAnsi="宋体" w:eastAsia="宋体" w:cs="宋体"/>
          <w:b w:val="0"/>
          <w:bCs w:val="0"/>
          <w:color w:val="auto"/>
          <w:sz w:val="21"/>
          <w:szCs w:val="21"/>
          <w:highlight w:val="none"/>
        </w:rPr>
        <w:t>偿，赔偿或补偿标准为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lang w:val="en-US" w:eastAsia="zh-CN"/>
        </w:rPr>
        <w:t>不超过合同金额的10%</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53CC059B">
      <w:pPr>
        <w:pStyle w:val="9"/>
        <w:keepNext w:val="0"/>
        <w:keepLines w:val="0"/>
        <w:pageBreakBefore w:val="0"/>
        <w:widowControl w:val="0"/>
        <w:kinsoku/>
        <w:wordWrap/>
        <w:overflowPunct/>
        <w:topLinePunct w:val="0"/>
        <w:autoSpaceDE/>
        <w:autoSpaceDN/>
        <w:bidi w:val="0"/>
        <w:adjustRightInd/>
        <w:snapToGrid/>
        <w:spacing w:after="0" w:line="480" w:lineRule="exact"/>
        <w:ind w:left="425"/>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3.其他违约责任约定：</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44804CB0">
      <w:pPr>
        <w:pStyle w:val="9"/>
        <w:keepNext w:val="0"/>
        <w:keepLines w:val="0"/>
        <w:pageBreakBefore w:val="0"/>
        <w:widowControl w:val="0"/>
        <w:kinsoku/>
        <w:wordWrap/>
        <w:overflowPunct/>
        <w:topLinePunct w:val="0"/>
        <w:autoSpaceDE/>
        <w:autoSpaceDN/>
        <w:bidi w:val="0"/>
        <w:adjustRightInd/>
        <w:snapToGrid/>
        <w:spacing w:after="0" w:line="480" w:lineRule="exact"/>
        <w:ind w:left="427"/>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（二）乙方违约责任</w:t>
      </w:r>
    </w:p>
    <w:p w14:paraId="04BDFF43">
      <w:pPr>
        <w:pStyle w:val="9"/>
        <w:keepNext w:val="0"/>
        <w:keepLines w:val="0"/>
        <w:pageBreakBefore w:val="0"/>
        <w:widowControl w:val="0"/>
        <w:kinsoku/>
        <w:wordWrap/>
        <w:overflowPunct/>
        <w:topLinePunct w:val="0"/>
        <w:autoSpaceDE/>
        <w:autoSpaceDN/>
        <w:bidi w:val="0"/>
        <w:adjustRightInd/>
        <w:snapToGrid/>
        <w:spacing w:after="0" w:line="480" w:lineRule="exact"/>
        <w:ind w:left="2" w:right="24" w:firstLine="43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1、乙方不能达到所承诺的服务质量和有关技术规范标准，乙方赔偿因违约给甲方造成的损失。赔偿标</w:t>
      </w:r>
      <w:r>
        <w:rPr>
          <w:rFonts w:hint="eastAsia" w:ascii="宋体" w:hAnsi="宋体" w:eastAsia="宋体" w:cs="宋体"/>
          <w:b w:val="0"/>
          <w:bCs w:val="0"/>
          <w:color w:val="auto"/>
          <w:spacing w:val="-3"/>
          <w:sz w:val="21"/>
          <w:szCs w:val="21"/>
          <w:highlight w:val="none"/>
        </w:rPr>
        <w:t>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pacing w:val="-3"/>
          <w:sz w:val="21"/>
          <w:szCs w:val="21"/>
          <w:highlight w:val="none"/>
        </w:rPr>
        <w:t xml:space="preserve"> 。</w:t>
      </w:r>
    </w:p>
    <w:p w14:paraId="12AC4E82">
      <w:pPr>
        <w:pStyle w:val="9"/>
        <w:keepNext w:val="0"/>
        <w:keepLines w:val="0"/>
        <w:pageBreakBefore w:val="0"/>
        <w:widowControl w:val="0"/>
        <w:kinsoku/>
        <w:wordWrap/>
        <w:overflowPunct/>
        <w:topLinePunct w:val="0"/>
        <w:autoSpaceDE/>
        <w:autoSpaceDN/>
        <w:bidi w:val="0"/>
        <w:adjustRightInd/>
        <w:snapToGrid/>
        <w:spacing w:after="0" w:line="480" w:lineRule="exact"/>
        <w:ind w:right="13" w:firstLine="423"/>
        <w:jc w:val="left"/>
        <w:textAlignment w:val="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2"/>
          <w:sz w:val="21"/>
          <w:szCs w:val="21"/>
          <w:highlight w:val="none"/>
        </w:rPr>
        <w:t>2.因乙方原因导致变更、中止或者终止政府采购合同的，乙方应当对甲方受到的损</w:t>
      </w:r>
      <w:r>
        <w:rPr>
          <w:rFonts w:hint="eastAsia" w:ascii="宋体" w:hAnsi="宋体" w:eastAsia="宋体" w:cs="宋体"/>
          <w:b w:val="0"/>
          <w:bCs w:val="0"/>
          <w:color w:val="auto"/>
          <w:spacing w:val="1"/>
          <w:sz w:val="21"/>
          <w:szCs w:val="21"/>
          <w:highlight w:val="none"/>
        </w:rPr>
        <w:t>失予以赔偿或者补</w:t>
      </w:r>
      <w:r>
        <w:rPr>
          <w:rFonts w:hint="eastAsia" w:ascii="宋体" w:hAnsi="宋体" w:eastAsia="宋体" w:cs="宋体"/>
          <w:b w:val="0"/>
          <w:bCs w:val="0"/>
          <w:color w:val="auto"/>
          <w:sz w:val="21"/>
          <w:szCs w:val="21"/>
          <w:highlight w:val="none"/>
        </w:rPr>
        <w:t>偿，赔偿或补偿标准为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lang w:val="en-US" w:eastAsia="zh-CN"/>
        </w:rPr>
        <w:t>不超过合同金额的10%</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rPr>
        <w:t>。</w:t>
      </w:r>
    </w:p>
    <w:p w14:paraId="1B2174FE">
      <w:pPr>
        <w:pStyle w:val="9"/>
        <w:keepNext w:val="0"/>
        <w:keepLines w:val="0"/>
        <w:pageBreakBefore w:val="0"/>
        <w:widowControl w:val="0"/>
        <w:kinsoku/>
        <w:wordWrap/>
        <w:overflowPunct/>
        <w:topLinePunct w:val="0"/>
        <w:autoSpaceDE/>
        <w:autoSpaceDN/>
        <w:bidi w:val="0"/>
        <w:adjustRightInd/>
        <w:snapToGrid/>
        <w:spacing w:after="0" w:line="480" w:lineRule="exact"/>
        <w:ind w:firstLine="420" w:firstLineChars="200"/>
        <w:jc w:val="left"/>
        <w:textAlignment w:val="auto"/>
        <w:rPr>
          <w:rFonts w:hint="default" w:ascii="宋体" w:hAnsi="宋体" w:eastAsia="宋体" w:cs="宋体"/>
          <w:b w:val="0"/>
          <w:bCs w:val="0"/>
          <w:color w:val="auto"/>
          <w:spacing w:val="-1"/>
          <w:sz w:val="21"/>
          <w:szCs w:val="21"/>
          <w:highlight w:val="none"/>
          <w:lang w:val="en-US"/>
        </w:rPr>
      </w:pPr>
      <w:r>
        <w:rPr>
          <w:rFonts w:hint="eastAsia" w:ascii="宋体" w:hAnsi="宋体" w:eastAsia="宋体" w:cs="宋体"/>
          <w:b w:val="0"/>
          <w:bCs w:val="0"/>
          <w:color w:val="auto"/>
          <w:sz w:val="21"/>
          <w:szCs w:val="21"/>
          <w:highlight w:val="none"/>
        </w:rPr>
        <w:t>3.其他违约责任约定：</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1</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乙方不能达到所承诺的服务质量和有关技术规范标准，乙方赔偿因违约给甲方造成的损失。运维失职导致设备损坏的，承担全部维修费用及甲方损失；维修质量不合格返工费用自理，赔偿标准以实际发生为准</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2</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lang w:val="en-US" w:eastAsia="zh-CN"/>
        </w:rPr>
        <w:t>接到应急工作任务时，在2个小时内安排人员、机械设备到达指定地点，按照要求开展作业，并在规定的时间内完成任务。除不可抗力外，乙方没有按照本合同约定的期限、地点和方式履行，或服务过程中存有消极怠工、不服从指挥和调配的，单次扣除500</w:t>
      </w:r>
      <w:r>
        <w:rPr>
          <w:rFonts w:hint="eastAsia" w:ascii="微软雅黑" w:hAnsi="微软雅黑" w:eastAsia="微软雅黑" w:cs="微软雅黑"/>
          <w:b w:val="0"/>
          <w:bCs w:val="0"/>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lang w:val="en-US" w:eastAsia="zh-CN"/>
        </w:rPr>
        <w:t>1000元，因乙方擅自做主造成招标人的损失及其他影响，乙方要承担相应责任及损失</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val="0"/>
          <w:bCs w:val="0"/>
          <w:color w:val="auto"/>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3</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乙方不得以任何理由拒绝为甲方提供需要的指定机械设备和人员，由此造成甲方的一切损失及影响，乙方应予以全部承担，并视影响大小，承担相应的法律责任。如有发生，甲方可以书面通知乙方解除合同</w:t>
      </w:r>
      <w:r>
        <w:rPr>
          <w:rFonts w:hint="eastAsia" w:ascii="宋体" w:hAnsi="宋体" w:eastAsia="宋体" w:cs="宋体"/>
          <w:b w:val="0"/>
          <w:bCs w:val="0"/>
          <w:color w:val="auto"/>
          <w:spacing w:val="-1"/>
          <w:sz w:val="21"/>
          <w:szCs w:val="21"/>
          <w:highlight w:val="none"/>
          <w:u w:val="single"/>
        </w:rPr>
        <w:t xml:space="preserve"> </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4</w:t>
      </w:r>
      <w:r>
        <w:rPr>
          <w:rFonts w:hint="eastAsia" w:ascii="宋体" w:hAnsi="宋体" w:eastAsia="宋体" w:cs="宋体"/>
          <w:b w:val="0"/>
          <w:bCs w:val="0"/>
          <w:color w:val="auto"/>
          <w:spacing w:val="-1"/>
          <w:sz w:val="21"/>
          <w:szCs w:val="21"/>
          <w:highlight w:val="none"/>
          <w:u w:val="single"/>
          <w:lang w:eastAsia="zh-CN"/>
        </w:rPr>
        <w:t>）</w:t>
      </w:r>
      <w:r>
        <w:rPr>
          <w:rFonts w:hint="eastAsia" w:ascii="宋体" w:hAnsi="宋体" w:eastAsia="宋体" w:cs="宋体"/>
          <w:b w:val="0"/>
          <w:bCs w:val="0"/>
          <w:color w:val="auto"/>
          <w:spacing w:val="-1"/>
          <w:sz w:val="21"/>
          <w:szCs w:val="21"/>
          <w:highlight w:val="none"/>
          <w:u w:val="single"/>
          <w:lang w:val="en-US" w:eastAsia="zh-CN"/>
        </w:rPr>
        <w:t>累计三次违约或造成重大损失的，甲方有权单方解除合同，且将乙方列入不良行为记录。</w:t>
      </w:r>
    </w:p>
    <w:p w14:paraId="7B96125F">
      <w:pPr>
        <w:pStyle w:val="9"/>
        <w:keepNext w:val="0"/>
        <w:keepLines w:val="0"/>
        <w:pageBreakBefore w:val="0"/>
        <w:widowControl w:val="0"/>
        <w:kinsoku/>
        <w:wordWrap/>
        <w:overflowPunct/>
        <w:topLinePunct w:val="0"/>
        <w:autoSpaceDE/>
        <w:autoSpaceDN/>
        <w:bidi w:val="0"/>
        <w:adjustRightInd/>
        <w:snapToGrid/>
        <w:spacing w:after="0" w:line="480" w:lineRule="exact"/>
        <w:ind w:left="422"/>
        <w:jc w:val="left"/>
        <w:textAlignment w:val="auto"/>
        <w:rPr>
          <w:rFonts w:hint="eastAsia" w:ascii="宋体" w:hAnsi="宋体" w:eastAsia="宋体" w:cs="宋体"/>
          <w:b w:val="0"/>
          <w:bCs w:val="0"/>
          <w:color w:val="auto"/>
          <w:spacing w:val="-1"/>
          <w:sz w:val="21"/>
          <w:szCs w:val="21"/>
          <w:highlight w:val="none"/>
        </w:rPr>
      </w:pPr>
      <w:r>
        <w:rPr>
          <w:rFonts w:hint="eastAsia" w:ascii="宋体" w:hAnsi="宋体" w:eastAsia="宋体" w:cs="宋体"/>
          <w:b w:val="0"/>
          <w:bCs w:val="0"/>
          <w:color w:val="auto"/>
          <w:spacing w:val="-1"/>
          <w:sz w:val="21"/>
          <w:szCs w:val="21"/>
          <w:highlight w:val="none"/>
        </w:rPr>
        <w:t>十二、争议处理</w:t>
      </w:r>
    </w:p>
    <w:p w14:paraId="76510AC2">
      <w:pPr>
        <w:pStyle w:val="9"/>
        <w:keepNext w:val="0"/>
        <w:keepLines w:val="0"/>
        <w:pageBreakBefore w:val="0"/>
        <w:widowControl w:val="0"/>
        <w:kinsoku/>
        <w:wordWrap/>
        <w:overflowPunct/>
        <w:topLinePunct w:val="0"/>
        <w:autoSpaceDE/>
        <w:autoSpaceDN/>
        <w:bidi w:val="0"/>
        <w:adjustRightInd/>
        <w:snapToGrid/>
        <w:spacing w:after="0" w:line="480" w:lineRule="exact"/>
        <w:ind w:left="2" w:firstLine="43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1.按本合同规定应该偿付的违约金、赔偿金、保管保养费和各种经济损失，</w:t>
      </w:r>
      <w:r>
        <w:rPr>
          <w:rFonts w:hint="eastAsia" w:ascii="宋体" w:hAnsi="宋体" w:eastAsia="宋体" w:cs="宋体"/>
          <w:b w:val="0"/>
          <w:bCs w:val="0"/>
          <w:color w:val="auto"/>
          <w:spacing w:val="-45"/>
          <w:sz w:val="21"/>
          <w:szCs w:val="21"/>
          <w:highlight w:val="none"/>
        </w:rPr>
        <w:t xml:space="preserve"> </w:t>
      </w:r>
      <w:r>
        <w:rPr>
          <w:rFonts w:hint="eastAsia" w:ascii="宋体" w:hAnsi="宋体" w:eastAsia="宋体" w:cs="宋体"/>
          <w:b w:val="0"/>
          <w:bCs w:val="0"/>
          <w:color w:val="auto"/>
          <w:spacing w:val="-6"/>
          <w:sz w:val="21"/>
          <w:szCs w:val="21"/>
          <w:highlight w:val="none"/>
        </w:rPr>
        <w:t>应当在明确责任后</w:t>
      </w:r>
      <w:r>
        <w:rPr>
          <w:rFonts w:hint="eastAsia" w:ascii="宋体" w:hAnsi="宋体" w:eastAsia="宋体" w:cs="宋体"/>
          <w:b w:val="0"/>
          <w:bCs w:val="0"/>
          <w:color w:val="auto"/>
          <w:spacing w:val="-28"/>
          <w:sz w:val="21"/>
          <w:szCs w:val="21"/>
          <w:highlight w:val="none"/>
        </w:rPr>
        <w:t xml:space="preserve"> </w:t>
      </w:r>
      <w:r>
        <w:rPr>
          <w:rFonts w:hint="eastAsia" w:ascii="宋体" w:hAnsi="宋体" w:eastAsia="宋体" w:cs="宋体"/>
          <w:b w:val="0"/>
          <w:bCs w:val="0"/>
          <w:color w:val="auto"/>
          <w:spacing w:val="-6"/>
          <w:sz w:val="21"/>
          <w:szCs w:val="21"/>
          <w:highlight w:val="none"/>
        </w:rPr>
        <w:t>10</w:t>
      </w:r>
      <w:r>
        <w:rPr>
          <w:rFonts w:hint="eastAsia" w:ascii="宋体" w:hAnsi="宋体" w:eastAsia="宋体" w:cs="宋体"/>
          <w:b w:val="0"/>
          <w:bCs w:val="0"/>
          <w:color w:val="auto"/>
          <w:spacing w:val="-33"/>
          <w:sz w:val="21"/>
          <w:szCs w:val="21"/>
          <w:highlight w:val="none"/>
        </w:rPr>
        <w:t xml:space="preserve"> </w:t>
      </w:r>
      <w:r>
        <w:rPr>
          <w:rFonts w:hint="eastAsia" w:ascii="宋体" w:hAnsi="宋体" w:eastAsia="宋体" w:cs="宋体"/>
          <w:b w:val="0"/>
          <w:bCs w:val="0"/>
          <w:color w:val="auto"/>
          <w:spacing w:val="-6"/>
          <w:sz w:val="21"/>
          <w:szCs w:val="21"/>
          <w:highlight w:val="none"/>
        </w:rPr>
        <w:t>天</w:t>
      </w:r>
      <w:r>
        <w:rPr>
          <w:rFonts w:hint="eastAsia" w:ascii="宋体" w:hAnsi="宋体" w:eastAsia="宋体" w:cs="宋体"/>
          <w:b w:val="0"/>
          <w:bCs w:val="0"/>
          <w:color w:val="auto"/>
          <w:spacing w:val="-7"/>
          <w:sz w:val="21"/>
          <w:szCs w:val="21"/>
          <w:highlight w:val="none"/>
        </w:rPr>
        <w:t>内，</w:t>
      </w:r>
      <w:r>
        <w:rPr>
          <w:rFonts w:hint="eastAsia" w:ascii="宋体" w:hAnsi="宋体" w:eastAsia="宋体" w:cs="宋体"/>
          <w:b w:val="0"/>
          <w:bCs w:val="0"/>
          <w:color w:val="auto"/>
          <w:spacing w:val="-2"/>
          <w:sz w:val="21"/>
          <w:szCs w:val="21"/>
          <w:highlight w:val="none"/>
        </w:rPr>
        <w:t>按银行规定的结算办法付清，否则按逾期付款处理。</w:t>
      </w:r>
    </w:p>
    <w:p w14:paraId="72EE8EA8">
      <w:pPr>
        <w:pStyle w:val="9"/>
        <w:keepNext w:val="0"/>
        <w:keepLines w:val="0"/>
        <w:pageBreakBefore w:val="0"/>
        <w:widowControl w:val="0"/>
        <w:kinsoku/>
        <w:wordWrap/>
        <w:overflowPunct/>
        <w:topLinePunct w:val="0"/>
        <w:autoSpaceDE/>
        <w:autoSpaceDN/>
        <w:bidi w:val="0"/>
        <w:adjustRightInd/>
        <w:snapToGrid/>
        <w:spacing w:after="0" w:line="480" w:lineRule="exact"/>
        <w:ind w:left="1" w:right="78" w:firstLine="422"/>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2.本合同如发生纠纷，当事人双方应当及时协商解决，协商不成时，任何一方均可按以下第(①)项</w:t>
      </w:r>
      <w:r>
        <w:rPr>
          <w:rFonts w:hint="eastAsia" w:ascii="宋体" w:hAnsi="宋体" w:eastAsia="宋体" w:cs="宋体"/>
          <w:b w:val="0"/>
          <w:bCs w:val="0"/>
          <w:color w:val="auto"/>
          <w:spacing w:val="-9"/>
          <w:sz w:val="21"/>
          <w:szCs w:val="21"/>
          <w:highlight w:val="none"/>
        </w:rPr>
        <w:t>方式处理：</w:t>
      </w:r>
    </w:p>
    <w:p w14:paraId="5675D226">
      <w:pPr>
        <w:pStyle w:val="9"/>
        <w:keepNext w:val="0"/>
        <w:keepLines w:val="0"/>
        <w:pageBreakBefore w:val="0"/>
        <w:widowControl w:val="0"/>
        <w:kinsoku/>
        <w:wordWrap/>
        <w:overflowPunct/>
        <w:topLinePunct w:val="0"/>
        <w:autoSpaceDE/>
        <w:autoSpaceDN/>
        <w:bidi w:val="0"/>
        <w:adjustRightInd/>
        <w:snapToGrid/>
        <w:spacing w:after="0" w:line="480" w:lineRule="exact"/>
        <w:ind w:left="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①根据《中华人民共和国仲裁法》的规定向滁州仲裁委员会申请仲裁。</w:t>
      </w:r>
    </w:p>
    <w:p w14:paraId="2A0F4EB4">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②向采购人所在地有级别管辖权的人民法院起诉。</w:t>
      </w:r>
    </w:p>
    <w:p w14:paraId="68379620">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③向项目所在地有级别管辖权的人民法院起诉。</w:t>
      </w:r>
    </w:p>
    <w:p w14:paraId="4A9FBA85">
      <w:pPr>
        <w:pStyle w:val="9"/>
        <w:keepNext w:val="0"/>
        <w:keepLines w:val="0"/>
        <w:pageBreakBefore w:val="0"/>
        <w:widowControl w:val="0"/>
        <w:kinsoku/>
        <w:wordWrap/>
        <w:overflowPunct/>
        <w:topLinePunct w:val="0"/>
        <w:autoSpaceDE/>
        <w:autoSpaceDN/>
        <w:bidi w:val="0"/>
        <w:adjustRightInd/>
        <w:snapToGrid/>
        <w:spacing w:after="0" w:line="480" w:lineRule="exact"/>
        <w:ind w:left="1" w:right="76" w:firstLine="423"/>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sz w:val="21"/>
          <w:szCs w:val="21"/>
          <w:highlight w:val="none"/>
        </w:rPr>
        <w:t>3.本合同继续履行将损害国家利益和社会公共利益的，</w:t>
      </w:r>
      <w:r>
        <w:rPr>
          <w:rFonts w:hint="eastAsia" w:ascii="宋体" w:hAnsi="宋体" w:eastAsia="宋体" w:cs="宋体"/>
          <w:b w:val="0"/>
          <w:bCs w:val="0"/>
          <w:color w:val="auto"/>
          <w:spacing w:val="1"/>
          <w:sz w:val="21"/>
          <w:szCs w:val="21"/>
          <w:highlight w:val="none"/>
        </w:rPr>
        <w:t>双方当事人应当变更、中止或者终止合同。有</w:t>
      </w:r>
      <w:r>
        <w:rPr>
          <w:rFonts w:hint="eastAsia" w:ascii="宋体" w:hAnsi="宋体" w:eastAsia="宋体" w:cs="宋体"/>
          <w:b w:val="0"/>
          <w:bCs w:val="0"/>
          <w:color w:val="auto"/>
          <w:spacing w:val="-1"/>
          <w:sz w:val="21"/>
          <w:szCs w:val="21"/>
          <w:highlight w:val="none"/>
        </w:rPr>
        <w:t>过错的一方应当承担赔偿责任，双方都有过错的，各自承担相应的责任。</w:t>
      </w:r>
    </w:p>
    <w:p w14:paraId="475102DE">
      <w:pPr>
        <w:pStyle w:val="9"/>
        <w:keepNext w:val="0"/>
        <w:keepLines w:val="0"/>
        <w:pageBreakBefore w:val="0"/>
        <w:widowControl w:val="0"/>
        <w:kinsoku/>
        <w:wordWrap/>
        <w:overflowPunct/>
        <w:topLinePunct w:val="0"/>
        <w:autoSpaceDE/>
        <w:autoSpaceDN/>
        <w:bidi w:val="0"/>
        <w:adjustRightInd/>
        <w:snapToGrid/>
        <w:spacing w:after="0" w:line="480" w:lineRule="exact"/>
        <w:ind w:left="1" w:right="78" w:firstLine="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十三、下列关于</w:t>
      </w:r>
      <w:r>
        <w:rPr>
          <w:rFonts w:hint="eastAsia" w:ascii="宋体" w:hAnsi="宋体" w:eastAsia="宋体" w:cs="宋体"/>
          <w:b w:val="0"/>
          <w:bCs w:val="0"/>
          <w:color w:val="auto"/>
          <w:spacing w:val="1"/>
          <w:sz w:val="21"/>
          <w:szCs w:val="21"/>
          <w:highlight w:val="none"/>
          <w:u w:val="single"/>
        </w:rPr>
        <w:t xml:space="preserve">  项目名称、项目编号  </w:t>
      </w:r>
      <w:r>
        <w:rPr>
          <w:rFonts w:hint="eastAsia" w:ascii="宋体" w:hAnsi="宋体" w:eastAsia="宋体" w:cs="宋体"/>
          <w:b w:val="0"/>
          <w:bCs w:val="0"/>
          <w:color w:val="auto"/>
          <w:spacing w:val="-80"/>
          <w:sz w:val="21"/>
          <w:szCs w:val="21"/>
          <w:highlight w:val="none"/>
        </w:rPr>
        <w:t xml:space="preserve"> </w:t>
      </w:r>
      <w:r>
        <w:rPr>
          <w:rFonts w:hint="eastAsia" w:ascii="宋体" w:hAnsi="宋体" w:eastAsia="宋体" w:cs="宋体"/>
          <w:b w:val="0"/>
          <w:bCs w:val="0"/>
          <w:color w:val="auto"/>
          <w:spacing w:val="1"/>
          <w:sz w:val="21"/>
          <w:szCs w:val="21"/>
          <w:highlight w:val="none"/>
        </w:rPr>
        <w:t>的招标文件及有关附件是本合同不可分割的组成部分，与本</w:t>
      </w:r>
      <w:r>
        <w:rPr>
          <w:rFonts w:hint="eastAsia" w:ascii="宋体" w:hAnsi="宋体" w:eastAsia="宋体" w:cs="宋体"/>
          <w:b w:val="0"/>
          <w:bCs w:val="0"/>
          <w:color w:val="auto"/>
          <w:spacing w:val="-2"/>
          <w:sz w:val="21"/>
          <w:szCs w:val="21"/>
          <w:highlight w:val="none"/>
        </w:rPr>
        <w:t>合同具有同等法律效力，这些文件包括但不限</w:t>
      </w:r>
      <w:r>
        <w:rPr>
          <w:rFonts w:hint="eastAsia" w:ascii="宋体" w:hAnsi="宋体" w:eastAsia="宋体" w:cs="宋体"/>
          <w:b w:val="0"/>
          <w:bCs w:val="0"/>
          <w:color w:val="auto"/>
          <w:spacing w:val="-3"/>
          <w:sz w:val="21"/>
          <w:szCs w:val="21"/>
          <w:highlight w:val="none"/>
        </w:rPr>
        <w:t>于：</w:t>
      </w:r>
    </w:p>
    <w:p w14:paraId="1FB5C0E9">
      <w:pPr>
        <w:pStyle w:val="9"/>
        <w:keepNext w:val="0"/>
        <w:keepLines w:val="0"/>
        <w:pageBreakBefore w:val="0"/>
        <w:widowControl w:val="0"/>
        <w:kinsoku/>
        <w:wordWrap/>
        <w:overflowPunct/>
        <w:topLinePunct w:val="0"/>
        <w:autoSpaceDE/>
        <w:autoSpaceDN/>
        <w:bidi w:val="0"/>
        <w:adjustRightInd/>
        <w:snapToGrid/>
        <w:spacing w:after="0" w:line="480" w:lineRule="exact"/>
        <w:ind w:left="42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4"/>
          <w:sz w:val="21"/>
          <w:szCs w:val="21"/>
          <w:highlight w:val="none"/>
        </w:rPr>
        <w:t>①招标文件及答疑、补遗；</w:t>
      </w:r>
    </w:p>
    <w:p w14:paraId="0F1AF390">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8"/>
          <w:sz w:val="21"/>
          <w:szCs w:val="21"/>
          <w:highlight w:val="none"/>
        </w:rPr>
        <w:t>②投标文件；</w:t>
      </w:r>
    </w:p>
    <w:p w14:paraId="46B14E98">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③开评标中的澄清说明；</w:t>
      </w:r>
    </w:p>
    <w:p w14:paraId="0A22CB99">
      <w:pPr>
        <w:pStyle w:val="9"/>
        <w:keepNext w:val="0"/>
        <w:keepLines w:val="0"/>
        <w:pageBreakBefore w:val="0"/>
        <w:widowControl w:val="0"/>
        <w:kinsoku/>
        <w:wordWrap/>
        <w:overflowPunct/>
        <w:topLinePunct w:val="0"/>
        <w:autoSpaceDE/>
        <w:autoSpaceDN/>
        <w:bidi w:val="0"/>
        <w:adjustRightInd/>
        <w:snapToGrid/>
        <w:spacing w:after="0" w:line="480" w:lineRule="exact"/>
        <w:ind w:left="419"/>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
          <w:sz w:val="21"/>
          <w:szCs w:val="21"/>
          <w:highlight w:val="none"/>
        </w:rPr>
        <w:t>④其他约定：</w:t>
      </w:r>
    </w:p>
    <w:p w14:paraId="41E3ED98">
      <w:pPr>
        <w:pStyle w:val="9"/>
        <w:keepNext w:val="0"/>
        <w:keepLines w:val="0"/>
        <w:pageBreakBefore w:val="0"/>
        <w:widowControl w:val="0"/>
        <w:kinsoku/>
        <w:wordWrap/>
        <w:overflowPunct/>
        <w:topLinePunct w:val="0"/>
        <w:autoSpaceDE/>
        <w:autoSpaceDN/>
        <w:bidi w:val="0"/>
        <w:adjustRightInd/>
        <w:snapToGrid/>
        <w:spacing w:after="0" w:line="480" w:lineRule="exact"/>
        <w:ind w:left="27" w:firstLine="394"/>
        <w:jc w:val="left"/>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rPr>
        <w:t>本合同一式</w:t>
      </w:r>
      <w:r>
        <w:rPr>
          <w:rFonts w:hint="eastAsia" w:ascii="宋体" w:hAnsi="宋体" w:eastAsia="宋体" w:cs="宋体"/>
          <w:b w:val="0"/>
          <w:bCs w:val="0"/>
          <w:color w:val="auto"/>
          <w:spacing w:val="-2"/>
          <w:sz w:val="21"/>
          <w:szCs w:val="21"/>
          <w:highlight w:val="none"/>
          <w:u w:val="single"/>
        </w:rPr>
        <w:t xml:space="preserve">   </w:t>
      </w:r>
      <w:r>
        <w:rPr>
          <w:rFonts w:hint="eastAsia" w:ascii="宋体" w:hAnsi="宋体" w:eastAsia="宋体" w:cs="宋体"/>
          <w:b w:val="0"/>
          <w:bCs w:val="0"/>
          <w:color w:val="auto"/>
          <w:spacing w:val="-80"/>
          <w:sz w:val="21"/>
          <w:szCs w:val="21"/>
          <w:highlight w:val="none"/>
        </w:rPr>
        <w:t xml:space="preserve"> </w:t>
      </w:r>
      <w:r>
        <w:rPr>
          <w:rFonts w:hint="eastAsia" w:ascii="宋体" w:hAnsi="宋体" w:eastAsia="宋体" w:cs="宋体"/>
          <w:b w:val="0"/>
          <w:bCs w:val="0"/>
          <w:color w:val="auto"/>
          <w:spacing w:val="-2"/>
          <w:sz w:val="21"/>
          <w:szCs w:val="21"/>
          <w:highlight w:val="none"/>
        </w:rPr>
        <w:t>份，甲乙双方各执</w:t>
      </w:r>
      <w:r>
        <w:rPr>
          <w:rFonts w:hint="eastAsia" w:ascii="宋体" w:hAnsi="宋体" w:eastAsia="宋体" w:cs="宋体"/>
          <w:b w:val="0"/>
          <w:bCs w:val="0"/>
          <w:color w:val="auto"/>
          <w:spacing w:val="-2"/>
          <w:sz w:val="21"/>
          <w:szCs w:val="21"/>
          <w:highlight w:val="none"/>
          <w:u w:val="single"/>
        </w:rPr>
        <w:t xml:space="preserve">   </w:t>
      </w:r>
      <w:r>
        <w:rPr>
          <w:rFonts w:hint="eastAsia" w:ascii="宋体" w:hAnsi="宋体" w:eastAsia="宋体" w:cs="宋体"/>
          <w:b w:val="0"/>
          <w:bCs w:val="0"/>
          <w:color w:val="auto"/>
          <w:spacing w:val="-97"/>
          <w:sz w:val="21"/>
          <w:szCs w:val="21"/>
          <w:highlight w:val="none"/>
        </w:rPr>
        <w:t xml:space="preserve"> </w:t>
      </w:r>
      <w:r>
        <w:rPr>
          <w:rFonts w:hint="eastAsia" w:ascii="宋体" w:hAnsi="宋体" w:eastAsia="宋体" w:cs="宋体"/>
          <w:b w:val="0"/>
          <w:bCs w:val="0"/>
          <w:color w:val="auto"/>
          <w:spacing w:val="-2"/>
          <w:sz w:val="21"/>
          <w:szCs w:val="21"/>
          <w:highlight w:val="none"/>
        </w:rPr>
        <w:t>份，自合同签订之日起生效。</w:t>
      </w:r>
    </w:p>
    <w:p w14:paraId="37BD18DC">
      <w:pPr>
        <w:pStyle w:val="9"/>
        <w:keepNext w:val="0"/>
        <w:keepLines w:val="0"/>
        <w:pageBreakBefore w:val="0"/>
        <w:widowControl w:val="0"/>
        <w:kinsoku/>
        <w:wordWrap/>
        <w:overflowPunct/>
        <w:topLinePunct w:val="0"/>
        <w:autoSpaceDE/>
        <w:autoSpaceDN/>
        <w:bidi w:val="0"/>
        <w:adjustRightInd/>
        <w:snapToGrid/>
        <w:spacing w:after="0" w:line="480" w:lineRule="exact"/>
        <w:ind w:left="27" w:firstLine="394"/>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5"/>
          <w:sz w:val="21"/>
          <w:szCs w:val="21"/>
          <w:highlight w:val="none"/>
        </w:rPr>
        <w:t>甲方：（公章）</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
          <w:sz w:val="21"/>
          <w:szCs w:val="21"/>
          <w:highlight w:val="none"/>
          <w:lang w:val="en-US" w:eastAsia="zh-CN"/>
        </w:rPr>
        <w:t xml:space="preserve"> </w:t>
      </w:r>
      <w:r>
        <w:rPr>
          <w:rFonts w:hint="eastAsia" w:ascii="宋体" w:hAnsi="宋体" w:eastAsia="宋体" w:cs="宋体"/>
          <w:b w:val="0"/>
          <w:bCs w:val="0"/>
          <w:color w:val="auto"/>
          <w:spacing w:val="-5"/>
          <w:sz w:val="21"/>
          <w:szCs w:val="21"/>
          <w:highlight w:val="none"/>
        </w:rPr>
        <w:t>乙方：（公章）</w:t>
      </w:r>
    </w:p>
    <w:p w14:paraId="38B0F310">
      <w:pPr>
        <w:pStyle w:val="9"/>
        <w:keepNext w:val="0"/>
        <w:keepLines w:val="0"/>
        <w:pageBreakBefore w:val="0"/>
        <w:widowControl w:val="0"/>
        <w:kinsoku/>
        <w:wordWrap/>
        <w:overflowPunct/>
        <w:topLinePunct w:val="0"/>
        <w:autoSpaceDE/>
        <w:autoSpaceDN/>
        <w:bidi w:val="0"/>
        <w:adjustRightInd/>
        <w:snapToGrid/>
        <w:spacing w:after="0" w:line="480" w:lineRule="exact"/>
        <w:ind w:firstLine="408"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3"/>
          <w:sz w:val="21"/>
          <w:szCs w:val="21"/>
          <w:highlight w:val="none"/>
        </w:rPr>
        <w:t xml:space="preserve">地址：                   </w:t>
      </w:r>
      <w:r>
        <w:rPr>
          <w:rFonts w:hint="eastAsia" w:ascii="宋体" w:hAnsi="宋体" w:eastAsia="宋体" w:cs="宋体"/>
          <w:b w:val="0"/>
          <w:bCs w:val="0"/>
          <w:color w:val="auto"/>
          <w:spacing w:val="-4"/>
          <w:sz w:val="21"/>
          <w:szCs w:val="21"/>
          <w:highlight w:val="none"/>
        </w:rPr>
        <w:t xml:space="preserve">              </w:t>
      </w:r>
      <w:r>
        <w:rPr>
          <w:rFonts w:hint="eastAsia" w:ascii="宋体" w:hAnsi="宋体" w:eastAsia="宋体" w:cs="宋体"/>
          <w:b w:val="0"/>
          <w:bCs w:val="0"/>
          <w:color w:val="auto"/>
          <w:spacing w:val="-4"/>
          <w:sz w:val="21"/>
          <w:szCs w:val="21"/>
          <w:highlight w:val="none"/>
          <w:lang w:val="en-US" w:eastAsia="zh-CN"/>
        </w:rPr>
        <w:t xml:space="preserve"> </w:t>
      </w:r>
      <w:r>
        <w:rPr>
          <w:rFonts w:hint="eastAsia" w:ascii="宋体" w:hAnsi="宋体" w:eastAsia="宋体" w:cs="宋体"/>
          <w:b w:val="0"/>
          <w:bCs w:val="0"/>
          <w:color w:val="auto"/>
          <w:spacing w:val="-4"/>
          <w:sz w:val="21"/>
          <w:szCs w:val="21"/>
          <w:highlight w:val="none"/>
        </w:rPr>
        <w:t xml:space="preserve">    </w:t>
      </w:r>
      <w:r>
        <w:rPr>
          <w:rFonts w:hint="eastAsia" w:ascii="宋体" w:hAnsi="宋体" w:eastAsia="宋体" w:cs="宋体"/>
          <w:b w:val="0"/>
          <w:bCs w:val="0"/>
          <w:color w:val="auto"/>
          <w:spacing w:val="-4"/>
          <w:sz w:val="21"/>
          <w:szCs w:val="21"/>
          <w:highlight w:val="none"/>
          <w:lang w:val="en-US" w:eastAsia="zh-CN"/>
        </w:rPr>
        <w:t xml:space="preserve"> </w:t>
      </w:r>
      <w:r>
        <w:rPr>
          <w:rFonts w:hint="eastAsia" w:ascii="宋体" w:hAnsi="宋体" w:eastAsia="宋体" w:cs="宋体"/>
          <w:b w:val="0"/>
          <w:bCs w:val="0"/>
          <w:color w:val="auto"/>
          <w:spacing w:val="-4"/>
          <w:sz w:val="21"/>
          <w:szCs w:val="21"/>
          <w:highlight w:val="none"/>
        </w:rPr>
        <w:t>地址：</w:t>
      </w:r>
    </w:p>
    <w:p w14:paraId="187D9F2E">
      <w:pPr>
        <w:pStyle w:val="9"/>
        <w:keepNext w:val="0"/>
        <w:keepLines w:val="0"/>
        <w:pageBreakBefore w:val="0"/>
        <w:widowControl w:val="0"/>
        <w:kinsoku/>
        <w:wordWrap/>
        <w:overflowPunct/>
        <w:topLinePunct w:val="0"/>
        <w:autoSpaceDE/>
        <w:autoSpaceDN/>
        <w:bidi w:val="0"/>
        <w:adjustRightInd/>
        <w:snapToGrid/>
        <w:spacing w:after="0" w:line="480" w:lineRule="exact"/>
        <w:ind w:left="1" w:firstLine="40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法定代表人：</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pacing w:val="-5"/>
          <w:sz w:val="21"/>
          <w:szCs w:val="21"/>
          <w:highlight w:val="none"/>
        </w:rPr>
        <w:t>法定代表人：</w:t>
      </w:r>
    </w:p>
    <w:p w14:paraId="28F4D3AE">
      <w:pPr>
        <w:pStyle w:val="9"/>
        <w:keepNext w:val="0"/>
        <w:keepLines w:val="0"/>
        <w:pageBreakBefore w:val="0"/>
        <w:widowControl w:val="0"/>
        <w:kinsoku/>
        <w:wordWrap/>
        <w:overflowPunct/>
        <w:topLinePunct w:val="0"/>
        <w:autoSpaceDE/>
        <w:autoSpaceDN/>
        <w:bidi w:val="0"/>
        <w:adjustRightInd/>
        <w:snapToGrid/>
        <w:spacing w:after="0" w:line="480" w:lineRule="exact"/>
        <w:ind w:firstLine="40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5"/>
          <w:sz w:val="21"/>
          <w:szCs w:val="21"/>
          <w:highlight w:val="none"/>
        </w:rPr>
        <w:t>委托代理人：</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5"/>
          <w:sz w:val="21"/>
          <w:szCs w:val="21"/>
          <w:highlight w:val="none"/>
        </w:rPr>
        <w:t>委托代理人：</w:t>
      </w:r>
    </w:p>
    <w:p w14:paraId="3A15FC14">
      <w:pPr>
        <w:pStyle w:val="9"/>
        <w:keepNext w:val="0"/>
        <w:keepLines w:val="0"/>
        <w:pageBreakBefore w:val="0"/>
        <w:widowControl w:val="0"/>
        <w:kinsoku/>
        <w:wordWrap/>
        <w:overflowPunct/>
        <w:topLinePunct w:val="0"/>
        <w:autoSpaceDE/>
        <w:autoSpaceDN/>
        <w:bidi w:val="0"/>
        <w:adjustRightInd/>
        <w:snapToGrid/>
        <w:spacing w:after="0" w:line="480" w:lineRule="exact"/>
        <w:ind w:left="25" w:firstLine="36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5"/>
          <w:sz w:val="21"/>
          <w:szCs w:val="21"/>
          <w:highlight w:val="none"/>
        </w:rPr>
        <w:t>电话：</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
          <w:sz w:val="21"/>
          <w:szCs w:val="21"/>
          <w:highlight w:val="none"/>
          <w:lang w:val="en-US" w:eastAsia="zh-CN"/>
        </w:rPr>
        <w:t xml:space="preserve">  </w:t>
      </w:r>
      <w:r>
        <w:rPr>
          <w:rFonts w:hint="eastAsia" w:ascii="宋体" w:hAnsi="宋体" w:eastAsia="宋体" w:cs="宋体"/>
          <w:b w:val="0"/>
          <w:bCs w:val="0"/>
          <w:color w:val="auto"/>
          <w:spacing w:val="1"/>
          <w:sz w:val="21"/>
          <w:szCs w:val="21"/>
          <w:highlight w:val="none"/>
        </w:rPr>
        <w:t xml:space="preserve"> </w:t>
      </w:r>
      <w:r>
        <w:rPr>
          <w:rFonts w:hint="eastAsia" w:ascii="宋体" w:hAnsi="宋体" w:eastAsia="宋体" w:cs="宋体"/>
          <w:b w:val="0"/>
          <w:bCs w:val="0"/>
          <w:color w:val="auto"/>
          <w:spacing w:val="-15"/>
          <w:sz w:val="21"/>
          <w:szCs w:val="21"/>
          <w:highlight w:val="none"/>
        </w:rPr>
        <w:t>电话：</w:t>
      </w:r>
    </w:p>
    <w:p w14:paraId="603F0DAB">
      <w:pPr>
        <w:pStyle w:val="9"/>
        <w:keepNext w:val="0"/>
        <w:keepLines w:val="0"/>
        <w:pageBreakBefore w:val="0"/>
        <w:widowControl w:val="0"/>
        <w:kinsoku/>
        <w:wordWrap/>
        <w:overflowPunct/>
        <w:topLinePunct w:val="0"/>
        <w:autoSpaceDE/>
        <w:autoSpaceDN/>
        <w:bidi w:val="0"/>
        <w:adjustRightInd/>
        <w:snapToGrid/>
        <w:spacing w:after="0" w:line="480" w:lineRule="exact"/>
        <w:ind w:left="1" w:firstLine="396"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6"/>
          <w:sz w:val="21"/>
          <w:szCs w:val="21"/>
          <w:highlight w:val="none"/>
        </w:rPr>
        <w:t>开户银行：</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pacing w:val="-6"/>
          <w:sz w:val="21"/>
          <w:szCs w:val="21"/>
          <w:highlight w:val="none"/>
        </w:rPr>
        <w:t>开户银行：</w:t>
      </w:r>
    </w:p>
    <w:p w14:paraId="638CA50E">
      <w:pPr>
        <w:pStyle w:val="9"/>
        <w:keepNext w:val="0"/>
        <w:keepLines w:val="0"/>
        <w:pageBreakBefore w:val="0"/>
        <w:widowControl w:val="0"/>
        <w:kinsoku/>
        <w:wordWrap/>
        <w:overflowPunct/>
        <w:topLinePunct w:val="0"/>
        <w:autoSpaceDE/>
        <w:autoSpaceDN/>
        <w:bidi w:val="0"/>
        <w:adjustRightInd/>
        <w:snapToGrid/>
        <w:spacing w:after="0" w:line="480" w:lineRule="exact"/>
        <w:ind w:left="4" w:firstLine="384"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9"/>
          <w:sz w:val="21"/>
          <w:szCs w:val="21"/>
          <w:highlight w:val="none"/>
        </w:rPr>
        <w:t>账号：</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pacing w:val="-9"/>
          <w:sz w:val="21"/>
          <w:szCs w:val="21"/>
          <w:highlight w:val="none"/>
        </w:rPr>
        <w:t>账号：</w:t>
      </w:r>
    </w:p>
    <w:p w14:paraId="00500131">
      <w:pPr>
        <w:keepNext w:val="0"/>
        <w:keepLines w:val="0"/>
        <w:pageBreakBefore w:val="0"/>
        <w:widowControl w:val="0"/>
        <w:kinsoku/>
        <w:wordWrap/>
        <w:overflowPunct/>
        <w:topLinePunct w:val="0"/>
        <w:autoSpaceDE/>
        <w:autoSpaceDN/>
        <w:bidi w:val="0"/>
        <w:adjustRightInd/>
        <w:snapToGrid/>
        <w:spacing w:line="480" w:lineRule="exact"/>
        <w:ind w:firstLine="384" w:firstLineChars="200"/>
        <w:jc w:val="left"/>
        <w:textAlignment w:val="auto"/>
        <w:rPr>
          <w:rFonts w:hint="eastAsia" w:ascii="宋体" w:hAnsi="宋体" w:eastAsia="宋体" w:cs="宋体"/>
          <w:color w:val="auto"/>
          <w:sz w:val="21"/>
          <w:szCs w:val="21"/>
          <w:highlight w:val="none"/>
          <w:lang w:val="en-US" w:eastAsia="zh-CN"/>
        </w:rPr>
        <w:sectPr>
          <w:pgSz w:w="11906" w:h="16839"/>
          <w:pgMar w:top="1078" w:right="1234" w:bottom="1156" w:left="1587" w:header="873" w:footer="942" w:gutter="0"/>
          <w:cols w:space="720" w:num="1"/>
        </w:sectPr>
      </w:pPr>
      <w:bookmarkStart w:id="47" w:name="bookmark1"/>
      <w:bookmarkEnd w:id="47"/>
      <w:r>
        <w:rPr>
          <w:rFonts w:hint="eastAsia" w:ascii="宋体" w:hAnsi="宋体" w:eastAsia="宋体" w:cs="宋体"/>
          <w:b w:val="0"/>
          <w:bCs w:val="0"/>
          <w:color w:val="auto"/>
          <w:spacing w:val="-9"/>
          <w:sz w:val="21"/>
          <w:szCs w:val="21"/>
          <w:highlight w:val="none"/>
        </w:rPr>
        <w:t>年</w:t>
      </w:r>
      <w:r>
        <w:rPr>
          <w:rFonts w:hint="eastAsia" w:ascii="宋体" w:hAnsi="宋体" w:eastAsia="宋体" w:cs="宋体"/>
          <w:b w:val="0"/>
          <w:bCs w:val="0"/>
          <w:color w:val="auto"/>
          <w:spacing w:val="8"/>
          <w:sz w:val="21"/>
          <w:szCs w:val="21"/>
          <w:highlight w:val="none"/>
        </w:rPr>
        <w:t xml:space="preserve">    </w:t>
      </w:r>
      <w:r>
        <w:rPr>
          <w:rFonts w:hint="eastAsia" w:ascii="宋体" w:hAnsi="宋体" w:eastAsia="宋体" w:cs="宋体"/>
          <w:b w:val="0"/>
          <w:bCs w:val="0"/>
          <w:color w:val="auto"/>
          <w:spacing w:val="-9"/>
          <w:sz w:val="21"/>
          <w:szCs w:val="21"/>
          <w:highlight w:val="none"/>
        </w:rPr>
        <w:t>月</w:t>
      </w:r>
      <w:r>
        <w:rPr>
          <w:rFonts w:hint="eastAsia" w:ascii="宋体" w:hAnsi="宋体" w:eastAsia="宋体" w:cs="宋体"/>
          <w:b w:val="0"/>
          <w:bCs w:val="0"/>
          <w:color w:val="auto"/>
          <w:spacing w:val="15"/>
          <w:sz w:val="21"/>
          <w:szCs w:val="21"/>
          <w:highlight w:val="none"/>
        </w:rPr>
        <w:t xml:space="preserve">   </w:t>
      </w:r>
      <w:r>
        <w:rPr>
          <w:rFonts w:hint="eastAsia" w:ascii="宋体" w:hAnsi="宋体" w:eastAsia="宋体" w:cs="宋体"/>
          <w:b w:val="0"/>
          <w:bCs w:val="0"/>
          <w:color w:val="auto"/>
          <w:spacing w:val="-9"/>
          <w:sz w:val="21"/>
          <w:szCs w:val="21"/>
          <w:highlight w:val="none"/>
        </w:rPr>
        <w:t xml:space="preserve">日                              </w:t>
      </w:r>
      <w:r>
        <w:rPr>
          <w:rFonts w:hint="eastAsia" w:ascii="宋体" w:hAnsi="宋体" w:cs="宋体"/>
          <w:b w:val="0"/>
          <w:bCs w:val="0"/>
          <w:color w:val="auto"/>
          <w:spacing w:val="-9"/>
          <w:sz w:val="21"/>
          <w:szCs w:val="21"/>
          <w:highlight w:val="none"/>
          <w:lang w:val="en-US" w:eastAsia="zh-CN"/>
        </w:rPr>
        <w:t xml:space="preserve">  </w:t>
      </w:r>
      <w:r>
        <w:rPr>
          <w:rFonts w:hint="eastAsia" w:ascii="宋体" w:hAnsi="宋体" w:eastAsia="宋体" w:cs="宋体"/>
          <w:b w:val="0"/>
          <w:bCs w:val="0"/>
          <w:color w:val="auto"/>
          <w:spacing w:val="-9"/>
          <w:sz w:val="21"/>
          <w:szCs w:val="21"/>
          <w:highlight w:val="none"/>
        </w:rPr>
        <w:t xml:space="preserve"> 年</w:t>
      </w:r>
      <w:r>
        <w:rPr>
          <w:rFonts w:hint="eastAsia" w:ascii="宋体" w:hAnsi="宋体" w:eastAsia="宋体" w:cs="宋体"/>
          <w:b w:val="0"/>
          <w:bCs w:val="0"/>
          <w:color w:val="auto"/>
          <w:spacing w:val="3"/>
          <w:sz w:val="21"/>
          <w:szCs w:val="21"/>
          <w:highlight w:val="none"/>
        </w:rPr>
        <w:t xml:space="preserve">    </w:t>
      </w:r>
      <w:r>
        <w:rPr>
          <w:rFonts w:hint="eastAsia" w:ascii="宋体" w:hAnsi="宋体" w:eastAsia="宋体" w:cs="宋体"/>
          <w:b w:val="0"/>
          <w:bCs w:val="0"/>
          <w:color w:val="auto"/>
          <w:spacing w:val="-9"/>
          <w:sz w:val="21"/>
          <w:szCs w:val="21"/>
          <w:highlight w:val="none"/>
        </w:rPr>
        <w:t>月</w:t>
      </w:r>
      <w:r>
        <w:rPr>
          <w:rFonts w:hint="eastAsia" w:ascii="宋体" w:hAnsi="宋体" w:eastAsia="宋体" w:cs="宋体"/>
          <w:b w:val="0"/>
          <w:bCs w:val="0"/>
          <w:color w:val="auto"/>
          <w:spacing w:val="15"/>
          <w:sz w:val="21"/>
          <w:szCs w:val="21"/>
          <w:highlight w:val="none"/>
        </w:rPr>
        <w:t xml:space="preserve">   </w:t>
      </w:r>
      <w:r>
        <w:rPr>
          <w:rFonts w:hint="eastAsia" w:ascii="宋体" w:hAnsi="宋体" w:eastAsia="宋体" w:cs="宋体"/>
          <w:b w:val="0"/>
          <w:bCs w:val="0"/>
          <w:color w:val="auto"/>
          <w:spacing w:val="15"/>
          <w:sz w:val="21"/>
          <w:szCs w:val="21"/>
          <w:highlight w:val="none"/>
          <w:lang w:val="en-US" w:eastAsia="zh-CN"/>
        </w:rPr>
        <w:t>日</w:t>
      </w:r>
    </w:p>
    <w:p w14:paraId="11ABBBA1">
      <w:pPr>
        <w:spacing w:before="91" w:line="221" w:lineRule="auto"/>
        <w:ind w:left="18"/>
        <w:rPr>
          <w:rFonts w:ascii="黑体" w:hAnsi="黑体" w:eastAsia="黑体" w:cs="黑体"/>
          <w:color w:val="auto"/>
          <w:sz w:val="28"/>
          <w:szCs w:val="28"/>
          <w:highlight w:val="none"/>
        </w:rPr>
      </w:pPr>
      <w:r>
        <w:rPr>
          <w:rFonts w:ascii="黑体" w:hAnsi="黑体" w:eastAsia="黑体" w:cs="黑体"/>
          <w:color w:val="auto"/>
          <w:spacing w:val="-20"/>
          <w:sz w:val="28"/>
          <w:szCs w:val="28"/>
          <w:highlight w:val="none"/>
        </w:rPr>
        <w:t>附</w:t>
      </w:r>
      <w:r>
        <w:rPr>
          <w:rFonts w:ascii="黑体" w:hAnsi="黑体" w:eastAsia="黑体" w:cs="黑体"/>
          <w:color w:val="auto"/>
          <w:spacing w:val="-18"/>
          <w:sz w:val="28"/>
          <w:szCs w:val="28"/>
          <w:highlight w:val="none"/>
        </w:rPr>
        <w:t>件</w:t>
      </w:r>
      <w:r>
        <w:rPr>
          <w:rFonts w:hint="eastAsia" w:ascii="黑体" w:hAnsi="黑体" w:eastAsia="黑体" w:cs="黑体"/>
          <w:color w:val="auto"/>
          <w:spacing w:val="-18"/>
          <w:sz w:val="28"/>
          <w:szCs w:val="28"/>
          <w:highlight w:val="none"/>
          <w:lang w:val="en-US" w:eastAsia="zh-CN"/>
        </w:rPr>
        <w:t>一</w:t>
      </w:r>
      <w:r>
        <w:rPr>
          <w:rFonts w:ascii="黑体" w:hAnsi="黑体" w:eastAsia="黑体" w:cs="黑体"/>
          <w:color w:val="auto"/>
          <w:spacing w:val="-18"/>
          <w:sz w:val="28"/>
          <w:szCs w:val="28"/>
          <w:highlight w:val="none"/>
        </w:rPr>
        <w:t xml:space="preserve">： </w:t>
      </w:r>
      <w:r>
        <w:rPr>
          <w:rFonts w:hint="eastAsia" w:ascii="黑体" w:hAnsi="黑体" w:eastAsia="黑体" w:cs="黑体"/>
          <w:color w:val="auto"/>
          <w:spacing w:val="-18"/>
          <w:sz w:val="28"/>
          <w:szCs w:val="28"/>
          <w:highlight w:val="none"/>
          <w:lang w:val="en-US" w:eastAsia="zh-CN"/>
        </w:rPr>
        <w:t xml:space="preserve">                                </w:t>
      </w:r>
      <w:r>
        <w:rPr>
          <w:rFonts w:ascii="黑体" w:hAnsi="黑体" w:eastAsia="黑体" w:cs="黑体"/>
          <w:color w:val="auto"/>
          <w:spacing w:val="-18"/>
          <w:sz w:val="28"/>
          <w:szCs w:val="28"/>
          <w:highlight w:val="none"/>
        </w:rPr>
        <w:t>廉政合同</w:t>
      </w:r>
    </w:p>
    <w:p w14:paraId="0D42B671">
      <w:pPr>
        <w:keepNext w:val="0"/>
        <w:keepLines w:val="0"/>
        <w:pageBreakBefore w:val="0"/>
        <w:widowControl w:val="0"/>
        <w:kinsoku/>
        <w:wordWrap w:val="0"/>
        <w:overflowPunct/>
        <w:topLinePunct w:val="0"/>
        <w:autoSpaceDE/>
        <w:autoSpaceDN/>
        <w:bidi w:val="0"/>
        <w:adjustRightInd/>
        <w:snapToGrid/>
        <w:spacing w:line="440" w:lineRule="exact"/>
        <w:ind w:right="0" w:firstLine="359" w:firstLineChars="17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为做好党风廉政建设，保证</w:t>
      </w:r>
      <w:r>
        <w:rPr>
          <w:rFonts w:hint="eastAsia" w:ascii="宋体" w:hAnsi="宋体" w:eastAsia="宋体" w:cs="宋体"/>
          <w:color w:val="auto"/>
          <w:spacing w:val="0"/>
          <w:sz w:val="21"/>
          <w:szCs w:val="21"/>
          <w:highlight w:val="none"/>
          <w:lang w:val="en-US" w:eastAsia="zh-CN"/>
        </w:rPr>
        <w:t>服务</w:t>
      </w:r>
      <w:r>
        <w:rPr>
          <w:rFonts w:hint="eastAsia" w:ascii="宋体" w:hAnsi="宋体" w:eastAsia="宋体" w:cs="宋体"/>
          <w:color w:val="auto"/>
          <w:spacing w:val="0"/>
          <w:sz w:val="21"/>
          <w:szCs w:val="21"/>
          <w:highlight w:val="none"/>
        </w:rPr>
        <w:t>高效优质，保证建设资金的安全和有效使用以及投资效益，</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(项目名称) 的项目法人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rPr>
        <w:t xml:space="preserve"> </w:t>
      </w:r>
      <w:r>
        <w:rPr>
          <w:rFonts w:hint="eastAsia" w:ascii="宋体" w:hAnsi="宋体" w:eastAsia="宋体" w:cs="宋体"/>
          <w:color w:val="auto"/>
          <w:spacing w:val="0"/>
          <w:sz w:val="21"/>
          <w:szCs w:val="21"/>
          <w:highlight w:val="none"/>
        </w:rPr>
        <w:t>(</w:t>
      </w:r>
      <w:r>
        <w:rPr>
          <w:rFonts w:hint="eastAsia" w:ascii="宋体" w:hAnsi="宋体" w:eastAsia="宋体" w:cs="宋体"/>
          <w:color w:val="auto"/>
          <w:spacing w:val="0"/>
          <w:sz w:val="21"/>
          <w:szCs w:val="21"/>
          <w:highlight w:val="none"/>
          <w:lang w:val="en-US" w:eastAsia="zh-CN"/>
        </w:rPr>
        <w:t>采购人</w:t>
      </w:r>
      <w:r>
        <w:rPr>
          <w:rFonts w:hint="eastAsia" w:ascii="宋体" w:hAnsi="宋体" w:eastAsia="宋体" w:cs="宋体"/>
          <w:color w:val="auto"/>
          <w:spacing w:val="0"/>
          <w:sz w:val="21"/>
          <w:szCs w:val="21"/>
          <w:highlight w:val="none"/>
        </w:rPr>
        <w:t>名称，以</w:t>
      </w:r>
      <w:r>
        <w:rPr>
          <w:rFonts w:hint="eastAsia" w:ascii="宋体" w:hAnsi="宋体" w:eastAsia="宋体" w:cs="宋体"/>
          <w:color w:val="auto"/>
          <w:sz w:val="21"/>
          <w:szCs w:val="21"/>
          <w:highlight w:val="none"/>
        </w:rPr>
        <w:t>下</w:t>
      </w:r>
      <w:r>
        <w:rPr>
          <w:rFonts w:hint="eastAsia" w:ascii="宋体" w:hAnsi="宋体" w:eastAsia="宋体" w:cs="宋体"/>
          <w:color w:val="auto"/>
          <w:spacing w:val="0"/>
          <w:sz w:val="21"/>
          <w:szCs w:val="21"/>
          <w:highlight w:val="none"/>
        </w:rPr>
        <w:t>简称“</w:t>
      </w:r>
      <w:r>
        <w:rPr>
          <w:rFonts w:hint="eastAsia" w:ascii="宋体" w:hAnsi="宋体" w:eastAsia="宋体" w:cs="宋体"/>
          <w:color w:val="auto"/>
          <w:spacing w:val="0"/>
          <w:sz w:val="21"/>
          <w:szCs w:val="21"/>
          <w:highlight w:val="none"/>
          <w:lang w:val="en-US" w:eastAsia="zh-CN"/>
        </w:rPr>
        <w:t>甲方</w:t>
      </w:r>
      <w:r>
        <w:rPr>
          <w:rFonts w:hint="eastAsia" w:ascii="宋体" w:hAnsi="宋体" w:eastAsia="宋体" w:cs="宋体"/>
          <w:color w:val="auto"/>
          <w:sz w:val="21"/>
          <w:szCs w:val="21"/>
          <w:highlight w:val="none"/>
        </w:rPr>
        <w:t>”)与该项目</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名称，以下简称“</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pacing w:val="0"/>
          <w:sz w:val="21"/>
          <w:szCs w:val="21"/>
          <w:highlight w:val="none"/>
        </w:rPr>
        <w:t>”)，特订</w:t>
      </w:r>
      <w:r>
        <w:rPr>
          <w:rFonts w:hint="eastAsia" w:ascii="宋体" w:hAnsi="宋体" w:eastAsia="宋体" w:cs="宋体"/>
          <w:color w:val="auto"/>
          <w:sz w:val="21"/>
          <w:szCs w:val="21"/>
          <w:highlight w:val="none"/>
        </w:rPr>
        <w:t>立如下合同。</w:t>
      </w:r>
    </w:p>
    <w:p w14:paraId="49B58EB5">
      <w:pPr>
        <w:keepNext w:val="0"/>
        <w:keepLines w:val="0"/>
        <w:pageBreakBefore w:val="0"/>
        <w:widowControl w:val="0"/>
        <w:kinsoku/>
        <w:wordWrap/>
        <w:overflowPunct/>
        <w:topLinePunct w:val="0"/>
        <w:autoSpaceDE/>
        <w:autoSpaceDN/>
        <w:bidi w:val="0"/>
        <w:adjustRightInd/>
        <w:snapToGrid/>
        <w:spacing w:line="440" w:lineRule="exact"/>
        <w:ind w:left="55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pacing w:val="-1"/>
          <w:sz w:val="21"/>
          <w:szCs w:val="21"/>
          <w:highlight w:val="none"/>
          <w:lang w:val="en-US" w:eastAsia="zh-CN"/>
        </w:rPr>
        <w:t>甲方</w:t>
      </w:r>
      <w:r>
        <w:rPr>
          <w:rFonts w:hint="eastAsia" w:ascii="宋体" w:hAnsi="宋体" w:eastAsia="宋体" w:cs="宋体"/>
          <w:color w:val="auto"/>
          <w:spacing w:val="-1"/>
          <w:sz w:val="21"/>
          <w:szCs w:val="21"/>
          <w:highlight w:val="none"/>
        </w:rPr>
        <w:t>和</w:t>
      </w:r>
      <w:r>
        <w:rPr>
          <w:rFonts w:hint="eastAsia" w:ascii="宋体" w:hAnsi="宋体" w:eastAsia="宋体" w:cs="宋体"/>
          <w:color w:val="auto"/>
          <w:spacing w:val="-1"/>
          <w:sz w:val="21"/>
          <w:szCs w:val="21"/>
          <w:highlight w:val="none"/>
          <w:lang w:val="en-US" w:eastAsia="zh-CN"/>
        </w:rPr>
        <w:t>乙方</w:t>
      </w:r>
      <w:r>
        <w:rPr>
          <w:rFonts w:hint="eastAsia" w:ascii="宋体" w:hAnsi="宋体" w:eastAsia="宋体" w:cs="宋体"/>
          <w:color w:val="auto"/>
          <w:spacing w:val="-1"/>
          <w:sz w:val="21"/>
          <w:szCs w:val="21"/>
          <w:highlight w:val="none"/>
        </w:rPr>
        <w:t>双方的权利</w:t>
      </w:r>
      <w:r>
        <w:rPr>
          <w:rFonts w:hint="eastAsia" w:ascii="宋体" w:hAnsi="宋体" w:eastAsia="宋体" w:cs="宋体"/>
          <w:color w:val="auto"/>
          <w:sz w:val="21"/>
          <w:szCs w:val="21"/>
          <w:highlight w:val="none"/>
        </w:rPr>
        <w:t>和义务</w:t>
      </w:r>
    </w:p>
    <w:p w14:paraId="25A8EF76">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w:t>
      </w:r>
      <w:r>
        <w:rPr>
          <w:rFonts w:hint="eastAsia" w:ascii="宋体" w:hAnsi="宋体" w:eastAsia="宋体" w:cs="宋体"/>
          <w:color w:val="auto"/>
          <w:sz w:val="21"/>
          <w:szCs w:val="21"/>
          <w:highlight w:val="none"/>
        </w:rPr>
        <w:t>1)严格遵守党的政策规定和国家有关法律法规的有关规定。</w:t>
      </w:r>
    </w:p>
    <w:p w14:paraId="294430F8">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(2)严格执行</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lang w:val="en-US" w:eastAsia="zh-CN"/>
        </w:rPr>
        <w:t xml:space="preserve">           </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rPr>
        <w:t xml:space="preserve"> (项目名称)合同文件，自觉按合</w:t>
      </w:r>
      <w:r>
        <w:rPr>
          <w:rFonts w:hint="eastAsia" w:ascii="宋体" w:hAnsi="宋体" w:eastAsia="宋体" w:cs="宋体"/>
          <w:color w:val="auto"/>
          <w:sz w:val="21"/>
          <w:szCs w:val="21"/>
          <w:highlight w:val="none"/>
        </w:rPr>
        <w:t>同办事。</w:t>
      </w:r>
    </w:p>
    <w:p w14:paraId="5571969F">
      <w:pPr>
        <w:keepNext w:val="0"/>
        <w:keepLines w:val="0"/>
        <w:pageBreakBefore w:val="0"/>
        <w:widowControl w:val="0"/>
        <w:kinsoku/>
        <w:wordWrap/>
        <w:overflowPunct/>
        <w:topLinePunct w:val="0"/>
        <w:autoSpaceDE/>
        <w:autoSpaceDN/>
        <w:bidi w:val="0"/>
        <w:adjustRightInd/>
        <w:snapToGrid/>
        <w:spacing w:line="440" w:lineRule="exact"/>
        <w:ind w:left="5" w:right="75"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(3)双方的业务活动坚持公开、公</w:t>
      </w:r>
      <w:r>
        <w:rPr>
          <w:rFonts w:hint="eastAsia" w:ascii="宋体" w:hAnsi="宋体" w:eastAsia="宋体" w:cs="宋体"/>
          <w:color w:val="auto"/>
          <w:sz w:val="21"/>
          <w:szCs w:val="21"/>
          <w:highlight w:val="none"/>
        </w:rPr>
        <w:t>正、诚信、透明的原则(法律认定的商业秘密和合同文件</w:t>
      </w:r>
      <w:r>
        <w:rPr>
          <w:rFonts w:hint="eastAsia" w:ascii="宋体" w:hAnsi="宋体" w:eastAsia="宋体" w:cs="宋体"/>
          <w:color w:val="auto"/>
          <w:spacing w:val="-1"/>
          <w:sz w:val="21"/>
          <w:szCs w:val="21"/>
          <w:highlight w:val="none"/>
        </w:rPr>
        <w:t>另有规定除外)，</w:t>
      </w:r>
      <w:r>
        <w:rPr>
          <w:rFonts w:hint="eastAsia" w:ascii="宋体" w:hAnsi="宋体" w:eastAsia="宋体" w:cs="宋体"/>
          <w:color w:val="auto"/>
          <w:sz w:val="21"/>
          <w:szCs w:val="21"/>
          <w:highlight w:val="none"/>
        </w:rPr>
        <w:t>不得损害国家和集体利益，不得违反</w:t>
      </w:r>
      <w:r>
        <w:rPr>
          <w:rFonts w:hint="eastAsia" w:ascii="宋体" w:hAnsi="宋体" w:eastAsia="宋体" w:cs="宋体"/>
          <w:color w:val="auto"/>
          <w:sz w:val="21"/>
          <w:szCs w:val="21"/>
          <w:highlight w:val="none"/>
          <w:lang w:val="en-US" w:eastAsia="zh-CN"/>
        </w:rPr>
        <w:t>有关</w:t>
      </w:r>
      <w:r>
        <w:rPr>
          <w:rFonts w:hint="eastAsia" w:ascii="宋体" w:hAnsi="宋体" w:eastAsia="宋体" w:cs="宋体"/>
          <w:color w:val="auto"/>
          <w:sz w:val="21"/>
          <w:szCs w:val="21"/>
          <w:highlight w:val="none"/>
        </w:rPr>
        <w:t>规章制度。</w:t>
      </w:r>
    </w:p>
    <w:p w14:paraId="2AF80735">
      <w:pPr>
        <w:keepNext w:val="0"/>
        <w:keepLines w:val="0"/>
        <w:pageBreakBefore w:val="0"/>
        <w:widowControl w:val="0"/>
        <w:kinsoku/>
        <w:wordWrap/>
        <w:overflowPunct/>
        <w:topLinePunct w:val="0"/>
        <w:autoSpaceDE/>
        <w:autoSpaceDN/>
        <w:bidi w:val="0"/>
        <w:adjustRightInd/>
        <w:snapToGrid/>
        <w:spacing w:line="440" w:lineRule="exact"/>
        <w:ind w:left="4" w:right="78" w:firstLine="54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(4)建立健全廉政制度，开展廉政教育，设立廉政告示牌，公布举报电话，监督并</w:t>
      </w:r>
      <w:r>
        <w:rPr>
          <w:rFonts w:hint="eastAsia" w:ascii="宋体" w:hAnsi="宋体" w:eastAsia="宋体" w:cs="宋体"/>
          <w:color w:val="auto"/>
          <w:sz w:val="21"/>
          <w:szCs w:val="21"/>
          <w:highlight w:val="none"/>
        </w:rPr>
        <w:t>认真查</w:t>
      </w:r>
      <w:r>
        <w:rPr>
          <w:rFonts w:hint="eastAsia" w:ascii="宋体" w:hAnsi="宋体" w:eastAsia="宋体" w:cs="宋体"/>
          <w:color w:val="auto"/>
          <w:spacing w:val="-2"/>
          <w:sz w:val="21"/>
          <w:szCs w:val="21"/>
          <w:highlight w:val="none"/>
        </w:rPr>
        <w:t>处</w:t>
      </w:r>
      <w:r>
        <w:rPr>
          <w:rFonts w:hint="eastAsia" w:ascii="宋体" w:hAnsi="宋体" w:eastAsia="宋体" w:cs="宋体"/>
          <w:color w:val="auto"/>
          <w:spacing w:val="-1"/>
          <w:sz w:val="21"/>
          <w:szCs w:val="21"/>
          <w:highlight w:val="none"/>
        </w:rPr>
        <w:t>违法违纪行为。</w:t>
      </w:r>
    </w:p>
    <w:p w14:paraId="2D5ECF16">
      <w:pPr>
        <w:keepNext w:val="0"/>
        <w:keepLines w:val="0"/>
        <w:pageBreakBefore w:val="0"/>
        <w:widowControl w:val="0"/>
        <w:kinsoku/>
        <w:wordWrap/>
        <w:overflowPunct/>
        <w:topLinePunct w:val="0"/>
        <w:autoSpaceDE/>
        <w:autoSpaceDN/>
        <w:bidi w:val="0"/>
        <w:adjustRightInd/>
        <w:snapToGrid/>
        <w:spacing w:line="440" w:lineRule="exact"/>
        <w:ind w:left="54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(5)发现对方在业务活动中</w:t>
      </w:r>
      <w:r>
        <w:rPr>
          <w:rFonts w:hint="eastAsia" w:ascii="宋体" w:hAnsi="宋体" w:eastAsia="宋体" w:cs="宋体"/>
          <w:color w:val="auto"/>
          <w:spacing w:val="-3"/>
          <w:sz w:val="21"/>
          <w:szCs w:val="21"/>
          <w:highlight w:val="none"/>
        </w:rPr>
        <w:t>有</w:t>
      </w:r>
      <w:r>
        <w:rPr>
          <w:rFonts w:hint="eastAsia" w:ascii="宋体" w:hAnsi="宋体" w:eastAsia="宋体" w:cs="宋体"/>
          <w:color w:val="auto"/>
          <w:spacing w:val="-2"/>
          <w:sz w:val="21"/>
          <w:szCs w:val="21"/>
          <w:highlight w:val="none"/>
        </w:rPr>
        <w:t>违反廉政规定的行为，有及时提醒对方纠正的权利和义务。</w:t>
      </w:r>
    </w:p>
    <w:p w14:paraId="1D835AC0">
      <w:pPr>
        <w:keepNext w:val="0"/>
        <w:keepLines w:val="0"/>
        <w:pageBreakBefore w:val="0"/>
        <w:widowControl w:val="0"/>
        <w:kinsoku/>
        <w:wordWrap/>
        <w:overflowPunct/>
        <w:topLinePunct w:val="0"/>
        <w:autoSpaceDE/>
        <w:autoSpaceDN/>
        <w:bidi w:val="0"/>
        <w:adjustRightInd/>
        <w:snapToGrid/>
        <w:spacing w:line="440" w:lineRule="exact"/>
        <w:ind w:left="5" w:right="78"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(6)发现对方严重违反本合同义务条款的行为，有向</w:t>
      </w:r>
      <w:r>
        <w:rPr>
          <w:rFonts w:hint="eastAsia" w:ascii="宋体" w:hAnsi="宋体" w:eastAsia="宋体" w:cs="宋体"/>
          <w:color w:val="auto"/>
          <w:sz w:val="21"/>
          <w:szCs w:val="21"/>
          <w:highlight w:val="none"/>
        </w:rPr>
        <w:t>其上级有关部门举报、建议给予处理</w:t>
      </w:r>
      <w:r>
        <w:rPr>
          <w:rFonts w:hint="eastAsia" w:ascii="宋体" w:hAnsi="宋体" w:eastAsia="宋体" w:cs="宋体"/>
          <w:color w:val="auto"/>
          <w:spacing w:val="-2"/>
          <w:sz w:val="21"/>
          <w:szCs w:val="21"/>
          <w:highlight w:val="none"/>
        </w:rPr>
        <w:t>并要求告知处理结果的权利</w:t>
      </w:r>
      <w:r>
        <w:rPr>
          <w:rFonts w:hint="eastAsia" w:ascii="宋体" w:hAnsi="宋体" w:eastAsia="宋体" w:cs="宋体"/>
          <w:color w:val="auto"/>
          <w:spacing w:val="-1"/>
          <w:sz w:val="21"/>
          <w:szCs w:val="21"/>
          <w:highlight w:val="none"/>
        </w:rPr>
        <w:t>。</w:t>
      </w:r>
    </w:p>
    <w:p w14:paraId="2F4BB495">
      <w:pPr>
        <w:keepNext w:val="0"/>
        <w:keepLines w:val="0"/>
        <w:pageBreakBefore w:val="0"/>
        <w:widowControl w:val="0"/>
        <w:kinsoku/>
        <w:wordWrap/>
        <w:overflowPunct/>
        <w:topLinePunct w:val="0"/>
        <w:autoSpaceDE/>
        <w:autoSpaceDN/>
        <w:bidi w:val="0"/>
        <w:adjustRightInd/>
        <w:snapToGrid/>
        <w:spacing w:line="440" w:lineRule="exact"/>
        <w:ind w:left="543"/>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的义务</w:t>
      </w:r>
    </w:p>
    <w:p w14:paraId="62E5AF9F">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（1）</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及其工作人员不得索要或接受乙方的礼金、有价证券和贵重物品，不得让乙方报销任何应由</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或</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工作人员个人支付的费用等。 </w:t>
      </w:r>
    </w:p>
    <w:p w14:paraId="528582BB">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（2）</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工作人员不得参加乙方安排的超标准宴请和娱乐活动；不得接受乙方提供的通讯工具、交通工具和高档办公用品等。 </w:t>
      </w:r>
    </w:p>
    <w:p w14:paraId="5EC74445">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及其工作人员不得要求或者接受乙方为其住房装修、婚丧嫁娶活动、配偶子女的工作安排以及出国出境、旅游等提供方便等。 </w:t>
      </w:r>
    </w:p>
    <w:p w14:paraId="797D0A8D">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（4）甲方工作人员及其配偶、子女不得从事与本项目有关的材料设备供应、工程分包、劳务等经济活动等。 </w:t>
      </w:r>
    </w:p>
    <w:p w14:paraId="59B7B43F">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（5）甲方及其工作人员不得以任何理由向乙方推荐分包单位或推销材料，不得要求乙方购买合同规定外的材料和设备。 </w:t>
      </w:r>
    </w:p>
    <w:p w14:paraId="6E4D27A4">
      <w:pPr>
        <w:keepNext w:val="0"/>
        <w:keepLines w:val="0"/>
        <w:pageBreakBefore w:val="0"/>
        <w:widowControl w:val="0"/>
        <w:kinsoku/>
        <w:wordWrap/>
        <w:overflowPunct/>
        <w:topLinePunct w:val="0"/>
        <w:autoSpaceDE/>
        <w:autoSpaceDN/>
        <w:bidi w:val="0"/>
        <w:adjustRightInd/>
        <w:snapToGrid/>
        <w:spacing w:line="440" w:lineRule="exact"/>
        <w:ind w:left="17" w:right="78" w:firstLine="528"/>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（6）甲方工作人员要秉公办事，不准营私舞弊，不准利用职权从事各种个人有偿中介活动</w:t>
      </w:r>
      <w:r>
        <w:rPr>
          <w:rFonts w:hint="eastAsia" w:ascii="宋体" w:hAnsi="宋体" w:eastAsia="宋体" w:cs="宋体"/>
          <w:color w:val="auto"/>
          <w:spacing w:val="-1"/>
          <w:sz w:val="21"/>
          <w:szCs w:val="21"/>
          <w:highlight w:val="none"/>
        </w:rPr>
        <w:t>。</w:t>
      </w:r>
    </w:p>
    <w:p w14:paraId="6CF6C977">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3. 乙方的义务 </w:t>
      </w:r>
    </w:p>
    <w:p w14:paraId="5802AF0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（1）乙方不得以任何理由向</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及其工作人员行贿或馈赠礼金、有价证券、贵重礼品。 </w:t>
      </w:r>
    </w:p>
    <w:p w14:paraId="53828740">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（2）乙方不得以任何名义为</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及其工作人员报销应由甲方单位或个人支付的任何费用。 </w:t>
      </w:r>
    </w:p>
    <w:p w14:paraId="0230E27B">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（3）乙方不得以任何理由安排</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工作人员参加超标准宴请及娱乐活动。 </w:t>
      </w:r>
    </w:p>
    <w:p w14:paraId="62AC4E34">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（4）乙方不得为</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pacing w:val="-1"/>
          <w:sz w:val="21"/>
          <w:szCs w:val="21"/>
          <w:highlight w:val="none"/>
          <w:lang w:val="en-US" w:eastAsia="zh-CN"/>
        </w:rPr>
        <w:t xml:space="preserve">单位和个人购置或提供通信工具、交通工具和高档办公用品等。 </w:t>
      </w:r>
    </w:p>
    <w:p w14:paraId="2625E4D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4. 违约责任 </w:t>
      </w:r>
    </w:p>
    <w:p w14:paraId="35348E12">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（1）甲方及其工作人员违反本合同第 1、2 条，按管理权限，依据有关规定给予党纪、政纪或组织处理；涉嫌犯罪的，移交司法机关追究刑事责任；给乙方造成经济损失的，应予以赔偿。 </w:t>
      </w:r>
    </w:p>
    <w:p w14:paraId="4EB4495E">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（2）乙方及其工作人员违反本合同第 1、3 条，按管理权限，依据有关规定给予党纪、政纪或组织处理；给甲方造成经济损失的，应予以赔偿。 </w:t>
      </w:r>
    </w:p>
    <w:p w14:paraId="28FBD14D">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5. 双方约定：本合同由双方或双方上级单位的纪检监察部门负责监督执行。由甲方或甲方上级单位的纪检监察部门约请乙方或乙方上级单位纪检监察部门对本合同执行情况进行检查，提出在本合同规定范围内的裁定意见。 </w:t>
      </w:r>
    </w:p>
    <w:p w14:paraId="5D3292B7">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 xml:space="preserve">6. 本合同有效期为甲方和乙方签署之日起至服务期满。 </w:t>
      </w:r>
    </w:p>
    <w:p w14:paraId="1CE89B5C">
      <w:pPr>
        <w:keepNext w:val="0"/>
        <w:keepLines w:val="0"/>
        <w:pageBreakBefore w:val="0"/>
        <w:widowControl w:val="0"/>
        <w:kinsoku/>
        <w:wordWrap/>
        <w:overflowPunct/>
        <w:topLinePunct w:val="0"/>
        <w:autoSpaceDE/>
        <w:autoSpaceDN/>
        <w:bidi w:val="0"/>
        <w:adjustRightInd/>
        <w:snapToGrid/>
        <w:spacing w:line="440" w:lineRule="exact"/>
        <w:ind w:left="2" w:right="78" w:firstLine="542"/>
        <w:textAlignment w:val="auto"/>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 xml:space="preserve">7. 本合同作为 </w:t>
      </w:r>
      <w:r>
        <w:rPr>
          <w:rFonts w:hint="eastAsia" w:ascii="宋体" w:hAnsi="宋体" w:eastAsia="宋体" w:cs="宋体"/>
          <w:color w:val="auto"/>
          <w:spacing w:val="-1"/>
          <w:sz w:val="21"/>
          <w:szCs w:val="21"/>
          <w:highlight w:val="none"/>
          <w:u w:val="single"/>
          <w:lang w:val="en-US" w:eastAsia="zh-CN"/>
        </w:rPr>
        <w:t xml:space="preserve">                 （项目名称）</w:t>
      </w:r>
      <w:r>
        <w:rPr>
          <w:rFonts w:hint="eastAsia" w:ascii="宋体" w:hAnsi="宋体" w:eastAsia="宋体" w:cs="宋体"/>
          <w:color w:val="auto"/>
          <w:spacing w:val="-1"/>
          <w:sz w:val="21"/>
          <w:szCs w:val="21"/>
          <w:highlight w:val="none"/>
          <w:u w:val="none"/>
          <w:lang w:val="en-US" w:eastAsia="zh-CN"/>
        </w:rPr>
        <w:t>主</w:t>
      </w:r>
      <w:r>
        <w:rPr>
          <w:rFonts w:hint="eastAsia" w:ascii="宋体" w:hAnsi="宋体" w:eastAsia="宋体" w:cs="宋体"/>
          <w:color w:val="auto"/>
          <w:spacing w:val="-1"/>
          <w:sz w:val="21"/>
          <w:szCs w:val="21"/>
          <w:highlight w:val="none"/>
          <w:lang w:val="en-US" w:eastAsia="zh-CN"/>
        </w:rPr>
        <w:t>合同的附件，与主合同具有同等的法律效力，经合同双方签署后立即生效。</w:t>
      </w:r>
    </w:p>
    <w:p w14:paraId="53752251">
      <w:pPr>
        <w:keepNext w:val="0"/>
        <w:keepLines w:val="0"/>
        <w:pageBreakBefore w:val="0"/>
        <w:widowControl w:val="0"/>
        <w:kinsoku/>
        <w:wordWrap/>
        <w:overflowPunct/>
        <w:topLinePunct w:val="0"/>
        <w:autoSpaceDE/>
        <w:autoSpaceDN/>
        <w:bidi w:val="0"/>
        <w:adjustRightInd/>
        <w:snapToGrid/>
        <w:spacing w:line="440" w:lineRule="exact"/>
        <w:ind w:left="5" w:right="78" w:firstLine="539"/>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8.本合同一式</w:t>
      </w:r>
      <w:r>
        <w:rPr>
          <w:rFonts w:hint="eastAsia" w:ascii="宋体" w:hAnsi="宋体" w:eastAsia="宋体" w:cs="宋体"/>
          <w:color w:val="auto"/>
          <w:spacing w:val="-1"/>
          <w:sz w:val="21"/>
          <w:szCs w:val="21"/>
          <w:highlight w:val="none"/>
          <w:lang w:val="en-US" w:eastAsia="zh-CN"/>
        </w:rPr>
        <w:t>两</w:t>
      </w:r>
      <w:r>
        <w:rPr>
          <w:rFonts w:hint="eastAsia" w:ascii="宋体" w:hAnsi="宋体" w:eastAsia="宋体" w:cs="宋体"/>
          <w:color w:val="auto"/>
          <w:spacing w:val="-1"/>
          <w:sz w:val="21"/>
          <w:szCs w:val="21"/>
          <w:highlight w:val="none"/>
        </w:rPr>
        <w:t>份，由</w:t>
      </w:r>
      <w:r>
        <w:rPr>
          <w:rFonts w:hint="eastAsia" w:ascii="宋体" w:hAnsi="宋体" w:eastAsia="宋体" w:cs="宋体"/>
          <w:color w:val="auto"/>
          <w:spacing w:val="-1"/>
          <w:sz w:val="21"/>
          <w:szCs w:val="21"/>
          <w:highlight w:val="none"/>
          <w:lang w:val="en-US" w:eastAsia="zh-CN"/>
        </w:rPr>
        <w:t>甲方和乙方的</w:t>
      </w:r>
      <w:r>
        <w:rPr>
          <w:rFonts w:hint="eastAsia" w:ascii="宋体" w:hAnsi="宋体" w:eastAsia="宋体" w:cs="宋体"/>
          <w:color w:val="auto"/>
          <w:spacing w:val="-1"/>
          <w:sz w:val="21"/>
          <w:szCs w:val="21"/>
          <w:highlight w:val="none"/>
        </w:rPr>
        <w:t>各执一份。</w:t>
      </w:r>
    </w:p>
    <w:p w14:paraId="6FF61DD7">
      <w:pPr>
        <w:keepNext w:val="0"/>
        <w:keepLines w:val="0"/>
        <w:pageBreakBefore w:val="0"/>
        <w:widowControl w:val="0"/>
        <w:kinsoku/>
        <w:wordWrap/>
        <w:overflowPunct/>
        <w:topLinePunct w:val="0"/>
        <w:autoSpaceDE/>
        <w:autoSpaceDN/>
        <w:bidi w:val="0"/>
        <w:adjustRightInd/>
        <w:snapToGrid/>
        <w:spacing w:line="440" w:lineRule="exact"/>
        <w:ind w:left="5" w:right="78" w:firstLine="539"/>
        <w:textAlignment w:val="auto"/>
        <w:rPr>
          <w:rFonts w:hint="eastAsia" w:ascii="宋体" w:hAnsi="宋体" w:eastAsia="宋体" w:cs="宋体"/>
          <w:color w:val="auto"/>
          <w:spacing w:val="-1"/>
          <w:sz w:val="21"/>
          <w:szCs w:val="21"/>
          <w:highlight w:val="none"/>
        </w:rPr>
      </w:pPr>
    </w:p>
    <w:p w14:paraId="32DBDB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lang w:val="en-US" w:eastAsia="zh-CN"/>
        </w:rPr>
        <w:t>甲方</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lang w:val="en-US" w:eastAsia="zh-CN"/>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rPr>
        <w:t xml:space="preserve">(盖单位章)            </w:t>
      </w:r>
      <w:r>
        <w:rPr>
          <w:rFonts w:hint="eastAsia" w:ascii="宋体" w:hAnsi="宋体" w:eastAsia="宋体" w:cs="宋体"/>
          <w:color w:val="auto"/>
          <w:spacing w:val="-4"/>
          <w:sz w:val="21"/>
          <w:szCs w:val="21"/>
          <w:highlight w:val="none"/>
          <w:lang w:val="en-US" w:eastAsia="zh-CN"/>
        </w:rPr>
        <w:t>乙方</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lang w:val="en-US" w:eastAsia="zh-CN"/>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rPr>
        <w:t>(盖单位章)</w:t>
      </w:r>
    </w:p>
    <w:p w14:paraId="05FE0386">
      <w:pPr>
        <w:keepNext w:val="0"/>
        <w:keepLines w:val="0"/>
        <w:pageBreakBefore w:val="0"/>
        <w:widowControl w:val="0"/>
        <w:kinsoku/>
        <w:wordWrap/>
        <w:overflowPunct/>
        <w:topLinePunct w:val="0"/>
        <w:autoSpaceDE/>
        <w:autoSpaceDN/>
        <w:bidi w:val="0"/>
        <w:adjustRightInd/>
        <w:snapToGrid/>
        <w:spacing w:line="440" w:lineRule="exact"/>
        <w:ind w:left="1"/>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法定代表人或其</w:t>
      </w:r>
      <w:r>
        <w:rPr>
          <w:rFonts w:hint="eastAsia" w:ascii="宋体" w:hAnsi="宋体" w:eastAsia="宋体" w:cs="宋体"/>
          <w:color w:val="auto"/>
          <w:spacing w:val="-8"/>
          <w:sz w:val="21"/>
          <w:szCs w:val="21"/>
          <w:highlight w:val="none"/>
        </w:rPr>
        <w:t>委</w:t>
      </w:r>
      <w:r>
        <w:rPr>
          <w:rFonts w:hint="eastAsia" w:ascii="宋体" w:hAnsi="宋体" w:eastAsia="宋体" w:cs="宋体"/>
          <w:color w:val="auto"/>
          <w:spacing w:val="-5"/>
          <w:sz w:val="21"/>
          <w:szCs w:val="21"/>
          <w:highlight w:val="none"/>
        </w:rPr>
        <w:t>托代理人：</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rPr>
        <w:t xml:space="preserve">(签字)   </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法定代表人或其委托代理人：</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val="en-US" w:eastAsia="zh-CN"/>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rPr>
        <w:t>(签字)</w:t>
      </w:r>
    </w:p>
    <w:p w14:paraId="0FA0DA44">
      <w:pPr>
        <w:keepNext w:val="0"/>
        <w:keepLines w:val="0"/>
        <w:pageBreakBefore w:val="0"/>
        <w:widowControl w:val="0"/>
        <w:tabs>
          <w:tab w:val="left" w:pos="1786"/>
        </w:tabs>
        <w:kinsoku/>
        <w:wordWrap/>
        <w:overflowPunct/>
        <w:topLinePunct w:val="0"/>
        <w:autoSpaceDE/>
        <w:autoSpaceDN/>
        <w:bidi w:val="0"/>
        <w:adjustRightInd/>
        <w:snapToGrid/>
        <w:spacing w:line="440" w:lineRule="exact"/>
        <w:ind w:left="834"/>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1"/>
          <w:sz w:val="21"/>
          <w:szCs w:val="21"/>
          <w:highlight w:val="none"/>
        </w:rPr>
        <w:t>年</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月</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 xml:space="preserve">日            </w:t>
      </w:r>
      <w:r>
        <w:rPr>
          <w:rFonts w:hint="eastAsia" w:ascii="宋体" w:hAnsi="宋体" w:eastAsia="宋体" w:cs="宋体"/>
          <w:color w:val="auto"/>
          <w:spacing w:val="1"/>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日</w:t>
      </w:r>
    </w:p>
    <w:p w14:paraId="03C801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p>
    <w:p w14:paraId="2BC7BEDA">
      <w:pPr>
        <w:spacing w:before="60" w:line="218" w:lineRule="auto"/>
        <w:ind w:left="556"/>
        <w:rPr>
          <w:rFonts w:ascii="黑体" w:hAnsi="黑体" w:eastAsia="黑体" w:cs="黑体"/>
          <w:color w:val="auto"/>
          <w:spacing w:val="-2"/>
          <w:sz w:val="30"/>
          <w:szCs w:val="30"/>
          <w:highlight w:val="none"/>
        </w:rPr>
      </w:pPr>
    </w:p>
    <w:p w14:paraId="2BCC279C">
      <w:pPr>
        <w:spacing w:before="60" w:line="218" w:lineRule="auto"/>
        <w:ind w:left="556"/>
        <w:rPr>
          <w:rFonts w:ascii="黑体" w:hAnsi="黑体" w:eastAsia="黑体" w:cs="黑体"/>
          <w:color w:val="auto"/>
          <w:spacing w:val="-2"/>
          <w:sz w:val="30"/>
          <w:szCs w:val="30"/>
          <w:highlight w:val="none"/>
        </w:rPr>
      </w:pPr>
    </w:p>
    <w:p w14:paraId="5BA443E1">
      <w:pPr>
        <w:spacing w:before="60" w:line="218" w:lineRule="auto"/>
        <w:ind w:left="556"/>
        <w:rPr>
          <w:rFonts w:ascii="黑体" w:hAnsi="黑体" w:eastAsia="黑体" w:cs="黑体"/>
          <w:color w:val="auto"/>
          <w:spacing w:val="-2"/>
          <w:sz w:val="30"/>
          <w:szCs w:val="30"/>
          <w:highlight w:val="none"/>
        </w:rPr>
      </w:pPr>
    </w:p>
    <w:p w14:paraId="3F749CFC">
      <w:pPr>
        <w:spacing w:before="60" w:line="218" w:lineRule="auto"/>
        <w:ind w:left="556"/>
        <w:rPr>
          <w:rFonts w:ascii="黑体" w:hAnsi="黑体" w:eastAsia="黑体" w:cs="黑体"/>
          <w:color w:val="auto"/>
          <w:spacing w:val="-2"/>
          <w:sz w:val="30"/>
          <w:szCs w:val="30"/>
          <w:highlight w:val="none"/>
        </w:rPr>
      </w:pPr>
    </w:p>
    <w:p w14:paraId="2A341E3B">
      <w:pPr>
        <w:spacing w:before="60" w:line="218" w:lineRule="auto"/>
        <w:ind w:left="556"/>
        <w:rPr>
          <w:rFonts w:ascii="黑体" w:hAnsi="黑体" w:eastAsia="黑体" w:cs="黑体"/>
          <w:color w:val="auto"/>
          <w:spacing w:val="-2"/>
          <w:sz w:val="30"/>
          <w:szCs w:val="30"/>
          <w:highlight w:val="none"/>
        </w:rPr>
      </w:pPr>
    </w:p>
    <w:p w14:paraId="6EC9D671">
      <w:pPr>
        <w:pStyle w:val="25"/>
        <w:rPr>
          <w:rFonts w:ascii="黑体" w:hAnsi="黑体" w:eastAsia="黑体" w:cs="黑体"/>
          <w:color w:val="auto"/>
          <w:spacing w:val="-2"/>
          <w:sz w:val="30"/>
          <w:szCs w:val="30"/>
          <w:highlight w:val="none"/>
        </w:rPr>
      </w:pPr>
    </w:p>
    <w:p w14:paraId="2A7A9536">
      <w:pPr>
        <w:rPr>
          <w:rFonts w:ascii="黑体" w:hAnsi="黑体" w:eastAsia="黑体" w:cs="黑体"/>
          <w:color w:val="auto"/>
          <w:spacing w:val="-2"/>
          <w:sz w:val="30"/>
          <w:szCs w:val="30"/>
          <w:highlight w:val="none"/>
        </w:rPr>
      </w:pPr>
    </w:p>
    <w:p w14:paraId="78A7CC33">
      <w:pPr>
        <w:pStyle w:val="25"/>
        <w:rPr>
          <w:rFonts w:ascii="黑体" w:hAnsi="黑体" w:eastAsia="黑体" w:cs="黑体"/>
          <w:color w:val="auto"/>
          <w:spacing w:val="-2"/>
          <w:sz w:val="30"/>
          <w:szCs w:val="30"/>
          <w:highlight w:val="none"/>
        </w:rPr>
      </w:pPr>
    </w:p>
    <w:p w14:paraId="306E97CA">
      <w:pPr>
        <w:rPr>
          <w:rFonts w:ascii="黑体" w:hAnsi="黑体" w:eastAsia="黑体" w:cs="黑体"/>
          <w:color w:val="auto"/>
          <w:spacing w:val="-2"/>
          <w:sz w:val="30"/>
          <w:szCs w:val="30"/>
          <w:highlight w:val="none"/>
        </w:rPr>
      </w:pPr>
    </w:p>
    <w:p w14:paraId="4503A48A">
      <w:pPr>
        <w:rPr>
          <w:rFonts w:ascii="黑体" w:hAnsi="黑体" w:eastAsia="黑体" w:cs="黑体"/>
          <w:color w:val="auto"/>
          <w:spacing w:val="-2"/>
          <w:sz w:val="30"/>
          <w:szCs w:val="30"/>
          <w:highlight w:val="none"/>
        </w:rPr>
      </w:pPr>
    </w:p>
    <w:p w14:paraId="4E3FC50E">
      <w:pPr>
        <w:pStyle w:val="25"/>
        <w:rPr>
          <w:rFonts w:ascii="黑体" w:hAnsi="黑体" w:eastAsia="黑体" w:cs="黑体"/>
          <w:color w:val="auto"/>
          <w:spacing w:val="-2"/>
          <w:sz w:val="30"/>
          <w:szCs w:val="30"/>
          <w:highlight w:val="none"/>
        </w:rPr>
      </w:pPr>
    </w:p>
    <w:p w14:paraId="11DAE709">
      <w:pPr>
        <w:spacing w:before="60" w:line="218" w:lineRule="auto"/>
        <w:rPr>
          <w:rFonts w:ascii="黑体" w:hAnsi="黑体" w:eastAsia="黑体" w:cs="黑体"/>
          <w:color w:val="auto"/>
          <w:spacing w:val="-2"/>
          <w:sz w:val="30"/>
          <w:szCs w:val="30"/>
          <w:highlight w:val="none"/>
        </w:rPr>
      </w:pPr>
      <w:r>
        <w:rPr>
          <w:rFonts w:ascii="黑体" w:hAnsi="黑体" w:eastAsia="黑体" w:cs="黑体"/>
          <w:color w:val="auto"/>
          <w:spacing w:val="-2"/>
          <w:sz w:val="30"/>
          <w:szCs w:val="30"/>
          <w:highlight w:val="none"/>
        </w:rPr>
        <w:t>附件</w:t>
      </w:r>
      <w:r>
        <w:rPr>
          <w:rFonts w:hint="eastAsia" w:ascii="黑体" w:hAnsi="黑体" w:eastAsia="黑体" w:cs="黑体"/>
          <w:color w:val="auto"/>
          <w:spacing w:val="-2"/>
          <w:sz w:val="30"/>
          <w:szCs w:val="30"/>
          <w:highlight w:val="none"/>
          <w:lang w:val="en-US" w:eastAsia="zh-CN"/>
        </w:rPr>
        <w:t>二</w:t>
      </w:r>
      <w:r>
        <w:rPr>
          <w:rFonts w:ascii="黑体" w:hAnsi="黑体" w:eastAsia="黑体" w:cs="黑体"/>
          <w:color w:val="auto"/>
          <w:spacing w:val="-2"/>
          <w:sz w:val="30"/>
          <w:szCs w:val="30"/>
          <w:highlight w:val="none"/>
        </w:rPr>
        <w:t>：</w:t>
      </w:r>
      <w:r>
        <w:rPr>
          <w:rFonts w:hint="eastAsia" w:ascii="黑体" w:hAnsi="黑体" w:eastAsia="黑体" w:cs="黑体"/>
          <w:color w:val="auto"/>
          <w:spacing w:val="-2"/>
          <w:sz w:val="30"/>
          <w:szCs w:val="30"/>
          <w:highlight w:val="none"/>
          <w:lang w:val="en-US" w:eastAsia="zh-CN"/>
        </w:rPr>
        <w:t xml:space="preserve">                       </w:t>
      </w:r>
      <w:r>
        <w:rPr>
          <w:rFonts w:ascii="黑体" w:hAnsi="黑体" w:eastAsia="黑体" w:cs="黑体"/>
          <w:color w:val="auto"/>
          <w:spacing w:val="-2"/>
          <w:sz w:val="30"/>
          <w:szCs w:val="30"/>
          <w:highlight w:val="none"/>
          <w:lang w:val="en-US" w:eastAsia="zh-CN"/>
        </w:rPr>
        <w:t xml:space="preserve">安全合同 </w:t>
      </w:r>
    </w:p>
    <w:p w14:paraId="711DDC83">
      <w:pPr>
        <w:keepNext w:val="0"/>
        <w:keepLines w:val="0"/>
        <w:pageBreakBefore w:val="0"/>
        <w:widowControl w:val="0"/>
        <w:kinsoku/>
        <w:wordWrap/>
        <w:overflowPunct/>
        <w:topLinePunct w:val="0"/>
        <w:autoSpaceDE/>
        <w:autoSpaceDN/>
        <w:bidi w:val="0"/>
        <w:adjustRightInd/>
        <w:snapToGrid/>
        <w:spacing w:line="440" w:lineRule="exact"/>
        <w:ind w:right="79" w:firstLine="436" w:firstLineChars="200"/>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为在</w:t>
      </w:r>
      <w:r>
        <w:rPr>
          <w:rFonts w:hint="eastAsia" w:ascii="宋体" w:hAnsi="宋体" w:eastAsia="宋体" w:cs="宋体"/>
          <w:color w:val="auto"/>
          <w:spacing w:val="-1"/>
          <w:sz w:val="22"/>
          <w:szCs w:val="22"/>
          <w:highlight w:val="none"/>
          <w:u w:val="single"/>
          <w:lang w:val="en-US" w:eastAsia="zh-CN"/>
        </w:rPr>
        <w:t xml:space="preserve">                                 （项目名称）</w:t>
      </w:r>
      <w:r>
        <w:rPr>
          <w:rFonts w:hint="eastAsia" w:ascii="宋体" w:hAnsi="宋体" w:eastAsia="宋体" w:cs="宋体"/>
          <w:color w:val="auto"/>
          <w:spacing w:val="-1"/>
          <w:sz w:val="22"/>
          <w:szCs w:val="22"/>
          <w:highlight w:val="none"/>
          <w:lang w:val="en-US" w:eastAsia="zh-CN"/>
        </w:rPr>
        <w:t>合同的实施过程中创造安全、高效的环境，切实搞好本项目的安全管理工作，本项目委托人</w:t>
      </w:r>
      <w:r>
        <w:rPr>
          <w:rFonts w:hint="eastAsia" w:ascii="宋体" w:hAnsi="宋体" w:eastAsia="宋体" w:cs="宋体"/>
          <w:color w:val="auto"/>
          <w:spacing w:val="-1"/>
          <w:sz w:val="22"/>
          <w:szCs w:val="22"/>
          <w:highlight w:val="none"/>
          <w:u w:val="single"/>
          <w:lang w:val="en-US" w:eastAsia="zh-CN"/>
        </w:rPr>
        <w:t xml:space="preserve">                 </w:t>
      </w:r>
      <w:r>
        <w:rPr>
          <w:rFonts w:hint="eastAsia" w:ascii="宋体" w:hAnsi="宋体" w:eastAsia="宋体" w:cs="宋体"/>
          <w:color w:val="auto"/>
          <w:spacing w:val="-1"/>
          <w:sz w:val="22"/>
          <w:szCs w:val="22"/>
          <w:highlight w:val="none"/>
          <w:lang w:val="en-US" w:eastAsia="zh-CN"/>
        </w:rPr>
        <w:t>（以下简称“甲方”）与成交供应商</w:t>
      </w:r>
      <w:r>
        <w:rPr>
          <w:rFonts w:hint="eastAsia" w:ascii="宋体" w:hAnsi="宋体" w:eastAsia="宋体" w:cs="宋体"/>
          <w:color w:val="auto"/>
          <w:spacing w:val="-1"/>
          <w:sz w:val="22"/>
          <w:szCs w:val="22"/>
          <w:highlight w:val="none"/>
          <w:u w:val="single"/>
          <w:lang w:val="en-US" w:eastAsia="zh-CN"/>
        </w:rPr>
        <w:t xml:space="preserve">                   </w:t>
      </w:r>
      <w:r>
        <w:rPr>
          <w:rFonts w:hint="eastAsia" w:ascii="宋体" w:hAnsi="宋体" w:eastAsia="宋体" w:cs="宋体"/>
          <w:color w:val="auto"/>
          <w:spacing w:val="-1"/>
          <w:sz w:val="22"/>
          <w:szCs w:val="22"/>
          <w:highlight w:val="none"/>
          <w:lang w:val="en-US" w:eastAsia="zh-CN"/>
        </w:rPr>
        <w:t xml:space="preserve">（以下简称“乙方”）特此签订安全生产合同。 </w:t>
      </w:r>
    </w:p>
    <w:p w14:paraId="5BB249CB">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1.甲方职责 </w:t>
      </w:r>
    </w:p>
    <w:p w14:paraId="7798423C">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（1）严格遵守国家有关安全生产的法律法规，认真执行工程承包合同中的有关安全要求。 </w:t>
      </w:r>
    </w:p>
    <w:p w14:paraId="1FFCACA9">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（2）按照“安全第一、预防为主”和坚持“管生产必须管安全”的原则进行安全生产管理。 </w:t>
      </w:r>
    </w:p>
    <w:p w14:paraId="6D5F905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（3）定期召开安全生产调度会，及时传达中央及地方有关安全生产的精神。 </w:t>
      </w:r>
    </w:p>
    <w:p w14:paraId="623F6E9F">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2.乙方职责 </w:t>
      </w:r>
    </w:p>
    <w:p w14:paraId="1942255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（1）严格遵守《中华人民共和国安全生产法》、《建设工程安全生产管理条例》等国家有关安全生产的法律法规等有关安全生产的规定。认真执行工程承包合同中的有关安全要求。 </w:t>
      </w:r>
    </w:p>
    <w:p w14:paraId="74057569">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（2）坚持“安全第一、预防为主”的原则，加强安全生产宣传教育，增强全员安全生产意识。 </w:t>
      </w:r>
    </w:p>
    <w:p w14:paraId="6C4065E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（3）建立健全安全生产责任制。 </w:t>
      </w:r>
    </w:p>
    <w:p w14:paraId="638A8BD1">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（4）乙方在任何时候都应采取各种合理的预防措施，防止其员工发生任何违法、违禁、暴力或妨碍治安的行为。 </w:t>
      </w:r>
    </w:p>
    <w:p w14:paraId="350E954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（5）乙方参加工作的人员，必须接受安全技术教育，定期进行安全技术考核。 </w:t>
      </w:r>
    </w:p>
    <w:p w14:paraId="718B5634">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（6）乙方必须按照本工程项目特点，组织制定服务工作中的安全事故应急救援预案；如果发生安全事故，及时上报有关部门。 </w:t>
      </w:r>
    </w:p>
    <w:p w14:paraId="02C3AB1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3.违约责任 </w:t>
      </w:r>
    </w:p>
    <w:p w14:paraId="6B6230D3">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如因甲方或乙方违约造成安全事故，将依法追究责任。 </w:t>
      </w:r>
    </w:p>
    <w:p w14:paraId="38B4779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4.本合同有效期为甲方和乙方签署之日起至项目服务期满。 </w:t>
      </w:r>
    </w:p>
    <w:p w14:paraId="48374C7F">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5. 本合同作为</w:t>
      </w:r>
      <w:r>
        <w:rPr>
          <w:rFonts w:hint="eastAsia" w:ascii="宋体" w:hAnsi="宋体" w:eastAsia="宋体" w:cs="宋体"/>
          <w:color w:val="auto"/>
          <w:spacing w:val="-1"/>
          <w:sz w:val="22"/>
          <w:szCs w:val="22"/>
          <w:highlight w:val="none"/>
          <w:u w:val="single"/>
          <w:lang w:val="en-US" w:eastAsia="zh-CN"/>
        </w:rPr>
        <w:t xml:space="preserve">              （项目名称）</w:t>
      </w:r>
      <w:r>
        <w:rPr>
          <w:rFonts w:hint="eastAsia" w:ascii="宋体" w:hAnsi="宋体" w:eastAsia="宋体" w:cs="宋体"/>
          <w:color w:val="auto"/>
          <w:spacing w:val="-1"/>
          <w:sz w:val="22"/>
          <w:szCs w:val="22"/>
          <w:highlight w:val="none"/>
          <w:u w:val="none"/>
          <w:lang w:val="en-US" w:eastAsia="zh-CN"/>
        </w:rPr>
        <w:t>主</w:t>
      </w:r>
      <w:r>
        <w:rPr>
          <w:rFonts w:hint="eastAsia" w:ascii="宋体" w:hAnsi="宋体" w:eastAsia="宋体" w:cs="宋体"/>
          <w:color w:val="auto"/>
          <w:spacing w:val="-1"/>
          <w:sz w:val="22"/>
          <w:szCs w:val="22"/>
          <w:highlight w:val="none"/>
          <w:lang w:val="en-US" w:eastAsia="zh-CN"/>
        </w:rPr>
        <w:t xml:space="preserve">合同的附件，与主合同具有同等的法律效力，经合同双方签署后立即生效。 </w:t>
      </w:r>
    </w:p>
    <w:p w14:paraId="6767DC3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lang w:val="en-US" w:eastAsia="zh-CN"/>
        </w:rPr>
        <w:t>6.本合同一式两份，由甲方和乙方各执一份。</w:t>
      </w:r>
    </w:p>
    <w:p w14:paraId="4D96890B">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甲方：（盖单位章）                            乙方：（盖单位章） </w:t>
      </w:r>
    </w:p>
    <w:p w14:paraId="5091C3D8">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 xml:space="preserve">法定代表人或其委托代理人：                    法定代表人或其委托代理人： </w:t>
      </w:r>
    </w:p>
    <w:p w14:paraId="52EF1D32">
      <w:pPr>
        <w:keepNext w:val="0"/>
        <w:keepLines w:val="0"/>
        <w:pageBreakBefore w:val="0"/>
        <w:widowControl w:val="0"/>
        <w:kinsoku/>
        <w:wordWrap/>
        <w:overflowPunct/>
        <w:topLinePunct w:val="0"/>
        <w:autoSpaceDE/>
        <w:autoSpaceDN/>
        <w:bidi w:val="0"/>
        <w:adjustRightInd/>
        <w:snapToGrid/>
        <w:spacing w:line="440" w:lineRule="exact"/>
        <w:ind w:left="6" w:right="79" w:firstLine="539"/>
        <w:textAlignment w:val="auto"/>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lang w:val="en-US" w:eastAsia="zh-CN"/>
        </w:rPr>
        <w:t>年 月 日                                      年 月 日</w:t>
      </w:r>
    </w:p>
    <w:p w14:paraId="3CE49259">
      <w:pPr>
        <w:spacing w:before="60" w:line="218" w:lineRule="auto"/>
        <w:ind w:left="556"/>
        <w:rPr>
          <w:rFonts w:hint="eastAsia" w:ascii="黑体" w:hAnsi="黑体" w:eastAsia="黑体" w:cs="黑体"/>
          <w:color w:val="auto"/>
          <w:spacing w:val="-2"/>
          <w:sz w:val="30"/>
          <w:szCs w:val="30"/>
          <w:highlight w:val="none"/>
          <w:lang w:val="en-US" w:eastAsia="zh-CN"/>
        </w:rPr>
      </w:pPr>
    </w:p>
    <w:p w14:paraId="7F343F38">
      <w:pPr>
        <w:spacing w:before="60" w:line="218" w:lineRule="auto"/>
        <w:ind w:left="556"/>
        <w:rPr>
          <w:rFonts w:hint="eastAsia" w:ascii="黑体" w:hAnsi="黑体" w:eastAsia="黑体" w:cs="黑体"/>
          <w:color w:val="auto"/>
          <w:spacing w:val="-2"/>
          <w:sz w:val="30"/>
          <w:szCs w:val="30"/>
          <w:highlight w:val="none"/>
          <w:lang w:val="en-US" w:eastAsia="zh-CN"/>
        </w:rPr>
      </w:pPr>
    </w:p>
    <w:p w14:paraId="01C5074F">
      <w:pPr>
        <w:spacing w:before="60" w:line="218" w:lineRule="auto"/>
        <w:ind w:left="556"/>
        <w:rPr>
          <w:rFonts w:hint="eastAsia" w:ascii="黑体" w:hAnsi="黑体" w:eastAsia="黑体" w:cs="黑体"/>
          <w:color w:val="auto"/>
          <w:spacing w:val="-2"/>
          <w:sz w:val="30"/>
          <w:szCs w:val="30"/>
          <w:highlight w:val="none"/>
          <w:lang w:val="en-US" w:eastAsia="zh-CN"/>
        </w:rPr>
      </w:pPr>
    </w:p>
    <w:p w14:paraId="046E7A86">
      <w:pPr>
        <w:spacing w:before="60" w:line="218" w:lineRule="auto"/>
        <w:ind w:left="556"/>
        <w:rPr>
          <w:rFonts w:hint="eastAsia" w:ascii="黑体" w:hAnsi="黑体" w:eastAsia="黑体" w:cs="黑体"/>
          <w:color w:val="auto"/>
          <w:spacing w:val="-2"/>
          <w:sz w:val="30"/>
          <w:szCs w:val="30"/>
          <w:highlight w:val="none"/>
          <w:lang w:val="en-US" w:eastAsia="zh-CN"/>
        </w:rPr>
      </w:pPr>
    </w:p>
    <w:p w14:paraId="1598AFEB">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46"/>
    </w:p>
    <w:p w14:paraId="5E61D180">
      <w:pPr>
        <w:spacing w:line="900" w:lineRule="exact"/>
        <w:jc w:val="center"/>
        <w:rPr>
          <w:rFonts w:asciiTheme="minorEastAsia" w:hAnsiTheme="minorEastAsia" w:eastAsiaTheme="minorEastAsia"/>
          <w:b/>
          <w:color w:val="auto"/>
          <w:sz w:val="72"/>
          <w:highlight w:val="none"/>
        </w:rPr>
      </w:pPr>
    </w:p>
    <w:p w14:paraId="7DCFACE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2A8F2EF">
      <w:pPr>
        <w:spacing w:line="900" w:lineRule="exact"/>
        <w:jc w:val="center"/>
        <w:rPr>
          <w:rFonts w:asciiTheme="minorEastAsia" w:hAnsiTheme="minorEastAsia" w:eastAsiaTheme="minorEastAsia"/>
          <w:b/>
          <w:color w:val="auto"/>
          <w:sz w:val="72"/>
          <w:highlight w:val="none"/>
        </w:rPr>
      </w:pPr>
    </w:p>
    <w:p w14:paraId="51D55F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7C1C641">
      <w:pPr>
        <w:spacing w:line="900" w:lineRule="exact"/>
        <w:jc w:val="center"/>
        <w:rPr>
          <w:rFonts w:asciiTheme="minorEastAsia" w:hAnsiTheme="minorEastAsia" w:eastAsiaTheme="minorEastAsia"/>
          <w:b/>
          <w:color w:val="auto"/>
          <w:sz w:val="72"/>
          <w:highlight w:val="none"/>
        </w:rPr>
      </w:pPr>
    </w:p>
    <w:p w14:paraId="7B74CA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8316008">
      <w:pPr>
        <w:spacing w:line="900" w:lineRule="exact"/>
        <w:jc w:val="center"/>
        <w:rPr>
          <w:rFonts w:asciiTheme="minorEastAsia" w:hAnsiTheme="minorEastAsia" w:eastAsiaTheme="minorEastAsia"/>
          <w:b/>
          <w:color w:val="auto"/>
          <w:sz w:val="72"/>
          <w:highlight w:val="none"/>
        </w:rPr>
      </w:pPr>
    </w:p>
    <w:p w14:paraId="2E25726D">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853E166">
      <w:pPr>
        <w:spacing w:after="156" w:afterLines="50"/>
        <w:jc w:val="center"/>
        <w:rPr>
          <w:rFonts w:asciiTheme="minorEastAsia" w:hAnsiTheme="minorEastAsia" w:eastAsiaTheme="minorEastAsia"/>
          <w:b/>
          <w:color w:val="auto"/>
          <w:sz w:val="72"/>
          <w:highlight w:val="none"/>
        </w:rPr>
      </w:pPr>
    </w:p>
    <w:p w14:paraId="2C7D9CBC">
      <w:pPr>
        <w:spacing w:after="156" w:afterLines="50" w:line="500" w:lineRule="exact"/>
        <w:jc w:val="center"/>
        <w:rPr>
          <w:rFonts w:asciiTheme="minorEastAsia" w:hAnsiTheme="minorEastAsia" w:eastAsiaTheme="minorEastAsia"/>
          <w:b/>
          <w:color w:val="auto"/>
          <w:sz w:val="28"/>
          <w:szCs w:val="28"/>
          <w:highlight w:val="none"/>
        </w:rPr>
      </w:pPr>
    </w:p>
    <w:p w14:paraId="01AC40A9">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41B225B6">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755CD7A">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3D23C65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48" w:name="_Toc215"/>
      <w:bookmarkStart w:id="49"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48"/>
      <w:bookmarkEnd w:id="49"/>
    </w:p>
    <w:p w14:paraId="5BD4370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3A5B24C2">
      <w:pPr>
        <w:spacing w:line="360" w:lineRule="auto"/>
        <w:jc w:val="center"/>
        <w:outlineLvl w:val="1"/>
        <w:rPr>
          <w:rFonts w:asciiTheme="minorEastAsia" w:hAnsiTheme="minorEastAsia" w:eastAsiaTheme="minorEastAsia"/>
          <w:b/>
          <w:color w:val="auto"/>
          <w:sz w:val="24"/>
          <w:highlight w:val="none"/>
        </w:rPr>
      </w:pPr>
      <w:bookmarkStart w:id="50" w:name="_Toc11521"/>
      <w:bookmarkStart w:id="51" w:name="_Toc14197"/>
      <w:bookmarkStart w:id="52" w:name="_Hlk23205287"/>
      <w:r>
        <w:rPr>
          <w:rFonts w:hint="eastAsia" w:asciiTheme="minorEastAsia" w:hAnsiTheme="minorEastAsia" w:eastAsiaTheme="minorEastAsia"/>
          <w:b/>
          <w:color w:val="auto"/>
          <w:sz w:val="24"/>
          <w:highlight w:val="none"/>
        </w:rPr>
        <w:t>一、</w:t>
      </w:r>
      <w:bookmarkEnd w:id="50"/>
      <w:bookmarkEnd w:id="51"/>
      <w:r>
        <w:rPr>
          <w:rFonts w:hint="eastAsia" w:asciiTheme="minorEastAsia" w:hAnsiTheme="minorEastAsia" w:eastAsiaTheme="minorEastAsia"/>
          <w:b/>
          <w:color w:val="auto"/>
          <w:sz w:val="24"/>
          <w:highlight w:val="none"/>
        </w:rPr>
        <w:t>响应函</w:t>
      </w:r>
    </w:p>
    <w:p w14:paraId="0B6FF884">
      <w:pPr>
        <w:pStyle w:val="14"/>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采购人</w:t>
      </w:r>
    </w:p>
    <w:p w14:paraId="1E84EC9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1、我们决定参加贵单位组织的“</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（编号</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。我方授权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(姓名和职务)</w:t>
      </w:r>
      <w:r>
        <w:rPr>
          <w:rFonts w:hint="eastAsia" w:ascii="宋体" w:hAnsi="宋体" w:eastAsia="宋体" w:cs="宋体"/>
          <w:color w:val="auto"/>
          <w:sz w:val="24"/>
          <w:highlight w:val="none"/>
        </w:rPr>
        <w:t>代表我方</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供应商</w:t>
      </w:r>
      <w:r>
        <w:rPr>
          <w:rFonts w:hint="eastAsia" w:ascii="宋体" w:hAnsi="宋体" w:eastAsia="宋体" w:cs="宋体"/>
          <w:color w:val="auto"/>
          <w:sz w:val="24"/>
          <w:highlight w:val="none"/>
          <w:u w:val="single"/>
        </w:rPr>
        <w:t>的名称）</w:t>
      </w:r>
      <w:r>
        <w:rPr>
          <w:rFonts w:hint="eastAsia" w:ascii="宋体" w:hAnsi="宋体" w:eastAsia="宋体" w:cs="宋体"/>
          <w:color w:val="auto"/>
          <w:sz w:val="24"/>
          <w:highlight w:val="none"/>
        </w:rPr>
        <w:t>全权处理本项目</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的有关事宜。</w:t>
      </w:r>
    </w:p>
    <w:p w14:paraId="661B9CD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2、我方愿意按照</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文件规定的各项要求，向</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提供“</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（项目编号）</w:t>
      </w:r>
      <w:r>
        <w:rPr>
          <w:rFonts w:hint="eastAsia" w:ascii="宋体" w:hAnsi="宋体" w:eastAsia="宋体" w:cs="宋体"/>
          <w:color w:val="auto"/>
          <w:sz w:val="24"/>
          <w:highlight w:val="none"/>
        </w:rPr>
        <w:t>”项目的</w:t>
      </w:r>
      <w:r>
        <w:rPr>
          <w:rFonts w:hint="eastAsia" w:ascii="宋体" w:hAnsi="宋体" w:eastAsia="宋体" w:cs="宋体"/>
          <w:color w:val="auto"/>
          <w:sz w:val="24"/>
          <w:highlight w:val="none"/>
          <w:lang w:val="en-US" w:eastAsia="zh-CN"/>
        </w:rPr>
        <w:t>货物与</w:t>
      </w:r>
      <w:r>
        <w:rPr>
          <w:rFonts w:hint="eastAsia" w:ascii="宋体" w:hAnsi="宋体" w:eastAsia="宋体" w:cs="宋体"/>
          <w:color w:val="auto"/>
          <w:sz w:val="24"/>
          <w:highlight w:val="none"/>
        </w:rPr>
        <w:t>服务，</w:t>
      </w:r>
      <w:r>
        <w:rPr>
          <w:rFonts w:hint="eastAsia" w:ascii="宋体" w:hAnsi="宋体" w:eastAsia="宋体" w:cs="宋体"/>
          <w:b/>
          <w:bCs/>
          <w:color w:val="auto"/>
          <w:sz w:val="24"/>
          <w:szCs w:val="24"/>
          <w:highlight w:val="none"/>
          <w:lang w:val="en-US" w:eastAsia="zh-CN"/>
        </w:rPr>
        <w:t>响应报价</w:t>
      </w:r>
      <w:r>
        <w:rPr>
          <w:rFonts w:hint="eastAsia" w:ascii="宋体" w:hAnsi="宋体" w:eastAsia="宋体" w:cs="宋体"/>
          <w:b/>
          <w:bCs/>
          <w:color w:val="auto"/>
          <w:sz w:val="24"/>
          <w:szCs w:val="24"/>
          <w:highlight w:val="none"/>
        </w:rPr>
        <w:t>为（大写）</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（小写）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highlight w:val="none"/>
        </w:rPr>
        <w:t>签订合同后按</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要求完成本项目所有工作</w:t>
      </w:r>
      <w:r>
        <w:rPr>
          <w:rFonts w:hint="eastAsia" w:ascii="宋体" w:hAnsi="宋体" w:eastAsia="宋体" w:cs="宋体"/>
          <w:color w:val="auto"/>
          <w:sz w:val="24"/>
          <w:highlight w:val="none"/>
          <w:lang w:eastAsia="zh-CN"/>
        </w:rPr>
        <w:t>。</w:t>
      </w:r>
    </w:p>
    <w:p w14:paraId="56FF172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3、一旦我方成为合同签字人，我方将严格履行合同规定的责任和义务。</w:t>
      </w:r>
    </w:p>
    <w:p w14:paraId="53C0A35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若</w:t>
      </w:r>
      <w:r>
        <w:rPr>
          <w:rFonts w:hint="eastAsia" w:ascii="宋体" w:hAnsi="宋体" w:eastAsia="宋体" w:cs="宋体"/>
          <w:color w:val="auto"/>
          <w:sz w:val="24"/>
          <w:highlight w:val="none"/>
        </w:rPr>
        <w:t>我方中标，愿意为本项目提交的纸质投标书一式</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份，其中正本一份、副本</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份。</w:t>
      </w:r>
    </w:p>
    <w:p w14:paraId="1E83D9C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、我方愿意提供可能另外要求的、与采购</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有关的文件资料，并保证我方已提供和将要提供的文件是真实的、准确的。</w:t>
      </w:r>
    </w:p>
    <w:p w14:paraId="0DA7A3C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、我单位提供如下通讯地址：</w:t>
      </w:r>
      <w:r>
        <w:rPr>
          <w:rFonts w:hint="eastAsia" w:ascii="宋体" w:hAnsi="宋体" w:eastAsia="宋体" w:cs="宋体"/>
          <w:color w:val="auto"/>
          <w:sz w:val="24"/>
          <w:highlight w:val="none"/>
          <w:u w:val="single"/>
        </w:rPr>
        <w:t xml:space="preserve">        电子邮箱（地址）</w:t>
      </w:r>
      <w:r>
        <w:rPr>
          <w:rFonts w:hint="eastAsia" w:ascii="宋体" w:hAnsi="宋体" w:eastAsia="宋体" w:cs="宋体"/>
          <w:color w:val="auto"/>
          <w:sz w:val="24"/>
          <w:highlight w:val="none"/>
        </w:rPr>
        <w:t>，确认本项目相关法律文书均通过提供的以上地址送达，相关文书只要发送至以上电子邮箱（地址）即视为送达，</w:t>
      </w:r>
      <w:r>
        <w:rPr>
          <w:rFonts w:hint="eastAsia" w:ascii="宋体" w:hAnsi="宋体" w:eastAsia="宋体" w:cs="宋体"/>
          <w:color w:val="auto"/>
          <w:sz w:val="24"/>
          <w:highlight w:val="none"/>
          <w:lang w:val="en-US" w:eastAsia="zh-CN"/>
        </w:rPr>
        <w:t>我方</w:t>
      </w:r>
      <w:r>
        <w:rPr>
          <w:rFonts w:hint="eastAsia" w:ascii="宋体" w:hAnsi="宋体" w:eastAsia="宋体" w:cs="宋体"/>
          <w:color w:val="auto"/>
          <w:sz w:val="24"/>
          <w:highlight w:val="none"/>
        </w:rPr>
        <w:t>愿意承担一切法律后果。</w:t>
      </w:r>
    </w:p>
    <w:p w14:paraId="2BF7C6B0">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名称（签章）</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4307A83">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单位法定代表人（签章）： </w:t>
      </w:r>
      <w:r>
        <w:rPr>
          <w:rFonts w:hint="eastAsia" w:ascii="宋体" w:hAnsi="宋体" w:eastAsia="宋体" w:cs="宋体"/>
          <w:color w:val="auto"/>
          <w:sz w:val="24"/>
          <w:szCs w:val="24"/>
          <w:highlight w:val="none"/>
          <w:u w:val="single"/>
        </w:rPr>
        <w:t xml:space="preserve">                        </w:t>
      </w:r>
    </w:p>
    <w:p w14:paraId="4AA5C34B">
      <w:pPr>
        <w:keepNext w:val="0"/>
        <w:keepLines w:val="0"/>
        <w:pageBreakBefore w:val="0"/>
        <w:widowControl w:val="0"/>
        <w:kinsoku/>
        <w:wordWrap/>
        <w:overflowPunct/>
        <w:topLinePunct w:val="0"/>
        <w:autoSpaceDE/>
        <w:autoSpaceDN/>
        <w:bidi w:val="0"/>
        <w:spacing w:line="480" w:lineRule="auto"/>
        <w:ind w:firstLine="720" w:firstLineChars="3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 w:val="24"/>
          <w:szCs w:val="24"/>
          <w:highlight w:val="none"/>
        </w:rPr>
        <w:t xml:space="preserve">日期：      年     月     日         </w:t>
      </w:r>
      <w:r>
        <w:rPr>
          <w:rFonts w:hint="eastAsia" w:ascii="宋体" w:hAnsi="宋体" w:eastAsia="宋体" w:cs="宋体"/>
          <w:color w:val="auto"/>
          <w:szCs w:val="21"/>
          <w:highlight w:val="none"/>
        </w:rPr>
        <w:t xml:space="preserve">    </w:t>
      </w:r>
    </w:p>
    <w:p w14:paraId="1F2FABF1">
      <w:pPr>
        <w:spacing w:line="360" w:lineRule="auto"/>
        <w:ind w:firstLine="435"/>
        <w:rPr>
          <w:rFonts w:asciiTheme="minorEastAsia" w:hAnsiTheme="minorEastAsia" w:eastAsiaTheme="minorEastAsia"/>
          <w:color w:val="auto"/>
          <w:sz w:val="24"/>
          <w:highlight w:val="none"/>
        </w:rPr>
      </w:pPr>
    </w:p>
    <w:p w14:paraId="488CFFBF">
      <w:pPr>
        <w:spacing w:line="440" w:lineRule="exact"/>
        <w:ind w:firstLine="4800" w:firstLineChars="2000"/>
        <w:rPr>
          <w:rFonts w:hint="eastAsia" w:ascii="宋体" w:hAnsi="宋体" w:eastAsia="宋体"/>
          <w:color w:val="auto"/>
          <w:sz w:val="24"/>
          <w:szCs w:val="24"/>
          <w:highlight w:val="none"/>
        </w:rPr>
      </w:pPr>
    </w:p>
    <w:p w14:paraId="65C3880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BF46330">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301767B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p>
    <w:p w14:paraId="53DE0B20">
      <w:pPr>
        <w:spacing w:line="360" w:lineRule="auto"/>
        <w:jc w:val="center"/>
        <w:outlineLvl w:val="1"/>
        <w:rPr>
          <w:rFonts w:asciiTheme="minorEastAsia" w:hAnsiTheme="minorEastAsia" w:eastAsiaTheme="minorEastAsia"/>
          <w:b/>
          <w:color w:val="auto"/>
          <w:sz w:val="24"/>
          <w:highlight w:val="none"/>
        </w:rPr>
      </w:pPr>
      <w:bookmarkStart w:id="53" w:name="_Toc963"/>
      <w:bookmarkStart w:id="54" w:name="_Toc27880"/>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．供应商资格声明书</w:t>
      </w:r>
      <w:bookmarkEnd w:id="53"/>
      <w:r>
        <w:rPr>
          <w:rFonts w:hint="eastAsia" w:asciiTheme="minorEastAsia" w:hAnsiTheme="minorEastAsia" w:eastAsiaTheme="minorEastAsia"/>
          <w:b/>
          <w:color w:val="auto"/>
          <w:sz w:val="24"/>
          <w:highlight w:val="none"/>
        </w:rPr>
        <w:t xml:space="preserve"> </w:t>
      </w:r>
    </w:p>
    <w:p w14:paraId="2AA754B2">
      <w:pPr>
        <w:pStyle w:val="14"/>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采购人</w:t>
      </w:r>
    </w:p>
    <w:p w14:paraId="18E84E4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在参与本次项目询价中，我单位承诺：</w:t>
      </w:r>
    </w:p>
    <w:p w14:paraId="6590E24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64416838">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165938C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0A264244">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BB7AF9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5FDA94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42D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0" w:type="dxa"/>
            <w:vAlign w:val="center"/>
          </w:tcPr>
          <w:p w14:paraId="718AEAB1">
            <w:pPr>
              <w:widowControl/>
              <w:spacing w:before="156" w:beforeLines="50" w:after="156" w:afterLines="5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3095" w:type="dxa"/>
            <w:vAlign w:val="center"/>
          </w:tcPr>
          <w:p w14:paraId="4742833B">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3500" w:type="dxa"/>
            <w:vAlign w:val="center"/>
          </w:tcPr>
          <w:p w14:paraId="13A0BC89">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0487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3B25A0D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3095" w:type="dxa"/>
            <w:vAlign w:val="center"/>
          </w:tcPr>
          <w:p w14:paraId="52B0C86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23D9BD57">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r w14:paraId="19D7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502B334D">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3095" w:type="dxa"/>
            <w:vAlign w:val="center"/>
          </w:tcPr>
          <w:p w14:paraId="24B9795F">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4D28E30A">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bl>
    <w:p w14:paraId="196C2A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1F3CD2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3159F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901B3AB">
      <w:pPr>
        <w:tabs>
          <w:tab w:val="left" w:pos="630"/>
        </w:tabs>
        <w:spacing w:line="360" w:lineRule="auto"/>
        <w:ind w:firstLine="4800" w:firstLineChars="2000"/>
        <w:rPr>
          <w:rFonts w:ascii="宋体" w:hAnsi="宋体" w:eastAsia="宋体"/>
          <w:color w:val="auto"/>
          <w:sz w:val="24"/>
          <w:highlight w:val="none"/>
          <w:u w:val="single"/>
        </w:rPr>
      </w:pPr>
    </w:p>
    <w:p w14:paraId="6BD5CEB1">
      <w:pPr>
        <w:pStyle w:val="9"/>
        <w:rPr>
          <w:rFonts w:asciiTheme="minorEastAsia" w:hAnsiTheme="minorEastAsia" w:eastAsiaTheme="minorEastAsia" w:cstheme="minorEastAsia"/>
          <w:color w:val="auto"/>
          <w:kern w:val="0"/>
          <w:sz w:val="24"/>
          <w:highlight w:val="none"/>
          <w:lang w:val="en-US" w:bidi="ar"/>
        </w:rPr>
      </w:pPr>
    </w:p>
    <w:p w14:paraId="2C2FF5A3">
      <w:pPr>
        <w:pStyle w:val="9"/>
        <w:rPr>
          <w:rFonts w:asciiTheme="minorEastAsia" w:hAnsiTheme="minorEastAsia" w:eastAsiaTheme="minorEastAsia" w:cstheme="minorEastAsia"/>
          <w:color w:val="auto"/>
          <w:kern w:val="0"/>
          <w:sz w:val="24"/>
          <w:highlight w:val="none"/>
          <w:lang w:val="en-US" w:bidi="ar"/>
        </w:rPr>
      </w:pPr>
    </w:p>
    <w:p w14:paraId="67BBEF0C">
      <w:pPr>
        <w:pStyle w:val="9"/>
        <w:rPr>
          <w:rFonts w:asciiTheme="minorEastAsia" w:hAnsiTheme="minorEastAsia" w:eastAsiaTheme="minorEastAsia" w:cstheme="minorEastAsia"/>
          <w:color w:val="auto"/>
          <w:kern w:val="0"/>
          <w:sz w:val="24"/>
          <w:highlight w:val="none"/>
          <w:lang w:val="en-US" w:bidi="ar"/>
        </w:rPr>
      </w:pPr>
    </w:p>
    <w:p w14:paraId="51C73DA9">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6CAF2A62">
      <w:pPr>
        <w:spacing w:line="360" w:lineRule="auto"/>
        <w:jc w:val="center"/>
        <w:outlineLvl w:val="1"/>
        <w:rPr>
          <w:rFonts w:asciiTheme="minorEastAsia" w:hAnsiTheme="minorEastAsia" w:eastAsiaTheme="minorEastAsia"/>
          <w:b/>
          <w:color w:val="auto"/>
          <w:sz w:val="24"/>
          <w:highlight w:val="none"/>
        </w:rPr>
      </w:pPr>
      <w:bookmarkStart w:id="55" w:name="_Toc21371"/>
      <w:r>
        <w:rPr>
          <w:rFonts w:hint="eastAsia" w:asciiTheme="minorEastAsia" w:hAnsiTheme="minorEastAsia" w:eastAsiaTheme="minorEastAsia"/>
          <w:b/>
          <w:color w:val="auto"/>
          <w:sz w:val="24"/>
          <w:highlight w:val="none"/>
          <w:lang w:val="en-US" w:eastAsia="zh-CN"/>
        </w:rPr>
        <w:t>三</w:t>
      </w:r>
      <w:r>
        <w:rPr>
          <w:rFonts w:hint="eastAsia" w:asciiTheme="minorEastAsia" w:hAnsiTheme="minorEastAsia" w:eastAsiaTheme="minorEastAsia"/>
          <w:b/>
          <w:color w:val="auto"/>
          <w:sz w:val="24"/>
          <w:highlight w:val="none"/>
        </w:rPr>
        <w:t>、授权书</w:t>
      </w:r>
      <w:bookmarkEnd w:id="54"/>
      <w:bookmarkEnd w:id="55"/>
    </w:p>
    <w:p w14:paraId="0C46D0CC">
      <w:pPr>
        <w:pStyle w:val="13"/>
        <w:snapToGrid w:val="0"/>
        <w:spacing w:line="360" w:lineRule="auto"/>
        <w:ind w:firstLine="480" w:firstLineChars="200"/>
        <w:jc w:val="left"/>
        <w:rPr>
          <w:rFonts w:asciiTheme="minorEastAsia" w:hAnsiTheme="minorEastAsia"/>
          <w:color w:val="auto"/>
          <w:sz w:val="24"/>
          <w:szCs w:val="28"/>
          <w:highlight w:val="none"/>
        </w:rPr>
      </w:pPr>
    </w:p>
    <w:p w14:paraId="1905469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27B2DFA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1EC41A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71EDB952">
      <w:pPr>
        <w:spacing w:line="360" w:lineRule="auto"/>
        <w:ind w:firstLine="435"/>
        <w:rPr>
          <w:rFonts w:asciiTheme="minorEastAsia" w:hAnsiTheme="minorEastAsia" w:eastAsiaTheme="minorEastAsia"/>
          <w:color w:val="auto"/>
          <w:sz w:val="24"/>
          <w:highlight w:val="none"/>
        </w:rPr>
      </w:pPr>
    </w:p>
    <w:p w14:paraId="2B6DB829">
      <w:pPr>
        <w:spacing w:line="360" w:lineRule="auto"/>
        <w:ind w:firstLine="435"/>
        <w:rPr>
          <w:rFonts w:asciiTheme="minorEastAsia" w:hAnsiTheme="minorEastAsia" w:eastAsiaTheme="minorEastAsia"/>
          <w:color w:val="auto"/>
          <w:sz w:val="24"/>
          <w:highlight w:val="none"/>
        </w:rPr>
      </w:pPr>
    </w:p>
    <w:p w14:paraId="60D27137">
      <w:pPr>
        <w:spacing w:line="360" w:lineRule="auto"/>
        <w:ind w:firstLine="435"/>
        <w:rPr>
          <w:rFonts w:asciiTheme="minorEastAsia" w:hAnsiTheme="minorEastAsia" w:eastAsiaTheme="minorEastAsia"/>
          <w:color w:val="auto"/>
          <w:sz w:val="24"/>
          <w:highlight w:val="none"/>
        </w:rPr>
      </w:pPr>
    </w:p>
    <w:p w14:paraId="60530BDE">
      <w:pPr>
        <w:spacing w:line="360" w:lineRule="auto"/>
        <w:ind w:firstLine="435"/>
        <w:rPr>
          <w:rFonts w:asciiTheme="minorEastAsia" w:hAnsiTheme="minorEastAsia" w:eastAsiaTheme="minorEastAsia"/>
          <w:color w:val="auto"/>
          <w:sz w:val="24"/>
          <w:highlight w:val="none"/>
        </w:rPr>
      </w:pPr>
    </w:p>
    <w:p w14:paraId="0FB8ED47">
      <w:pPr>
        <w:spacing w:line="360" w:lineRule="auto"/>
        <w:ind w:firstLine="435"/>
        <w:rPr>
          <w:rFonts w:asciiTheme="minorEastAsia" w:hAnsiTheme="minorEastAsia" w:eastAsiaTheme="minorEastAsia"/>
          <w:color w:val="auto"/>
          <w:sz w:val="24"/>
          <w:highlight w:val="none"/>
        </w:rPr>
      </w:pPr>
    </w:p>
    <w:p w14:paraId="4AD77480">
      <w:pPr>
        <w:spacing w:line="360" w:lineRule="auto"/>
        <w:ind w:firstLine="435"/>
        <w:rPr>
          <w:rFonts w:asciiTheme="minorEastAsia" w:hAnsiTheme="minorEastAsia" w:eastAsiaTheme="minorEastAsia"/>
          <w:color w:val="auto"/>
          <w:sz w:val="24"/>
          <w:highlight w:val="none"/>
        </w:rPr>
      </w:pPr>
    </w:p>
    <w:p w14:paraId="72C9380E">
      <w:pPr>
        <w:spacing w:line="360" w:lineRule="auto"/>
        <w:ind w:firstLine="435"/>
        <w:rPr>
          <w:rFonts w:asciiTheme="minorEastAsia" w:hAnsiTheme="minorEastAsia" w:eastAsiaTheme="minorEastAsia"/>
          <w:color w:val="auto"/>
          <w:sz w:val="24"/>
          <w:highlight w:val="none"/>
        </w:rPr>
      </w:pPr>
    </w:p>
    <w:p w14:paraId="2EF444A2">
      <w:pPr>
        <w:spacing w:line="360" w:lineRule="auto"/>
        <w:ind w:firstLine="435"/>
        <w:rPr>
          <w:rFonts w:asciiTheme="minorEastAsia" w:hAnsiTheme="minorEastAsia" w:eastAsiaTheme="minorEastAsia"/>
          <w:color w:val="auto"/>
          <w:sz w:val="24"/>
          <w:highlight w:val="none"/>
        </w:rPr>
      </w:pPr>
    </w:p>
    <w:p w14:paraId="6675E735">
      <w:pPr>
        <w:spacing w:line="360" w:lineRule="auto"/>
        <w:rPr>
          <w:rFonts w:asciiTheme="minorEastAsia" w:hAnsiTheme="minorEastAsia" w:eastAsiaTheme="minorEastAsia"/>
          <w:color w:val="auto"/>
          <w:sz w:val="24"/>
          <w:highlight w:val="none"/>
        </w:rPr>
      </w:pPr>
    </w:p>
    <w:p w14:paraId="38A461C3">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27E842A">
      <w:pPr>
        <w:spacing w:line="360" w:lineRule="auto"/>
        <w:ind w:firstLine="435"/>
        <w:rPr>
          <w:rFonts w:asciiTheme="minorEastAsia" w:hAnsiTheme="minorEastAsia" w:eastAsiaTheme="minorEastAsia"/>
          <w:color w:val="auto"/>
          <w:sz w:val="24"/>
          <w:szCs w:val="28"/>
          <w:highlight w:val="none"/>
          <w:lang w:val="zh-CN"/>
        </w:rPr>
      </w:pPr>
    </w:p>
    <w:p w14:paraId="460DC44C">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6ED15AD4">
      <w:pPr>
        <w:spacing w:line="360" w:lineRule="auto"/>
        <w:rPr>
          <w:rFonts w:asciiTheme="minorEastAsia" w:hAnsiTheme="minorEastAsia" w:eastAsiaTheme="minorEastAsia"/>
          <w:color w:val="auto"/>
          <w:sz w:val="24"/>
          <w:szCs w:val="28"/>
          <w:highlight w:val="none"/>
        </w:rPr>
      </w:pPr>
    </w:p>
    <w:p w14:paraId="4825994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9C6782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5120C86">
      <w:pPr>
        <w:spacing w:line="360" w:lineRule="auto"/>
        <w:ind w:firstLine="435"/>
        <w:rPr>
          <w:rFonts w:asciiTheme="minorEastAsia" w:hAnsiTheme="minorEastAsia" w:eastAsiaTheme="minorEastAsia"/>
          <w:color w:val="auto"/>
          <w:sz w:val="24"/>
          <w:highlight w:val="none"/>
        </w:rPr>
      </w:pPr>
    </w:p>
    <w:p w14:paraId="672E9CFB">
      <w:pPr>
        <w:spacing w:line="360" w:lineRule="auto"/>
        <w:ind w:firstLine="435"/>
        <w:rPr>
          <w:rFonts w:asciiTheme="minorEastAsia" w:hAnsiTheme="minorEastAsia" w:eastAsiaTheme="minorEastAsia"/>
          <w:color w:val="auto"/>
          <w:sz w:val="24"/>
          <w:highlight w:val="none"/>
        </w:rPr>
      </w:pPr>
    </w:p>
    <w:p w14:paraId="18C465B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ED3D7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25E005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00B8835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FA994BB">
      <w:pPr>
        <w:spacing w:line="360" w:lineRule="auto"/>
        <w:jc w:val="center"/>
        <w:outlineLvl w:val="1"/>
        <w:rPr>
          <w:rFonts w:asciiTheme="minorEastAsia" w:hAnsiTheme="minorEastAsia" w:eastAsiaTheme="minorEastAsia"/>
          <w:b/>
          <w:color w:val="auto"/>
          <w:sz w:val="24"/>
          <w:highlight w:val="none"/>
        </w:rPr>
      </w:pPr>
      <w:bookmarkStart w:id="56" w:name="_Toc14799"/>
      <w:bookmarkStart w:id="57" w:name="_Toc24321"/>
      <w:r>
        <w:rPr>
          <w:rFonts w:hint="eastAsia" w:asciiTheme="minorEastAsia" w:hAnsiTheme="minorEastAsia" w:eastAsiaTheme="minorEastAsia"/>
          <w:b/>
          <w:color w:val="auto"/>
          <w:sz w:val="24"/>
          <w:highlight w:val="none"/>
          <w:lang w:val="en-US" w:eastAsia="zh-CN"/>
        </w:rPr>
        <w:t>四</w:t>
      </w:r>
      <w:r>
        <w:rPr>
          <w:rFonts w:hint="eastAsia" w:asciiTheme="minorEastAsia" w:hAnsiTheme="minorEastAsia" w:eastAsiaTheme="minorEastAsia"/>
          <w:b/>
          <w:color w:val="auto"/>
          <w:sz w:val="24"/>
          <w:highlight w:val="none"/>
        </w:rPr>
        <w:t>、响应表</w:t>
      </w:r>
      <w:bookmarkEnd w:id="56"/>
      <w:bookmarkEnd w:id="57"/>
    </w:p>
    <w:p w14:paraId="284D95B8">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213"/>
        <w:gridCol w:w="2884"/>
        <w:gridCol w:w="2975"/>
        <w:gridCol w:w="935"/>
      </w:tblGrid>
      <w:tr w14:paraId="4E6C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445AA36F">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E35A4D6">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FBF35D9">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要求</w:t>
            </w:r>
          </w:p>
        </w:tc>
        <w:tc>
          <w:tcPr>
            <w:tcW w:w="1511" w:type="pct"/>
            <w:vAlign w:val="center"/>
          </w:tcPr>
          <w:p w14:paraId="32038C0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695C1B19">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4C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8BABF2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5036F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4931DAF0">
            <w:pPr>
              <w:jc w:val="center"/>
              <w:rPr>
                <w:rFonts w:asciiTheme="minorEastAsia" w:hAnsiTheme="minorEastAsia" w:eastAsiaTheme="minorEastAsia"/>
                <w:b/>
                <w:bCs/>
                <w:color w:val="auto"/>
                <w:sz w:val="24"/>
                <w:highlight w:val="none"/>
              </w:rPr>
            </w:pPr>
          </w:p>
        </w:tc>
        <w:tc>
          <w:tcPr>
            <w:tcW w:w="1511" w:type="pct"/>
            <w:vAlign w:val="center"/>
          </w:tcPr>
          <w:p w14:paraId="259E0967">
            <w:pPr>
              <w:jc w:val="center"/>
              <w:rPr>
                <w:rFonts w:asciiTheme="minorEastAsia" w:hAnsiTheme="minorEastAsia" w:eastAsiaTheme="minorEastAsia"/>
                <w:color w:val="auto"/>
                <w:sz w:val="24"/>
                <w:highlight w:val="none"/>
              </w:rPr>
            </w:pPr>
          </w:p>
        </w:tc>
        <w:tc>
          <w:tcPr>
            <w:tcW w:w="475" w:type="pct"/>
            <w:vAlign w:val="center"/>
          </w:tcPr>
          <w:p w14:paraId="51891BF4">
            <w:pPr>
              <w:jc w:val="center"/>
              <w:rPr>
                <w:rFonts w:asciiTheme="minorEastAsia" w:hAnsiTheme="minorEastAsia" w:eastAsiaTheme="minorEastAsia"/>
                <w:color w:val="auto"/>
                <w:sz w:val="24"/>
                <w:highlight w:val="none"/>
              </w:rPr>
            </w:pPr>
          </w:p>
        </w:tc>
      </w:tr>
      <w:tr w14:paraId="6D77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ACDCF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14F259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供货地点</w:t>
            </w:r>
          </w:p>
        </w:tc>
        <w:tc>
          <w:tcPr>
            <w:tcW w:w="1465" w:type="pct"/>
            <w:vAlign w:val="center"/>
          </w:tcPr>
          <w:p w14:paraId="652C35B9">
            <w:pPr>
              <w:jc w:val="center"/>
              <w:rPr>
                <w:rFonts w:hint="default" w:asciiTheme="minorEastAsia" w:hAnsiTheme="minorEastAsia" w:eastAsiaTheme="minorEastAsia"/>
                <w:b/>
                <w:bCs/>
                <w:color w:val="auto"/>
                <w:sz w:val="24"/>
                <w:highlight w:val="none"/>
                <w:lang w:val="en-US" w:eastAsia="zh-CN"/>
              </w:rPr>
            </w:pPr>
          </w:p>
        </w:tc>
        <w:tc>
          <w:tcPr>
            <w:tcW w:w="1511" w:type="pct"/>
            <w:vAlign w:val="center"/>
          </w:tcPr>
          <w:p w14:paraId="494407BF">
            <w:pPr>
              <w:jc w:val="center"/>
              <w:rPr>
                <w:rFonts w:asciiTheme="minorEastAsia" w:hAnsiTheme="minorEastAsia" w:eastAsiaTheme="minorEastAsia"/>
                <w:color w:val="auto"/>
                <w:sz w:val="24"/>
                <w:highlight w:val="none"/>
              </w:rPr>
            </w:pPr>
          </w:p>
        </w:tc>
        <w:tc>
          <w:tcPr>
            <w:tcW w:w="475" w:type="pct"/>
            <w:vAlign w:val="center"/>
          </w:tcPr>
          <w:p w14:paraId="5ACE2511">
            <w:pPr>
              <w:jc w:val="center"/>
              <w:rPr>
                <w:rFonts w:asciiTheme="minorEastAsia" w:hAnsiTheme="minorEastAsia" w:eastAsiaTheme="minorEastAsia"/>
                <w:color w:val="auto"/>
                <w:sz w:val="24"/>
                <w:highlight w:val="none"/>
              </w:rPr>
            </w:pPr>
          </w:p>
        </w:tc>
      </w:tr>
      <w:tr w14:paraId="581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8A3755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1BCA1B8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供货期限</w:t>
            </w:r>
          </w:p>
        </w:tc>
        <w:tc>
          <w:tcPr>
            <w:tcW w:w="1465" w:type="pct"/>
            <w:vAlign w:val="center"/>
          </w:tcPr>
          <w:p w14:paraId="4C30CFF5">
            <w:pPr>
              <w:jc w:val="center"/>
              <w:rPr>
                <w:rFonts w:hint="eastAsia" w:asciiTheme="minorEastAsia" w:hAnsiTheme="minorEastAsia" w:eastAsiaTheme="minorEastAsia"/>
                <w:b/>
                <w:bCs/>
                <w:color w:val="auto"/>
                <w:sz w:val="24"/>
                <w:highlight w:val="none"/>
                <w:lang w:val="en-US" w:eastAsia="zh-CN"/>
              </w:rPr>
            </w:pPr>
          </w:p>
        </w:tc>
        <w:tc>
          <w:tcPr>
            <w:tcW w:w="1511" w:type="pct"/>
            <w:vAlign w:val="center"/>
          </w:tcPr>
          <w:p w14:paraId="466F5ED2">
            <w:pPr>
              <w:pStyle w:val="54"/>
              <w:jc w:val="center"/>
              <w:rPr>
                <w:rFonts w:asciiTheme="minorEastAsia" w:hAnsiTheme="minorEastAsia" w:eastAsiaTheme="minorEastAsia"/>
                <w:color w:val="auto"/>
                <w:highlight w:val="none"/>
              </w:rPr>
            </w:pPr>
          </w:p>
        </w:tc>
        <w:tc>
          <w:tcPr>
            <w:tcW w:w="475" w:type="pct"/>
            <w:vAlign w:val="center"/>
          </w:tcPr>
          <w:p w14:paraId="7696EE85">
            <w:pPr>
              <w:jc w:val="center"/>
              <w:rPr>
                <w:rFonts w:asciiTheme="minorEastAsia" w:hAnsiTheme="minorEastAsia" w:eastAsiaTheme="minorEastAsia"/>
                <w:color w:val="auto"/>
                <w:sz w:val="24"/>
                <w:highlight w:val="none"/>
              </w:rPr>
            </w:pPr>
          </w:p>
        </w:tc>
      </w:tr>
      <w:tr w14:paraId="167D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F265C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291790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3EE0B9C0">
            <w:pPr>
              <w:jc w:val="center"/>
              <w:rPr>
                <w:rFonts w:hint="default" w:asciiTheme="minorEastAsia" w:hAnsiTheme="minorEastAsia" w:eastAsiaTheme="minorEastAsia"/>
                <w:b/>
                <w:bCs/>
                <w:color w:val="auto"/>
                <w:sz w:val="24"/>
                <w:highlight w:val="none"/>
                <w:lang w:val="en-US" w:eastAsia="zh-CN"/>
              </w:rPr>
            </w:pPr>
          </w:p>
        </w:tc>
        <w:tc>
          <w:tcPr>
            <w:tcW w:w="1511" w:type="pct"/>
            <w:vAlign w:val="center"/>
          </w:tcPr>
          <w:p w14:paraId="0B1DC895">
            <w:pPr>
              <w:jc w:val="center"/>
              <w:rPr>
                <w:rFonts w:asciiTheme="minorEastAsia" w:hAnsiTheme="minorEastAsia" w:eastAsiaTheme="minorEastAsia"/>
                <w:color w:val="auto"/>
                <w:sz w:val="24"/>
                <w:highlight w:val="none"/>
              </w:rPr>
            </w:pPr>
          </w:p>
        </w:tc>
        <w:tc>
          <w:tcPr>
            <w:tcW w:w="475" w:type="pct"/>
            <w:vAlign w:val="center"/>
          </w:tcPr>
          <w:p w14:paraId="7C18111A">
            <w:pPr>
              <w:jc w:val="center"/>
              <w:rPr>
                <w:rFonts w:asciiTheme="minorEastAsia" w:hAnsiTheme="minorEastAsia" w:eastAsiaTheme="minorEastAsia"/>
                <w:color w:val="auto"/>
                <w:sz w:val="24"/>
                <w:highlight w:val="none"/>
              </w:rPr>
            </w:pPr>
          </w:p>
        </w:tc>
      </w:tr>
      <w:tr w14:paraId="22D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5F1F58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D6D4EAB">
            <w:pPr>
              <w:jc w:val="center"/>
              <w:rPr>
                <w:rFonts w:asciiTheme="minorEastAsia" w:hAnsiTheme="minorEastAsia" w:eastAsiaTheme="minorEastAsia"/>
                <w:color w:val="auto"/>
                <w:sz w:val="24"/>
                <w:highlight w:val="none"/>
              </w:rPr>
            </w:pPr>
          </w:p>
        </w:tc>
        <w:tc>
          <w:tcPr>
            <w:tcW w:w="1465" w:type="pct"/>
            <w:vAlign w:val="center"/>
          </w:tcPr>
          <w:p w14:paraId="34FAE906">
            <w:pPr>
              <w:jc w:val="center"/>
              <w:rPr>
                <w:rFonts w:asciiTheme="minorEastAsia" w:hAnsiTheme="minorEastAsia" w:eastAsiaTheme="minorEastAsia"/>
                <w:color w:val="auto"/>
                <w:sz w:val="24"/>
                <w:highlight w:val="none"/>
              </w:rPr>
            </w:pPr>
          </w:p>
        </w:tc>
        <w:tc>
          <w:tcPr>
            <w:tcW w:w="1511" w:type="pct"/>
            <w:vAlign w:val="center"/>
          </w:tcPr>
          <w:p w14:paraId="3176A90B">
            <w:pPr>
              <w:jc w:val="center"/>
              <w:rPr>
                <w:rFonts w:asciiTheme="minorEastAsia" w:hAnsiTheme="minorEastAsia" w:eastAsiaTheme="minorEastAsia"/>
                <w:color w:val="auto"/>
                <w:sz w:val="24"/>
                <w:highlight w:val="none"/>
              </w:rPr>
            </w:pPr>
          </w:p>
        </w:tc>
        <w:tc>
          <w:tcPr>
            <w:tcW w:w="475" w:type="pct"/>
            <w:vAlign w:val="center"/>
          </w:tcPr>
          <w:p w14:paraId="2C1961A7">
            <w:pPr>
              <w:jc w:val="center"/>
              <w:rPr>
                <w:rFonts w:asciiTheme="minorEastAsia" w:hAnsiTheme="minorEastAsia" w:eastAsiaTheme="minorEastAsia"/>
                <w:color w:val="auto"/>
                <w:sz w:val="24"/>
                <w:highlight w:val="none"/>
              </w:rPr>
            </w:pPr>
          </w:p>
        </w:tc>
      </w:tr>
    </w:tbl>
    <w:p w14:paraId="7CCB528C">
      <w:pPr>
        <w:spacing w:line="360" w:lineRule="auto"/>
        <w:ind w:firstLine="435"/>
        <w:outlineLvl w:val="2"/>
        <w:rPr>
          <w:rFonts w:asciiTheme="minorEastAsia" w:hAnsiTheme="minorEastAsia" w:eastAsiaTheme="minorEastAsia"/>
          <w:b/>
          <w:color w:val="auto"/>
          <w:sz w:val="24"/>
          <w:highlight w:val="none"/>
        </w:rPr>
      </w:pPr>
    </w:p>
    <w:p w14:paraId="5E41796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891518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BF48D49">
      <w:pPr>
        <w:spacing w:line="360" w:lineRule="auto"/>
        <w:ind w:firstLine="435"/>
        <w:outlineLvl w:val="2"/>
        <w:rPr>
          <w:rFonts w:asciiTheme="minorEastAsia" w:hAnsiTheme="minorEastAsia" w:eastAsiaTheme="minorEastAsia"/>
          <w:b/>
          <w:color w:val="auto"/>
          <w:sz w:val="24"/>
          <w:highlight w:val="none"/>
        </w:rPr>
      </w:pPr>
    </w:p>
    <w:p w14:paraId="731F578A">
      <w:pPr>
        <w:spacing w:line="360" w:lineRule="auto"/>
        <w:ind w:firstLine="435"/>
        <w:outlineLvl w:val="2"/>
        <w:rPr>
          <w:rFonts w:asciiTheme="minorEastAsia" w:hAnsiTheme="minorEastAsia" w:eastAsiaTheme="minorEastAsia"/>
          <w:b/>
          <w:color w:val="auto"/>
          <w:sz w:val="24"/>
          <w:highlight w:val="none"/>
        </w:rPr>
      </w:pPr>
    </w:p>
    <w:p w14:paraId="0223C12C">
      <w:pPr>
        <w:spacing w:line="360" w:lineRule="auto"/>
        <w:ind w:firstLine="435"/>
        <w:outlineLvl w:val="2"/>
        <w:rPr>
          <w:rFonts w:asciiTheme="minorEastAsia" w:hAnsiTheme="minorEastAsia" w:eastAsiaTheme="minorEastAsia"/>
          <w:b/>
          <w:color w:val="auto"/>
          <w:sz w:val="24"/>
          <w:highlight w:val="none"/>
        </w:rPr>
      </w:pPr>
    </w:p>
    <w:p w14:paraId="5939AE2E">
      <w:pPr>
        <w:spacing w:line="360" w:lineRule="auto"/>
        <w:ind w:firstLine="435"/>
        <w:outlineLvl w:val="2"/>
        <w:rPr>
          <w:rFonts w:asciiTheme="minorEastAsia" w:hAnsiTheme="minorEastAsia" w:eastAsiaTheme="minorEastAsia"/>
          <w:b/>
          <w:color w:val="auto"/>
          <w:sz w:val="24"/>
          <w:highlight w:val="none"/>
        </w:rPr>
      </w:pPr>
    </w:p>
    <w:p w14:paraId="25B44FFE">
      <w:pPr>
        <w:spacing w:line="360" w:lineRule="auto"/>
        <w:ind w:firstLine="435"/>
        <w:outlineLvl w:val="2"/>
        <w:rPr>
          <w:rFonts w:asciiTheme="minorEastAsia" w:hAnsiTheme="minorEastAsia" w:eastAsiaTheme="minorEastAsia"/>
          <w:b/>
          <w:color w:val="auto"/>
          <w:sz w:val="24"/>
          <w:highlight w:val="none"/>
        </w:rPr>
      </w:pPr>
    </w:p>
    <w:p w14:paraId="64BEF3A6">
      <w:pPr>
        <w:spacing w:line="360" w:lineRule="auto"/>
        <w:ind w:firstLine="435"/>
        <w:outlineLvl w:val="2"/>
        <w:rPr>
          <w:rFonts w:asciiTheme="minorEastAsia" w:hAnsiTheme="minorEastAsia" w:eastAsiaTheme="minorEastAsia"/>
          <w:b/>
          <w:color w:val="auto"/>
          <w:sz w:val="24"/>
          <w:highlight w:val="none"/>
        </w:rPr>
      </w:pPr>
    </w:p>
    <w:p w14:paraId="25CDDCBF">
      <w:pPr>
        <w:spacing w:line="360" w:lineRule="auto"/>
        <w:ind w:firstLine="435"/>
        <w:outlineLvl w:val="2"/>
        <w:rPr>
          <w:rFonts w:asciiTheme="minorEastAsia" w:hAnsiTheme="minorEastAsia" w:eastAsiaTheme="minorEastAsia"/>
          <w:b/>
          <w:color w:val="auto"/>
          <w:sz w:val="24"/>
          <w:highlight w:val="none"/>
        </w:rPr>
      </w:pPr>
    </w:p>
    <w:p w14:paraId="1FA8C195">
      <w:pPr>
        <w:spacing w:line="360" w:lineRule="auto"/>
        <w:ind w:firstLine="435"/>
        <w:outlineLvl w:val="2"/>
        <w:rPr>
          <w:rFonts w:asciiTheme="minorEastAsia" w:hAnsiTheme="minorEastAsia" w:eastAsiaTheme="minorEastAsia"/>
          <w:b/>
          <w:color w:val="auto"/>
          <w:sz w:val="24"/>
          <w:highlight w:val="none"/>
        </w:rPr>
      </w:pPr>
    </w:p>
    <w:p w14:paraId="64899AD2">
      <w:pPr>
        <w:spacing w:line="360" w:lineRule="auto"/>
        <w:ind w:firstLine="435"/>
        <w:outlineLvl w:val="2"/>
        <w:rPr>
          <w:rFonts w:asciiTheme="minorEastAsia" w:hAnsiTheme="minorEastAsia" w:eastAsiaTheme="minorEastAsia"/>
          <w:b/>
          <w:color w:val="auto"/>
          <w:sz w:val="24"/>
          <w:highlight w:val="none"/>
        </w:rPr>
      </w:pPr>
    </w:p>
    <w:p w14:paraId="3ABE0FB6">
      <w:pPr>
        <w:spacing w:line="360" w:lineRule="auto"/>
        <w:ind w:firstLine="435"/>
        <w:outlineLvl w:val="2"/>
        <w:rPr>
          <w:rFonts w:asciiTheme="minorEastAsia" w:hAnsiTheme="minorEastAsia" w:eastAsiaTheme="minorEastAsia"/>
          <w:b/>
          <w:color w:val="auto"/>
          <w:sz w:val="24"/>
          <w:highlight w:val="none"/>
        </w:rPr>
      </w:pPr>
    </w:p>
    <w:p w14:paraId="08E65CC6">
      <w:pPr>
        <w:spacing w:line="360" w:lineRule="auto"/>
        <w:ind w:firstLine="435"/>
        <w:outlineLvl w:val="2"/>
        <w:rPr>
          <w:rFonts w:asciiTheme="minorEastAsia" w:hAnsiTheme="minorEastAsia" w:eastAsiaTheme="minorEastAsia"/>
          <w:b/>
          <w:color w:val="auto"/>
          <w:sz w:val="24"/>
          <w:highlight w:val="none"/>
        </w:rPr>
      </w:pPr>
    </w:p>
    <w:p w14:paraId="48855C90">
      <w:pPr>
        <w:spacing w:line="360" w:lineRule="auto"/>
        <w:ind w:firstLine="435"/>
        <w:outlineLvl w:val="2"/>
        <w:rPr>
          <w:rFonts w:asciiTheme="minorEastAsia" w:hAnsiTheme="minorEastAsia" w:eastAsiaTheme="minorEastAsia"/>
          <w:b/>
          <w:color w:val="auto"/>
          <w:sz w:val="24"/>
          <w:highlight w:val="none"/>
        </w:rPr>
      </w:pPr>
    </w:p>
    <w:p w14:paraId="300A23AC">
      <w:pPr>
        <w:spacing w:line="360" w:lineRule="auto"/>
        <w:ind w:firstLine="435"/>
        <w:outlineLvl w:val="2"/>
        <w:rPr>
          <w:rFonts w:asciiTheme="minorEastAsia" w:hAnsiTheme="minorEastAsia" w:eastAsiaTheme="minorEastAsia"/>
          <w:b/>
          <w:color w:val="auto"/>
          <w:sz w:val="24"/>
          <w:highlight w:val="none"/>
        </w:rPr>
      </w:pPr>
    </w:p>
    <w:p w14:paraId="7C4719AD">
      <w:pPr>
        <w:spacing w:line="360" w:lineRule="auto"/>
        <w:ind w:firstLine="435"/>
        <w:outlineLvl w:val="2"/>
        <w:rPr>
          <w:rFonts w:asciiTheme="minorEastAsia" w:hAnsiTheme="minorEastAsia" w:eastAsiaTheme="minorEastAsia"/>
          <w:b/>
          <w:color w:val="auto"/>
          <w:sz w:val="24"/>
          <w:highlight w:val="none"/>
        </w:rPr>
      </w:pPr>
    </w:p>
    <w:p w14:paraId="46FFB35C">
      <w:pPr>
        <w:spacing w:line="360" w:lineRule="auto"/>
        <w:ind w:firstLine="435"/>
        <w:outlineLvl w:val="2"/>
        <w:rPr>
          <w:rFonts w:asciiTheme="minorEastAsia" w:hAnsiTheme="minorEastAsia" w:eastAsiaTheme="minorEastAsia"/>
          <w:b/>
          <w:color w:val="auto"/>
          <w:sz w:val="24"/>
          <w:highlight w:val="none"/>
        </w:rPr>
      </w:pPr>
    </w:p>
    <w:p w14:paraId="0380F583">
      <w:pPr>
        <w:spacing w:line="360" w:lineRule="auto"/>
        <w:ind w:firstLine="435"/>
        <w:outlineLvl w:val="2"/>
        <w:rPr>
          <w:rFonts w:asciiTheme="minorEastAsia" w:hAnsiTheme="minorEastAsia" w:eastAsiaTheme="minorEastAsia"/>
          <w:b/>
          <w:color w:val="auto"/>
          <w:sz w:val="24"/>
          <w:highlight w:val="none"/>
        </w:rPr>
      </w:pPr>
    </w:p>
    <w:p w14:paraId="3C58300C">
      <w:pPr>
        <w:spacing w:line="360" w:lineRule="auto"/>
        <w:ind w:firstLine="435"/>
        <w:outlineLvl w:val="2"/>
        <w:rPr>
          <w:rFonts w:asciiTheme="minorEastAsia" w:hAnsiTheme="minorEastAsia" w:eastAsiaTheme="minorEastAsia"/>
          <w:b/>
          <w:color w:val="auto"/>
          <w:sz w:val="24"/>
          <w:highlight w:val="none"/>
        </w:rPr>
      </w:pPr>
    </w:p>
    <w:p w14:paraId="34E0C90E">
      <w:pPr>
        <w:pStyle w:val="14"/>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600DDA9A">
      <w:pPr>
        <w:numPr>
          <w:ilvl w:val="0"/>
          <w:numId w:val="2"/>
        </w:numPr>
        <w:spacing w:line="360" w:lineRule="auto"/>
        <w:ind w:left="0" w:leftChars="0" w:firstLine="482" w:firstLineChars="200"/>
        <w:jc w:val="center"/>
        <w:outlineLvl w:val="1"/>
        <w:rPr>
          <w:rFonts w:hint="eastAsia" w:asciiTheme="minorEastAsia" w:hAnsiTheme="minorEastAsia" w:eastAsiaTheme="minorEastAsia"/>
          <w:b/>
          <w:color w:val="auto"/>
          <w:sz w:val="24"/>
          <w:highlight w:val="none"/>
          <w:lang w:val="en-US" w:eastAsia="zh-CN"/>
        </w:rPr>
      </w:pPr>
      <w:bookmarkStart w:id="58" w:name="_Toc10896"/>
      <w:bookmarkStart w:id="59" w:name="_Toc5390"/>
      <w:r>
        <w:rPr>
          <w:rFonts w:hint="eastAsia" w:asciiTheme="minorEastAsia" w:hAnsiTheme="minorEastAsia" w:eastAsiaTheme="minorEastAsia"/>
          <w:b/>
          <w:color w:val="auto"/>
          <w:sz w:val="24"/>
          <w:highlight w:val="none"/>
          <w:lang w:val="en-US" w:eastAsia="zh-CN"/>
        </w:rPr>
        <w:t>分项报价清单</w:t>
      </w:r>
    </w:p>
    <w:tbl>
      <w:tblPr>
        <w:tblStyle w:val="26"/>
        <w:tblW w:w="10263" w:type="dxa"/>
        <w:tblInd w:w="-5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5"/>
        <w:gridCol w:w="2264"/>
        <w:gridCol w:w="2264"/>
        <w:gridCol w:w="772"/>
        <w:gridCol w:w="853"/>
        <w:gridCol w:w="1482"/>
        <w:gridCol w:w="2023"/>
      </w:tblGrid>
      <w:tr w14:paraId="6902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blHeader/>
        </w:trPr>
        <w:tc>
          <w:tcPr>
            <w:tcW w:w="605" w:type="dxa"/>
            <w:shd w:val="clear" w:color="auto" w:fill="auto"/>
            <w:vAlign w:val="center"/>
          </w:tcPr>
          <w:p w14:paraId="4DC0F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264" w:type="dxa"/>
            <w:shd w:val="clear" w:color="auto" w:fill="auto"/>
            <w:vAlign w:val="center"/>
          </w:tcPr>
          <w:p w14:paraId="2EA7E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所在区域</w:t>
            </w:r>
          </w:p>
        </w:tc>
        <w:tc>
          <w:tcPr>
            <w:tcW w:w="2264" w:type="dxa"/>
            <w:shd w:val="clear" w:color="auto" w:fill="auto"/>
            <w:vAlign w:val="center"/>
          </w:tcPr>
          <w:p w14:paraId="1706D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设备设施名称</w:t>
            </w:r>
          </w:p>
        </w:tc>
        <w:tc>
          <w:tcPr>
            <w:tcW w:w="772" w:type="dxa"/>
            <w:shd w:val="clear" w:color="auto" w:fill="auto"/>
            <w:vAlign w:val="center"/>
          </w:tcPr>
          <w:p w14:paraId="06E44F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853" w:type="dxa"/>
            <w:shd w:val="clear" w:color="auto" w:fill="auto"/>
            <w:vAlign w:val="center"/>
          </w:tcPr>
          <w:p w14:paraId="27BF49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482" w:type="dxa"/>
            <w:shd w:val="clear" w:color="auto" w:fill="auto"/>
            <w:vAlign w:val="center"/>
          </w:tcPr>
          <w:p w14:paraId="1E21E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单价（元/年）</w:t>
            </w:r>
          </w:p>
        </w:tc>
        <w:tc>
          <w:tcPr>
            <w:tcW w:w="2023" w:type="dxa"/>
            <w:shd w:val="clear" w:color="auto" w:fill="auto"/>
            <w:vAlign w:val="center"/>
          </w:tcPr>
          <w:p w14:paraId="58CC4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总价（元）</w:t>
            </w:r>
          </w:p>
        </w:tc>
      </w:tr>
      <w:tr w14:paraId="4664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05" w:type="dxa"/>
            <w:shd w:val="clear" w:color="auto" w:fill="auto"/>
            <w:noWrap/>
            <w:vAlign w:val="center"/>
          </w:tcPr>
          <w:p w14:paraId="7C74D8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2264" w:type="dxa"/>
            <w:shd w:val="clear" w:color="auto" w:fill="auto"/>
            <w:noWrap/>
            <w:vAlign w:val="center"/>
          </w:tcPr>
          <w:p w14:paraId="6F6D9BE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明合高速滁州段（3处收费站、2对服务区）</w:t>
            </w:r>
          </w:p>
        </w:tc>
        <w:tc>
          <w:tcPr>
            <w:tcW w:w="2264" w:type="dxa"/>
            <w:shd w:val="clear" w:color="auto" w:fill="auto"/>
            <w:noWrap/>
            <w:vAlign w:val="center"/>
          </w:tcPr>
          <w:p w14:paraId="0C4A6EE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一体化污水处理站及收集、回用管道</w:t>
            </w:r>
          </w:p>
        </w:tc>
        <w:tc>
          <w:tcPr>
            <w:tcW w:w="772" w:type="dxa"/>
            <w:shd w:val="clear" w:color="auto" w:fill="auto"/>
            <w:noWrap/>
            <w:vAlign w:val="center"/>
          </w:tcPr>
          <w:p w14:paraId="67B2257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21BC404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5189D439">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60C0E33D">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26F3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05" w:type="dxa"/>
            <w:shd w:val="clear" w:color="auto" w:fill="auto"/>
            <w:noWrap/>
            <w:vAlign w:val="center"/>
          </w:tcPr>
          <w:p w14:paraId="7CE7F8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2264" w:type="dxa"/>
            <w:shd w:val="clear" w:color="auto" w:fill="auto"/>
            <w:noWrap/>
            <w:vAlign w:val="center"/>
          </w:tcPr>
          <w:p w14:paraId="7049BAF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来六高速安徽段（2处收费站）</w:t>
            </w:r>
          </w:p>
        </w:tc>
        <w:tc>
          <w:tcPr>
            <w:tcW w:w="2264" w:type="dxa"/>
            <w:shd w:val="clear" w:color="auto" w:fill="auto"/>
            <w:noWrap/>
            <w:vAlign w:val="center"/>
          </w:tcPr>
          <w:p w14:paraId="00A1B07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一体化污水处理站及收集、回用管道</w:t>
            </w:r>
          </w:p>
        </w:tc>
        <w:tc>
          <w:tcPr>
            <w:tcW w:w="772" w:type="dxa"/>
            <w:shd w:val="clear" w:color="auto" w:fill="auto"/>
            <w:noWrap/>
            <w:vAlign w:val="center"/>
          </w:tcPr>
          <w:p w14:paraId="3220090E">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2A2A8188">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6EEFB74E">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2535D777">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5F62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605" w:type="dxa"/>
            <w:shd w:val="clear" w:color="auto" w:fill="auto"/>
            <w:noWrap/>
            <w:vAlign w:val="center"/>
          </w:tcPr>
          <w:p w14:paraId="47A3C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2264" w:type="dxa"/>
            <w:shd w:val="clear" w:color="auto" w:fill="auto"/>
            <w:noWrap/>
            <w:vAlign w:val="center"/>
          </w:tcPr>
          <w:p w14:paraId="1007001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来六高速施官服务区沿线</w:t>
            </w:r>
          </w:p>
        </w:tc>
        <w:tc>
          <w:tcPr>
            <w:tcW w:w="2264" w:type="dxa"/>
            <w:shd w:val="clear" w:color="auto" w:fill="auto"/>
            <w:noWrap/>
            <w:vAlign w:val="center"/>
          </w:tcPr>
          <w:p w14:paraId="0500C8D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污水管道及提升等设备设施</w:t>
            </w:r>
          </w:p>
        </w:tc>
        <w:tc>
          <w:tcPr>
            <w:tcW w:w="772" w:type="dxa"/>
            <w:shd w:val="clear" w:color="auto" w:fill="auto"/>
            <w:noWrap/>
            <w:vAlign w:val="center"/>
          </w:tcPr>
          <w:p w14:paraId="42E034C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3D96B4E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0D8DD5C8">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1EDD20AE">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59B8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92" w:hRule="atLeast"/>
        </w:trPr>
        <w:tc>
          <w:tcPr>
            <w:tcW w:w="605" w:type="dxa"/>
            <w:shd w:val="clear" w:color="auto" w:fill="auto"/>
            <w:noWrap/>
            <w:vAlign w:val="center"/>
          </w:tcPr>
          <w:p w14:paraId="36F6C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2264" w:type="dxa"/>
            <w:shd w:val="clear" w:color="auto" w:fill="auto"/>
            <w:noWrap/>
            <w:vAlign w:val="center"/>
          </w:tcPr>
          <w:p w14:paraId="0613802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宁信高速南谯服务区、章广收费站沿线</w:t>
            </w:r>
          </w:p>
        </w:tc>
        <w:tc>
          <w:tcPr>
            <w:tcW w:w="2264" w:type="dxa"/>
            <w:shd w:val="clear" w:color="auto" w:fill="auto"/>
            <w:noWrap/>
            <w:vAlign w:val="center"/>
          </w:tcPr>
          <w:p w14:paraId="2280C0D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污水管道及提升等设备设施</w:t>
            </w:r>
          </w:p>
        </w:tc>
        <w:tc>
          <w:tcPr>
            <w:tcW w:w="772" w:type="dxa"/>
            <w:shd w:val="clear" w:color="auto" w:fill="auto"/>
            <w:noWrap/>
            <w:vAlign w:val="center"/>
          </w:tcPr>
          <w:p w14:paraId="7A477AD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53" w:type="dxa"/>
            <w:shd w:val="clear" w:color="auto" w:fill="auto"/>
            <w:noWrap/>
            <w:vAlign w:val="center"/>
          </w:tcPr>
          <w:p w14:paraId="51AEA3DF">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年</w:t>
            </w:r>
          </w:p>
        </w:tc>
        <w:tc>
          <w:tcPr>
            <w:tcW w:w="1482" w:type="dxa"/>
            <w:shd w:val="clear" w:color="auto" w:fill="auto"/>
            <w:noWrap/>
            <w:vAlign w:val="center"/>
          </w:tcPr>
          <w:p w14:paraId="4AA6A6D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i w:val="0"/>
                <w:iCs w:val="0"/>
                <w:color w:val="auto"/>
                <w:sz w:val="21"/>
                <w:szCs w:val="21"/>
                <w:highlight w:val="none"/>
                <w:u w:val="none"/>
              </w:rPr>
            </w:pPr>
          </w:p>
        </w:tc>
        <w:tc>
          <w:tcPr>
            <w:tcW w:w="2023" w:type="dxa"/>
            <w:shd w:val="clear" w:color="auto" w:fill="auto"/>
            <w:noWrap/>
            <w:vAlign w:val="center"/>
          </w:tcPr>
          <w:p w14:paraId="3694BF00">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p>
        </w:tc>
      </w:tr>
      <w:tr w14:paraId="1AD2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5133" w:type="dxa"/>
            <w:gridSpan w:val="3"/>
            <w:shd w:val="clear" w:color="auto" w:fill="auto"/>
            <w:noWrap/>
            <w:vAlign w:val="center"/>
          </w:tcPr>
          <w:p w14:paraId="6A26641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合计</w:t>
            </w:r>
          </w:p>
        </w:tc>
        <w:tc>
          <w:tcPr>
            <w:tcW w:w="5130" w:type="dxa"/>
            <w:gridSpan w:val="4"/>
            <w:shd w:val="clear" w:color="auto" w:fill="auto"/>
            <w:noWrap/>
            <w:vAlign w:val="center"/>
          </w:tcPr>
          <w:p w14:paraId="558C16F3">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大写：         元/年</w:t>
            </w:r>
          </w:p>
          <w:p w14:paraId="692EB82B">
            <w:pPr>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小写：         元/年</w:t>
            </w:r>
          </w:p>
        </w:tc>
      </w:tr>
    </w:tbl>
    <w:p w14:paraId="229C94A0">
      <w:pPr>
        <w:keepNext w:val="0"/>
        <w:keepLines w:val="0"/>
        <w:pageBreakBefore w:val="0"/>
        <w:kinsoku/>
        <w:wordWrap/>
        <w:overflowPunct/>
        <w:topLinePunct w:val="0"/>
        <w:autoSpaceDE/>
        <w:autoSpaceDN/>
        <w:bidi w:val="0"/>
        <w:adjustRightInd/>
        <w:snapToGrid/>
        <w:spacing w:line="360" w:lineRule="exact"/>
        <w:ind w:right="0" w:rightChars="0"/>
        <w:rPr>
          <w:rFonts w:hint="eastAsia" w:ascii="宋体" w:hAnsi="宋体" w:eastAsia="宋体" w:cs="宋体"/>
          <w:b/>
          <w:color w:val="auto"/>
          <w:sz w:val="24"/>
          <w:szCs w:val="24"/>
          <w:highlight w:val="none"/>
          <w:lang w:val="en-US" w:eastAsia="zh-CN"/>
        </w:rPr>
      </w:pPr>
    </w:p>
    <w:p w14:paraId="23C70510">
      <w:pPr>
        <w:keepNext w:val="0"/>
        <w:keepLines w:val="0"/>
        <w:pageBreakBefore w:val="0"/>
        <w:kinsoku/>
        <w:wordWrap/>
        <w:overflowPunct/>
        <w:topLinePunct w:val="0"/>
        <w:autoSpaceDE/>
        <w:autoSpaceDN/>
        <w:bidi w:val="0"/>
        <w:adjustRightInd/>
        <w:snapToGrid/>
        <w:spacing w:line="360" w:lineRule="exact"/>
        <w:ind w:right="0" w:rightChars="0"/>
        <w:rPr>
          <w:rFonts w:hint="eastAsia" w:ascii="宋体" w:hAnsi="宋体" w:eastAsia="宋体" w:cs="宋体"/>
          <w:b/>
          <w:color w:val="auto"/>
          <w:sz w:val="24"/>
          <w:szCs w:val="24"/>
          <w:highlight w:val="none"/>
          <w:lang w:val="en-US" w:eastAsia="zh-CN"/>
        </w:rPr>
      </w:pPr>
    </w:p>
    <w:p w14:paraId="209202FA">
      <w:pPr>
        <w:keepNext w:val="0"/>
        <w:keepLines w:val="0"/>
        <w:pageBreakBefore w:val="0"/>
        <w:widowControl w:val="0"/>
        <w:kinsoku/>
        <w:wordWrap/>
        <w:overflowPunct/>
        <w:topLinePunct w:val="0"/>
        <w:autoSpaceDE/>
        <w:autoSpaceDN/>
        <w:bidi w:val="0"/>
        <w:adjustRightInd/>
        <w:snapToGrid/>
        <w:spacing w:line="520" w:lineRule="exact"/>
        <w:ind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名称（盖章）：</w:t>
      </w:r>
      <w:r>
        <w:rPr>
          <w:rFonts w:hint="eastAsia" w:ascii="宋体" w:hAnsi="宋体" w:eastAsia="宋体" w:cs="宋体"/>
          <w:color w:val="auto"/>
          <w:sz w:val="24"/>
          <w:szCs w:val="24"/>
          <w:highlight w:val="none"/>
          <w:u w:val="single"/>
        </w:rPr>
        <w:t xml:space="preserve">                         </w:t>
      </w:r>
    </w:p>
    <w:p w14:paraId="28D7A05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法定代表人或其委托代理人(签字或盖章)：</w:t>
      </w:r>
      <w:r>
        <w:rPr>
          <w:rFonts w:hint="eastAsia" w:ascii="宋体" w:hAnsi="宋体" w:eastAsia="宋体" w:cs="宋体"/>
          <w:color w:val="auto"/>
          <w:sz w:val="24"/>
          <w:szCs w:val="24"/>
          <w:highlight w:val="none"/>
          <w:u w:val="single"/>
        </w:rPr>
        <w:t xml:space="preserve">                    </w:t>
      </w:r>
    </w:p>
    <w:p w14:paraId="327D8D6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7CCFCD7">
      <w:pPr>
        <w:keepNext w:val="0"/>
        <w:keepLines w:val="0"/>
        <w:pageBreakBefore w:val="0"/>
        <w:widowControl w:val="0"/>
        <w:kinsoku/>
        <w:wordWrap/>
        <w:overflowPunct/>
        <w:topLinePunct w:val="0"/>
        <w:autoSpaceDE/>
        <w:autoSpaceDN/>
        <w:bidi w:val="0"/>
        <w:adjustRightInd/>
        <w:snapToGrid/>
        <w:spacing w:line="520" w:lineRule="exact"/>
        <w:ind w:firstLine="443" w:firstLineChars="147"/>
        <w:textAlignment w:val="auto"/>
        <w:rPr>
          <w:rFonts w:hint="eastAsia" w:ascii="宋体"/>
          <w:b/>
          <w:color w:val="auto"/>
          <w:sz w:val="30"/>
          <w:szCs w:val="30"/>
          <w:highlight w:val="none"/>
        </w:rPr>
        <w:sectPr>
          <w:pgSz w:w="11906" w:h="16838"/>
          <w:pgMar w:top="1259" w:right="1134" w:bottom="1021" w:left="1145" w:header="284" w:footer="680" w:gutter="0"/>
          <w:pgNumType w:fmt="decimal"/>
          <w:cols w:space="720" w:num="1"/>
          <w:docGrid w:type="lines" w:linePitch="312" w:charSpace="0"/>
        </w:sectPr>
      </w:pPr>
    </w:p>
    <w:p w14:paraId="35DCC6ED">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w:t>
      </w:r>
      <w:bookmarkEnd w:id="58"/>
      <w:bookmarkEnd w:id="59"/>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         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或其他供应商串通响应，损害国家利益、社会公共利益或者他人的合法权益；</w:t>
      </w:r>
    </w:p>
    <w:p w14:paraId="2E58A49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cs="宋体" w:eastAsiaTheme="minorEastAsia"/>
          <w:color w:val="auto"/>
          <w:sz w:val="24"/>
          <w:szCs w:val="24"/>
          <w:highlight w:val="none"/>
          <w:lang w:eastAsia="zh-CN"/>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法定代表人或拟派项目经理（负责人）没有下列情形：①被列入“信用中国”网站（www.creditchina.gov.cn）“失信被执行人”</w:t>
      </w:r>
      <w:r>
        <w:rPr>
          <w:rFonts w:hint="eastAsia" w:asciiTheme="minorEastAsia" w:hAnsiTheme="minorEastAsia" w:eastAsiaTheme="minorEastAsia" w:cstheme="minorEastAsia"/>
          <w:color w:val="auto"/>
          <w:kern w:val="0"/>
          <w:sz w:val="24"/>
          <w:szCs w:val="24"/>
          <w:highlight w:val="none"/>
          <w:lang w:eastAsia="zh-CN" w:bidi="ar"/>
        </w:rPr>
        <w:t>；</w:t>
      </w:r>
      <w:r>
        <w:rPr>
          <w:rFonts w:hint="eastAsia" w:asciiTheme="minorEastAsia" w:hAnsiTheme="minorEastAsia" w:eastAsiaTheme="minorEastAsia" w:cstheme="minorEastAsia"/>
          <w:color w:val="auto"/>
          <w:kern w:val="0"/>
          <w:sz w:val="24"/>
          <w:szCs w:val="24"/>
          <w:highlight w:val="none"/>
          <w:lang w:bidi="ar"/>
        </w:rPr>
        <w:t>②被列入“信用中国”网站（www.creditchina.gov.cn）“重大税收违法失信主体”；③被列入“信用中国”网站（www.creditchina.gov.cn）“拖欠农民工工资失信联合惩戒对象名单”；④被列入“信用中国”网站（www.creditchina.gov.cn） “</w:t>
      </w:r>
      <w:r>
        <w:rPr>
          <w:rFonts w:hint="eastAsia" w:asciiTheme="minorEastAsia" w:hAnsiTheme="minorEastAsia" w:eastAsiaTheme="minorEastAsia" w:cstheme="minorEastAsia"/>
          <w:color w:val="auto"/>
          <w:kern w:val="0"/>
          <w:sz w:val="24"/>
          <w:szCs w:val="24"/>
          <w:highlight w:val="none"/>
          <w:lang w:eastAsia="zh-CN" w:bidi="ar"/>
        </w:rPr>
        <w:t>安全生产严重失信主体名单</w:t>
      </w:r>
      <w:r>
        <w:rPr>
          <w:rFonts w:hint="eastAsia" w:asciiTheme="minorEastAsia" w:hAnsiTheme="minorEastAsia" w:eastAsiaTheme="minorEastAsia" w:cstheme="minorEastAsia"/>
          <w:color w:val="auto"/>
          <w:kern w:val="0"/>
          <w:sz w:val="24"/>
          <w:szCs w:val="24"/>
          <w:highlight w:val="none"/>
          <w:lang w:bidi="ar"/>
        </w:rPr>
        <w:t>”；⑤</w:t>
      </w:r>
      <w:bookmarkStart w:id="60" w:name="OLE_LINK114"/>
      <w:bookmarkStart w:id="61" w:name="OLE_LINK113"/>
      <w:r>
        <w:rPr>
          <w:rFonts w:hint="eastAsia" w:asciiTheme="minorEastAsia" w:hAnsiTheme="minorEastAsia" w:eastAsiaTheme="minorEastAsia" w:cstheme="minorEastAsia"/>
          <w:color w:val="auto"/>
          <w:kern w:val="0"/>
          <w:sz w:val="24"/>
          <w:szCs w:val="24"/>
          <w:highlight w:val="none"/>
          <w:lang w:bidi="ar"/>
        </w:rPr>
        <w:t>被列入国家企业信用信息公示系统网站（</w:t>
      </w:r>
      <w:r>
        <w:rPr>
          <w:rFonts w:hint="eastAsia" w:asciiTheme="minorEastAsia" w:hAnsiTheme="minorEastAsia" w:eastAsiaTheme="minorEastAsia" w:cstheme="minorEastAsia"/>
          <w:color w:val="auto"/>
          <w:kern w:val="0"/>
          <w:sz w:val="24"/>
          <w:szCs w:val="24"/>
          <w:highlight w:val="none"/>
          <w:lang w:bidi="ar"/>
        </w:rPr>
        <w:fldChar w:fldCharType="begin"/>
      </w:r>
      <w:r>
        <w:rPr>
          <w:rFonts w:hint="eastAsia" w:asciiTheme="minorEastAsia" w:hAnsiTheme="minorEastAsia" w:eastAsiaTheme="minorEastAsia" w:cstheme="minorEastAsia"/>
          <w:color w:val="auto"/>
          <w:kern w:val="0"/>
          <w:sz w:val="24"/>
          <w:szCs w:val="24"/>
          <w:highlight w:val="none"/>
          <w:lang w:bidi="ar"/>
        </w:rPr>
        <w:instrText xml:space="preserve"> HYPERLINK "http://www.gsxt.gov.cn）查询" </w:instrText>
      </w:r>
      <w:r>
        <w:rPr>
          <w:rFonts w:hint="eastAsia" w:asciiTheme="minorEastAsia" w:hAnsiTheme="minorEastAsia" w:eastAsiaTheme="minorEastAsia" w:cstheme="minorEastAsia"/>
          <w:color w:val="auto"/>
          <w:kern w:val="0"/>
          <w:sz w:val="24"/>
          <w:szCs w:val="24"/>
          <w:highlight w:val="none"/>
          <w:lang w:bidi="ar"/>
        </w:rPr>
        <w:fldChar w:fldCharType="separate"/>
      </w:r>
      <w:r>
        <w:rPr>
          <w:rFonts w:hint="eastAsia" w:asciiTheme="minorEastAsia" w:hAnsiTheme="minorEastAsia" w:eastAsiaTheme="minorEastAsia" w:cstheme="minorEastAsia"/>
          <w:color w:val="auto"/>
          <w:kern w:val="0"/>
          <w:sz w:val="24"/>
          <w:szCs w:val="24"/>
          <w:highlight w:val="none"/>
          <w:lang w:bidi="ar"/>
        </w:rPr>
        <w:t>www.gsxt.gov.cn）</w:t>
      </w:r>
      <w:r>
        <w:rPr>
          <w:rFonts w:hint="eastAsia" w:asciiTheme="minorEastAsia" w:hAnsiTheme="minorEastAsia" w:eastAsiaTheme="minorEastAsia" w:cstheme="minorEastAsia"/>
          <w:color w:val="auto"/>
          <w:kern w:val="0"/>
          <w:sz w:val="24"/>
          <w:szCs w:val="24"/>
          <w:highlight w:val="none"/>
          <w:lang w:bidi="ar"/>
        </w:rPr>
        <w:fldChar w:fldCharType="end"/>
      </w:r>
      <w:r>
        <w:rPr>
          <w:rFonts w:hint="eastAsia" w:asciiTheme="minorEastAsia" w:hAnsiTheme="minorEastAsia" w:eastAsiaTheme="minorEastAsia" w:cstheme="minorEastAsia"/>
          <w:color w:val="auto"/>
          <w:kern w:val="0"/>
          <w:sz w:val="24"/>
          <w:szCs w:val="24"/>
          <w:highlight w:val="none"/>
          <w:lang w:bidi="ar"/>
        </w:rPr>
        <w:t>“严重违法失信名单”</w:t>
      </w:r>
      <w:bookmarkEnd w:id="60"/>
      <w:bookmarkEnd w:id="61"/>
      <w:r>
        <w:rPr>
          <w:rFonts w:hint="eastAsia" w:asciiTheme="minorEastAsia" w:hAnsiTheme="minorEastAsia" w:eastAsiaTheme="minorEastAsia" w:cstheme="minorEastAsia"/>
          <w:color w:val="auto"/>
          <w:kern w:val="0"/>
          <w:sz w:val="24"/>
          <w:szCs w:val="24"/>
          <w:highlight w:val="none"/>
          <w:lang w:eastAsia="zh-CN" w:bidi="ar"/>
        </w:rPr>
        <w:t>。</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76E6817E">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DCC4F49">
      <w:pPr>
        <w:spacing w:line="360" w:lineRule="auto"/>
        <w:jc w:val="center"/>
        <w:outlineLvl w:val="1"/>
        <w:rPr>
          <w:rFonts w:asciiTheme="minorEastAsia" w:hAnsiTheme="minorEastAsia" w:eastAsiaTheme="minorEastAsia"/>
          <w:b/>
          <w:color w:val="auto"/>
          <w:sz w:val="24"/>
          <w:highlight w:val="none"/>
        </w:rPr>
      </w:pPr>
      <w:bookmarkStart w:id="62" w:name="_Toc23417"/>
      <w:bookmarkStart w:id="63" w:name="_Toc1350"/>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62"/>
      <w:bookmarkEnd w:id="63"/>
    </w:p>
    <w:p w14:paraId="162A73A2">
      <w:pPr>
        <w:spacing w:line="360" w:lineRule="auto"/>
        <w:rPr>
          <w:rFonts w:asciiTheme="minorEastAsia" w:hAnsiTheme="minorEastAsia" w:eastAsiaTheme="minorEastAsia"/>
          <w:b/>
          <w:bCs/>
          <w:color w:val="auto"/>
          <w:sz w:val="24"/>
          <w:highlight w:val="none"/>
        </w:rPr>
      </w:pPr>
    </w:p>
    <w:p w14:paraId="1C59D4D0">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val="en-US" w:eastAsia="zh-CN"/>
        </w:rPr>
        <w:t xml:space="preserve">                     </w:t>
      </w:r>
      <w:r>
        <w:rPr>
          <w:rFonts w:hint="eastAsia" w:asciiTheme="minorEastAsia" w:hAnsiTheme="minorEastAsia" w:eastAsiaTheme="minorEastAsia"/>
          <w:b/>
          <w:bCs/>
          <w:color w:val="auto"/>
          <w:sz w:val="24"/>
          <w:highlight w:val="none"/>
        </w:rPr>
        <w:t>采购人</w:t>
      </w:r>
    </w:p>
    <w:p w14:paraId="2456213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中关于合同签订及履约的相关规定，不出现以下情形：</w:t>
      </w:r>
    </w:p>
    <w:p w14:paraId="25445FD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（1）成交后无正当理由拒不与采购人签订政府采购合同；</w:t>
      </w:r>
    </w:p>
    <w:p w14:paraId="2ED0212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确定的事项签订政府采购合同；</w:t>
      </w:r>
    </w:p>
    <w:p w14:paraId="61E7616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49A4B1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1DD001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D82F91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29C33F1">
      <w:pPr>
        <w:spacing w:line="360" w:lineRule="auto"/>
        <w:ind w:firstLine="480" w:firstLineChars="200"/>
        <w:rPr>
          <w:rFonts w:ascii="宋体" w:hAnsi="宋体" w:eastAsia="宋体"/>
          <w:bCs/>
          <w:color w:val="auto"/>
          <w:sz w:val="24"/>
          <w:szCs w:val="24"/>
          <w:highlight w:val="none"/>
        </w:rPr>
      </w:pPr>
      <w:r>
        <w:rPr>
          <w:rFonts w:hint="eastAsia" w:ascii="宋体" w:hAnsi="宋体" w:eastAsia="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（供应商名称）</w:t>
      </w:r>
      <w:r>
        <w:rPr>
          <w:rFonts w:hint="eastAsia" w:ascii="宋体" w:hAnsi="宋体" w:eastAsia="宋体"/>
          <w:bCs/>
          <w:color w:val="auto"/>
          <w:sz w:val="24"/>
          <w:szCs w:val="24"/>
          <w:highlight w:val="none"/>
          <w:lang w:bidi="ar"/>
        </w:rPr>
        <w:t>对本</w:t>
      </w:r>
      <w:r>
        <w:rPr>
          <w:rFonts w:hint="eastAsia" w:ascii="宋体" w:hAnsi="宋体" w:eastAsia="宋体"/>
          <w:bCs/>
          <w:color w:val="auto"/>
          <w:sz w:val="24"/>
          <w:szCs w:val="24"/>
          <w:highlight w:val="none"/>
          <w:lang w:eastAsia="zh-CN" w:bidi="ar"/>
        </w:rPr>
        <w:t>询价采购文件</w:t>
      </w:r>
      <w:r>
        <w:rPr>
          <w:rFonts w:hint="eastAsia" w:ascii="宋体" w:hAnsi="宋体" w:eastAsia="宋体"/>
          <w:bCs/>
          <w:color w:val="auto"/>
          <w:sz w:val="24"/>
          <w:szCs w:val="24"/>
          <w:highlight w:val="none"/>
          <w:lang w:bidi="ar"/>
        </w:rPr>
        <w:t>的相关要求完全响应。若有幸成交将严格按照以上承诺进行供货和服务。</w:t>
      </w:r>
    </w:p>
    <w:p w14:paraId="1FACB290">
      <w:pPr>
        <w:spacing w:line="360" w:lineRule="auto"/>
        <w:rPr>
          <w:rFonts w:asciiTheme="minorEastAsia" w:hAnsiTheme="minorEastAsia" w:eastAsiaTheme="minorEastAsia"/>
          <w:bCs/>
          <w:color w:val="auto"/>
          <w:sz w:val="24"/>
          <w:highlight w:val="none"/>
        </w:rPr>
      </w:pPr>
    </w:p>
    <w:p w14:paraId="55662DBD">
      <w:pPr>
        <w:spacing w:line="360" w:lineRule="auto"/>
        <w:rPr>
          <w:rFonts w:asciiTheme="minorEastAsia" w:hAnsiTheme="minorEastAsia" w:eastAsiaTheme="minorEastAsia"/>
          <w:bCs/>
          <w:color w:val="auto"/>
          <w:sz w:val="24"/>
          <w:highlight w:val="none"/>
        </w:rPr>
      </w:pPr>
    </w:p>
    <w:p w14:paraId="3CE890B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val="en-US"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C78C08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E62595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A35DEC">
      <w:pPr>
        <w:spacing w:line="360" w:lineRule="auto"/>
        <w:jc w:val="center"/>
        <w:outlineLvl w:val="1"/>
        <w:rPr>
          <w:rFonts w:asciiTheme="minorEastAsia" w:hAnsiTheme="minorEastAsia" w:eastAsiaTheme="minorEastAsia"/>
          <w:b/>
          <w:color w:val="auto"/>
          <w:sz w:val="24"/>
          <w:highlight w:val="none"/>
        </w:rPr>
      </w:pPr>
      <w:bookmarkStart w:id="64" w:name="_Toc19513"/>
      <w:bookmarkStart w:id="65" w:name="_Toc12602"/>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64"/>
      <w:bookmarkEnd w:id="65"/>
    </w:p>
    <w:p w14:paraId="4D1741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052869DB">
      <w:pPr>
        <w:spacing w:line="360" w:lineRule="auto"/>
        <w:ind w:firstLine="480" w:firstLineChars="200"/>
        <w:rPr>
          <w:rFonts w:asciiTheme="minorEastAsia" w:hAnsiTheme="minorEastAsia" w:eastAsiaTheme="minorEastAsia"/>
          <w:color w:val="auto"/>
          <w:sz w:val="24"/>
          <w:highlight w:val="none"/>
        </w:rPr>
      </w:pPr>
    </w:p>
    <w:p w14:paraId="454F484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2CFC0C5">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供应商在响应文件制作时可在此栏内上传</w:t>
      </w:r>
      <w:r>
        <w:rPr>
          <w:rFonts w:hint="eastAsia" w:asciiTheme="minorEastAsia" w:hAnsiTheme="minorEastAsia" w:eastAsiaTheme="minorEastAsia"/>
          <w:b/>
          <w:bCs/>
          <w:color w:val="auto"/>
          <w:sz w:val="24"/>
          <w:highlight w:val="none"/>
          <w:lang w:eastAsia="zh-CN"/>
        </w:rPr>
        <w:t>询价采购文件</w:t>
      </w:r>
      <w:r>
        <w:rPr>
          <w:rFonts w:asciiTheme="minorEastAsia" w:hAnsiTheme="minorEastAsia" w:eastAsiaTheme="minorEastAsia"/>
          <w:b/>
          <w:bCs/>
          <w:color w:val="auto"/>
          <w:sz w:val="24"/>
          <w:highlight w:val="none"/>
        </w:rPr>
        <w:t>要求上传的证明资料</w:t>
      </w:r>
      <w:r>
        <w:rPr>
          <w:rFonts w:hint="eastAsia" w:asciiTheme="minorEastAsia" w:hAnsiTheme="minorEastAsia" w:eastAsiaTheme="minorEastAsia"/>
          <w:b/>
          <w:bCs/>
          <w:color w:val="auto"/>
          <w:sz w:val="24"/>
          <w:highlight w:val="none"/>
        </w:rPr>
        <w:t>，如营业执照</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业绩证明材料</w:t>
      </w:r>
      <w:r>
        <w:rPr>
          <w:rFonts w:asciiTheme="minorEastAsia" w:hAnsiTheme="minorEastAsia" w:eastAsiaTheme="minorEastAsia"/>
          <w:b/>
          <w:bCs/>
          <w:color w:val="auto"/>
          <w:sz w:val="24"/>
          <w:highlight w:val="none"/>
        </w:rPr>
        <w:t>等，应将上述证明材料制作成扫描件上传。</w:t>
      </w:r>
    </w:p>
    <w:bookmarkEnd w:id="52"/>
    <w:p w14:paraId="00943BE2">
      <w:pPr>
        <w:widowControl/>
        <w:jc w:val="left"/>
        <w:rPr>
          <w:rFonts w:ascii="宋体" w:hAnsi="宋体" w:eastAsia="宋体" w:cs="宋体"/>
          <w:b/>
          <w:bCs/>
          <w:color w:val="auto"/>
          <w:kern w:val="0"/>
          <w:sz w:val="24"/>
          <w:szCs w:val="24"/>
          <w:highlight w:val="none"/>
          <w:lang w:bidi="ar"/>
        </w:rPr>
      </w:pPr>
      <w:bookmarkStart w:id="66" w:name="_Toc60608832"/>
      <w:bookmarkStart w:id="67" w:name="_Toc11711"/>
      <w:bookmarkStart w:id="68" w:name="_Toc1141"/>
      <w:r>
        <w:rPr>
          <w:rFonts w:hint="eastAsia" w:ascii="宋体" w:hAnsi="宋体" w:eastAsia="宋体" w:cs="宋体"/>
          <w:b/>
          <w:bCs/>
          <w:color w:val="auto"/>
          <w:kern w:val="0"/>
          <w:sz w:val="24"/>
          <w:szCs w:val="24"/>
          <w:highlight w:val="none"/>
          <w:lang w:bidi="ar"/>
        </w:rPr>
        <w:br w:type="page"/>
      </w:r>
    </w:p>
    <w:p w14:paraId="48EBEF17">
      <w:pPr>
        <w:spacing w:line="360" w:lineRule="auto"/>
        <w:jc w:val="center"/>
        <w:outlineLvl w:val="0"/>
        <w:rPr>
          <w:rFonts w:ascii="宋体" w:hAnsi="宋体" w:eastAsia="宋体"/>
          <w:b/>
          <w:bCs/>
          <w:color w:val="auto"/>
          <w:sz w:val="28"/>
          <w:highlight w:val="none"/>
        </w:rPr>
      </w:pPr>
      <w:r>
        <w:rPr>
          <w:rFonts w:hint="eastAsia" w:asciiTheme="minorEastAsia" w:hAnsiTheme="minorEastAsia" w:eastAsiaTheme="minorEastAsia"/>
          <w:b/>
          <w:color w:val="auto"/>
          <w:sz w:val="28"/>
          <w:highlight w:val="none"/>
        </w:rPr>
        <w:t>第七章</w:t>
      </w:r>
      <w:r>
        <w:rPr>
          <w:rFonts w:hint="eastAsia"/>
          <w:b/>
          <w:bCs/>
          <w:color w:val="auto"/>
          <w:sz w:val="28"/>
          <w:highlight w:val="none"/>
        </w:rPr>
        <w:t xml:space="preserve">  </w:t>
      </w:r>
      <w:bookmarkEnd w:id="66"/>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67"/>
      <w:bookmarkEnd w:id="68"/>
    </w:p>
    <w:p w14:paraId="2D6DC504">
      <w:pPr>
        <w:spacing w:line="360" w:lineRule="auto"/>
        <w:jc w:val="center"/>
        <w:outlineLvl w:val="1"/>
        <w:rPr>
          <w:rFonts w:ascii="仿宋" w:hAnsi="仿宋" w:eastAsia="仿宋" w:cs="仿宋"/>
          <w:b/>
          <w:bCs/>
          <w:color w:val="auto"/>
          <w:sz w:val="32"/>
          <w:szCs w:val="44"/>
          <w:highlight w:val="none"/>
        </w:rPr>
      </w:pPr>
      <w:bookmarkStart w:id="69" w:name="_Toc29389"/>
      <w:bookmarkStart w:id="70" w:name="_Toc10045"/>
      <w:r>
        <w:rPr>
          <w:rFonts w:hint="eastAsia" w:ascii="仿宋" w:hAnsi="仿宋" w:eastAsia="仿宋" w:cs="仿宋"/>
          <w:b/>
          <w:bCs/>
          <w:color w:val="auto"/>
          <w:sz w:val="32"/>
          <w:szCs w:val="44"/>
          <w:highlight w:val="none"/>
        </w:rPr>
        <w:t>询问函范本</w:t>
      </w:r>
      <w:bookmarkEnd w:id="69"/>
      <w:bookmarkEnd w:id="70"/>
    </w:p>
    <w:p w14:paraId="2CC531F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w:t>
      </w:r>
      <w:r>
        <w:rPr>
          <w:rFonts w:hint="eastAsia" w:cs="仿宋" w:asciiTheme="minorEastAsia" w:hAnsiTheme="minorEastAsia" w:eastAsiaTheme="minorEastAsia"/>
          <w:i/>
          <w:iCs/>
          <w:color w:val="auto"/>
          <w:sz w:val="24"/>
          <w:szCs w:val="24"/>
          <w:highlight w:val="none"/>
          <w:lang w:eastAsia="zh-CN"/>
        </w:rPr>
        <w:t>询价采购文件</w:t>
      </w:r>
      <w:r>
        <w:rPr>
          <w:rFonts w:hint="eastAsia" w:cs="仿宋" w:asciiTheme="minorEastAsia" w:hAnsiTheme="minorEastAsia" w:eastAsiaTheme="minorEastAsia"/>
          <w:i/>
          <w:iCs/>
          <w:color w:val="auto"/>
          <w:sz w:val="24"/>
          <w:szCs w:val="24"/>
          <w:highlight w:val="none"/>
        </w:rPr>
        <w:t>或采购程序的询问或疑问，请按询问函范本或电子交易系统中网上询问格式附件进行提交）</w:t>
      </w:r>
    </w:p>
    <w:p w14:paraId="7A1307F0">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3120C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 xml:space="preserve"> (项目名称、编号)的采购活动，现有以下内容(或条款)存在疑问(或无法理解)，特提出询问。</w:t>
      </w:r>
    </w:p>
    <w:p w14:paraId="3D02A0C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1" w:name="_Toc29678"/>
      <w:bookmarkStart w:id="72" w:name="_Toc23472"/>
      <w:r>
        <w:rPr>
          <w:rFonts w:hint="eastAsia" w:cs="仿宋" w:asciiTheme="minorEastAsia" w:hAnsiTheme="minorEastAsia" w:eastAsiaTheme="minorEastAsia"/>
          <w:color w:val="auto"/>
          <w:sz w:val="24"/>
          <w:szCs w:val="24"/>
          <w:highlight w:val="none"/>
        </w:rPr>
        <w:t>一、(事项一)</w:t>
      </w:r>
      <w:bookmarkEnd w:id="71"/>
      <w:bookmarkEnd w:id="72"/>
    </w:p>
    <w:p w14:paraId="50C923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937F4E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C0A70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F149F4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3" w:name="_Toc20836"/>
      <w:bookmarkStart w:id="74" w:name="_Toc22463"/>
      <w:r>
        <w:rPr>
          <w:rFonts w:hint="eastAsia" w:cs="仿宋" w:asciiTheme="minorEastAsia" w:hAnsiTheme="minorEastAsia" w:eastAsiaTheme="minorEastAsia"/>
          <w:color w:val="auto"/>
          <w:sz w:val="24"/>
          <w:szCs w:val="24"/>
          <w:highlight w:val="none"/>
        </w:rPr>
        <w:t>二、(事项二)</w:t>
      </w:r>
      <w:bookmarkEnd w:id="73"/>
      <w:bookmarkEnd w:id="74"/>
    </w:p>
    <w:p w14:paraId="099813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2A0AE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2F1F42">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795E6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D7FEBF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24594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DC226BF">
      <w:pPr>
        <w:jc w:val="center"/>
        <w:outlineLvl w:val="1"/>
        <w:rPr>
          <w:rFonts w:cs="仿宋" w:asciiTheme="minorEastAsia" w:hAnsiTheme="minorEastAsia" w:eastAsiaTheme="minorEastAsia"/>
          <w:b/>
          <w:bCs/>
          <w:color w:val="auto"/>
          <w:sz w:val="32"/>
          <w:szCs w:val="44"/>
          <w:highlight w:val="none"/>
        </w:rPr>
      </w:pPr>
      <w:bookmarkStart w:id="75" w:name="_Toc31458"/>
      <w:bookmarkStart w:id="76" w:name="_Toc15057"/>
      <w:r>
        <w:rPr>
          <w:rFonts w:hint="eastAsia" w:cs="仿宋" w:asciiTheme="minorEastAsia" w:hAnsiTheme="minorEastAsia" w:eastAsiaTheme="minorEastAsia"/>
          <w:b/>
          <w:bCs/>
          <w:color w:val="auto"/>
          <w:sz w:val="32"/>
          <w:szCs w:val="44"/>
          <w:highlight w:val="none"/>
        </w:rPr>
        <w:t>质疑函范本</w:t>
      </w:r>
      <w:bookmarkEnd w:id="75"/>
      <w:bookmarkEnd w:id="76"/>
    </w:p>
    <w:p w14:paraId="45179F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77" w:name="_Toc22823"/>
      <w:bookmarkStart w:id="78" w:name="_Toc21471"/>
      <w:r>
        <w:rPr>
          <w:rFonts w:hint="eastAsia" w:cs="仿宋" w:asciiTheme="minorEastAsia" w:hAnsiTheme="minorEastAsia" w:eastAsiaTheme="minorEastAsia"/>
          <w:b/>
          <w:bCs/>
          <w:color w:val="auto"/>
          <w:sz w:val="24"/>
          <w:szCs w:val="24"/>
          <w:highlight w:val="none"/>
        </w:rPr>
        <w:t>一、质疑供应商基本信息</w:t>
      </w:r>
      <w:bookmarkEnd w:id="77"/>
      <w:bookmarkEnd w:id="78"/>
    </w:p>
    <w:p w14:paraId="45F36B1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F9F88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294F5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F244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CBF3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1BB6B6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4E2D07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79" w:name="_Toc3326"/>
      <w:bookmarkStart w:id="80" w:name="_Toc10721"/>
      <w:r>
        <w:rPr>
          <w:rFonts w:hint="eastAsia" w:cs="仿宋" w:asciiTheme="minorEastAsia" w:hAnsiTheme="minorEastAsia" w:eastAsiaTheme="minorEastAsia"/>
          <w:b/>
          <w:bCs/>
          <w:color w:val="auto"/>
          <w:sz w:val="24"/>
          <w:szCs w:val="24"/>
          <w:highlight w:val="none"/>
        </w:rPr>
        <w:t>二、质疑项目基本情况</w:t>
      </w:r>
      <w:bookmarkEnd w:id="79"/>
      <w:bookmarkEnd w:id="80"/>
    </w:p>
    <w:p w14:paraId="79D72B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4AA9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738185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04E7E4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354CC2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1" w:name="_Toc21619"/>
      <w:bookmarkStart w:id="82" w:name="_Toc8391"/>
      <w:r>
        <w:rPr>
          <w:rFonts w:hint="eastAsia" w:cs="仿宋" w:asciiTheme="minorEastAsia" w:hAnsiTheme="minorEastAsia" w:eastAsiaTheme="minorEastAsia"/>
          <w:b/>
          <w:bCs/>
          <w:color w:val="auto"/>
          <w:sz w:val="24"/>
          <w:szCs w:val="24"/>
          <w:highlight w:val="none"/>
        </w:rPr>
        <w:t>三、质疑事项具体内容</w:t>
      </w:r>
      <w:bookmarkEnd w:id="81"/>
      <w:bookmarkEnd w:id="82"/>
    </w:p>
    <w:p w14:paraId="7306C4D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679237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35217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6D025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5654C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C8C08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0858E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ADA6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3" w:name="_Toc31747"/>
      <w:bookmarkStart w:id="84" w:name="_Toc10324"/>
      <w:r>
        <w:rPr>
          <w:rFonts w:hint="eastAsia" w:cs="仿宋" w:asciiTheme="minorEastAsia" w:hAnsiTheme="minorEastAsia" w:eastAsiaTheme="minorEastAsia"/>
          <w:b/>
          <w:bCs/>
          <w:color w:val="auto"/>
          <w:sz w:val="24"/>
          <w:szCs w:val="24"/>
          <w:highlight w:val="none"/>
        </w:rPr>
        <w:t>四、与质疑事项相关的质疑请求</w:t>
      </w:r>
      <w:bookmarkEnd w:id="83"/>
      <w:bookmarkEnd w:id="84"/>
    </w:p>
    <w:p w14:paraId="3BB4D78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9DADF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49EC7D4">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97C1DC0">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660C32CC">
      <w:pPr>
        <w:outlineLvl w:val="0"/>
        <w:rPr>
          <w:rFonts w:asciiTheme="minorEastAsia" w:hAnsiTheme="minorEastAsia" w:eastAsiaTheme="minorEastAsia"/>
          <w:b/>
          <w:color w:val="auto"/>
          <w:sz w:val="28"/>
          <w:szCs w:val="32"/>
          <w:highlight w:val="none"/>
        </w:rPr>
      </w:pPr>
      <w:bookmarkStart w:id="85" w:name="_Toc29795"/>
      <w:bookmarkStart w:id="86" w:name="_Toc27249"/>
      <w:r>
        <w:rPr>
          <w:rFonts w:hint="eastAsia" w:asciiTheme="minorEastAsia" w:hAnsiTheme="minorEastAsia" w:eastAsiaTheme="minorEastAsia"/>
          <w:b/>
          <w:color w:val="auto"/>
          <w:sz w:val="28"/>
          <w:szCs w:val="32"/>
          <w:highlight w:val="none"/>
        </w:rPr>
        <w:t>质疑函制作说明：</w:t>
      </w:r>
      <w:bookmarkEnd w:id="85"/>
      <w:bookmarkEnd w:id="86"/>
    </w:p>
    <w:p w14:paraId="63C25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87AF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85DEB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3EB60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FF531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71819A4">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5" w:h="16838"/>
      <w:pgMar w:top="1417" w:right="1417" w:bottom="1417" w:left="1417"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B5EC">
    <w:pPr>
      <w:pStyle w:val="17"/>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A731">
    <w:pPr>
      <w:pStyle w:val="17"/>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31599">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93159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012D">
    <w:pPr>
      <w:pStyle w:val="9"/>
      <w:spacing w:line="203" w:lineRule="auto"/>
      <w:ind w:left="3688"/>
      <w:jc w:val="both"/>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B1E219">
                          <w:pPr>
                            <w:pStyle w:val="1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3EB1E21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30A1">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71E">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01DB">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24CD92"/>
    <w:multiLevelType w:val="singleLevel"/>
    <w:tmpl w:val="8E24CD92"/>
    <w:lvl w:ilvl="0" w:tentative="0">
      <w:start w:val="5"/>
      <w:numFmt w:val="chineseCounting"/>
      <w:suff w:val="nothing"/>
      <w:lvlText w:val="%1、"/>
      <w:lvlJc w:val="left"/>
      <w:rPr>
        <w:rFonts w:hint="eastAsia"/>
      </w:rPr>
    </w:lvl>
  </w:abstractNum>
  <w:abstractNum w:abstractNumId="1">
    <w:nsid w:val="CC856FED"/>
    <w:multiLevelType w:val="singleLevel"/>
    <w:tmpl w:val="CC856FED"/>
    <w:lvl w:ilvl="0" w:tentative="0">
      <w:start w:val="2"/>
      <w:numFmt w:val="decimal"/>
      <w:suff w:val="nothing"/>
      <w:lvlText w:val="（%1）"/>
      <w:lvlJc w:val="left"/>
    </w:lvl>
  </w:abstractNum>
  <w:abstractNum w:abstractNumId="2">
    <w:nsid w:val="065DB75B"/>
    <w:multiLevelType w:val="singleLevel"/>
    <w:tmpl w:val="065DB75B"/>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581E"/>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3163"/>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45841"/>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4A38"/>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A4323"/>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04B"/>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14E"/>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66E9"/>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4993"/>
    <w:rsid w:val="008F76E8"/>
    <w:rsid w:val="008F7CD0"/>
    <w:rsid w:val="00906786"/>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009"/>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954"/>
    <w:rsid w:val="00B43A6D"/>
    <w:rsid w:val="00B4730C"/>
    <w:rsid w:val="00B541BC"/>
    <w:rsid w:val="00B54808"/>
    <w:rsid w:val="00B5558A"/>
    <w:rsid w:val="00B56513"/>
    <w:rsid w:val="00B56B2E"/>
    <w:rsid w:val="00B64376"/>
    <w:rsid w:val="00B70494"/>
    <w:rsid w:val="00B7401F"/>
    <w:rsid w:val="00B740A4"/>
    <w:rsid w:val="00B74FA1"/>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214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922DE"/>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879D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A5F3B"/>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24C"/>
    <w:rsid w:val="00FF6C72"/>
    <w:rsid w:val="00FF783A"/>
    <w:rsid w:val="01621FDB"/>
    <w:rsid w:val="01B03BEA"/>
    <w:rsid w:val="02053FE6"/>
    <w:rsid w:val="02BF6C59"/>
    <w:rsid w:val="048802D5"/>
    <w:rsid w:val="04B765A2"/>
    <w:rsid w:val="055B01FF"/>
    <w:rsid w:val="05717C88"/>
    <w:rsid w:val="059321F1"/>
    <w:rsid w:val="05AF72A0"/>
    <w:rsid w:val="05B42F17"/>
    <w:rsid w:val="05EE32AE"/>
    <w:rsid w:val="061E4FDD"/>
    <w:rsid w:val="06287461"/>
    <w:rsid w:val="08414ECC"/>
    <w:rsid w:val="0866535E"/>
    <w:rsid w:val="086A1DB6"/>
    <w:rsid w:val="0954653B"/>
    <w:rsid w:val="09734E97"/>
    <w:rsid w:val="09EF6F71"/>
    <w:rsid w:val="0A0236B4"/>
    <w:rsid w:val="0A5C407D"/>
    <w:rsid w:val="0ADC290F"/>
    <w:rsid w:val="0B3655F3"/>
    <w:rsid w:val="0B3C0F3A"/>
    <w:rsid w:val="0B510EC7"/>
    <w:rsid w:val="0B7364B1"/>
    <w:rsid w:val="0B856175"/>
    <w:rsid w:val="0C0E0A28"/>
    <w:rsid w:val="0C5C2F82"/>
    <w:rsid w:val="0CBC5860"/>
    <w:rsid w:val="0CC86361"/>
    <w:rsid w:val="0D262A20"/>
    <w:rsid w:val="0D3061B1"/>
    <w:rsid w:val="0F8347BD"/>
    <w:rsid w:val="0F8A1F32"/>
    <w:rsid w:val="0FC30BF6"/>
    <w:rsid w:val="0FE9248E"/>
    <w:rsid w:val="101C5764"/>
    <w:rsid w:val="10A8268C"/>
    <w:rsid w:val="10E8616A"/>
    <w:rsid w:val="119E52F8"/>
    <w:rsid w:val="11CD084A"/>
    <w:rsid w:val="11F052D6"/>
    <w:rsid w:val="12255C1B"/>
    <w:rsid w:val="125E1788"/>
    <w:rsid w:val="12BF694C"/>
    <w:rsid w:val="13D7020A"/>
    <w:rsid w:val="145C4675"/>
    <w:rsid w:val="1475265D"/>
    <w:rsid w:val="14CA2036"/>
    <w:rsid w:val="14D2451C"/>
    <w:rsid w:val="150C08C6"/>
    <w:rsid w:val="157B6A2B"/>
    <w:rsid w:val="15D65C30"/>
    <w:rsid w:val="16543055"/>
    <w:rsid w:val="16C60CFC"/>
    <w:rsid w:val="16CF07A1"/>
    <w:rsid w:val="174E44F2"/>
    <w:rsid w:val="175E4B0E"/>
    <w:rsid w:val="178C1B5F"/>
    <w:rsid w:val="17E91507"/>
    <w:rsid w:val="18031DFC"/>
    <w:rsid w:val="180F1FC9"/>
    <w:rsid w:val="181C404A"/>
    <w:rsid w:val="18633FE4"/>
    <w:rsid w:val="192E7CCB"/>
    <w:rsid w:val="196F49CE"/>
    <w:rsid w:val="19A32436"/>
    <w:rsid w:val="19A6533E"/>
    <w:rsid w:val="1A1B784F"/>
    <w:rsid w:val="1A6E79CF"/>
    <w:rsid w:val="1A7B316A"/>
    <w:rsid w:val="1B5A6CA5"/>
    <w:rsid w:val="1BD44E29"/>
    <w:rsid w:val="1C3E11EF"/>
    <w:rsid w:val="1C500A10"/>
    <w:rsid w:val="1CD93E41"/>
    <w:rsid w:val="1D864D41"/>
    <w:rsid w:val="1DDA6DF1"/>
    <w:rsid w:val="1E8A0F92"/>
    <w:rsid w:val="1F04109E"/>
    <w:rsid w:val="1F244811"/>
    <w:rsid w:val="1F374545"/>
    <w:rsid w:val="1F9711FA"/>
    <w:rsid w:val="1FDA4436"/>
    <w:rsid w:val="20126D60"/>
    <w:rsid w:val="206261AF"/>
    <w:rsid w:val="21030661"/>
    <w:rsid w:val="211654D1"/>
    <w:rsid w:val="214D4F9D"/>
    <w:rsid w:val="21806C27"/>
    <w:rsid w:val="218D5DCC"/>
    <w:rsid w:val="21A00E17"/>
    <w:rsid w:val="21C422DC"/>
    <w:rsid w:val="21C85928"/>
    <w:rsid w:val="21F7445F"/>
    <w:rsid w:val="21F7620D"/>
    <w:rsid w:val="226326A4"/>
    <w:rsid w:val="226A71F6"/>
    <w:rsid w:val="22763AFE"/>
    <w:rsid w:val="232102B1"/>
    <w:rsid w:val="23286581"/>
    <w:rsid w:val="23576714"/>
    <w:rsid w:val="23663C2F"/>
    <w:rsid w:val="242A2846"/>
    <w:rsid w:val="245943B5"/>
    <w:rsid w:val="247C1540"/>
    <w:rsid w:val="25754019"/>
    <w:rsid w:val="25E023B3"/>
    <w:rsid w:val="25F018F1"/>
    <w:rsid w:val="26AF5025"/>
    <w:rsid w:val="27562C3D"/>
    <w:rsid w:val="278B4F71"/>
    <w:rsid w:val="28251390"/>
    <w:rsid w:val="28CE2356"/>
    <w:rsid w:val="290A2CCA"/>
    <w:rsid w:val="295A2A3F"/>
    <w:rsid w:val="29F4390F"/>
    <w:rsid w:val="29F63606"/>
    <w:rsid w:val="2A1B7069"/>
    <w:rsid w:val="2A2A21AD"/>
    <w:rsid w:val="2A2A486A"/>
    <w:rsid w:val="2AAD7DB1"/>
    <w:rsid w:val="2B0D0D28"/>
    <w:rsid w:val="2C7C57CA"/>
    <w:rsid w:val="2E141EF5"/>
    <w:rsid w:val="2E1A575D"/>
    <w:rsid w:val="2E36227F"/>
    <w:rsid w:val="2E8E4CE9"/>
    <w:rsid w:val="2EA339A5"/>
    <w:rsid w:val="2F3C3432"/>
    <w:rsid w:val="2F492BBD"/>
    <w:rsid w:val="2F7D1FC6"/>
    <w:rsid w:val="300F0E69"/>
    <w:rsid w:val="3038636F"/>
    <w:rsid w:val="30550CCF"/>
    <w:rsid w:val="30A754DF"/>
    <w:rsid w:val="322B48DA"/>
    <w:rsid w:val="337E5DD0"/>
    <w:rsid w:val="338C6283"/>
    <w:rsid w:val="33D161E8"/>
    <w:rsid w:val="34B2511B"/>
    <w:rsid w:val="34BA37F6"/>
    <w:rsid w:val="352C2916"/>
    <w:rsid w:val="366C125A"/>
    <w:rsid w:val="36B63AC6"/>
    <w:rsid w:val="371847E2"/>
    <w:rsid w:val="37BF2AC2"/>
    <w:rsid w:val="380F3E59"/>
    <w:rsid w:val="38675A43"/>
    <w:rsid w:val="38B35BDE"/>
    <w:rsid w:val="39185E60"/>
    <w:rsid w:val="3A8E3FED"/>
    <w:rsid w:val="3ACC1DE3"/>
    <w:rsid w:val="3AE4403A"/>
    <w:rsid w:val="3B214C05"/>
    <w:rsid w:val="3B6732A7"/>
    <w:rsid w:val="3B796242"/>
    <w:rsid w:val="3BF5087F"/>
    <w:rsid w:val="3CEF068E"/>
    <w:rsid w:val="3D6E29D8"/>
    <w:rsid w:val="3DAC0EE9"/>
    <w:rsid w:val="3DE97345"/>
    <w:rsid w:val="3E314816"/>
    <w:rsid w:val="3E55633E"/>
    <w:rsid w:val="3E691DE9"/>
    <w:rsid w:val="3E9512FD"/>
    <w:rsid w:val="3EBE2135"/>
    <w:rsid w:val="3F42428E"/>
    <w:rsid w:val="3F823162"/>
    <w:rsid w:val="3FB84DD6"/>
    <w:rsid w:val="402F520E"/>
    <w:rsid w:val="41250249"/>
    <w:rsid w:val="41377F7D"/>
    <w:rsid w:val="413A09E6"/>
    <w:rsid w:val="41471C8C"/>
    <w:rsid w:val="41676AB4"/>
    <w:rsid w:val="436037BB"/>
    <w:rsid w:val="44046D3B"/>
    <w:rsid w:val="445441A7"/>
    <w:rsid w:val="44F24093"/>
    <w:rsid w:val="45024FFC"/>
    <w:rsid w:val="45D715E1"/>
    <w:rsid w:val="45F45FF3"/>
    <w:rsid w:val="465F740E"/>
    <w:rsid w:val="47F508E0"/>
    <w:rsid w:val="4A3825B9"/>
    <w:rsid w:val="4A3F618E"/>
    <w:rsid w:val="4A6D07B9"/>
    <w:rsid w:val="4B497F7A"/>
    <w:rsid w:val="4BB75CCC"/>
    <w:rsid w:val="4BD9233D"/>
    <w:rsid w:val="4BE12910"/>
    <w:rsid w:val="4CDC7AA1"/>
    <w:rsid w:val="4D3F324D"/>
    <w:rsid w:val="4E0F5754"/>
    <w:rsid w:val="4F2E78B5"/>
    <w:rsid w:val="501F49FD"/>
    <w:rsid w:val="50C82E97"/>
    <w:rsid w:val="51233DD7"/>
    <w:rsid w:val="52377F97"/>
    <w:rsid w:val="527C65CF"/>
    <w:rsid w:val="53110BF4"/>
    <w:rsid w:val="53310ADA"/>
    <w:rsid w:val="53CE4739"/>
    <w:rsid w:val="543C1CC1"/>
    <w:rsid w:val="54727336"/>
    <w:rsid w:val="54866DF9"/>
    <w:rsid w:val="54BA200A"/>
    <w:rsid w:val="55080362"/>
    <w:rsid w:val="5607799E"/>
    <w:rsid w:val="5696684F"/>
    <w:rsid w:val="57007337"/>
    <w:rsid w:val="573A62BB"/>
    <w:rsid w:val="58F509F1"/>
    <w:rsid w:val="59C4319E"/>
    <w:rsid w:val="59E4582B"/>
    <w:rsid w:val="59FC4F8A"/>
    <w:rsid w:val="5A4D7877"/>
    <w:rsid w:val="5A636DE3"/>
    <w:rsid w:val="5A6804AB"/>
    <w:rsid w:val="5A76296A"/>
    <w:rsid w:val="5AA75B84"/>
    <w:rsid w:val="5ACC2E9D"/>
    <w:rsid w:val="5AEE56F8"/>
    <w:rsid w:val="5C372975"/>
    <w:rsid w:val="5C740423"/>
    <w:rsid w:val="5C7F166A"/>
    <w:rsid w:val="5E554AD3"/>
    <w:rsid w:val="5E5B12F6"/>
    <w:rsid w:val="5F42525F"/>
    <w:rsid w:val="5FBF7663"/>
    <w:rsid w:val="5FDF6AB4"/>
    <w:rsid w:val="604D40FC"/>
    <w:rsid w:val="60AC1676"/>
    <w:rsid w:val="60D038E2"/>
    <w:rsid w:val="60D70DF6"/>
    <w:rsid w:val="61515789"/>
    <w:rsid w:val="622D7DE6"/>
    <w:rsid w:val="624B723D"/>
    <w:rsid w:val="625E3163"/>
    <w:rsid w:val="62791362"/>
    <w:rsid w:val="629D2560"/>
    <w:rsid w:val="636B5546"/>
    <w:rsid w:val="637A3CA6"/>
    <w:rsid w:val="644E6FB5"/>
    <w:rsid w:val="644F31D5"/>
    <w:rsid w:val="64EC6D10"/>
    <w:rsid w:val="660E230F"/>
    <w:rsid w:val="66197A87"/>
    <w:rsid w:val="6623097E"/>
    <w:rsid w:val="662572A5"/>
    <w:rsid w:val="67126006"/>
    <w:rsid w:val="674A241E"/>
    <w:rsid w:val="67BB0B3F"/>
    <w:rsid w:val="682F07AA"/>
    <w:rsid w:val="68751207"/>
    <w:rsid w:val="68807C64"/>
    <w:rsid w:val="688C69CF"/>
    <w:rsid w:val="68CD5DAB"/>
    <w:rsid w:val="68E777C5"/>
    <w:rsid w:val="69C21C42"/>
    <w:rsid w:val="6A570167"/>
    <w:rsid w:val="6AC61574"/>
    <w:rsid w:val="6B087209"/>
    <w:rsid w:val="6B3E7572"/>
    <w:rsid w:val="6BE2044C"/>
    <w:rsid w:val="6E904AFE"/>
    <w:rsid w:val="6EDB6611"/>
    <w:rsid w:val="6FAB550E"/>
    <w:rsid w:val="6FBC2114"/>
    <w:rsid w:val="705F607C"/>
    <w:rsid w:val="70902932"/>
    <w:rsid w:val="70AE175A"/>
    <w:rsid w:val="70F56BEF"/>
    <w:rsid w:val="71533028"/>
    <w:rsid w:val="71946328"/>
    <w:rsid w:val="71BF33D8"/>
    <w:rsid w:val="71DC79A6"/>
    <w:rsid w:val="72B84B0A"/>
    <w:rsid w:val="730D7B4F"/>
    <w:rsid w:val="735D4003"/>
    <w:rsid w:val="73910128"/>
    <w:rsid w:val="73A8356E"/>
    <w:rsid w:val="73D56FFD"/>
    <w:rsid w:val="73FA265E"/>
    <w:rsid w:val="740C0C71"/>
    <w:rsid w:val="74714F78"/>
    <w:rsid w:val="748C2191"/>
    <w:rsid w:val="74D745B8"/>
    <w:rsid w:val="74F764D9"/>
    <w:rsid w:val="75C537CD"/>
    <w:rsid w:val="766377D4"/>
    <w:rsid w:val="76DE7671"/>
    <w:rsid w:val="76E73479"/>
    <w:rsid w:val="771D30BE"/>
    <w:rsid w:val="77FD363B"/>
    <w:rsid w:val="784E1FE2"/>
    <w:rsid w:val="78803D6C"/>
    <w:rsid w:val="79013F44"/>
    <w:rsid w:val="79B501B0"/>
    <w:rsid w:val="7A83368F"/>
    <w:rsid w:val="7AAC3CA8"/>
    <w:rsid w:val="7AAD7310"/>
    <w:rsid w:val="7B0809BE"/>
    <w:rsid w:val="7B51667E"/>
    <w:rsid w:val="7C25495A"/>
    <w:rsid w:val="7C5173AC"/>
    <w:rsid w:val="7CCC5441"/>
    <w:rsid w:val="7D155E1F"/>
    <w:rsid w:val="7DB52BB3"/>
    <w:rsid w:val="7DDC0B9A"/>
    <w:rsid w:val="7E490EF5"/>
    <w:rsid w:val="7E6E4733"/>
    <w:rsid w:val="7E7202C2"/>
    <w:rsid w:val="7EAB4C25"/>
    <w:rsid w:val="7FBA0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1"/>
    <w:autoRedefine/>
    <w:qFormat/>
    <w:uiPriority w:val="0"/>
    <w:pPr>
      <w:jc w:val="left"/>
    </w:pPr>
    <w:rPr>
      <w:rFonts w:ascii="Arial" w:hAnsi="Arial" w:eastAsia="黑体" w:cs="Arial"/>
    </w:rPr>
  </w:style>
  <w:style w:type="paragraph" w:styleId="9">
    <w:name w:val="Body Text"/>
    <w:basedOn w:val="1"/>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autoRedefine/>
    <w:qFormat/>
    <w:uiPriority w:val="0"/>
    <w:pPr>
      <w:spacing w:after="120"/>
      <w:ind w:left="420" w:leftChars="200"/>
    </w:pPr>
  </w:style>
  <w:style w:type="paragraph" w:styleId="11">
    <w:name w:val="envelope return"/>
    <w:basedOn w:val="1"/>
    <w:next w:val="6"/>
    <w:qFormat/>
    <w:uiPriority w:val="0"/>
    <w:pPr>
      <w:snapToGrid w:val="0"/>
    </w:pPr>
    <w:rPr>
      <w:rFonts w:ascii="Arial" w:hAnsi="Arial"/>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autoRedefine/>
    <w:qFormat/>
    <w:uiPriority w:val="99"/>
    <w:rPr>
      <w:rFonts w:ascii="宋体" w:hAnsi="Courier New" w:eastAsiaTheme="minorEastAsia" w:cstheme="minorBidi"/>
      <w:szCs w:val="22"/>
    </w:rPr>
  </w:style>
  <w:style w:type="paragraph" w:styleId="14">
    <w:name w:val="Date"/>
    <w:basedOn w:val="1"/>
    <w:next w:val="1"/>
    <w:link w:val="57"/>
    <w:autoRedefine/>
    <w:qFormat/>
    <w:uiPriority w:val="0"/>
    <w:rPr>
      <w:rFonts w:ascii="Arial" w:hAnsi="Arial" w:eastAsia="宋体" w:cs="Arial"/>
      <w:b/>
      <w:sz w:val="28"/>
    </w:rPr>
  </w:style>
  <w:style w:type="paragraph" w:styleId="15">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6">
    <w:name w:val="Balloon Text"/>
    <w:basedOn w:val="1"/>
    <w:link w:val="43"/>
    <w:autoRedefine/>
    <w:semiHidden/>
    <w:unhideWhenUsed/>
    <w:qFormat/>
    <w:uiPriority w:val="99"/>
    <w:rPr>
      <w:sz w:val="18"/>
      <w:szCs w:val="18"/>
    </w:rPr>
  </w:style>
  <w:style w:type="paragraph" w:styleId="17">
    <w:name w:val="footer"/>
    <w:basedOn w:val="1"/>
    <w:link w:val="48"/>
    <w:autoRedefine/>
    <w:unhideWhenUsed/>
    <w:qFormat/>
    <w:uiPriority w:val="99"/>
    <w:pPr>
      <w:tabs>
        <w:tab w:val="center" w:pos="4153"/>
        <w:tab w:val="right" w:pos="8306"/>
      </w:tabs>
      <w:snapToGrid w:val="0"/>
      <w:jc w:val="left"/>
    </w:pPr>
    <w:rPr>
      <w:sz w:val="18"/>
      <w:szCs w:val="18"/>
    </w:rPr>
  </w:style>
  <w:style w:type="paragraph" w:styleId="18">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Body Text First Indent"/>
    <w:basedOn w:val="9"/>
    <w:autoRedefine/>
    <w:unhideWhenUsed/>
    <w:qFormat/>
    <w:uiPriority w:val="99"/>
    <w:pPr>
      <w:ind w:firstLine="420" w:firstLineChars="100"/>
    </w:pPr>
  </w:style>
  <w:style w:type="paragraph" w:styleId="25">
    <w:name w:val="Body Text First Indent 2"/>
    <w:basedOn w:val="10"/>
    <w:next w:val="1"/>
    <w:qFormat/>
    <w:uiPriority w:val="0"/>
    <w:pPr>
      <w:spacing w:line="360" w:lineRule="auto"/>
      <w:ind w:firstLine="200" w:firstLineChars="200"/>
    </w:pPr>
    <w:rPr>
      <w:rFonts w:ascii="宋体"/>
    </w:rPr>
  </w:style>
  <w:style w:type="table" w:styleId="27">
    <w:name w:val="Table Grid"/>
    <w:basedOn w:val="26"/>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5C5C5C"/>
      <w:u w:val="none"/>
    </w:rPr>
  </w:style>
  <w:style w:type="character" w:styleId="31">
    <w:name w:val="Emphasis"/>
    <w:basedOn w:val="28"/>
    <w:qFormat/>
    <w:uiPriority w:val="20"/>
    <w:rPr>
      <w:b/>
      <w:b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FF" w:themeColor="hyperlink"/>
      <w:u w:val="single"/>
      <w14:textFill>
        <w14:solidFill>
          <w14:schemeClr w14:val="hlink"/>
        </w14:solidFill>
      </w14:textFill>
    </w:rPr>
  </w:style>
  <w:style w:type="character" w:styleId="37">
    <w:name w:val="HTML Code"/>
    <w:basedOn w:val="28"/>
    <w:semiHidden/>
    <w:unhideWhenUsed/>
    <w:qFormat/>
    <w:uiPriority w:val="99"/>
    <w:rPr>
      <w:rFonts w:hint="default"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color w:val="D6D6D6"/>
      <w:sz w:val="20"/>
    </w:rPr>
  </w:style>
  <w:style w:type="character" w:styleId="40">
    <w:name w:val="HTML Sample"/>
    <w:basedOn w:val="28"/>
    <w:semiHidden/>
    <w:unhideWhenUsed/>
    <w:qFormat/>
    <w:uiPriority w:val="99"/>
    <w:rPr>
      <w:rFonts w:ascii="monospace" w:hAnsi="monospace" w:eastAsia="monospace" w:cs="monospace"/>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42">
    <w:name w:val="正文文字 8"/>
    <w:basedOn w:val="1"/>
    <w:next w:val="1"/>
    <w:qFormat/>
    <w:uiPriority w:val="0"/>
    <w:pPr>
      <w:ind w:left="240"/>
    </w:pPr>
    <w:rPr>
      <w:sz w:val="16"/>
    </w:rPr>
  </w:style>
  <w:style w:type="character" w:customStyle="1" w:styleId="43">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8"/>
    <w:link w:val="18"/>
    <w:autoRedefine/>
    <w:qFormat/>
    <w:uiPriority w:val="0"/>
    <w:rPr>
      <w:rFonts w:ascii="@仿宋_GB2312" w:hAnsi="@仿宋_GB2312" w:eastAsia="@仿宋_GB2312" w:cs="@仿宋_GB2312"/>
      <w:sz w:val="18"/>
      <w:szCs w:val="18"/>
    </w:rPr>
  </w:style>
  <w:style w:type="character" w:customStyle="1" w:styleId="48">
    <w:name w:val="页脚 Char"/>
    <w:basedOn w:val="28"/>
    <w:link w:val="17"/>
    <w:autoRedefine/>
    <w:qFormat/>
    <w:uiPriority w:val="99"/>
    <w:rPr>
      <w:rFonts w:ascii="@仿宋_GB2312" w:hAnsi="@仿宋_GB2312" w:eastAsia="@仿宋_GB2312" w:cs="@仿宋_GB2312"/>
      <w:sz w:val="18"/>
      <w:szCs w:val="18"/>
    </w:rPr>
  </w:style>
  <w:style w:type="character" w:customStyle="1" w:styleId="49">
    <w:name w:val="纯文本 Char"/>
    <w:link w:val="13"/>
    <w:autoRedefine/>
    <w:qFormat/>
    <w:uiPriority w:val="0"/>
    <w:rPr>
      <w:rFonts w:ascii="宋体" w:hAnsi="Courier New"/>
    </w:rPr>
  </w:style>
  <w:style w:type="character" w:customStyle="1" w:styleId="50">
    <w:name w:val="纯文本 字符1"/>
    <w:basedOn w:val="28"/>
    <w:autoRedefine/>
    <w:semiHidden/>
    <w:qFormat/>
    <w:uiPriority w:val="99"/>
    <w:rPr>
      <w:rFonts w:hAnsi="Courier New" w:cs="Courier New" w:asciiTheme="minorEastAsia"/>
      <w:szCs w:val="20"/>
    </w:rPr>
  </w:style>
  <w:style w:type="character" w:customStyle="1" w:styleId="51">
    <w:name w:val="未处理的提及1"/>
    <w:basedOn w:val="28"/>
    <w:autoRedefine/>
    <w:semiHidden/>
    <w:unhideWhenUsed/>
    <w:qFormat/>
    <w:uiPriority w:val="99"/>
    <w:rPr>
      <w:color w:val="605E5C"/>
      <w:shd w:val="clear" w:color="auto" w:fill="E1DFDD"/>
    </w:rPr>
  </w:style>
  <w:style w:type="paragraph" w:styleId="52">
    <w:name w:val="List Paragraph"/>
    <w:basedOn w:val="1"/>
    <w:next w:val="53"/>
    <w:autoRedefine/>
    <w:qFormat/>
    <w:uiPriority w:val="34"/>
    <w:pPr>
      <w:ind w:firstLine="420" w:firstLineChars="200"/>
    </w:pPr>
  </w:style>
  <w:style w:type="paragraph" w:customStyle="1" w:styleId="53">
    <w:name w:val="_Style 2"/>
    <w:basedOn w:val="1"/>
    <w:qFormat/>
    <w:uiPriority w:val="0"/>
    <w:pPr>
      <w:ind w:firstLine="420" w:firstLineChars="200"/>
    </w:pPr>
    <w:rPr>
      <w:rFonts w:ascii="Times New Roman" w:hAnsi="Times New Roman" w:eastAsia="宋体" w:cs="Times New Roman"/>
    </w:r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8"/>
    <w:autoRedefine/>
    <w:semiHidden/>
    <w:qFormat/>
    <w:uiPriority w:val="99"/>
    <w:rPr>
      <w:rFonts w:ascii="@仿宋_GB2312" w:hAnsi="@仿宋_GB2312" w:eastAsia="@仿宋_GB2312" w:cs="@仿宋_GB2312"/>
      <w:szCs w:val="20"/>
    </w:rPr>
  </w:style>
  <w:style w:type="character" w:customStyle="1" w:styleId="57">
    <w:name w:val="日期 Char"/>
    <w:link w:val="14"/>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szCs w:val="22"/>
    </w:rPr>
  </w:style>
  <w:style w:type="character" w:customStyle="1" w:styleId="60">
    <w:name w:val="批注文字 Char"/>
    <w:basedOn w:val="28"/>
    <w:autoRedefine/>
    <w:semiHidden/>
    <w:qFormat/>
    <w:uiPriority w:val="99"/>
    <w:rPr>
      <w:rFonts w:ascii="@仿宋_GB2312" w:hAnsi="@仿宋_GB2312" w:eastAsia="@仿宋_GB2312" w:cs="@仿宋_GB2312"/>
      <w:szCs w:val="20"/>
    </w:rPr>
  </w:style>
  <w:style w:type="character" w:customStyle="1" w:styleId="61">
    <w:name w:val="批注文字 Char1"/>
    <w:link w:val="8"/>
    <w:autoRedefine/>
    <w:qFormat/>
    <w:uiPriority w:val="0"/>
    <w:rPr>
      <w:rFonts w:ascii="Arial" w:hAnsi="Arial" w:eastAsia="黑体" w:cs="Arial"/>
      <w:szCs w:val="20"/>
    </w:rPr>
  </w:style>
  <w:style w:type="character" w:customStyle="1" w:styleId="62">
    <w:name w:val="标题 1 Char"/>
    <w:basedOn w:val="28"/>
    <w:link w:val="2"/>
    <w:autoRedefine/>
    <w:qFormat/>
    <w:uiPriority w:val="9"/>
    <w:rPr>
      <w:rFonts w:ascii="@仿宋_GB2312" w:hAnsi="@仿宋_GB2312" w:eastAsia="@仿宋_GB2312" w:cs="@仿宋_GB2312"/>
      <w:b/>
      <w:bCs/>
      <w:kern w:val="44"/>
      <w:sz w:val="44"/>
      <w:szCs w:val="44"/>
    </w:rPr>
  </w:style>
  <w:style w:type="paragraph" w:customStyle="1" w:styleId="6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28"/>
    <w:link w:val="4"/>
    <w:autoRedefine/>
    <w:semiHidden/>
    <w:qFormat/>
    <w:uiPriority w:val="9"/>
    <w:rPr>
      <w:rFonts w:ascii="@仿宋_GB2312" w:hAnsi="@仿宋_GB2312" w:eastAsia="@仿宋_GB2312" w:cs="@仿宋_GB2312"/>
      <w:b/>
      <w:bCs/>
      <w:sz w:val="32"/>
      <w:szCs w:val="32"/>
    </w:rPr>
  </w:style>
  <w:style w:type="character" w:customStyle="1" w:styleId="65">
    <w:name w:val="fontstyle01"/>
    <w:basedOn w:val="28"/>
    <w:autoRedefine/>
    <w:qFormat/>
    <w:uiPriority w:val="0"/>
    <w:rPr>
      <w:rFonts w:hint="eastAsia" w:ascii="宋体" w:hAnsi="宋体" w:eastAsia="宋体"/>
      <w:color w:val="000000"/>
      <w:sz w:val="22"/>
      <w:szCs w:val="22"/>
    </w:rPr>
  </w:style>
  <w:style w:type="character" w:customStyle="1" w:styleId="66">
    <w:name w:val="fontstyle21"/>
    <w:basedOn w:val="28"/>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5"/>
    <w:autoRedefine/>
    <w:qFormat/>
    <w:uiPriority w:val="0"/>
    <w:rPr>
      <w:rFonts w:ascii="@仿宋_GB2312" w:hAnsi="@仿宋_GB2312" w:eastAsia="@仿宋_GB2312" w:cs="@仿宋_GB2312"/>
      <w:b/>
      <w:bCs/>
      <w:sz w:val="28"/>
      <w:szCs w:val="28"/>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hover"/>
    <w:basedOn w:val="28"/>
    <w:qFormat/>
    <w:uiPriority w:val="0"/>
    <w:rPr>
      <w:color w:val="2590EB"/>
      <w:shd w:val="clear" w:color="auto" w:fill="E9F4FD"/>
    </w:rPr>
  </w:style>
  <w:style w:type="character" w:customStyle="1" w:styleId="75">
    <w:name w:val="hover1"/>
    <w:basedOn w:val="28"/>
    <w:qFormat/>
    <w:uiPriority w:val="0"/>
    <w:rPr>
      <w:color w:val="2590EB"/>
    </w:rPr>
  </w:style>
  <w:style w:type="character" w:customStyle="1" w:styleId="76">
    <w:name w:val="hover2"/>
    <w:basedOn w:val="28"/>
    <w:qFormat/>
    <w:uiPriority w:val="0"/>
    <w:rPr>
      <w:color w:val="2590EB"/>
    </w:rPr>
  </w:style>
  <w:style w:type="character" w:customStyle="1" w:styleId="77">
    <w:name w:val="hover3"/>
    <w:basedOn w:val="28"/>
    <w:qFormat/>
    <w:uiPriority w:val="0"/>
  </w:style>
  <w:style w:type="character" w:customStyle="1" w:styleId="78">
    <w:name w:val="hover4"/>
    <w:basedOn w:val="28"/>
    <w:qFormat/>
    <w:uiPriority w:val="0"/>
    <w:rPr>
      <w:color w:val="2590EB"/>
      <w:shd w:val="clear" w:color="auto" w:fill="E9F4FD"/>
    </w:rPr>
  </w:style>
  <w:style w:type="character" w:customStyle="1" w:styleId="79">
    <w:name w:val="layui-this"/>
    <w:basedOn w:val="28"/>
    <w:qFormat/>
    <w:uiPriority w:val="0"/>
    <w:rPr>
      <w:bdr w:val="single" w:color="EEEEEE" w:sz="6" w:space="0"/>
      <w:shd w:val="clear" w:fill="FFFFFF"/>
    </w:rPr>
  </w:style>
  <w:style w:type="character" w:customStyle="1" w:styleId="80">
    <w:name w:val="first-child"/>
    <w:basedOn w:val="28"/>
    <w:qFormat/>
    <w:uiPriority w:val="0"/>
  </w:style>
  <w:style w:type="character" w:customStyle="1" w:styleId="81">
    <w:name w:val="font41"/>
    <w:basedOn w:val="28"/>
    <w:qFormat/>
    <w:uiPriority w:val="0"/>
    <w:rPr>
      <w:rFonts w:hint="eastAsia" w:ascii="宋体" w:hAnsi="宋体" w:eastAsia="宋体" w:cs="宋体"/>
      <w:color w:val="000000"/>
      <w:sz w:val="20"/>
      <w:szCs w:val="20"/>
      <w:u w:val="none"/>
    </w:rPr>
  </w:style>
  <w:style w:type="character" w:customStyle="1" w:styleId="82">
    <w:name w:val="font71"/>
    <w:basedOn w:val="28"/>
    <w:qFormat/>
    <w:uiPriority w:val="0"/>
    <w:rPr>
      <w:rFonts w:ascii="MS Sans Serif" w:hAnsi="MS Sans Serif" w:eastAsia="MS Sans Serif" w:cs="MS Sans Serif"/>
      <w:color w:val="000000"/>
      <w:sz w:val="20"/>
      <w:szCs w:val="20"/>
      <w:u w:val="none"/>
    </w:rPr>
  </w:style>
  <w:style w:type="character" w:customStyle="1" w:styleId="83">
    <w:name w:val="time"/>
    <w:basedOn w:val="28"/>
    <w:qFormat/>
    <w:uiPriority w:val="0"/>
  </w:style>
  <w:style w:type="character" w:customStyle="1" w:styleId="84">
    <w:name w:val="status"/>
    <w:basedOn w:val="28"/>
    <w:qFormat/>
    <w:uiPriority w:val="0"/>
    <w:rPr>
      <w:color w:val="0776DD"/>
    </w:rPr>
  </w:style>
  <w:style w:type="character" w:customStyle="1" w:styleId="85">
    <w:name w:val="font81"/>
    <w:basedOn w:val="28"/>
    <w:qFormat/>
    <w:uiPriority w:val="0"/>
    <w:rPr>
      <w:rFonts w:hint="eastAsia" w:ascii="宋体" w:hAnsi="宋体" w:eastAsia="宋体" w:cs="宋体"/>
      <w:b/>
      <w:bCs/>
      <w:color w:val="000000"/>
      <w:sz w:val="20"/>
      <w:szCs w:val="20"/>
      <w:u w:val="none"/>
    </w:rPr>
  </w:style>
  <w:style w:type="character" w:customStyle="1" w:styleId="86">
    <w:name w:val="font91"/>
    <w:basedOn w:val="28"/>
    <w:qFormat/>
    <w:uiPriority w:val="0"/>
    <w:rPr>
      <w:rFonts w:ascii="Calibri" w:hAnsi="Calibri" w:cs="Calibri"/>
      <w:color w:val="000000"/>
      <w:sz w:val="20"/>
      <w:szCs w:val="20"/>
      <w:u w:val="none"/>
    </w:rPr>
  </w:style>
  <w:style w:type="character" w:customStyle="1" w:styleId="87">
    <w:name w:val="font31"/>
    <w:basedOn w:val="28"/>
    <w:qFormat/>
    <w:uiPriority w:val="0"/>
    <w:rPr>
      <w:rFonts w:hint="eastAsia" w:ascii="宋体" w:hAnsi="宋体" w:eastAsia="宋体" w:cs="宋体"/>
      <w:color w:val="000000"/>
      <w:sz w:val="20"/>
      <w:szCs w:val="20"/>
      <w:u w:val="none"/>
    </w:rPr>
  </w:style>
  <w:style w:type="character" w:customStyle="1" w:styleId="88">
    <w:name w:val="font101"/>
    <w:basedOn w:val="28"/>
    <w:qFormat/>
    <w:uiPriority w:val="0"/>
    <w:rPr>
      <w:rFonts w:ascii="MS Sans Serif" w:hAnsi="MS Sans Serif" w:eastAsia="MS Sans Serif" w:cs="MS Sans Serif"/>
      <w:color w:val="000000"/>
      <w:sz w:val="20"/>
      <w:szCs w:val="20"/>
      <w:u w:val="none"/>
    </w:rPr>
  </w:style>
  <w:style w:type="paragraph" w:customStyle="1" w:styleId="8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90">
    <w:name w:val="范本-标题-黑体-四号-居中-固定值20磅"/>
    <w:basedOn w:val="1"/>
    <w:qFormat/>
    <w:uiPriority w:val="0"/>
    <w:pPr>
      <w:adjustRightInd/>
      <w:spacing w:line="400" w:lineRule="exact"/>
      <w:jc w:val="center"/>
    </w:pPr>
    <w:rPr>
      <w:rFonts w:hint="eastAsia" w:ascii="黑体" w:hAnsi="黑体" w:eastAsia="黑体"/>
      <w:snapToGrid w:val="0"/>
      <w:color w:val="000000"/>
      <w:sz w:val="28"/>
      <w:szCs w:val="28"/>
    </w:rPr>
  </w:style>
  <w:style w:type="paragraph" w:customStyle="1" w:styleId="91">
    <w:name w:val="范本-表格-标题行-宋体加粗-五号-固定值20磅"/>
    <w:basedOn w:val="1"/>
    <w:qFormat/>
    <w:uiPriority w:val="0"/>
    <w:pPr>
      <w:spacing w:line="400" w:lineRule="exact"/>
      <w:jc w:val="center"/>
    </w:pPr>
    <w:rPr>
      <w:b/>
      <w:sz w:val="21"/>
    </w:rPr>
  </w:style>
  <w:style w:type="character" w:customStyle="1" w:styleId="92">
    <w:name w:val="layui-layer-tabnow"/>
    <w:basedOn w:val="28"/>
    <w:qFormat/>
    <w:uiPriority w:val="0"/>
    <w:rPr>
      <w:bdr w:val="single" w:color="CCCCCC" w:sz="6" w:space="0"/>
      <w:shd w:val="clear" w:fill="FFFFFF"/>
    </w:rPr>
  </w:style>
  <w:style w:type="character" w:customStyle="1" w:styleId="93">
    <w:name w:val="mini-outputtext1"/>
    <w:basedOn w:val="28"/>
    <w:qFormat/>
    <w:uiPriority w:val="0"/>
  </w:style>
  <w:style w:type="character" w:customStyle="1" w:styleId="94">
    <w:name w:val="last-child1"/>
    <w:basedOn w:val="28"/>
    <w:qFormat/>
    <w:uiPriority w:val="0"/>
  </w:style>
  <w:style w:type="character" w:customStyle="1" w:styleId="95">
    <w:name w:val="first-child1"/>
    <w:basedOn w:val="28"/>
    <w:qFormat/>
    <w:uiPriority w:val="0"/>
  </w:style>
  <w:style w:type="character" w:customStyle="1" w:styleId="96">
    <w:name w:val="last-child"/>
    <w:basedOn w:val="28"/>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microsoft.com/office/2007/relationships/diagramDrawing" Target="diagrams/drawing1.xml"/><Relationship Id="rId13" Type="http://schemas.openxmlformats.org/officeDocument/2006/relationships/diagramColors" Target="diagrams/colors1.xml"/><Relationship Id="rId12" Type="http://schemas.openxmlformats.org/officeDocument/2006/relationships/diagramQuickStyle" Target="diagrams/quickStyle1.xml"/><Relationship Id="rId11" Type="http://schemas.openxmlformats.org/officeDocument/2006/relationships/diagramLayout" Target="diagrams/layout1.xml"/><Relationship Id="rId10" Type="http://schemas.openxmlformats.org/officeDocument/2006/relationships/diagramData" Target="diagrams/data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align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align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alignNode1">
    <dgm:fillClrLst meth="repeat">
      <a:srgbClr val="4F81BD"/>
    </dgm:fillClrLst>
    <dgm:linClrLst meth="repeat">
      <a:srgbClr val="4F81BD"/>
    </dgm:linClrLst>
    <dgm:effectClrLst/>
    <dgm:txLinClrLst/>
    <dgm:txFillClrLst/>
    <dgm:txEffectClrLst/>
  </dgm:styleLbl>
  <dgm:styleLbl name="asst0">
    <dgm:fillClrLst meth="repeat">
      <a:srgbClr val="4F81BD"/>
    </dgm:fillClrLst>
    <dgm:linClrLst meth="repeat">
      <a:srgbClr val="FFFFFF"/>
    </dgm:linClrLst>
    <dgm:effectClrLst/>
    <dgm:txLinClrLst/>
    <dgm:txFillClrLst/>
    <dgm:txEffectClrLst/>
  </dgm:styleLbl>
  <dgm:styleLbl name="asst1">
    <dgm:fillClrLst meth="repeat">
      <a:srgbClr val="4F81BD"/>
    </dgm:fillClrLst>
    <dgm:linClrLst meth="repeat">
      <a:srgbClr val="FFFFFF"/>
    </dgm:linClrLst>
    <dgm:effectClrLst/>
    <dgm:txLinClrLst/>
    <dgm:txFillClrLst/>
    <dgm:txEffectClrLst/>
  </dgm:styleLbl>
  <dgm:styleLbl name="asst2">
    <dgm:fillClrLst meth="repeat">
      <a:srgbClr val="4F81BD"/>
    </dgm:fillClrLst>
    <dgm:linClrLst meth="repeat">
      <a:srgbClr val="FFFFFF"/>
    </dgm:linClrLst>
    <dgm:effectClrLst/>
    <dgm:txLinClrLst/>
    <dgm:txFillClrLst/>
    <dgm:txEffectClrLst/>
  </dgm:styleLbl>
  <dgm:styleLbl name="asst3">
    <dgm:fillClrLst meth="repeat">
      <a:srgbClr val="4F81BD"/>
    </dgm:fillClrLst>
    <dgm:linClrLst meth="repeat">
      <a:srgbClr val="FFFFFF"/>
    </dgm:linClrLst>
    <dgm:effectClrLst/>
    <dgm:txLinClrLst/>
    <dgm:txFillClrLst/>
    <dgm:txEffectClrLst/>
  </dgm:styleLbl>
  <dgm:styleLbl name="asst4">
    <dgm:fillClrLst meth="repeat">
      <a:srgbClr val="4F81BD"/>
    </dgm:fillClrLst>
    <dgm:linClrLst meth="repeat">
      <a:srgbClr val="FFFFFF"/>
    </dgm:linClrLst>
    <dgm:effectClrLst/>
    <dgm:txLinClrLst/>
    <dgm:txFillClrLst/>
    <dgm:txEffectClrLst/>
  </dgm:styleLbl>
  <dgm:styleLbl name="b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bg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bg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bgShp">
    <dgm:fillClrLst meth="repeat">
      <a:srgbClr val="D0D8E8">
        <a:tint val="40000"/>
      </a:srgbClr>
    </dgm:fillClrLst>
    <dgm:linClrLst meth="repeat">
      <a:srgbClr val="4F81BD"/>
    </dgm:linClrLst>
    <dgm:effectClrLst/>
    <dgm:txLinClrLst/>
    <dgm:txFillClrLst meth="repeat">
      <a:srgbClr val="000000"/>
    </dgm:txFillClrLst>
    <dgm:txEffectClrLst/>
  </dgm:styleLbl>
  <dgm:styleLbl name="bgSibTrans2D1">
    <dgm:fillClrLst meth="repeat">
      <a:srgbClr val="B2C1DB">
        <a:tint val="60000"/>
      </a:srgbClr>
    </dgm:fillClrLst>
    <dgm:linClrLst meth="repeat">
      <a:srgbClr val="B2C1DB">
        <a:tint val="60000"/>
      </a:srgbClr>
    </dgm:linClrLst>
    <dgm:effectClrLst/>
    <dgm:txLinClrLst/>
    <dgm:txFillClrLst/>
    <dgm:txEffectClrLst/>
  </dgm:styleLbl>
  <dgm:styleLbl name="callout">
    <dgm:fillClrLst meth="repeat">
      <a:srgbClr val="4F81BD"/>
    </dgm:fillClrLst>
    <dgm:linClrLst meth="repeat">
      <a:srgbClr val="C2CDE1">
        <a:tint val="50000"/>
      </a:srgbClr>
    </dgm:linClrLst>
    <dgm:effectClrLst/>
    <dgm:txLinClrLst/>
    <dgm:txFillClrLst meth="repeat">
      <a:srgbClr val="000000"/>
    </dgm:txFillClrLst>
    <dgm:txEffectClrLst/>
  </dgm:styleLbl>
  <dgm:styleLbl name="conF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dkBgShp">
    <dgm:fillClrLst meth="repeat">
      <a:srgbClr val="4774AB">
        <a:shade val="80000"/>
      </a:srgbClr>
    </dgm:fillClrLst>
    <dgm:linClrLst meth="repeat">
      <a:srgbClr val="4F81BD"/>
    </dgm:linClrLst>
    <dgm:effectClrLst/>
    <dgm:txLinClrLst/>
    <dgm:txFillClrLst meth="repeat">
      <a:srgbClr val="FFFFFF"/>
    </dgm:txFillClrLst>
    <dgm:txEffectClrLst/>
  </dgm:styleLbl>
  <dgm:styleLbl name="fgAcc0">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1">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2">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3">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4">
    <dgm:fillClrLst meth="repeat">
      <a:srgbClr val="FFFFFF">
        <a:alpha val="90000"/>
      </a:srgbClr>
    </dgm:fillClrLst>
    <dgm:linClrLst meth="repeat">
      <a:srgbClr val="4F81BD"/>
    </dgm:linClrLst>
    <dgm:effectClrLst/>
    <dgm:txLinClrLst/>
    <dgm:txFillClrLst meth="repeat">
      <a:srgbClr val="000000"/>
    </dgm:txFillClrLst>
    <dgm:txEffectClrLst/>
  </dgm:styleLbl>
  <dgm:styleLbl name="fgAccFollowNode1">
    <dgm:fillClrLst meth="repeat">
      <a:srgbClr val="D0D8E8">
        <a:alpha val="90000"/>
        <a:tint val="40000"/>
      </a:srgbClr>
    </dgm:fillClrLst>
    <dgm:linClrLst meth="repeat">
      <a:srgbClr val="D0D8E8">
        <a:alpha val="90000"/>
        <a:tint val="40000"/>
      </a:srgbClr>
    </dgm:linClrLst>
    <dgm:effectClrLst/>
    <dgm:txLinClrLst/>
    <dgm:txFillClrLst meth="repeat">
      <a:srgbClr val="000000"/>
    </dgm:txFillClrLst>
    <dgm:txEffectClrLst/>
  </dgm:styleLbl>
  <dgm:styleLbl name="fgImgPlace1">
    <dgm:fillClrLst meth="repeat">
      <a:srgbClr val="C2CDE1">
        <a:tint val="50000"/>
      </a:srgbClr>
    </dgm:fillClrLst>
    <dgm:linClrLst meth="repeat">
      <a:srgbClr val="FFFFFF"/>
    </dgm:linClrLst>
    <dgm:effectClrLst/>
    <dgm:txLinClrLst/>
    <dgm:txFillClrLst meth="repeat">
      <a:srgbClr val="FFFFFF"/>
    </dgm:txFillClrLst>
    <dgm:txEffectClrLst/>
  </dgm:styleLbl>
  <dgm:styleLbl name="fgShp">
    <dgm:fillClrLst meth="repeat">
      <a:srgbClr val="B2C1DB">
        <a:tint val="60000"/>
      </a:srgbClr>
    </dgm:fillClrLst>
    <dgm:linClrLst meth="repeat">
      <a:srgbClr val="FFFFFF"/>
    </dgm:linClrLst>
    <dgm:effectClrLst/>
    <dgm:txLinClrLst/>
    <dgm:txFillClrLst meth="repeat">
      <a:srgbClr val="000000"/>
    </dgm:txFillClrLst>
    <dgm:txEffectClrLst/>
  </dgm:styleLbl>
  <dgm:styleLbl name="fgSibTrans2D1">
    <dgm:fillClrLst meth="repeat">
      <a:srgbClr val="B2C1DB">
        <a:tint val="60000"/>
      </a:srgbClr>
    </dgm:fillClrLst>
    <dgm:linClrLst meth="repeat">
      <a:srgbClr val="B2C1DB">
        <a:tint val="60000"/>
      </a:srgbClr>
    </dgm:linClrLst>
    <dgm:effectClrLst/>
    <dgm:txLinClrLst/>
    <dgm:txFillClrLst/>
    <dgm:txEffectClrLst/>
  </dgm:styleLbl>
  <dgm:styleLbl name="lnNode1">
    <dgm:fillClrLst meth="repeat">
      <a:srgbClr val="4F81BD"/>
    </dgm:fillClrLst>
    <dgm:linClrLst meth="repeat">
      <a:srgbClr val="FFFFFF"/>
    </dgm:linClrLst>
    <dgm:effectClrLst/>
    <dgm:txLinClrLst/>
    <dgm:txFillClrLst/>
    <dgm:txEffectClrLst/>
  </dgm:styleLbl>
  <dgm:styleLbl name="node0">
    <dgm:fillClrLst meth="repeat">
      <a:srgbClr val="4F81BD"/>
    </dgm:fillClrLst>
    <dgm:linClrLst meth="repeat">
      <a:srgbClr val="FFFFFF"/>
    </dgm:linClrLst>
    <dgm:effectClrLst/>
    <dgm:txLinClrLst/>
    <dgm:txFillClrLst/>
    <dgm:txEffectClrLst/>
  </dgm:styleLbl>
  <dgm:styleLbl name="node1">
    <dgm:fillClrLst meth="repeat">
      <a:srgbClr val="4F81BD"/>
    </dgm:fillClrLst>
    <dgm:linClrLst meth="repeat">
      <a:srgbClr val="FFFFFF"/>
    </dgm:linClrLst>
    <dgm:effectClrLst/>
    <dgm:txLinClrLst/>
    <dgm:txFillClrLst/>
    <dgm:txEffectClrLst/>
  </dgm:styleLbl>
  <dgm:styleLbl name="node2">
    <dgm:fillClrLst meth="repeat">
      <a:srgbClr val="4F81BD"/>
    </dgm:fillClrLst>
    <dgm:linClrLst meth="repeat">
      <a:srgbClr val="FFFFFF"/>
    </dgm:linClrLst>
    <dgm:effectClrLst/>
    <dgm:txLinClrLst/>
    <dgm:txFillClrLst/>
    <dgm:txEffectClrLst/>
  </dgm:styleLbl>
  <dgm:styleLbl name="node3">
    <dgm:fillClrLst meth="repeat">
      <a:srgbClr val="4F81BD"/>
    </dgm:fillClrLst>
    <dgm:linClrLst meth="repeat">
      <a:srgbClr val="FFFFFF"/>
    </dgm:linClrLst>
    <dgm:effectClrLst/>
    <dgm:txLinClrLst/>
    <dgm:txFillClrLst/>
    <dgm:txEffectClrLst/>
  </dgm:styleLbl>
  <dgm:styleLbl name="node4">
    <dgm:fillClrLst meth="repeat">
      <a:srgbClr val="4F81BD"/>
    </dgm:fillClrLst>
    <dgm:linClrLst meth="repeat">
      <a:srgbClr val="FFFFFF"/>
    </dgm:linClrLst>
    <dgm:effectClrLst/>
    <dgm:txLinClrLst/>
    <dgm:txFillClrLst/>
    <dgm:txEffectClrLst/>
  </dgm:styleLbl>
  <dgm:styleLbl name="parChTrans1D1">
    <dgm:fillClrLst meth="repeat">
      <a:srgbClr val="4F81BD"/>
    </dgm:fillClrLst>
    <dgm:linClrLst meth="repeat">
      <a:srgbClr val="3D6696">
        <a:shade val="60000"/>
      </a:srgbClr>
    </dgm:linClrLst>
    <dgm:effectClrLst/>
    <dgm:txLinClrLst/>
    <dgm:txFillClrLst meth="repeat">
      <a:srgbClr val="000000"/>
    </dgm:txFillClrLst>
    <dgm:txEffectClrLst/>
  </dgm:styleLbl>
  <dgm:styleLbl name="parChTrans1D2">
    <dgm:fillClrLst meth="repeat">
      <a:srgbClr val="4F81BD"/>
    </dgm:fillClrLst>
    <dgm:linClrLst meth="repeat">
      <a:srgbClr val="3D6696">
        <a:shade val="60000"/>
      </a:srgbClr>
    </dgm:linClrLst>
    <dgm:effectClrLst/>
    <dgm:txLinClrLst/>
    <dgm:txFillClrLst meth="repeat">
      <a:srgbClr val="000000"/>
    </dgm:txFillClrLst>
    <dgm:txEffectClrLst/>
  </dgm:styleLbl>
  <dgm:styleLbl name="parChTrans1D3">
    <dgm:fillClrLst meth="repeat">
      <a:srgbClr val="4F81BD"/>
    </dgm:fillClrLst>
    <dgm:linClrLst meth="repeat">
      <a:srgbClr val="4774AB">
        <a:shade val="80000"/>
      </a:srgbClr>
    </dgm:linClrLst>
    <dgm:effectClrLst/>
    <dgm:txLinClrLst/>
    <dgm:txFillClrLst meth="repeat">
      <a:srgbClr val="000000"/>
    </dgm:txFillClrLst>
    <dgm:txEffectClrLst/>
  </dgm:styleLbl>
  <dgm:styleLbl name="parChTrans1D4">
    <dgm:fillClrLst meth="repeat">
      <a:srgbClr val="4F81BD"/>
    </dgm:fillClrLst>
    <dgm:linClrLst meth="repeat">
      <a:srgbClr val="4774AB">
        <a:shade val="80000"/>
      </a:srgbClr>
    </dgm:linClrLst>
    <dgm:effectClrLst/>
    <dgm:txLinClrLst/>
    <dgm:txFillClrLst meth="repeat">
      <a:srgbClr val="000000"/>
    </dgm:txFillClrLst>
    <dgm:txEffectClrLst/>
  </dgm:styleLbl>
  <dgm:styleLbl name="parChTrans2D1">
    <dgm:fillClrLst meth="repeat">
      <a:srgbClr val="B2C1DB">
        <a:tint val="60000"/>
      </a:srgbClr>
    </dgm:fillClrLst>
    <dgm:linClrLst meth="repeat">
      <a:srgbClr val="B2C1DB">
        <a:tint val="60000"/>
      </a:srgbClr>
    </dgm:linClrLst>
    <dgm:effectClrLst/>
    <dgm:txLinClrLst/>
    <dgm:txFillClrLst meth="repeat">
      <a:srgbClr val="FFFFFF"/>
    </dgm:txFillClrLst>
    <dgm:txEffectClrLst/>
  </dgm:styleLbl>
  <dgm:styleLbl name="parChTrans2D2">
    <dgm:fillClrLst meth="repeat">
      <a:srgbClr val="4F81BD"/>
    </dgm:fillClrLst>
    <dgm:linClrLst meth="repeat">
      <a:srgbClr val="4F81BD"/>
    </dgm:linClrLst>
    <dgm:effectClrLst/>
    <dgm:txLinClrLst/>
    <dgm:txFillClrLst meth="repeat">
      <a:srgbClr val="FFFFFF"/>
    </dgm:txFillClrLst>
    <dgm:txEffectClrLst/>
  </dgm:styleLbl>
  <dgm:styleLbl name="parChTrans2D3">
    <dgm:fillClrLst meth="repeat">
      <a:srgbClr val="4F81BD"/>
    </dgm:fillClrLst>
    <dgm:linClrLst meth="repeat">
      <a:srgbClr val="4F81BD"/>
    </dgm:linClrLst>
    <dgm:effectClrLst/>
    <dgm:txLinClrLst/>
    <dgm:txFillClrLst meth="repeat">
      <a:srgbClr val="FFFFFF"/>
    </dgm:txFillClrLst>
    <dgm:txEffectClrLst/>
  </dgm:styleLbl>
  <dgm:styleLbl name="parChTrans2D4">
    <dgm:fillClrLst meth="repeat">
      <a:srgbClr val="4F81BD"/>
    </dgm:fillClrLst>
    <dgm:linClrLst meth="repeat">
      <a:srgbClr val="4F81BD"/>
    </dgm:linClrLst>
    <dgm:effectClrLst/>
    <dgm:txLinClrLst/>
    <dgm:txFillClrLst meth="repeat">
      <a:srgbClr val="FFFFFF"/>
    </dgm:txFillClrLst>
    <dgm:txEffectClrLst/>
  </dgm:styleLbl>
  <dgm:styleLbl name="revTx">
    <dgm:fillClrLst meth="repeat">
      <a:srgbClr val="FFFFFF">
        <a:alpha val="0"/>
      </a:srgbClr>
    </dgm:fillClrLst>
    <dgm:linClrLst meth="repeat">
      <a:srgbClr val="000000">
        <a:alpha val="0"/>
      </a:srgbClr>
    </dgm:linClrLst>
    <dgm:effectClrLst/>
    <dgm:txLinClrLst/>
    <dgm:txFillClrLst meth="repeat">
      <a:srgbClr val="000000"/>
    </dgm:txFillClrLst>
    <dgm:txEffectClrLst/>
  </dgm:styleLbl>
  <dgm:styleLbl name="sibTrans1D1">
    <dgm:fillClrLst meth="repeat">
      <a:srgbClr val="4F81BD"/>
    </dgm:fillClrLst>
    <dgm:linClrLst meth="repeat">
      <a:srgbClr val="4F81BD"/>
    </dgm:linClrLst>
    <dgm:effectClrLst/>
    <dgm:txLinClrLst/>
    <dgm:txFillClrLst meth="repeat">
      <a:srgbClr val="000000"/>
    </dgm:txFillClrLst>
    <dgm:txEffectClrLst/>
  </dgm:styleLbl>
  <dgm:styleLbl name="sibTrans2D1">
    <dgm:fillClrLst meth="repeat">
      <a:srgbClr val="B2C1DB">
        <a:tint val="60000"/>
      </a:srgbClr>
    </dgm:fillClrLst>
    <dgm:linClrLst meth="repeat">
      <a:srgbClr val="B2C1DB">
        <a:tint val="60000"/>
      </a:srgbClr>
    </dgm:linClrLst>
    <dgm:effectClrLst/>
    <dgm:txLinClrLst/>
    <dgm:txFillClrLst/>
    <dgm:txEffectClrLst/>
  </dgm:styleLbl>
  <dgm:styleLbl name="solidAlignAcc1">
    <dgm:fillClrLst meth="repeat">
      <a:srgbClr val="FFFFFF"/>
    </dgm:fillClrLst>
    <dgm:linClrLst meth="repeat">
      <a:srgbClr val="4F81BD"/>
    </dgm:linClrLst>
    <dgm:effectClrLst/>
    <dgm:txLinClrLst/>
    <dgm:txFillClrLst meth="repeat">
      <a:srgbClr val="000000"/>
    </dgm:txFillClrLst>
    <dgm:txEffectClrLst/>
  </dgm:styleLbl>
  <dgm:styleLbl name="solidBgAcc1">
    <dgm:fillClrLst meth="repeat">
      <a:srgbClr val="FFFFFF"/>
    </dgm:fillClrLst>
    <dgm:linClrLst meth="repeat">
      <a:srgbClr val="4F81BD"/>
    </dgm:linClrLst>
    <dgm:effectClrLst/>
    <dgm:txLinClrLst/>
    <dgm:txFillClrLst meth="repeat">
      <a:srgbClr val="000000"/>
    </dgm:txFillClrLst>
    <dgm:txEffectClrLst/>
  </dgm:styleLbl>
  <dgm:styleLbl name="solidFgAcc1">
    <dgm:fillClrLst meth="repeat">
      <a:srgbClr val="FFFFFF"/>
    </dgm:fillClrLst>
    <dgm:linClrLst meth="repeat">
      <a:srgbClr val="4F81BD"/>
    </dgm:linClrLst>
    <dgm:effectClrLst/>
    <dgm:txLinClrLst/>
    <dgm:txFillClrLst meth="repeat">
      <a:srgbClr val="000000"/>
    </dgm:txFillClrLst>
    <dgm:txEffectClrLst/>
  </dgm:styleLbl>
  <dgm:styleLbl name="trAlignAcc1">
    <dgm:fillClrLst meth="repeat">
      <a:srgbClr val="FFFFFF">
        <a:alpha val="40000"/>
      </a:srgbClr>
    </dgm:fillClrLst>
    <dgm:linClrLst meth="repeat">
      <a:srgbClr val="4F81BD"/>
    </dgm:linClrLst>
    <dgm:effectClrLst/>
    <dgm:txLinClrLst/>
    <dgm:txFillClrLst meth="repeat">
      <a:srgbClr val="000000"/>
    </dgm:txFillClrLst>
    <dgm:txEffectClrLst/>
  </dgm:styleLbl>
  <dgm:styleLbl name="trBgShp">
    <dgm:fillClrLst meth="repeat">
      <a:srgbClr val="C2CDE1">
        <a:tint val="50000"/>
        <a:alpha val="40000"/>
      </a:srgbClr>
    </dgm:fillClrLst>
    <dgm:linClrLst meth="repeat">
      <a:srgbClr val="4F81BD"/>
    </dgm:linClrLst>
    <dgm:effectClrLst/>
    <dgm:txLinClrLst/>
    <dgm:txFillClrLst meth="repeat">
      <a:srgbClr val="FFFFFF"/>
    </dgm:txFillClrLst>
    <dgm:txEffectClrLst/>
  </dgm:styleLbl>
  <dgm:styleLbl name="vennNode1">
    <dgm:fillClrLst meth="repeat">
      <a:srgbClr val="4F81BD">
        <a:alpha val="50000"/>
      </a:srgbClr>
    </dgm:fillClrLst>
    <dgm:linClrLst meth="repeat">
      <a:srgbClr val="FFFFFF"/>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9B32E297-A7C3-4195-9AF8-97FFE89B8F4B}" type="doc">
      <dgm:prSet loTypeId="urn:microsoft.com/office/officeart/2005/8/layout/process1" loCatId="process" qsTypeId="urn:microsoft.com/office/officeart/2005/8/quickstyle/simple1" qsCatId="simple" csTypeId="urn:microsoft.com/office/officeart/2005/8/colors/accent1_2" csCatId="accent1" phldr="1"/>
      <dgm:spPr/>
    </dgm:pt>
    <dgm:pt modelId="{11F2C553-380F-4530-BA99-D9CB0633939A}">
      <dgm:prSet phldrT="[文本]"/>
      <dgm:spPr/>
      <dgm:t>
        <a:bodyPr/>
        <a:p>
          <a:r>
            <a:rPr lang="zh-CN" altLang="en-US"/>
            <a:t>调节池预处理</a:t>
          </a:r>
        </a:p>
      </dgm:t>
    </dgm:pt>
    <dgm:pt modelId="{7802DAC7-99DD-4CA4-84B9-5F242D8C4CCE}" cxnId="{005E8E7B-429B-4A04-8632-AF9AFAFFF8ED}" type="parTrans">
      <dgm:prSet/>
      <dgm:spPr/>
      <dgm:t>
        <a:bodyPr/>
        <a:p>
          <a:endParaRPr lang="zh-CN" altLang="en-US"/>
        </a:p>
      </dgm:t>
    </dgm:pt>
    <dgm:pt modelId="{82E73EC2-B871-40FD-8F7B-B7CDBE2BBFB1}" cxnId="{005E8E7B-429B-4A04-8632-AF9AFAFFF8ED}" type="sibTrans">
      <dgm:prSet/>
      <dgm:spPr/>
      <dgm:t>
        <a:bodyPr/>
        <a:p>
          <a:endParaRPr lang="zh-CN" altLang="en-US"/>
        </a:p>
      </dgm:t>
    </dgm:pt>
    <dgm:pt modelId="{8E1A536E-DBD3-4872-B8F7-7F66D2E8B772}">
      <dgm:prSet phldrT="[文本]"/>
      <dgm:spPr/>
      <dgm:t>
        <a:bodyPr/>
        <a:p>
          <a:r>
            <a:rPr lang="zh-CN" altLang="en-US"/>
            <a:t>缺氧池反硝化</a:t>
          </a:r>
        </a:p>
      </dgm:t>
    </dgm:pt>
    <dgm:pt modelId="{5005B92C-E2A2-4934-8646-B77384285006}" cxnId="{50FF645F-E365-4274-AA1F-943E4FE72296}" type="parTrans">
      <dgm:prSet/>
      <dgm:spPr/>
      <dgm:t>
        <a:bodyPr/>
        <a:p>
          <a:endParaRPr lang="zh-CN" altLang="en-US"/>
        </a:p>
      </dgm:t>
    </dgm:pt>
    <dgm:pt modelId="{666215D2-28DC-4E72-9FC6-4B2B89AEA9B1}" cxnId="{50FF645F-E365-4274-AA1F-943E4FE72296}" type="sibTrans">
      <dgm:prSet/>
      <dgm:spPr/>
      <dgm:t>
        <a:bodyPr/>
        <a:p>
          <a:endParaRPr lang="zh-CN" altLang="en-US"/>
        </a:p>
      </dgm:t>
    </dgm:pt>
    <dgm:pt modelId="{5FFD565B-69B8-4A45-949B-ADC98DA1B977}">
      <dgm:prSet phldrT="[文本]"/>
      <dgm:spPr/>
      <dgm:t>
        <a:bodyPr/>
        <a:p>
          <a:r>
            <a:rPr lang="en-US" altLang="zh-CN"/>
            <a:t>MBR</a:t>
          </a:r>
          <a:r>
            <a:rPr lang="zh-CN" altLang="en-US"/>
            <a:t>膜生物反应</a:t>
          </a:r>
        </a:p>
      </dgm:t>
    </dgm:pt>
    <dgm:pt modelId="{B7C552E8-0636-4694-9D96-9CF452CED37F}" cxnId="{40066F3A-CC19-4C36-8BA1-C6BA9061FFBB}" type="parTrans">
      <dgm:prSet/>
      <dgm:spPr/>
      <dgm:t>
        <a:bodyPr/>
        <a:p>
          <a:endParaRPr lang="zh-CN" altLang="en-US"/>
        </a:p>
      </dgm:t>
    </dgm:pt>
    <dgm:pt modelId="{FA0782BD-0E6D-4771-A517-CF6C1E314112}" cxnId="{40066F3A-CC19-4C36-8BA1-C6BA9061FFBB}" type="sibTrans">
      <dgm:prSet/>
      <dgm:spPr/>
      <dgm:t>
        <a:bodyPr/>
        <a:p>
          <a:endParaRPr lang="zh-CN" altLang="en-US"/>
        </a:p>
      </dgm:t>
    </dgm:pt>
    <dgm:pt modelId="{2F12F202-2157-4F87-83C4-1171920DD2B6}">
      <dgm:prSet phldrT="[文本]"/>
      <dgm:spPr/>
      <dgm:t>
        <a:bodyPr/>
        <a:p>
          <a:r>
            <a:rPr lang="zh-CN" altLang="en-US"/>
            <a:t>消毒处理</a:t>
          </a:r>
        </a:p>
      </dgm:t>
    </dgm:pt>
    <dgm:pt modelId="{5DFB033F-47BC-4765-B544-44D3607FE07A}" cxnId="{9374268A-A299-41E4-A2DE-20724928C3E0}" type="parTrans">
      <dgm:prSet/>
      <dgm:spPr/>
    </dgm:pt>
    <dgm:pt modelId="{F8E863F9-F445-455A-B4B7-B4864EB8F426}" cxnId="{9374268A-A299-41E4-A2DE-20724928C3E0}" type="sibTrans">
      <dgm:prSet/>
      <dgm:spPr/>
    </dgm:pt>
    <dgm:pt modelId="{D8084DCB-2707-4323-80AC-A31A3F95A7CA}" type="pres">
      <dgm:prSet presAssocID="{9B32E297-A7C3-4195-9AF8-97FFE89B8F4B}" presName="Name0" presStyleCnt="0">
        <dgm:presLayoutVars>
          <dgm:dir/>
          <dgm:resizeHandles val="exact"/>
        </dgm:presLayoutVars>
      </dgm:prSet>
      <dgm:spPr/>
    </dgm:pt>
    <dgm:pt modelId="{0CFE4314-8C55-479D-B332-B6665E0A81DF}" type="pres">
      <dgm:prSet presAssocID="{11F2C553-380F-4530-BA99-D9CB0633939A}" presName="node" presStyleLbl="node1" presStyleIdx="0" presStyleCnt="4">
        <dgm:presLayoutVars>
          <dgm:bulletEnabled val="1"/>
        </dgm:presLayoutVars>
      </dgm:prSet>
      <dgm:spPr/>
    </dgm:pt>
    <dgm:pt modelId="{6879A2D6-C874-4A5F-8980-F0D1C607301C}" type="pres">
      <dgm:prSet presAssocID="{82E73EC2-B871-40FD-8F7B-B7CDBE2BBFB1}" presName="sibTrans" presStyleLbl="sibTrans2D1" presStyleIdx="0" presStyleCnt="3"/>
      <dgm:spPr/>
    </dgm:pt>
    <dgm:pt modelId="{E7CD31F9-5058-4353-8AAC-69B46297D8AC}" type="pres">
      <dgm:prSet presAssocID="{82E73EC2-B871-40FD-8F7B-B7CDBE2BBFB1}" presName="connectorText" presStyleLbl="sibTrans2D1" presStyleIdx="0" presStyleCnt="3"/>
      <dgm:spPr/>
    </dgm:pt>
    <dgm:pt modelId="{B2623A1F-9BF5-4E60-916E-A748F396EB96}" type="pres">
      <dgm:prSet presAssocID="{8E1A536E-DBD3-4872-B8F7-7F66D2E8B772}" presName="node" presStyleLbl="node1" presStyleIdx="1" presStyleCnt="4">
        <dgm:presLayoutVars>
          <dgm:bulletEnabled val="1"/>
        </dgm:presLayoutVars>
      </dgm:prSet>
      <dgm:spPr/>
    </dgm:pt>
    <dgm:pt modelId="{4A23DC58-43A9-42FD-83F4-5681EE72807B}" type="pres">
      <dgm:prSet presAssocID="{666215D2-28DC-4E72-9FC6-4B2B89AEA9B1}" presName="sibTrans" presStyleLbl="sibTrans2D1" presStyleIdx="1" presStyleCnt="3"/>
      <dgm:spPr/>
    </dgm:pt>
    <dgm:pt modelId="{3482261E-8728-4B2C-B187-4FDE3561298C}" type="pres">
      <dgm:prSet presAssocID="{666215D2-28DC-4E72-9FC6-4B2B89AEA9B1}" presName="connectorText" presStyleLbl="sibTrans2D1" presStyleIdx="1" presStyleCnt="3"/>
      <dgm:spPr/>
    </dgm:pt>
    <dgm:pt modelId="{6440D699-243A-45BC-93C2-22EB176F783F}" type="pres">
      <dgm:prSet presAssocID="{5FFD565B-69B8-4A45-949B-ADC98DA1B977}" presName="node" presStyleLbl="node1" presStyleIdx="2" presStyleCnt="4">
        <dgm:presLayoutVars>
          <dgm:bulletEnabled val="1"/>
        </dgm:presLayoutVars>
      </dgm:prSet>
      <dgm:spPr/>
    </dgm:pt>
    <dgm:pt modelId="{BA150741-F8CD-44E0-BA0D-35CF9416E3BE}" type="pres">
      <dgm:prSet presAssocID="{FA0782BD-0E6D-4771-A517-CF6C1E314112}" presName="sibTrans" presStyleLbl="sibTrans2D1" presStyleIdx="2" presStyleCnt="3"/>
      <dgm:spPr/>
    </dgm:pt>
    <dgm:pt modelId="{C8BF7E6E-0F9B-4720-80FF-524D7AF1A5DA}" type="pres">
      <dgm:prSet presAssocID="{FA0782BD-0E6D-4771-A517-CF6C1E314112}" presName="connectorText" presStyleLbl="sibTrans2D1" presStyleIdx="2" presStyleCnt="3"/>
      <dgm:spPr/>
    </dgm:pt>
    <dgm:pt modelId="{86443116-AA8D-49A3-98CE-679AD02A5C67}" type="pres">
      <dgm:prSet presAssocID="{2F12F202-2157-4F87-83C4-1171920DD2B6}" presName="node" presStyleLbl="node1" presStyleIdx="3" presStyleCnt="4" custScaleX="60588">
        <dgm:presLayoutVars>
          <dgm:bulletEnabled val="1"/>
        </dgm:presLayoutVars>
      </dgm:prSet>
      <dgm:spPr/>
    </dgm:pt>
  </dgm:ptLst>
  <dgm:cxnLst>
    <dgm:cxn modelId="{99448D02-34B0-4F6A-90C4-F6D5480D5DAD}" type="presOf" srcId="{FA0782BD-0E6D-4771-A517-CF6C1E314112}" destId="{BA150741-F8CD-44E0-BA0D-35CF9416E3BE}" srcOrd="0" destOrd="0" presId="urn:microsoft.com/office/officeart/2005/8/layout/process1"/>
    <dgm:cxn modelId="{528B3909-1659-447E-9ACD-467F5A302BF2}" type="presOf" srcId="{5FFD565B-69B8-4A45-949B-ADC98DA1B977}" destId="{6440D699-243A-45BC-93C2-22EB176F783F}" srcOrd="0" destOrd="0" presId="urn:microsoft.com/office/officeart/2005/8/layout/process1"/>
    <dgm:cxn modelId="{E5665614-3279-4E3D-A302-B9CC387A2CBC}" type="presOf" srcId="{8E1A536E-DBD3-4872-B8F7-7F66D2E8B772}" destId="{B2623A1F-9BF5-4E60-916E-A748F396EB96}" srcOrd="0" destOrd="0" presId="urn:microsoft.com/office/officeart/2005/8/layout/process1"/>
    <dgm:cxn modelId="{B140C51A-448D-479A-AB3E-F2C11D822480}" type="presOf" srcId="{666215D2-28DC-4E72-9FC6-4B2B89AEA9B1}" destId="{3482261E-8728-4B2C-B187-4FDE3561298C}" srcOrd="1" destOrd="0" presId="urn:microsoft.com/office/officeart/2005/8/layout/process1"/>
    <dgm:cxn modelId="{40066F3A-CC19-4C36-8BA1-C6BA9061FFBB}" srcId="{9B32E297-A7C3-4195-9AF8-97FFE89B8F4B}" destId="{5FFD565B-69B8-4A45-949B-ADC98DA1B977}" srcOrd="2" destOrd="0" parTransId="{B7C552E8-0636-4694-9D96-9CF452CED37F}" sibTransId="{FA0782BD-0E6D-4771-A517-CF6C1E314112}"/>
    <dgm:cxn modelId="{19BF903B-F591-4BF2-97FE-A8A4922FB8A1}" type="presOf" srcId="{82E73EC2-B871-40FD-8F7B-B7CDBE2BBFB1}" destId="{6879A2D6-C874-4A5F-8980-F0D1C607301C}" srcOrd="0" destOrd="0" presId="urn:microsoft.com/office/officeart/2005/8/layout/process1"/>
    <dgm:cxn modelId="{50FF645F-E365-4274-AA1F-943E4FE72296}" srcId="{9B32E297-A7C3-4195-9AF8-97FFE89B8F4B}" destId="{8E1A536E-DBD3-4872-B8F7-7F66D2E8B772}" srcOrd="1" destOrd="0" parTransId="{5005B92C-E2A2-4934-8646-B77384285006}" sibTransId="{666215D2-28DC-4E72-9FC6-4B2B89AEA9B1}"/>
    <dgm:cxn modelId="{1C4B1D44-54C0-4DBC-BF78-055CFD420C5C}" type="presOf" srcId="{9B32E297-A7C3-4195-9AF8-97FFE89B8F4B}" destId="{D8084DCB-2707-4323-80AC-A31A3F95A7CA}" srcOrd="0" destOrd="0" presId="urn:microsoft.com/office/officeart/2005/8/layout/process1"/>
    <dgm:cxn modelId="{61948E75-7B3D-41C9-A034-701BE7875181}" type="presOf" srcId="{666215D2-28DC-4E72-9FC6-4B2B89AEA9B1}" destId="{4A23DC58-43A9-42FD-83F4-5681EE72807B}" srcOrd="0" destOrd="0" presId="urn:microsoft.com/office/officeart/2005/8/layout/process1"/>
    <dgm:cxn modelId="{005E8E7B-429B-4A04-8632-AF9AFAFFF8ED}" srcId="{9B32E297-A7C3-4195-9AF8-97FFE89B8F4B}" destId="{11F2C553-380F-4530-BA99-D9CB0633939A}" srcOrd="0" destOrd="0" parTransId="{7802DAC7-99DD-4CA4-84B9-5F242D8C4CCE}" sibTransId="{82E73EC2-B871-40FD-8F7B-B7CDBE2BBFB1}"/>
    <dgm:cxn modelId="{9374268A-A299-41E4-A2DE-20724928C3E0}" srcId="{9B32E297-A7C3-4195-9AF8-97FFE89B8F4B}" destId="{2F12F202-2157-4F87-83C4-1171920DD2B6}" srcOrd="3" destOrd="0" parTransId="{5DFB033F-47BC-4765-B544-44D3607FE07A}" sibTransId="{F8E863F9-F445-455A-B4B7-B4864EB8F426}"/>
    <dgm:cxn modelId="{2793FB99-89B0-4BB8-9B59-527A84151B0D}" type="presOf" srcId="{82E73EC2-B871-40FD-8F7B-B7CDBE2BBFB1}" destId="{E7CD31F9-5058-4353-8AAC-69B46297D8AC}" srcOrd="1" destOrd="0" presId="urn:microsoft.com/office/officeart/2005/8/layout/process1"/>
    <dgm:cxn modelId="{8BAD9DA0-B262-4C32-BE0C-844F533CECDB}" type="presOf" srcId="{FA0782BD-0E6D-4771-A517-CF6C1E314112}" destId="{C8BF7E6E-0F9B-4720-80FF-524D7AF1A5DA}" srcOrd="1" destOrd="0" presId="urn:microsoft.com/office/officeart/2005/8/layout/process1"/>
    <dgm:cxn modelId="{95F6B2C3-C1FF-4FC7-BA76-5A05B6654CBD}" type="presOf" srcId="{11F2C553-380F-4530-BA99-D9CB0633939A}" destId="{0CFE4314-8C55-479D-B332-B6665E0A81DF}" srcOrd="0" destOrd="0" presId="urn:microsoft.com/office/officeart/2005/8/layout/process1"/>
    <dgm:cxn modelId="{C2CDC6D4-428D-4500-99AD-4435DBB7BD7B}" type="presOf" srcId="{2F12F202-2157-4F87-83C4-1171920DD2B6}" destId="{86443116-AA8D-49A3-98CE-679AD02A5C67}" srcOrd="0" destOrd="0" presId="urn:microsoft.com/office/officeart/2005/8/layout/process1"/>
    <dgm:cxn modelId="{B4995104-DA2D-4B2B-A93B-6BF80560C44E}" type="presParOf" srcId="{D8084DCB-2707-4323-80AC-A31A3F95A7CA}" destId="{0CFE4314-8C55-479D-B332-B6665E0A81DF}" srcOrd="0" destOrd="0" presId="urn:microsoft.com/office/officeart/2005/8/layout/process1"/>
    <dgm:cxn modelId="{3DCA8A2C-D7F6-4605-AF10-2CA91A92A1F9}" type="presParOf" srcId="{D8084DCB-2707-4323-80AC-A31A3F95A7CA}" destId="{6879A2D6-C874-4A5F-8980-F0D1C607301C}" srcOrd="1" destOrd="0" presId="urn:microsoft.com/office/officeart/2005/8/layout/process1"/>
    <dgm:cxn modelId="{D8D02050-9CE9-410E-81A0-C435802BE520}" type="presParOf" srcId="{6879A2D6-C874-4A5F-8980-F0D1C607301C}" destId="{E7CD31F9-5058-4353-8AAC-69B46297D8AC}" srcOrd="0" destOrd="0" presId="urn:microsoft.com/office/officeart/2005/8/layout/process1"/>
    <dgm:cxn modelId="{764CB2E7-8DE6-482B-8123-8D449477F127}" type="presParOf" srcId="{D8084DCB-2707-4323-80AC-A31A3F95A7CA}" destId="{B2623A1F-9BF5-4E60-916E-A748F396EB96}" srcOrd="2" destOrd="0" presId="urn:microsoft.com/office/officeart/2005/8/layout/process1"/>
    <dgm:cxn modelId="{654D8076-968B-4210-8CE0-DF6A89382DE7}" type="presParOf" srcId="{D8084DCB-2707-4323-80AC-A31A3F95A7CA}" destId="{4A23DC58-43A9-42FD-83F4-5681EE72807B}" srcOrd="3" destOrd="0" presId="urn:microsoft.com/office/officeart/2005/8/layout/process1"/>
    <dgm:cxn modelId="{071402FD-6ACE-4330-A565-E6E355F4A1F2}" type="presParOf" srcId="{4A23DC58-43A9-42FD-83F4-5681EE72807B}" destId="{3482261E-8728-4B2C-B187-4FDE3561298C}" srcOrd="0" destOrd="0" presId="urn:microsoft.com/office/officeart/2005/8/layout/process1"/>
    <dgm:cxn modelId="{AFBA2C89-6484-48A9-A973-7443532AC390}" type="presParOf" srcId="{D8084DCB-2707-4323-80AC-A31A3F95A7CA}" destId="{6440D699-243A-45BC-93C2-22EB176F783F}" srcOrd="4" destOrd="0" presId="urn:microsoft.com/office/officeart/2005/8/layout/process1"/>
    <dgm:cxn modelId="{C6295591-EE7B-4A06-9075-FF047E307391}" type="presParOf" srcId="{D8084DCB-2707-4323-80AC-A31A3F95A7CA}" destId="{BA150741-F8CD-44E0-BA0D-35CF9416E3BE}" srcOrd="5" destOrd="0" presId="urn:microsoft.com/office/officeart/2005/8/layout/process1"/>
    <dgm:cxn modelId="{44E078E0-959F-4567-8766-8A6A1638F156}" type="presParOf" srcId="{BA150741-F8CD-44E0-BA0D-35CF9416E3BE}" destId="{C8BF7E6E-0F9B-4720-80FF-524D7AF1A5DA}" srcOrd="0" destOrd="0" presId="urn:microsoft.com/office/officeart/2005/8/layout/process1"/>
    <dgm:cxn modelId="{3DC623DD-DF46-4835-A0F9-55846CD7354A}" type="presParOf" srcId="{D8084DCB-2707-4323-80AC-A31A3F95A7CA}" destId="{86443116-AA8D-49A3-98CE-679AD02A5C67}" srcOrd="6"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726430" cy="396240"/>
        <a:chOff x="0" y="0"/>
        <a:chExt cx="5726430" cy="396240"/>
      </a:xfrm>
    </dsp:grpSpPr>
    <dsp:sp modelId="{0CFE4314-8C55-479D-B332-B6665E0A81DF}">
      <dsp:nvSpPr>
        <dsp:cNvPr id="3" name="圆角矩形 2"/>
        <dsp:cNvSpPr/>
      </dsp:nvSpPr>
      <dsp:spPr bwMode="white">
        <a:xfrm>
          <a:off x="0"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调节池预处理</a:t>
          </a:r>
        </a:p>
      </dsp:txBody>
      <dsp:txXfrm>
        <a:off x="0" y="0"/>
        <a:ext cx="1101237" cy="396240"/>
      </dsp:txXfrm>
    </dsp:sp>
    <dsp:sp modelId="{6879A2D6-C874-4A5F-8980-F0D1C607301C}">
      <dsp:nvSpPr>
        <dsp:cNvPr id="4" name="右箭头 3"/>
        <dsp:cNvSpPr/>
      </dsp:nvSpPr>
      <dsp:spPr bwMode="white">
        <a:xfrm>
          <a:off x="1204753"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1204753" y="61567"/>
        <a:ext cx="233462" cy="273107"/>
      </dsp:txXfrm>
    </dsp:sp>
    <dsp:sp modelId="{B2623A1F-9BF5-4E60-916E-A748F396EB96}">
      <dsp:nvSpPr>
        <dsp:cNvPr id="5" name="圆角矩形 4"/>
        <dsp:cNvSpPr/>
      </dsp:nvSpPr>
      <dsp:spPr bwMode="white">
        <a:xfrm>
          <a:off x="1541731"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缺氧池反硝化</a:t>
          </a:r>
        </a:p>
      </dsp:txBody>
      <dsp:txXfrm>
        <a:off x="1541731" y="0"/>
        <a:ext cx="1101237" cy="396240"/>
      </dsp:txXfrm>
    </dsp:sp>
    <dsp:sp modelId="{4A23DC58-43A9-42FD-83F4-5681EE72807B}">
      <dsp:nvSpPr>
        <dsp:cNvPr id="6" name="右箭头 5"/>
        <dsp:cNvSpPr/>
      </dsp:nvSpPr>
      <dsp:spPr bwMode="white">
        <a:xfrm>
          <a:off x="2746484"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2746484" y="61567"/>
        <a:ext cx="233462" cy="273107"/>
      </dsp:txXfrm>
    </dsp:sp>
    <dsp:sp modelId="{6440D699-243A-45BC-93C2-22EB176F783F}">
      <dsp:nvSpPr>
        <dsp:cNvPr id="7" name="圆角矩形 6"/>
        <dsp:cNvSpPr/>
      </dsp:nvSpPr>
      <dsp:spPr bwMode="white">
        <a:xfrm>
          <a:off x="3083462"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en-US" altLang="zh-CN"/>
            <a:t>MBR</a:t>
          </a:r>
          <a:r>
            <a:rPr lang="zh-CN" altLang="en-US"/>
            <a:t>膜生物反应</a:t>
          </a:r>
        </a:p>
      </dsp:txBody>
      <dsp:txXfrm>
        <a:off x="3083462" y="0"/>
        <a:ext cx="1101237" cy="396240"/>
      </dsp:txXfrm>
    </dsp:sp>
    <dsp:sp modelId="{BA150741-F8CD-44E0-BA0D-35CF9416E3BE}">
      <dsp:nvSpPr>
        <dsp:cNvPr id="8" name="右箭头 7"/>
        <dsp:cNvSpPr/>
      </dsp:nvSpPr>
      <dsp:spPr bwMode="white">
        <a:xfrm>
          <a:off x="4288215" y="61567"/>
          <a:ext cx="233462" cy="273107"/>
        </a:xfrm>
        <a:prstGeom prst="rightArrow">
          <a:avLst>
            <a:gd name="adj1" fmla="val 60000"/>
            <a:gd name="adj2" fmla="val 50000"/>
          </a:avLst>
        </a:prstGeom>
      </dsp:spPr>
      <dsp:style>
        <a:lnRef idx="0">
          <a:srgbClr val="B2C1DB">
            <a:tint val="60000"/>
          </a:srgbClr>
        </a:lnRef>
        <a:fillRef idx="1">
          <a:srgbClr val="B2C1DB">
            <a:tint val="60000"/>
          </a:srgbClr>
        </a:fillRef>
        <a:effectRef idx="0">
          <a:scrgbClr r="0" g="0" b="0"/>
        </a:effectRef>
        <a:fontRef idx="minor">
          <a:srgbClr val="FFFFFF"/>
        </a:fontRef>
      </dsp:style>
      <dsp:txBody>
        <a:bodyPr lIns="0" tIns="0" rIns="0" bIns="0" anchor="ctr"/>
        <a:lstStyle>
          <a:lvl1pPr algn="ctr">
            <a:defRPr sz="10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endParaRPr lang="zh-CN" altLang="en-US"/>
        </a:p>
      </dsp:txBody>
      <dsp:txXfrm>
        <a:off x="4288215" y="61567"/>
        <a:ext cx="233462" cy="273107"/>
      </dsp:txXfrm>
    </dsp:sp>
    <dsp:sp modelId="{86443116-AA8D-49A3-98CE-679AD02A5C67}">
      <dsp:nvSpPr>
        <dsp:cNvPr id="9" name="圆角矩形 8"/>
        <dsp:cNvSpPr/>
      </dsp:nvSpPr>
      <dsp:spPr bwMode="white">
        <a:xfrm>
          <a:off x="4625193" y="0"/>
          <a:ext cx="1101237" cy="396240"/>
        </a:xfrm>
        <a:prstGeom prst="roundRect">
          <a:avLst>
            <a:gd name="adj" fmla="val 10000"/>
          </a:avLst>
        </a:prstGeom>
      </dsp:spPr>
      <dsp:style>
        <a:lnRef idx="2">
          <a:srgbClr val="FFFFFF"/>
        </a:lnRef>
        <a:fillRef idx="1">
          <a:srgbClr val="4F81BD"/>
        </a:fillRef>
        <a:effectRef idx="0">
          <a:scrgbClr r="0" g="0" b="0"/>
        </a:effectRef>
        <a:fontRef idx="minor">
          <a:srgbClr val="FFFFFF"/>
        </a:fontRef>
      </dsp:style>
      <dsp:txBody>
        <a:bodyPr lIns="41910" tIns="41910" rIns="41910" bIns="41910"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t>消毒处理</a:t>
          </a:r>
        </a:p>
      </dsp:txBody>
      <dsp:txXfrm>
        <a:off x="4625193" y="0"/>
        <a:ext cx="1101237" cy="39624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rSet qsTypeId="urn:microsoft.com/office/officeart/2005/8/quickstyle/simple5"/>
        </dgm:pt>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rgbClr val="000000"/>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d0378169-0b27-4ee4-8a46-1b2285389c85</errorID>
      <errorWord>日至2026年</errorWord>
      <group>L1_Word</group>
      <groupName>字词问题</groupName>
      <ability>L2_Typo</ability>
      <abilityName>字词错误</abilityName>
      <candidateList>
        <item>日起至2026年</item>
      </candidateList>
      <explain/>
      <paraID>2FA3B477</paraID>
      <start>12</start>
      <end>19</end>
      <status>unmodified</status>
      <modifiedWord/>
      <trackRevisions>false</trackRevisions>
    </reviewItem>
    <reviewItem>
      <errorID>a6091076-3845-4649-a951-c60951217669</errorID>
      <errorWord>(</errorWord>
      <group>L1_Format</group>
      <groupName>格式问题</groupName>
      <ability>L2_HalfPunc</ability>
      <abilityName>全半角检查</abilityName>
      <candidateList>
        <item>（</item>
      </candidateList>
      <explain>文本全半角错误。</explain>
      <paraID>12F14C91</paraID>
      <start>11</start>
      <end>12</end>
      <status>unmodified</status>
      <modifiedWord/>
      <trackRevisions>false</trackRevisions>
    </reviewItem>
    <reviewItem>
      <errorID>a4ac7b31-b052-49cb-9c1f-fbd612e4d8d9</errorID>
      <errorWord>)</errorWord>
      <group>L1_Format</group>
      <groupName>格式问题</groupName>
      <ability>L2_HalfPunc</ability>
      <abilityName>全半角检查</abilityName>
      <candidateList>
        <item>）</item>
      </candidateList>
      <explain>文本全半角错误。</explain>
      <paraID>12F14C91</paraID>
      <start>14</start>
      <end>15</end>
      <status>unmodified</status>
      <modifiedWord/>
      <trackRevisions>false</trackRevisions>
    </reviewItem>
    <reviewItem>
      <errorID>cf2a0d46-48de-46b4-8547-b37c7a827b8a</errorID>
      <errorWord>。</errorWord>
      <group>L1_Format</group>
      <groupName>格式问题</groupName>
      <ability>L2_HalfPunc</ability>
      <abilityName>全半角检查</abilityName>
      <candidateList>
        <item>.</item>
      </candidateList>
      <explain>文本全半角错误。</explain>
      <paraID>328D5344</paraID>
      <start>252</start>
      <end>253</end>
      <status>unmodified</status>
      <modifiedWord/>
      <trackRevisions>false</trackRevisions>
    </reviewItem>
    <reviewItem>
      <errorID>bc7c6c75-3ecf-4e89-9987-4c649256d0dc</errorID>
      <errorWord>一次性支付给</errorWord>
      <group>L1_Word</group>
      <groupName>字词问题</groupName>
      <ability>L2_Typo</ability>
      <abilityName>字词错误</abilityName>
      <candidateList>
        <item>一次性支付</item>
      </candidateList>
      <explain/>
      <paraID>20C3D46B</paraID>
      <start>59</start>
      <end>65</end>
      <status>unmodified</status>
      <modifiedWord/>
      <trackRevisions>false</trackRevisions>
    </reviewItem>
    <reviewItem>
      <errorID>e1ac484d-e8dc-49fb-bf38-8a2feb7e236a</errorID>
      <errorWord>通讯</errorWord>
      <group>L1_Word</group>
      <groupName>字词问题</groupName>
      <ability>L2_Typo</ability>
      <abilityName>字词错误</abilityName>
      <candidateList>
        <item>通信</item>
      </candidateList>
      <explain/>
      <paraID>5EE1F34A</paraID>
      <start>18</start>
      <end>20</end>
      <status>unmodified</status>
      <modifiedWord/>
      <trackRevisions>false</trackRevisions>
    </reviewItem>
    <reviewItem>
      <errorID>cf148c91-2abf-4782-96c5-46a1630df086</errorID>
      <errorWord>分付</errorWord>
      <group>L1_Word</group>
      <groupName>字词问题</groupName>
      <ability>L2_Variant</ability>
      <abilityName>异形词</abilityName>
      <candidateList>
        <item>吩咐</item>
      </candidateList>
      <explain>词汇[分付]的规范词形写作[吩咐]。</explain>
      <paraID>18FF4928</paraID>
      <start>7</start>
      <end>9</end>
      <status>unmodified</status>
      <modifiedWord/>
      <trackRevisions>false</trackRevisions>
    </reviewItem>
    <reviewItem>
      <errorID>7710cd28-3c60-408e-a0a4-7838a1a00ec3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7AE3A632</paraID>
      <start>15</start>
      <end>18</end>
      <status>unmodified</status>
      <modifiedWord/>
      <trackRevisions>false</trackRevisions>
    </reviewItem>
    <reviewItem>
      <errorID>2fdbee85-5ad8-455b-b3f2-20a67fc300bf</errorID>
      <errorWord>》</errorWord>
      <group>L1_Word</group>
      <groupName>字词问题</groupName>
      <ability>L2_Typo</ability>
      <abilityName>字词错误</abilityName>
      <candidateList>
        <item>》等</item>
      </candidateList>
      <explain/>
      <paraID>7AE3A632</paraID>
      <start>34</start>
      <end>35</end>
      <status>unmodified</status>
      <modifiedWord/>
      <trackRevisions>false</trackRevisions>
    </reviewItem>
    <reviewItem>
      <errorID>2f69f862-a1b1-4808-a749-53b3918bb39a</errorID>
      <errorWord>，</errorWord>
      <group>L1_Word</group>
      <groupName>字词问题</groupName>
      <ability>L2_Typo</ability>
      <abilityName>字词错误</abilityName>
      <candidateList>
        <item>，将</item>
      </candidateList>
      <explain/>
      <paraID>5D1C2A6B</paraID>
      <start>109</start>
      <end>110</end>
      <status>unmodified</status>
      <modifiedWord/>
      <trackRevisions>false</trackRevisions>
    </reviewItem>
    <reviewItem>
      <errorID>64307472-dd06-4437-8869-ce766103b32c</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23A89A35</paraID>
      <start>61</start>
      <end>65</end>
      <status>unmodified</status>
      <modifiedWord/>
      <trackRevisions>false</trackRevisions>
    </reviewItem>
    <reviewItem>
      <errorID>ad0f926c-d7cd-4eb4-a908-8ebf2053c115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5C4C36E</paraID>
      <start>15</start>
      <end>18</end>
      <status>unmodified</status>
      <modifiedWord/>
      <trackRevisions>false</trackRevisions>
    </reviewItem>
    <reviewItem>
      <errorID>9068a542-da8c-4d78-a616-50e27063267f</errorID>
      <errorWord>&gt;</errorWord>
      <group>L1_Format</group>
      <groupName>格式问题</groupName>
      <ability>L2_HalfPunc</ability>
      <abilityName>全半角检查</abilityName>
      <candidateList>
        <item>〉</item>
      </candidateList>
      <explain>文本全半角错误。</explain>
      <paraID>683C9B08</paraID>
      <start>118</start>
      <end>119</end>
      <status>unmodified</status>
      <modifiedWord/>
      <trackRevisions>false</trackRevisions>
    </reviewItem>
    <reviewItem>
      <errorID>4149782b-3a76-4918-8573-f02f1590ce51</errorID>
      <errorWord>&gt;</errorWord>
      <group>L1_Format</group>
      <groupName>格式问题</groupName>
      <ability>L2_HalfPunc</ability>
      <abilityName>全半角检查</abilityName>
      <candidateList>
        <item>〉</item>
      </candidateList>
      <explain>文本全半角错误。</explain>
      <paraID>683C9B08</paraID>
      <start>123</start>
      <end>124</end>
      <status>unmodified</status>
      <modifiedWord/>
      <trackRevisions>false</trackRevisions>
    </reviewItem>
    <reviewItem>
      <errorID>ef0b796e-bd1b-40f0-bf08-b46e04eae44d</errorID>
      <errorWord>(</errorWord>
      <group>L1_Format</group>
      <groupName>格式问题</groupName>
      <ability>L2_HalfPunc</ability>
      <abilityName>全半角检查</abilityName>
      <candidateList>
        <item>（</item>
      </candidateList>
      <explain>文本全半角错误。</explain>
      <paraID>683C9B08</paraID>
      <start>135</start>
      <end>136</end>
      <status>unmodified</status>
      <modifiedWord/>
      <trackRevisions>false</trackRevisions>
    </reviewItem>
    <reviewItem>
      <errorID>dbe4345f-33b2-4ede-bb17-9f071ac6ab25</errorID>
      <errorWord>)</errorWord>
      <group>L1_Format</group>
      <groupName>格式问题</groupName>
      <ability>L2_HalfPunc</ability>
      <abilityName>全半角检查</abilityName>
      <candidateList>
        <item>）</item>
      </candidateList>
      <explain>文本全半角错误。</explain>
      <paraID>683C9B08</paraID>
      <start>138</start>
      <end>139</end>
      <status>unmodified</status>
      <modifiedWord/>
      <trackRevisions>false</trackRevisions>
    </reviewItem>
    <reviewItem>
      <errorID>328ec4b4-7b5b-43ee-877d-21ff3cbfd72e</errorID>
      <errorWord>５</errorWord>
      <group>L1_Format</group>
      <groupName>格式问题</groupName>
      <ability>L2_HalfPunc</ability>
      <abilityName>全半角检查</abilityName>
      <candidateList>
        <item>5</item>
      </candidateList>
      <explain>文本全半角错误。</explain>
      <paraID>6080B133</paraID>
      <start>73</start>
      <end>74</end>
      <status>unmodified</status>
      <modifiedWord/>
      <trackRevisions>false</trackRevisions>
    </reviewItem>
    <reviewItem>
      <errorID>a32ad828-e253-47fc-864b-e74e56219cbd</errorID>
      <errorWord>接收</errorWord>
      <group>L1_Word</group>
      <groupName>字词问题</groupName>
      <ability>L2_Typo</ability>
      <abilityName>字词错误</abilityName>
      <candidateList>
        <item>接受</item>
      </candidateList>
      <explain>存在发音相同字词的误用。</explain>
      <paraID>47C41AA5</paraID>
      <start>9</start>
      <end>11</end>
      <status>unmodified</status>
      <modifiedWord/>
      <trackRevisions>false</trackRevisions>
    </reviewItem>
    <reviewItem>
      <errorID>2a506464-69b4-4c3d-a139-75ef1a56fc9b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7BDC5667</paraID>
      <start>71</start>
      <end>75</end>
      <status>unmodified</status>
      <modifiedWord/>
      <trackRevisions>false</trackRevisions>
    </reviewItem>
    <reviewItem>
      <errorID>cc251499-13ab-49dd-bb46-03ac699e8540</errorID>
      <errorWord>交通厅</errorWord>
      <group>L1_Knowledge</group>
      <groupName>知识性问题</groupName>
      <ability>L2_Organization</ability>
      <abilityName>机构检查</abilityName>
      <candidateList>
        <item>交通运输厅</item>
      </candidateList>
      <explain>机关单位全简称表述错误</explain>
      <paraID>4612C68E</paraID>
      <start>3</start>
      <end>6</end>
      <status>unmodified</status>
      <modifiedWord/>
      <trackRevisions>false</trackRevisions>
    </reviewItem>
    <reviewItem>
      <errorID>0699d0d8-d889-445d-a5bc-df1946b8541e</errorID>
      <errorWord>比</errorWord>
      <group>L1_Word</group>
      <groupName>字词问题</groupName>
      <ability>L2_Typo</ability>
      <abilityName>字词错误</abilityName>
      <candidateList>
        <item>比例</item>
      </candidateList>
      <explain>〈名〉❶表示两个比相等的式子，如3∶4＝9∶12。❷两个同类量之间的倍数关系：教师和学生的～已经达到要求。❸比重❷：在所销商品中，国货的～比较大。</explain>
      <paraID>4612C68E</paraID>
      <start>87</start>
      <end>88</end>
      <status>unmodified</status>
      <modifiedWord/>
      <trackRevisions>false</trackRevisions>
    </reviewItem>
    <reviewItem>
      <errorID>e7663afd-f5e7-45ca-a45f-9133bc035cd7</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64F32A31</paraID>
      <start>18</start>
      <end>19</end>
      <status>unmodified</status>
      <modifiedWord/>
      <trackRevisions>false</trackRevisions>
    </reviewItem>
    <reviewItem>
      <errorID>f41afd81-67c2-49ac-945c-bd7570ad97f7</errorID>
      <errorWord>、</errorWord>
      <group>L1_Punc</group>
      <groupName>标点问题</groupName>
      <ability>L2_Punc</ability>
      <abilityName>标点符号检查</abilityName>
      <candidateList/>
      <explain/>
      <paraID>32B3A2D0</paraID>
      <start>0</start>
      <end>1</end>
      <status>unmodified</status>
      <modifiedWord/>
      <trackRevisions>false</trackRevisions>
    </reviewItem>
    <reviewItem>
      <errorID>c56e94db-ccba-4940-a38c-5ed105383418</errorID>
      <errorWord>(</errorWord>
      <group>L1_Format</group>
      <groupName>格式问题</groupName>
      <ability>L2_HalfPunc</ability>
      <abilityName>全半角检查</abilityName>
      <candidateList>
        <item>（</item>
      </candidateList>
      <explain>文本全半角错误。</explain>
      <paraID>32B3A2D0</paraID>
      <start>13</start>
      <end>14</end>
      <status>unmodified</status>
      <modifiedWord/>
      <trackRevisions>false</trackRevisions>
    </reviewItem>
    <reviewItem>
      <errorID>44c21b40-4fb0-45e0-9ede-ba0fd1f2b559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16697F51</paraID>
      <start>0</start>
      <end>2</end>
      <status>unmodified</status>
      <modifiedWord/>
      <trackRevisions>false</trackRevisions>
    </reviewItem>
    <reviewItem>
      <errorID>94bf97ad-f212-43bc-8ca4-e85af45231bf</errorID>
      <errorWord>(</errorWord>
      <group>L1_Format</group>
      <groupName>格式问题</groupName>
      <ability>L2_HalfPunc</ability>
      <abilityName>全半角检查</abilityName>
      <candidateList>
        <item>（</item>
      </candidateList>
      <explain>文本全半角错误。</explain>
      <paraID>45217803</paraID>
      <start>71</start>
      <end>72</end>
      <status>unmodified</status>
      <modifiedWord/>
      <trackRevisions>false</trackRevisions>
    </reviewItem>
    <reviewItem>
      <errorID>9519c96e-99d0-46a9-9b36-a4b8a9588816</errorID>
      <errorWord>)</errorWord>
      <group>L1_Format</group>
      <groupName>格式问题</groupName>
      <ability>L2_HalfPunc</ability>
      <abilityName>全半角检查</abilityName>
      <candidateList>
        <item>）</item>
      </candidateList>
      <explain>文本全半角错误。</explain>
      <paraID>45217803</paraID>
      <start>78</start>
      <end>79</end>
      <status>unmodified</status>
      <modifiedWord/>
      <trackRevisions>false</trackRevisions>
    </reviewItem>
    <reviewItem>
      <errorID>92b3d75d-36b6-45d6-adf5-86b04ed919d7</errorID>
      <errorWord>调增</errorWord>
      <group>L1_Word</group>
      <groupName>字词问题</groupName>
      <ability>L2_Typo</ability>
      <abilityName>字词错误</abilityName>
      <candidateList>
        <item>调整</item>
      </candidateList>
      <explain/>
      <paraID>45217803</paraID>
      <start>149</start>
      <end>151</end>
      <status>unmodified</status>
      <modifiedWord/>
      <trackRevisions>false</trackRevisions>
    </reviewItem>
    <reviewItem>
      <errorID>c48b3086-8eaa-4458-a160-2c4829ab0205</errorID>
      <errorWord>,</errorWord>
      <group>L1_Format</group>
      <groupName>格式问题</groupName>
      <ability>L2_HalfPunc</ability>
      <abilityName>全半角检查</abilityName>
      <candidateList>
        <item>，</item>
      </candidateList>
      <explain>文本全半角错误。</explain>
      <paraID> ED401D9</paraID>
      <start>56</start>
      <end>57</end>
      <status>unmodified</status>
      <modifiedWord/>
      <trackRevisions>false</trackRevisions>
    </reviewItem>
    <reviewItem>
      <errorID>79bce5f0-f144-4710-8566-2a54cee64d7a</errorID>
      <errorWord>需经</errorWord>
      <group>L1_Word</group>
      <groupName>字词问题</groupName>
      <ability>L2_Typo</ability>
      <abilityName>字词错误</abilityName>
      <candidateList>
        <item>须经</item>
      </candidateList>
      <explain/>
      <paraID>106EA72F</paraID>
      <start>16</start>
      <end>18</end>
      <status>unmodified</status>
      <modifiedWord/>
      <trackRevisions>false</trackRevisions>
    </reviewItem>
    <reviewItem>
      <errorID>4b2458d4-1683-401d-808e-c8ea756a0e4c</errorID>
      <errorWord>(</errorWord>
      <group>L1_Format</group>
      <groupName>格式问题</groupName>
      <ability>L2_HalfPunc</ability>
      <abilityName>全半角检查</abilityName>
      <candidateList>
        <item>（</item>
      </candidateList>
      <explain>文本全半角错误。</explain>
      <paraID>22C8D642</paraID>
      <start>15</start>
      <end>16</end>
      <status>unmodified</status>
      <modifiedWord/>
      <trackRevisions>false</trackRevisions>
    </reviewItem>
    <reviewItem>
      <errorID>b1a7a612-624b-48a7-8645-13213e037496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4ECBB56E</paraID>
      <start>0</start>
      <end>2</end>
      <status>unmodified</status>
      <modifiedWord/>
      <trackRevisions>false</trackRevisions>
    </reviewItem>
    <reviewItem>
      <errorID>25131001-3ba0-4df1-82a3-1bc7a5995f9d</errorID>
      <errorWord>,</errorWord>
      <group>L1_Format</group>
      <groupName>格式问题</groupName>
      <ability>L2_HalfPunc</ability>
      <abilityName>全半角检查</abilityName>
      <candidateList>
        <item>，</item>
      </candidateList>
      <explain>文本全半角错误。</explain>
      <paraID>3A862D8F</paraID>
      <start>15</start>
      <end>16</end>
      <status>unmodified</status>
      <modifiedWord/>
      <trackRevisions>false</trackRevisions>
    </reviewItem>
    <reviewItem>
      <errorID>22985ffc-09c9-478c-ae1c-87f4b4adbf32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5BFCC535</paraID>
      <start>0</start>
      <end>3</end>
      <status>unmodified</status>
      <modifiedWord/>
      <trackRevisions>false</trackRevisions>
    </reviewItem>
    <reviewItem>
      <errorID>7dfd7844-d0f4-4b6e-855f-4b06cde41e73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369B341B</paraID>
      <start>0</start>
      <end>3</end>
      <status>unmodified</status>
      <modifiedWord/>
      <trackRevisions>false</trackRevisions>
    </reviewItem>
    <reviewItem>
      <errorID>18f9aa02-c41b-4b2f-8983-f4c9b46066c4</errorID>
      <errorWord>,</errorWord>
      <group>L1_Format</group>
      <groupName>格式问题</groupName>
      <ability>L2_HalfPunc</ability>
      <abilityName>全半角检查</abilityName>
      <candidateList>
        <item>，</item>
      </candidateList>
      <explain>文本全半角错误。</explain>
      <paraID>62C40E39</paraID>
      <start>14</start>
      <end>15</end>
      <status>unmodified</status>
      <modifiedWord/>
      <trackRevisions>false</trackRevisions>
    </reviewItem>
    <reviewItem>
      <errorID>df90ac6d-9ce6-49e1-97c1-a81282d52288</errorID>
      <errorWord>与在</errorWord>
      <group>L1_Word</group>
      <groupName>字词问题</groupName>
      <ability>L2_Typo</ability>
      <abilityName>字词错误</abilityName>
      <candidateList>
        <item>与</item>
      </candidateList>
      <explain>（舆）yù参与：～会。</explain>
      <paraID>72AB25B9</paraID>
      <start>6</start>
      <end>8</end>
      <status>unmodified</status>
      <modifiedWord/>
      <trackRevisions>false</trackRevisions>
    </reviewItem>
    <reviewItem>
      <errorID>a4a00be8-10b3-4a50-931e-5cb3adea5623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78689AA</paraID>
      <start>4</start>
      <end>8</end>
      <status>unmodified</status>
      <modifiedWord/>
      <trackRevisions>false</trackRevisions>
    </reviewItem>
    <reviewItem>
      <errorID>e9fa7fdd-a065-4ae4-ba9d-c0886f6a389f</errorID>
      <errorWord>其它</errorWord>
      <group>L1_Word</group>
      <groupName>字词问题</groupName>
      <ability>L2_Alias</ability>
      <abilityName>也作/曾用词</abilityName>
      <candidateList>
        <item>其他</item>
      </candidateList>
      <explain>词汇[其它]为不规范表述或旧称，其规范书面表述为[其他]。</explain>
      <paraID>3CD6CC9D</paraID>
      <start>13</start>
      <end>15</end>
      <status>unmodified</status>
      <modifiedWord/>
      <trackRevisions>false</trackRevisions>
    </reviewItem>
    <reviewItem>
      <errorID>856f82fe-b8d9-4006-9bb5-b3888e91fe19</errorID>
      <errorWord>,</errorWord>
      <group>L1_Format</group>
      <groupName>格式问题</groupName>
      <ability>L2_HalfPunc</ability>
      <abilityName>全半角检查</abilityName>
      <candidateList>
        <item>，</item>
      </candidateList>
      <explain>文本全半角错误。</explain>
      <paraID>2C6DF6A4</paraID>
      <start>15</start>
      <end>16</end>
      <status>unmodified</status>
      <modifiedWord/>
      <trackRevisions>false</trackRevisions>
    </reviewItem>
    <reviewItem>
      <errorID>fe6d1d4e-2ba5-4c91-bdd2-69c4ccb9fedd</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511D05F9</paraID>
      <start>3</start>
      <end>7</end>
      <status>unmodified</status>
      <modifiedWord/>
      <trackRevisions>false</trackRevisions>
    </reviewItem>
    <reviewItem>
      <errorID>103bddd7-dedf-42b8-ba7e-e35808086b20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61E23525</paraID>
      <start>12</start>
      <end>16</end>
      <status>unmodified</status>
      <modifiedWord/>
      <trackRevisions>false</trackRevisions>
    </reviewItem>
    <reviewItem>
      <errorID>13c2d64c-3db8-47ce-b67b-256041adbe4f</errorID>
      <errorWord>,</errorWord>
      <group>L1_Format</group>
      <groupName>格式问题</groupName>
      <ability>L2_HalfPunc</ability>
      <abilityName>全半角检查</abilityName>
      <candidateList>
        <item>，</item>
      </candidateList>
      <explain>文本全半角错误。</explain>
      <paraID>7989D972</paraID>
      <start>15</start>
      <end>16</end>
      <status>unmodified</status>
      <modifiedWord/>
      <trackRevisions>false</trackRevisions>
    </reviewItem>
    <reviewItem>
      <errorID>84c95a7b-17ab-4ed1-be10-eb535eabe182</errorID>
      <errorWord>法律、法规</errorWord>
      <group>L1_Word</group>
      <groupName>字词问题</groupName>
      <ability>L2_Typo</ability>
      <abilityName>字词错误</abilityName>
      <candidateList>
        <item>法律法规</item>
      </candidateList>
      <explain/>
      <paraID>200F646D</paraID>
      <start>13</start>
      <end>18</end>
      <status>unmodified</status>
      <modifiedWord/>
      <trackRevisions>false</trackRevisions>
    </reviewItem>
    <reviewItem>
      <errorID>f2b8b3bb-50b7-49a5-b074-047f50d87cd5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3119DCE7</paraID>
      <start>3</start>
      <end>7</end>
      <status>unmodified</status>
      <modifiedWord/>
      <trackRevisions>false</trackRevisions>
    </reviewItem>
    <reviewItem>
      <errorID>aa8b8ac5-347e-40bf-ba51-4bb5fa1189af</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2B74BA6F</paraID>
      <start>12</start>
      <end>16</end>
      <status>unmodified</status>
      <modifiedWord/>
      <trackRevisions>false</trackRevisions>
    </reviewItem>
    <reviewItem>
      <errorID>2cf42fba-38e6-4182-88c5-5e01a6f9c9fa</errorID>
      <errorWord>时和</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168BE38E</paraID>
      <start>16</start>
      <end>18</end>
      <status>unmodified</status>
      <modifiedWord/>
      <trackRevisions>false</trackRevisions>
    </reviewItem>
    <reviewItem>
      <errorID>7e5106be-2711-4500-935d-4b5d92614a6b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362C0603</paraID>
      <start>0</start>
      <end>2</end>
      <status>unmodified</status>
      <modifiedWord/>
      <trackRevisions>false</trackRevisions>
    </reviewItem>
    <reviewItem>
      <errorID>44f35c10-2e74-4f62-a1eb-83e9b45bfa80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78EBAED2</paraID>
      <start>0</start>
      <end>2</end>
      <status>unmodified</status>
      <modifiedWord/>
      <trackRevisions>false</trackRevisions>
    </reviewItem>
    <reviewItem>
      <errorID>8d958710-6453-460e-904b-9acad483ef69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76BCCD6A</paraID>
      <start>0</start>
      <end>2</end>
      <status>unmodified</status>
      <modifiedWord/>
      <trackRevisions>false</trackRevisions>
    </reviewItem>
    <reviewItem>
      <errorID>620428f3-5c01-49bf-86b6-49a8592c6e29</errorID>
      <errorWord>(</errorWord>
      <group>L1_Format</group>
      <groupName>格式问题</groupName>
      <ability>L2_HalfPunc</ability>
      <abilityName>全半角检查</abilityName>
      <candidateList>
        <item>（</item>
      </candidateList>
      <explain>文本全半角错误。</explain>
      <paraID>2B400231</paraID>
      <start>160</start>
      <end>161</end>
      <status>unmodified</status>
      <modifiedWord/>
      <trackRevisions>false</trackRevisions>
    </reviewItem>
    <reviewItem>
      <errorID>067989ea-665f-40e1-9cfd-e9562c92e8b8</errorID>
      <errorWord>)</errorWord>
      <group>L1_Format</group>
      <groupName>格式问题</groupName>
      <ability>L2_HalfPunc</ability>
      <abilityName>全半角检查</abilityName>
      <candidateList>
        <item>）</item>
      </candidateList>
      <explain>文本全半角错误。</explain>
      <paraID>2B400231</paraID>
      <start>176</start>
      <end>177</end>
      <status>unmodified</status>
      <modifiedWord/>
      <trackRevisions>false</trackRevisions>
    </reviewItem>
    <reviewItem>
      <errorID>8f6d5c0d-593b-499a-b861-f386c345b605</errorID>
      <errorWord>帐</errorWord>
      <group>L1_Word</group>
      <groupName>字词问题</groupName>
      <ability>L2_Typo</ability>
      <abilityName>字词错误</abilityName>
      <candidateList>
        <item>账</item>
      </candidateList>
      <explain>存在发音相同字词的误用。</explain>
      <paraID>7340A768</paraID>
      <start>0</start>
      <end>1</end>
      <status>unmodified</status>
      <modifiedWord/>
      <trackRevisions>false</trackRevisions>
    </reviewItem>
    <reviewItem>
      <errorID>3610f6d3-a844-4135-989f-c55b90c4f451</errorID>
      <errorWord>帐    号：</errorWord>
      <group>L1_Word</group>
      <groupName>字词问题</groupName>
      <ability>L2_Typo</ability>
      <abilityName>字词错误</abilityName>
      <candidateList>
        <item>账    号：</item>
      </candidateList>
      <explain/>
      <paraID>7340A768</paraID>
      <start>31</start>
      <end>38</end>
      <status>unmodified</status>
      <modifiedWord/>
      <trackRevisions>false</trackRevisions>
    </reviewItem>
    <reviewItem>
      <errorID>d1f06417-ce61-411f-8a4d-525ec90e60eb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33395DD</paraID>
      <start>0</start>
      <end>2</end>
      <status>unmodified</status>
      <modifiedWord/>
      <trackRevisions>false</trackRevisions>
    </reviewItem>
    <reviewItem>
      <errorID>8624435a-da27-4312-ad64-5f63c328eaa5</errorID>
      <errorWord>法律、法规</errorWord>
      <group>L1_Word</group>
      <groupName>字词问题</groupName>
      <ability>L2_Typo</ability>
      <abilityName>字词错误</abilityName>
      <candidateList>
        <item>法律法规</item>
      </candidateList>
      <explain/>
      <paraID>642539DB</paraID>
      <start>20</start>
      <end>25</end>
      <status>unmodified</status>
      <modifiedWord/>
      <trackRevisions>false</trackRevisions>
    </reviewItem>
    <reviewItem>
      <errorID>30d61b72-131d-4ae7-8cf5-5e8a36106b84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1C30A41A</paraID>
      <start>0</start>
      <end>3</end>
      <status>unmodified</status>
      <modifiedWord/>
      <trackRevisions>false</trackRevisions>
    </reviewItem>
    <reviewItem>
      <errorID>106954dd-22d0-4a68-ab72-698fb8c5ecfd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229D2A63</paraID>
      <start>0</start>
      <end>3</end>
      <status>unmodified</status>
      <modifiedWord/>
      <trackRevisions>false</trackRevisions>
    </reviewItem>
    <reviewItem>
      <errorID>d8712014-ade5-41d6-b974-8e092c311122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4200EBBA</paraID>
      <start>0</start>
      <end>3</end>
      <status>unmodified</status>
      <modifiedWord/>
      <trackRevisions>false</trackRevisions>
    </reviewItem>
    <reviewItem>
      <errorID>91d4b9d1-075e-49a0-a1c0-5d891fe8cb54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7EB123D6</paraID>
      <start>0</start>
      <end>2</end>
      <status>unmodified</status>
      <modifiedWord/>
      <trackRevisions>false</trackRevisions>
    </reviewItem>
    <reviewItem>
      <errorID>44c2a8f0-e22c-411a-86e6-a57e5fc500ea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379BA26A</paraID>
      <start>0</start>
      <end>3</end>
      <status>unmodified</status>
      <modifiedWord/>
      <trackRevisions>false</trackRevisions>
    </reviewItem>
    <reviewItem>
      <errorID>c90a01c4-9cca-44fb-9be1-d5628198d4e2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4B800C74</paraID>
      <start>0</start>
      <end>3</end>
      <status>unmodified</status>
      <modifiedWord/>
      <trackRevisions>false</trackRevisions>
    </reviewItem>
    <reviewItem>
      <errorID>bcbd38bb-bd07-4aa2-99c3-6fbb960915e2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468BBAE1</paraID>
      <start>0</start>
      <end>3</end>
      <status>unmodified</status>
      <modifiedWord/>
      <trackRevisions>false</trackRevisions>
    </reviewItem>
    <reviewItem>
      <errorID>4ec22604-6092-43c5-8040-fab2298bb92c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34618743</paraID>
      <start>0</start>
      <end>3</end>
      <status>unmodified</status>
      <modifiedWord/>
      <trackRevisions>false</trackRevisions>
    </reviewItem>
    <reviewItem>
      <errorID>b0b8680e-a680-4ecb-a41a-1858ab12366a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5ACB7693</paraID>
      <start>0</start>
      <end>3</end>
      <status>unmodified</status>
      <modifiedWord/>
      <trackRevisions>false</trackRevisions>
    </reviewItem>
    <reviewItem>
      <errorID>dcfbac66-14cb-472c-b7d4-ffbc87e55d84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3E10349F</paraID>
      <start>0</start>
      <end>2</end>
      <status>unmodified</status>
      <modifiedWord/>
      <trackRevisions>false</trackRevisions>
    </reviewItem>
    <reviewItem>
      <errorID>0641fa0d-9a25-4984-b6b1-bc2e29b30d02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4FFE074E</paraID>
      <start>0</start>
      <end>3</end>
      <status>unmodified</status>
      <modifiedWord/>
      <trackRevisions>false</trackRevisions>
    </reviewItem>
    <reviewItem>
      <errorID>2856b884-2583-4790-8baf-9451d1a6c3fe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523FB010</paraID>
      <start>0</start>
      <end>3</end>
      <status>unmodified</status>
      <modifiedWord/>
      <trackRevisions>false</trackRevisions>
    </reviewItem>
    <reviewItem>
      <errorID>3e285b02-76df-4b60-879f-b8961fcd64e3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435A22FF</paraID>
      <start>0</start>
      <end>3</end>
      <status>unmodified</status>
      <modifiedWord/>
      <trackRevisions>false</trackRevisions>
    </reviewItem>
    <reviewItem>
      <errorID>5f3d67c8-82fa-40ce-bdf1-e670be9bd685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D9C01A0</paraID>
      <start>0</start>
      <end>3</end>
      <status>unmodified</status>
      <modifiedWord/>
      <trackRevisions>false</trackRevisions>
    </reviewItem>
    <reviewItem>
      <errorID>b7bcf157-fc36-4b4d-90a3-6c2243d3713b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1D2CC3D</paraID>
      <start>0</start>
      <end>3</end>
      <status>unmodified</status>
      <modifiedWord/>
      <trackRevisions>false</trackRevisions>
    </reviewItem>
    <reviewItem>
      <errorID>10d7f26a-7b7b-4dcb-bfe8-2f510feceacc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28EAB555</paraID>
      <start>0</start>
      <end>3</end>
      <status>unmodified</status>
      <modifiedWord/>
      <trackRevisions>false</trackRevisions>
    </reviewItem>
    <reviewItem>
      <errorID>3c8e2b87-47fb-4cae-90ec-96fc4c7b0f04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5A383AA5</paraID>
      <start>0</start>
      <end>2</end>
      <status>unmodified</status>
      <modifiedWord/>
      <trackRevisions>false</trackRevisions>
    </reviewItem>
    <reviewItem>
      <errorID>bd5efef4-19a4-4538-b36d-fc845c1e5476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1E65304B</paraID>
      <start>0</start>
      <end>3</end>
      <status>unmodified</status>
      <modifiedWord/>
      <trackRevisions>false</trackRevisions>
    </reviewItem>
    <reviewItem>
      <errorID>29550e2a-7424-458a-b9fc-d87344e668ec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32B69974</paraID>
      <start>0</start>
      <end>3</end>
      <status>unmodified</status>
      <modifiedWord/>
      <trackRevisions>false</trackRevisions>
    </reviewItem>
    <reviewItem>
      <errorID>bace3a50-f4ea-4446-870f-4b254b870c89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3BB484D</paraID>
      <start>0</start>
      <end>3</end>
      <status>unmodified</status>
      <modifiedWord/>
      <trackRevisions>false</trackRevisions>
    </reviewItem>
    <reviewItem>
      <errorID>804e59e5-dde6-4ba2-830a-bea0fcbd76d2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24F15B56</paraID>
      <start>0</start>
      <end>2</end>
      <status>unmodified</status>
      <modifiedWord/>
      <trackRevisions>false</trackRevisions>
    </reviewItem>
    <reviewItem>
      <errorID>d03c88c3-48dc-499a-84c6-9d2d9c6613f9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2F14A082</paraID>
      <start>0</start>
      <end>3</end>
      <status>unmodified</status>
      <modifiedWord/>
      <trackRevisions>false</trackRevisions>
    </reviewItem>
    <reviewItem>
      <errorID>4dd29f26-67d9-4091-8207-2cbb19bbc7a2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52D2C8C9</paraID>
      <start>0</start>
      <end>3</end>
      <status>unmodified</status>
      <modifiedWord/>
      <trackRevisions>false</trackRevisions>
    </reviewItem>
    <reviewItem>
      <errorID>355a770a-40f7-48c7-a75e-b866bd00e4a6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5BBA5D35</paraID>
      <start>0</start>
      <end>3</end>
      <status>unmodified</status>
      <modifiedWord/>
      <trackRevisions>false</trackRevisions>
    </reviewItem>
    <reviewItem>
      <errorID>8cb2dc4d-fecc-4b40-9baa-519854a43078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617EC1D8</paraID>
      <start>0</start>
      <end>3</end>
      <status>unmodified</status>
      <modifiedWord/>
      <trackRevisions>false</trackRevisions>
    </reviewItem>
    <reviewItem>
      <errorID>b01323d2-0291-43d6-82f1-1a38d6952de8</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15732298</paraID>
      <start>0</start>
      <end>2</end>
      <status>unmodified</status>
      <modifiedWord/>
      <trackRevisions>false</trackRevisions>
    </reviewItem>
    <reviewItem>
      <errorID>daa99ca3-21c2-42bd-bdab-1fae4ab34642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6CAEA079</paraID>
      <start>0</start>
      <end>3</end>
      <status>unmodified</status>
      <modifiedWord/>
      <trackRevisions>false</trackRevisions>
    </reviewItem>
    <reviewItem>
      <errorID>f7e6e7bd-f467-469d-b174-c8c025716012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78E1219D</paraID>
      <start>0</start>
      <end>3</end>
      <status>unmodified</status>
      <modifiedWord/>
      <trackRevisions>false</trackRevisions>
    </reviewItem>
    <reviewItem>
      <errorID>5d93cc85-6416-41a8-b0cd-e85dbb566a34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7B385366</paraID>
      <start>0</start>
      <end>3</end>
      <status>unmodified</status>
      <modifiedWord/>
      <trackRevisions>false</trackRevisions>
    </reviewItem>
    <reviewItem>
      <errorID>a5a9a48f-02b5-4028-959a-69a2b7a62d6e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7AE9F22C</paraID>
      <start>0</start>
      <end>3</end>
      <status>unmodified</status>
      <modifiedWord/>
      <trackRevisions>false</trackRevisions>
    </reviewItem>
    <reviewItem>
      <errorID>32c4bef7-d8ec-45da-929b-9757b019680e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6AA86AF3</paraID>
      <start>0</start>
      <end>3</end>
      <status>unmodified</status>
      <modifiedWord/>
      <trackRevisions>false</trackRevisions>
    </reviewItem>
    <reviewItem>
      <errorID>6c71924a-e696-4fcf-8677-422c36126101</errorID>
      <errorWord>仍</errorWord>
      <group>L1_Word</group>
      <groupName>字词问题</groupName>
      <ability>L2_Typo</ability>
      <abilityName>字词错误</abilityName>
      <candidateList>
        <item>仍有</item>
      </candidateList>
      <explain/>
      <paraID>6AA86AF3</paraID>
      <start>33</start>
      <end>34</end>
      <status>unmodified</status>
      <modifiedWord/>
      <trackRevisions>false</trackRevisions>
    </reviewItem>
    <reviewItem>
      <errorID>6d251efc-cef4-4c7e-a11d-b2f0c590359f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75623746</paraID>
      <start>0</start>
      <end>3</end>
      <status>unmodified</status>
      <modifiedWord/>
      <trackRevisions>false</trackRevisions>
    </reviewItem>
    <reviewItem>
      <errorID>62e8a473-0f2d-48f6-836d-c24efa39488f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27B61E79</paraID>
      <start>0</start>
      <end>3</end>
      <status>unmodified</status>
      <modifiedWord/>
      <trackRevisions>false</trackRevisions>
    </reviewItem>
    <reviewItem>
      <errorID>3c1a6b9d-b998-4288-bf4b-e14a8faa0314</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4AD0DC80</paraID>
      <start>0</start>
      <end>2</end>
      <status>unmodified</status>
      <modifiedWord/>
      <trackRevisions>false</trackRevisions>
    </reviewItem>
    <reviewItem>
      <errorID>52af55e5-708f-4fbd-994a-aa06f5ee5544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590F6680</paraID>
      <start>0</start>
      <end>3</end>
      <status>unmodified</status>
      <modifiedWord/>
      <trackRevisions>false</trackRevisions>
    </reviewItem>
    <reviewItem>
      <errorID>e78d59dc-ef49-4fb3-8477-2df99985236d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5936C79A</paraID>
      <start>0</start>
      <end>3</end>
      <status>unmodified</status>
      <modifiedWord/>
      <trackRevisions>false</trackRevisions>
    </reviewItem>
    <reviewItem>
      <errorID>cc914ab7-2c03-40c6-8c2c-e502c72d0e70</errorID>
      <errorWord>其它</errorWord>
      <group>L1_Word</group>
      <groupName>字词问题</groupName>
      <ability>L2_Alias</ability>
      <abilityName>也作/曾用词</abilityName>
      <candidateList>
        <item>其他</item>
      </candidateList>
      <explain>词汇[其它]为不规范表述或旧称，其规范书面表述为[其他]。</explain>
      <paraID> 673B1E5</paraID>
      <start>86</start>
      <end>88</end>
      <status>unmodified</status>
      <modifiedWord/>
      <trackRevisions>false</trackRevisions>
    </reviewItem>
    <reviewItem>
      <errorID>e09f5267-75c3-4041-89ce-afcb3c56d127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59FD496C</paraID>
      <start>0</start>
      <end>3</end>
      <status>unmodified</status>
      <modifiedWord/>
      <trackRevisions>false</trackRevisions>
    </reviewItem>
    <reviewItem>
      <errorID>09e7de46-625d-40c3-ad2a-5b59faf6c7bd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4156D4EB</paraID>
      <start>0</start>
      <end>3</end>
      <status>unmodified</status>
      <modifiedWord/>
      <trackRevisions>false</trackRevisions>
    </reviewItem>
    <reviewItem>
      <errorID>a001b45a-fc40-45aa-b19e-1ba67922345a</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768FC8E0</paraID>
      <start>0</start>
      <end>2</end>
      <status>unmodified</status>
      <modifiedWord/>
      <trackRevisions>false</trackRevisions>
    </reviewItem>
    <reviewItem>
      <errorID>70bc0be4-45df-474b-a6d4-cc522fb5eff4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1F4312B</paraID>
      <start>0</start>
      <end>3</end>
      <status>unmodified</status>
      <modifiedWord/>
      <trackRevisions>false</trackRevisions>
    </reviewItem>
    <reviewItem>
      <errorID>95763617-c1eb-407b-8536-de4a458cd709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194D8C3F</paraID>
      <start>0</start>
      <end>3</end>
      <status>unmodified</status>
      <modifiedWord/>
      <trackRevisions>false</trackRevisions>
    </reviewItem>
    <reviewItem>
      <errorID>b5e59609-432d-4469-b8de-37f66a63248f</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6653A3F8</paraID>
      <start>0</start>
      <end>2</end>
      <status>unmodified</status>
      <modifiedWord/>
      <trackRevisions>false</trackRevisions>
    </reviewItem>
    <reviewItem>
      <errorID>f3b3294d-a3ed-4f4f-a7e8-e0b87961bbb2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62BB01CE</paraID>
      <start>0</start>
      <end>3</end>
      <status>unmodified</status>
      <modifiedWord/>
      <trackRevisions>false</trackRevisions>
    </reviewItem>
    <reviewItem>
      <errorID>2db24394-b4c7-4db1-86b0-badfb525f28f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54B05CC7</paraID>
      <start>0</start>
      <end>3</end>
      <status>unmodified</status>
      <modifiedWord/>
      <trackRevisions>false</trackRevisions>
    </reviewItem>
    <reviewItem>
      <errorID>6585908f-81af-4452-a98c-bcee0bc32170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3FAE9635</paraID>
      <start>0</start>
      <end>3</end>
      <status>unmodified</status>
      <modifiedWord/>
      <trackRevisions>false</trackRevisions>
    </reviewItem>
    <reviewItem>
      <errorID>ea37e6ae-11b8-4b6e-a3a4-fae400db996e</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59051ECE</paraID>
      <start>0</start>
      <end>2</end>
      <status>unmodified</status>
      <modifiedWord/>
      <trackRevisions>false</trackRevisions>
    </reviewItem>
    <reviewItem>
      <errorID>b650ef45-dba3-49a0-943e-061c56454813</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27F0FABC</paraID>
      <start>0</start>
      <end>3</end>
      <status>unmodified</status>
      <modifiedWord/>
      <trackRevisions>false</trackRevisions>
    </reviewItem>
    <reviewItem>
      <errorID>270b0479-1086-4136-bd90-84c7246cfdd4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23F8C3EC</paraID>
      <start>0</start>
      <end>3</end>
      <status>unmodified</status>
      <modifiedWord/>
      <trackRevisions>false</trackRevisions>
    </reviewItem>
    <reviewItem>
      <errorID>142dc216-f599-4e65-a580-64bb9353fc42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36E13E8C</paraID>
      <start>0</start>
      <end>3</end>
      <status>unmodified</status>
      <modifiedWord/>
      <trackRevisions>false</trackRevisions>
    </reviewItem>
    <reviewItem>
      <errorID>080aff76-7c41-4680-9586-ee75d9927292</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3BE8577A</paraID>
      <start>0</start>
      <end>3</end>
      <status>unmodified</status>
      <modifiedWord/>
      <trackRevisions>false</trackRevisions>
    </reviewItem>
    <reviewItem>
      <errorID>20ade5d3-7a86-4fe6-9ca8-1ed249296262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490B9EF5</paraID>
      <start>22</start>
      <end>25</end>
      <status>unmodified</status>
      <modifiedWord/>
      <trackRevisions>false</trackRevisions>
    </reviewItem>
    <reviewItem>
      <errorID>46620acd-c054-47ab-990b-8ddded797a46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490B9EF5</paraID>
      <start>35</start>
      <end>38</end>
      <status>unmodified</status>
      <modifiedWord/>
      <trackRevisions>false</trackRevisions>
    </reviewItem>
    <reviewItem>
      <errorID>893f993c-9ab3-483e-b3b7-8a9d2a2289f7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2D612545</paraID>
      <start>0</start>
      <end>2</end>
      <status>unmodified</status>
      <modifiedWord/>
      <trackRevisions>false</trackRevisions>
    </reviewItem>
    <reviewItem>
      <errorID>fae6ec11-a47e-45e1-8adb-58cddd668d98</errorID>
      <errorWord>(</errorWord>
      <group>L1_Format</group>
      <groupName>格式问题</groupName>
      <ability>L2_HalfPunc</ability>
      <abilityName>全半角检查</abilityName>
      <candidateList>
        <item>（</item>
      </candidateList>
      <explain>文本全半角错误。</explain>
      <paraID>2D612545</paraID>
      <start>29</start>
      <end>30</end>
      <status>unmodified</status>
      <modifiedWord/>
      <trackRevisions>false</trackRevisions>
    </reviewItem>
    <reviewItem>
      <errorID>65180cac-b836-41fc-8f98-c3dcd9c5c66d</errorID>
      <errorWord>)</errorWord>
      <group>L1_Format</group>
      <groupName>格式问题</groupName>
      <ability>L2_HalfPunc</ability>
      <abilityName>全半角检查</abilityName>
      <candidateList>
        <item>）</item>
      </candidateList>
      <explain>文本全半角错误。</explain>
      <paraID>2D612545</paraID>
      <start>36</start>
      <end>37</end>
      <status>unmodified</status>
      <modifiedWord/>
      <trackRevisions>false</trackRevisions>
    </reviewItem>
    <reviewItem>
      <errorID>ffbaa448-e75f-4380-92c0-f16845a84a0b</errorID>
      <errorWord>调增</errorWord>
      <group>L1_Word</group>
      <groupName>字词问题</groupName>
      <ability>L2_Typo</ability>
      <abilityName>字词错误</abilityName>
      <candidateList>
        <item>调整</item>
      </candidateList>
      <explain/>
      <paraID>2D612545</paraID>
      <start>107</start>
      <end>109</end>
      <status>unmodified</status>
      <modifiedWord/>
      <trackRevisions>false</trackRevisions>
    </reviewItem>
    <reviewItem>
      <errorID>7e8df94d-038a-4428-b448-c78a7d05f675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6B9AEAB7</paraID>
      <start>0</start>
      <end>2</end>
      <status>unmodified</status>
      <modifiedWord/>
      <trackRevisions>false</trackRevisions>
    </reviewItem>
    <reviewItem>
      <errorID>047c22c8-ae1d-4f4d-9c4c-4cdc900d5ca1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A288BC1</paraID>
      <start>0</start>
      <end>2</end>
      <status>unmodified</status>
      <modifiedWord/>
      <trackRevisions>false</trackRevisions>
    </reviewItem>
    <reviewItem>
      <errorID>2ecb8cf0-6122-4045-840a-909938ebecd8</errorID>
      <errorWord>,</errorWord>
      <group>L1_Format</group>
      <groupName>格式问题</groupName>
      <ability>L2_HalfPunc</ability>
      <abilityName>全半角检查</abilityName>
      <candidateList>
        <item>，</item>
      </candidateList>
      <explain>文本全半角错误。</explain>
      <paraID>1754A21B</paraID>
      <start>28</start>
      <end>29</end>
      <status>unmodified</status>
      <modifiedWord/>
      <trackRevisions>false</trackRevisions>
    </reviewItem>
    <reviewItem>
      <errorID>eb7f3f33-724f-44fa-9dd2-77050c78362d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53DE0B20</paraID>
      <start>0</start>
      <end>2</end>
      <status>unmodified</status>
      <modifiedWord/>
      <trackRevisions>false</trackRevisions>
    </reviewItem>
    <reviewItem>
      <errorID>b17748c8-3de0-4030-8fd3-f430b41c7f19</errorID>
      <errorWord>程</errorWord>
      <group>L1_Word</group>
      <groupName>字词问题</groupName>
      <ability>L2_Typo</ability>
      <abilityName>字词错误</abilityName>
      <candidateList>
        <item>程中</item>
      </candidateList>
      <explain/>
      <paraID>1905469F</paraID>
      <start>70</start>
      <end>71</end>
      <status>unmodified</status>
      <modifiedWord/>
      <trackRevisions>false</trackRevisions>
    </reviewItem>
    <reviewItem>
      <errorID>8b39a782-dd4e-417e-a90c-dce32fce48b5</errorID>
      <errorWord>，</errorWord>
      <group>L1_Word</group>
      <groupName>字词问题</groupName>
      <ability>L2_Typo</ability>
      <abilityName>字词错误</abilityName>
      <candidateList>
        <item>，具</item>
      </candidateList>
      <explain/>
      <paraID>2CBF2F8B</paraID>
      <start>91</start>
      <end>92</end>
      <status>unmodified</status>
      <modifiedWord/>
      <trackRevisions>false</trackRevisions>
    </reviewItem>
    <reviewItem>
      <errorID>d767b033-7083-4fed-a5de-cf85a9c437a1</errorID>
      <errorWord>(</errorWord>
      <group>L1_Format</group>
      <groupName>格式问题</groupName>
      <ability>L2_HalfPunc</ability>
      <abilityName>全半角检查</abilityName>
      <candidateList>
        <item>（</item>
      </candidateList>
      <explain>文本全半角错误。</explain>
      <paraID>3E96CFF0</paraID>
      <start>152</start>
      <end>153</end>
      <status>unmodified</status>
      <modifiedWord/>
      <trackRevisions>false</trackRevisions>
    </reviewItem>
    <reviewItem>
      <errorID>0c8291dd-9134-4e5a-9997-62e0cbcbc1b7</errorID>
      <errorWord>)</errorWord>
      <group>L1_Format</group>
      <groupName>格式问题</groupName>
      <ability>L2_HalfPunc</ability>
      <abilityName>全半角检查</abilityName>
      <candidateList>
        <item>）</item>
      </candidateList>
      <explain>文本全半角错误。</explain>
      <paraID>3E96CFF0</paraID>
      <start>187</start>
      <end>188</end>
      <status>unmodified</status>
      <modifiedWord/>
      <trackRevisions>false</trackRevisions>
    </reviewItem>
    <reviewItem>
      <errorID>1b3eba84-8af2-46f4-9d64-8b3007d2fc86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24562138</paraID>
      <start>51</start>
      <end>54</end>
      <status>unmodified</status>
      <modifiedWord/>
      <trackRevisions>false</trackRevisions>
    </reviewItem>
    <reviewItem>
      <errorID>a7745872-210a-40fe-9688-e9291f342211</errorID>
      <errorWord>(</errorWord>
      <group>L1_Format</group>
      <groupName>格式问题</groupName>
      <ability>L2_HalfPunc</ability>
      <abilityName>全半角检查</abilityName>
      <candidateList>
        <item>（</item>
      </candidateList>
      <explain>文本全半角错误。</explain>
      <paraID>43120C4C</paraID>
      <start>15</start>
      <end>16</end>
      <status>unmodified</status>
      <modifiedWord/>
      <trackRevisions>false</trackRevisions>
    </reviewItem>
    <reviewItem>
      <errorID>03f7459b-7d69-4bc0-8089-c89f3ca4fa0a</errorID>
      <errorWord>)</errorWord>
      <group>L1_Format</group>
      <groupName>格式问题</groupName>
      <ability>L2_HalfPunc</ability>
      <abilityName>全半角检查</abilityName>
      <candidateList>
        <item>）</item>
      </candidateList>
      <explain>文本全半角错误。</explain>
      <paraID>43120C4C</paraID>
      <start>23</start>
      <end>24</end>
      <status>unmodified</status>
      <modifiedWord/>
      <trackRevisions>false</trackRevisions>
    </reviewItem>
    <reviewItem>
      <errorID>d691db5e-17f9-4f34-9473-c1998c1d21e0</errorID>
      <errorWord>(</errorWord>
      <group>L1_Format</group>
      <groupName>格式问题</groupName>
      <ability>L2_HalfPunc</ability>
      <abilityName>全半角检查</abilityName>
      <candidateList>
        <item>（</item>
      </candidateList>
      <explain>文本全半角错误。</explain>
      <paraID>43120C4C</paraID>
      <start>36</start>
      <end>37</end>
      <status>unmodified</status>
      <modifiedWord/>
      <trackRevisions>false</trackRevisions>
    </reviewItem>
    <reviewItem>
      <errorID>549f080f-114e-4353-bec4-6d20bff79928</errorID>
      <errorWord>)</errorWord>
      <group>L1_Format</group>
      <groupName>格式问题</groupName>
      <ability>L2_HalfPunc</ability>
      <abilityName>全半角检查</abilityName>
      <candidateList>
        <item>）</item>
      </candidateList>
      <explain>文本全半角错误。</explain>
      <paraID>43120C4C</paraID>
      <start>40</start>
      <end>41</end>
      <status>unmodified</status>
      <modifiedWord/>
      <trackRevisions>false</trackRevisions>
    </reviewItem>
    <reviewItem>
      <errorID>763694d9-0f01-4fde-8e87-af63c241de54</errorID>
      <errorWord>(</errorWord>
      <group>L1_Format</group>
      <groupName>格式问题</groupName>
      <ability>L2_HalfPunc</ability>
      <abilityName>全半角检查</abilityName>
      <candidateList>
        <item>（</item>
      </candidateList>
      <explain>文本全半角错误。</explain>
      <paraID>43120C4C</paraID>
      <start>45</start>
      <end>46</end>
      <status>unmodified</status>
      <modifiedWord/>
      <trackRevisions>false</trackRevisions>
    </reviewItem>
    <reviewItem>
      <errorID>578b9d56-a2eb-4332-ad0b-975168641846</errorID>
      <errorWord>)</errorWord>
      <group>L1_Format</group>
      <groupName>格式问题</groupName>
      <ability>L2_HalfPunc</ability>
      <abilityName>全半角检查</abilityName>
      <candidateList>
        <item>）</item>
      </candidateList>
      <explain>文本全半角错误。</explain>
      <paraID>43120C4C</paraID>
      <start>51</start>
      <end>52</end>
      <status>unmodified</status>
      <modifiedWord/>
      <trackRevisions>false</trackRevisions>
    </reviewItem>
    <reviewItem>
      <errorID>8e9146eb-f704-471b-987b-3746f7636788</errorID>
      <errorWord>(</errorWord>
      <group>L1_Format</group>
      <groupName>格式问题</groupName>
      <ability>L2_HalfPunc</ability>
      <abilityName>全半角检查</abilityName>
      <candidateList>
        <item>（</item>
      </candidateList>
      <explain>文本全半角错误。</explain>
      <paraID>3D02A0CD</paraID>
      <start>2</start>
      <end>3</end>
      <status>unmodified</status>
      <modifiedWord/>
      <trackRevisions>false</trackRevisions>
    </reviewItem>
    <reviewItem>
      <errorID>70497999-03c5-4c9d-81d6-9e3c5dc13485</errorID>
      <errorWord>)</errorWord>
      <group>L1_Format</group>
      <groupName>格式问题</groupName>
      <ability>L2_HalfPunc</ability>
      <abilityName>全半角检查</abilityName>
      <candidateList>
        <item>）</item>
      </candidateList>
      <explain>文本全半角错误。</explain>
      <paraID>3D02A0CD</paraID>
      <start>6</start>
      <end>7</end>
      <status>unmodified</status>
      <modifiedWord/>
      <trackRevisions>false</trackRevisions>
    </reviewItem>
    <reviewItem>
      <errorID>7234bc8b-70f0-4357-8782-7a02e94487ca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50C923EC</paraID>
      <start>0</start>
      <end>2</end>
      <status>unmodified</status>
      <modifiedWord/>
      <trackRevisions>false</trackRevisions>
    </reviewItem>
    <reviewItem>
      <errorID>5b2f0e15-e689-4442-bfa8-90940bd088b9</errorID>
      <errorWord>(</errorWord>
      <group>L1_Format</group>
      <groupName>格式问题</groupName>
      <ability>L2_HalfPunc</ability>
      <abilityName>全半角检查</abilityName>
      <candidateList>
        <item>（</item>
      </candidateList>
      <explain>文本全半角错误。</explain>
      <paraID>50C923EC</paraID>
      <start>2</start>
      <end>3</end>
      <status>unmodified</status>
      <modifiedWord/>
      <trackRevisions>false</trackRevisions>
    </reviewItem>
    <reviewItem>
      <errorID>ff636982-3406-4b4b-abd1-b5c5305a54bd</errorID>
      <errorWord>)</errorWord>
      <group>L1_Format</group>
      <groupName>格式问题</groupName>
      <ability>L2_HalfPunc</ability>
      <abilityName>全半角检查</abilityName>
      <candidateList>
        <item>）</item>
      </candidateList>
      <explain>文本全半角错误。</explain>
      <paraID>50C923EC</paraID>
      <start>8</start>
      <end>9</end>
      <status>unmodified</status>
      <modifiedWord/>
      <trackRevisions>false</trackRevisions>
    </reviewItem>
    <reviewItem>
      <errorID>d668ef2e-4881-4ff4-b4aa-7127a2ce97cb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4937F4E7</paraID>
      <start>0</start>
      <end>2</end>
      <status>unmodified</status>
      <modifiedWord/>
      <trackRevisions>false</trackRevisions>
    </reviewItem>
    <reviewItem>
      <errorID>54b1b7af-4d37-4344-9f2f-7fc0cd8b5cb8</errorID>
      <errorWord>(</errorWord>
      <group>L1_Format</group>
      <groupName>格式问题</groupName>
      <ability>L2_HalfPunc</ability>
      <abilityName>全半角检查</abilityName>
      <candidateList>
        <item>（</item>
      </candidateList>
      <explain>文本全半角错误。</explain>
      <paraID>4937F4E7</paraID>
      <start>2</start>
      <end>3</end>
      <status>unmodified</status>
      <modifiedWord/>
      <trackRevisions>false</trackRevisions>
    </reviewItem>
    <reviewItem>
      <errorID>e985fc1a-8e46-4986-9997-de8f82a24fef</errorID>
      <errorWord>)</errorWord>
      <group>L1_Format</group>
      <groupName>格式问题</groupName>
      <ability>L2_HalfPunc</ability>
      <abilityName>全半角检查</abilityName>
      <candidateList>
        <item>）</item>
      </candidateList>
      <explain>文本全半角错误。</explain>
      <paraID>4937F4E7</paraID>
      <start>14</start>
      <end>15</end>
      <status>unmodified</status>
      <modifiedWord/>
      <trackRevisions>false</trackRevisions>
    </reviewItem>
    <reviewItem>
      <errorID>b773c7fd-c5b0-48c3-a93c-a99e60c5a343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5C0A70AF</paraID>
      <start>0</start>
      <end>2</end>
      <status>unmodified</status>
      <modifiedWord/>
      <trackRevisions>false</trackRevisions>
    </reviewItem>
    <reviewItem>
      <errorID>5b4b8856-b3ef-4695-babe-921e18bb9d4b</errorID>
      <errorWord>(</errorWord>
      <group>L1_Format</group>
      <groupName>格式问题</groupName>
      <ability>L2_HalfPunc</ability>
      <abilityName>全半角检查</abilityName>
      <candidateList>
        <item>（</item>
      </candidateList>
      <explain>文本全半角错误。</explain>
      <paraID>5C0A70AF</paraID>
      <start>2</start>
      <end>3</end>
      <status>unmodified</status>
      <modifiedWord/>
      <trackRevisions>false</trackRevisions>
    </reviewItem>
    <reviewItem>
      <errorID>3e5b2781-af37-4ffa-9c18-e68f4375b3d7</errorID>
      <errorWord>)</errorWord>
      <group>L1_Format</group>
      <groupName>格式问题</groupName>
      <ability>L2_HalfPunc</ability>
      <abilityName>全半角检查</abilityName>
      <candidateList>
        <item>）</item>
      </candidateList>
      <explain>文本全半角错误。</explain>
      <paraID>5C0A70AF</paraID>
      <start>5</start>
      <end>6</end>
      <status>unmodified</status>
      <modifiedWord/>
      <trackRevisions>false</trackRevisions>
    </reviewItem>
    <reviewItem>
      <errorID>72282feb-071e-4613-887c-e7004ad29a00</errorID>
      <errorWord>(</errorWord>
      <group>L1_Format</group>
      <groupName>格式问题</groupName>
      <ability>L2_HalfPunc</ability>
      <abilityName>全半角检查</abilityName>
      <candidateList>
        <item>（</item>
      </candidateList>
      <explain>文本全半角错误。</explain>
      <paraID>2F149F49</paraID>
      <start>2</start>
      <end>3</end>
      <status>unmodified</status>
      <modifiedWord/>
      <trackRevisions>false</trackRevisions>
    </reviewItem>
    <reviewItem>
      <errorID>0ba8e37f-f758-48d3-861d-e88172e48cf0</errorID>
      <errorWord>)</errorWord>
      <group>L1_Format</group>
      <groupName>格式问题</groupName>
      <ability>L2_HalfPunc</ability>
      <abilityName>全半角检查</abilityName>
      <candidateList>
        <item>）</item>
      </candidateList>
      <explain>文本全半角错误。</explain>
      <paraID>2F149F49</paraID>
      <start>6</start>
      <end>7</end>
      <status>unmodified</status>
      <modifiedWord/>
      <trackRevisions>false</trackRevisions>
    </reviewItem>
    <reviewItem>
      <errorID>62b2e9f1-0a6d-4721-9535-e96401093a27</errorID>
      <errorWord>(</errorWord>
      <group>L1_Format</group>
      <groupName>格式问题</groupName>
      <ability>L2_HalfPunc</ability>
      <abilityName>全半角检查</abilityName>
      <candidateList>
        <item>（</item>
      </candidateList>
      <explain>文本全半角错误。</explain>
      <paraID>59DADFDD</paraID>
      <start>2</start>
      <end>3</end>
      <status>unmodified</status>
      <modifiedWord/>
      <trackRevisions>false</trackRevisions>
    </reviewItem>
    <reviewItem>
      <errorID>7dcc4125-6b66-4885-8036-6a137ef6f1bb</errorID>
      <errorWord>)</errorWord>
      <group>L1_Format</group>
      <groupName>格式问题</groupName>
      <ability>L2_HalfPunc</ability>
      <abilityName>全半角检查</abilityName>
      <candidateList>
        <item>）</item>
      </candidateList>
      <explain>文本全半角错误。</explain>
      <paraID>59DADFDD</paraID>
      <start>5</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4601d4-4db6-4fd6-b7f7-269f361302fb}">
  <ds:schemaRefs/>
</ds:datastoreItem>
</file>

<file path=customXml/itemProps3.xml><?xml version="1.0" encoding="utf-8"?>
<ds:datastoreItem xmlns:ds="http://schemas.openxmlformats.org/officeDocument/2006/customXml" ds:itemID="{DE202E19-8E66-40F2-B87B-00A45F8FBF0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45</Pages>
  <Words>164</Words>
  <Characters>194</Characters>
  <Lines>267</Lines>
  <Paragraphs>75</Paragraphs>
  <TotalTime>2</TotalTime>
  <ScaleCrop>false</ScaleCrop>
  <LinksUpToDate>false</LinksUpToDate>
  <CharactersWithSpaces>230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2025-05-21T00:14:00Z</dcterms:created>
  <dc:creator>Anakin</dc:creator>
  <cp:lastModifiedBy>代理</cp:lastModifiedBy>
  <cp:lastPrinted>2019-12-07T15:22:00Z</cp:lastPrinted>
  <dcterms:modified xsi:type="dcterms:W3CDTF">2026-09-29T06:45:38Z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9F5E27DBA8C345A3920513019A562804_13</vt:lpwstr>
  </property>
  <property fmtid="{D5CDD505-2E9C-101B-9397-08002B2CF9AE}" pid="4" name="KSOTemplateDocerSaveRecord">
    <vt:lpwstr>eyJoZGlkIjoiOTc5MDNjMmIyODczM2YwMGZkZTNjYWY1NjIxZTY5YjciLCJ1c2VySWQiOiI1MDM3MjkwOTMifQ==</vt:lpwstr>
  </property>
</Properties>
</file>