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F0D682">
      <w:pPr>
        <w:jc w:val="center"/>
        <w:rPr>
          <w:rFonts w:ascii="宋体" w:hAnsi="宋体" w:cs="宋体"/>
          <w:b/>
          <w:color w:val="auto"/>
          <w:kern w:val="0"/>
          <w:sz w:val="44"/>
          <w:szCs w:val="44"/>
          <w:highlight w:val="none"/>
        </w:rPr>
      </w:pPr>
      <w:bookmarkStart w:id="0" w:name="_Toc247085669"/>
      <w:bookmarkStart w:id="1" w:name="_Toc15058843"/>
      <w:bookmarkStart w:id="2" w:name="_Toc506107265"/>
      <w:bookmarkStart w:id="3" w:name="_Toc461631222"/>
      <w:bookmarkStart w:id="4" w:name="_Toc246996898"/>
      <w:bookmarkStart w:id="5" w:name="_Toc324404811"/>
      <w:bookmarkStart w:id="6" w:name="_Toc296602400"/>
      <w:bookmarkStart w:id="7" w:name="OLE_LINK5"/>
      <w:bookmarkStart w:id="8" w:name="OLE_LINK2"/>
      <w:bookmarkStart w:id="9" w:name="OLE_LINK1"/>
      <w:bookmarkStart w:id="10" w:name="OLE_LINK4"/>
      <w:bookmarkStart w:id="11" w:name="OLE_LINK3"/>
    </w:p>
    <w:p w14:paraId="47DD7C31">
      <w:pPr>
        <w:pStyle w:val="14"/>
        <w:ind w:firstLine="420"/>
        <w:rPr>
          <w:color w:val="auto"/>
          <w:highlight w:val="none"/>
        </w:rPr>
      </w:pPr>
    </w:p>
    <w:p w14:paraId="66954E6E">
      <w:pPr>
        <w:rPr>
          <w:color w:val="auto"/>
          <w:highlight w:val="none"/>
        </w:rPr>
      </w:pPr>
    </w:p>
    <w:p w14:paraId="665D6013">
      <w:pPr>
        <w:jc w:val="center"/>
        <w:rPr>
          <w:rFonts w:ascii="宋体" w:hAnsi="宋体"/>
          <w:color w:val="auto"/>
          <w:sz w:val="52"/>
          <w:szCs w:val="52"/>
          <w:highlight w:val="none"/>
        </w:rPr>
      </w:pPr>
      <w:r>
        <w:rPr>
          <w:rFonts w:hint="eastAsia" w:hAnsi="宋体" w:cs="宋体"/>
          <w:b/>
          <w:color w:val="auto"/>
          <w:kern w:val="0"/>
          <w:sz w:val="52"/>
          <w:szCs w:val="52"/>
          <w:highlight w:val="none"/>
          <w:lang w:eastAsia="zh-CN"/>
        </w:rPr>
        <w:t>城南停保场保养车间及二公司厂房地沟改造项目</w:t>
      </w:r>
    </w:p>
    <w:p w14:paraId="0076B829">
      <w:pPr>
        <w:pStyle w:val="14"/>
        <w:rPr>
          <w:color w:val="auto"/>
          <w:highlight w:val="none"/>
        </w:rPr>
      </w:pPr>
    </w:p>
    <w:p w14:paraId="2A3630CA">
      <w:pPr>
        <w:jc w:val="center"/>
        <w:rPr>
          <w:rFonts w:hint="eastAsia" w:ascii="宋体" w:hAnsi="宋体"/>
          <w:b/>
          <w:bCs/>
          <w:color w:val="auto"/>
          <w:sz w:val="96"/>
          <w:szCs w:val="96"/>
          <w:highlight w:val="none"/>
        </w:rPr>
      </w:pPr>
    </w:p>
    <w:p w14:paraId="27DC9A7D">
      <w:pPr>
        <w:jc w:val="center"/>
        <w:rPr>
          <w:rFonts w:hint="eastAsia" w:ascii="宋体" w:hAnsi="宋体"/>
          <w:b/>
          <w:bCs/>
          <w:color w:val="auto"/>
          <w:sz w:val="96"/>
          <w:szCs w:val="96"/>
          <w:highlight w:val="none"/>
        </w:rPr>
      </w:pPr>
    </w:p>
    <w:p w14:paraId="1D9D3387">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Cs/>
          <w:color w:val="auto"/>
          <w:sz w:val="28"/>
          <w:szCs w:val="28"/>
          <w:highlight w:val="none"/>
          <w:lang w:val="en-US"/>
        </w:rPr>
      </w:pPr>
      <w:r>
        <w:rPr>
          <w:rFonts w:hint="eastAsia" w:ascii="宋体" w:hAnsi="宋体" w:eastAsia="宋体" w:cs="宋体"/>
          <w:b/>
          <w:bCs w:val="0"/>
          <w:color w:val="auto"/>
          <w:kern w:val="0"/>
          <w:sz w:val="84"/>
          <w:szCs w:val="84"/>
          <w:highlight w:val="none"/>
          <w:u w:color="000000"/>
          <w:lang w:val="en-US" w:eastAsia="zh-CN" w:bidi="ar"/>
        </w:rPr>
        <w:t>招 标 文 件</w:t>
      </w:r>
    </w:p>
    <w:p w14:paraId="17D5DBA7">
      <w:pPr>
        <w:keepNext w:val="0"/>
        <w:keepLines w:val="0"/>
        <w:widowControl/>
        <w:suppressLineNumbers w:val="0"/>
        <w:spacing w:before="0" w:beforeAutospacing="0" w:after="0" w:afterAutospacing="0" w:line="357" w:lineRule="atLeast"/>
        <w:ind w:right="0"/>
        <w:jc w:val="center"/>
        <w:rPr>
          <w:rFonts w:hint="eastAsia" w:ascii="宋体" w:hAnsi="宋体" w:eastAsia="宋体" w:cs="宋体"/>
          <w:color w:val="auto"/>
          <w:highlight w:val="none"/>
          <w:lang w:val="en-US"/>
        </w:rPr>
      </w:pPr>
      <w:r>
        <w:rPr>
          <w:rFonts w:hint="eastAsia" w:ascii="宋体" w:hAnsi="宋体"/>
          <w:color w:val="auto"/>
          <w:sz w:val="40"/>
          <w:szCs w:val="36"/>
          <w:highlight w:val="none"/>
        </w:rPr>
        <w:t>（电子招标投标）</w:t>
      </w:r>
    </w:p>
    <w:p w14:paraId="27AB9565">
      <w:pPr>
        <w:pStyle w:val="34"/>
        <w:widowControl/>
        <w:jc w:val="center"/>
        <w:rPr>
          <w:rFonts w:hint="eastAsia" w:ascii="宋体" w:hAnsi="宋体" w:eastAsia="宋体" w:cs="宋体"/>
          <w:color w:val="auto"/>
          <w:kern w:val="2"/>
          <w:sz w:val="28"/>
          <w:szCs w:val="28"/>
          <w:highlight w:val="none"/>
          <w:u w:val="none" w:color="auto"/>
          <w:lang w:val="en-US" w:eastAsia="zh-CN" w:bidi="ar-SA"/>
        </w:rPr>
      </w:pPr>
      <w:r>
        <w:rPr>
          <w:rFonts w:hint="eastAsia" w:ascii="宋体" w:hAnsi="宋体" w:eastAsia="宋体" w:cs="宋体"/>
          <w:color w:val="auto"/>
          <w:kern w:val="2"/>
          <w:sz w:val="28"/>
          <w:szCs w:val="28"/>
          <w:highlight w:val="none"/>
          <w:u w:val="none" w:color="auto"/>
          <w:lang w:val="en-US" w:eastAsia="zh-CN" w:bidi="ar-SA"/>
        </w:rPr>
        <w:t>项目编号：HXJY1110001058100001</w:t>
      </w:r>
    </w:p>
    <w:p w14:paraId="70549BE6">
      <w:pPr>
        <w:pStyle w:val="14"/>
        <w:ind w:firstLine="420"/>
        <w:rPr>
          <w:color w:val="auto"/>
          <w:highlight w:val="none"/>
        </w:rPr>
      </w:pPr>
    </w:p>
    <w:p w14:paraId="4908A5BB">
      <w:pPr>
        <w:rPr>
          <w:color w:val="auto"/>
          <w:highlight w:val="none"/>
        </w:rPr>
      </w:pPr>
    </w:p>
    <w:p w14:paraId="20BB434A">
      <w:pPr>
        <w:rPr>
          <w:color w:val="auto"/>
          <w:highlight w:val="none"/>
        </w:rPr>
      </w:pPr>
    </w:p>
    <w:p w14:paraId="56EED8B5">
      <w:pPr>
        <w:rPr>
          <w:color w:val="auto"/>
          <w:highlight w:val="none"/>
        </w:rPr>
      </w:pPr>
    </w:p>
    <w:p w14:paraId="5F5CB106">
      <w:pPr>
        <w:pStyle w:val="14"/>
        <w:ind w:firstLine="420"/>
        <w:rPr>
          <w:color w:val="auto"/>
          <w:highlight w:val="none"/>
        </w:rPr>
      </w:pPr>
    </w:p>
    <w:p w14:paraId="1ADB7D3E">
      <w:pPr>
        <w:rPr>
          <w:color w:val="auto"/>
          <w:highlight w:val="none"/>
        </w:rPr>
      </w:pPr>
    </w:p>
    <w:p w14:paraId="276CDD57">
      <w:pPr>
        <w:rPr>
          <w:color w:val="auto"/>
          <w:highlight w:val="none"/>
        </w:rPr>
      </w:pPr>
    </w:p>
    <w:p w14:paraId="05E5190A">
      <w:pPr>
        <w:pStyle w:val="14"/>
        <w:ind w:firstLine="420"/>
        <w:rPr>
          <w:color w:val="auto"/>
          <w:highlight w:val="none"/>
        </w:rPr>
      </w:pPr>
    </w:p>
    <w:p w14:paraId="7608CA6C">
      <w:pPr>
        <w:adjustRightInd w:val="0"/>
        <w:snapToGrid w:val="0"/>
        <w:ind w:firstLine="302" w:firstLineChars="94"/>
        <w:rPr>
          <w:rFonts w:hint="eastAsia" w:ascii="宋体" w:hAnsi="宋体"/>
          <w:b/>
          <w:color w:val="auto"/>
          <w:sz w:val="32"/>
          <w:highlight w:val="none"/>
          <w:u w:val="thick"/>
        </w:rPr>
      </w:pPr>
      <w:r>
        <w:rPr>
          <w:rFonts w:hint="eastAsia" w:ascii="宋体" w:hAnsi="宋体"/>
          <w:b/>
          <w:color w:val="auto"/>
          <w:sz w:val="32"/>
          <w:highlight w:val="none"/>
        </w:rPr>
        <w:t>招  标  人:</w:t>
      </w:r>
      <w:r>
        <w:rPr>
          <w:rFonts w:hint="eastAsia" w:ascii="宋体" w:hAnsi="宋体"/>
          <w:b/>
          <w:color w:val="auto"/>
          <w:sz w:val="32"/>
          <w:highlight w:val="none"/>
          <w:u w:val="thick"/>
        </w:rPr>
        <w:t xml:space="preserve">  </w:t>
      </w:r>
      <w:r>
        <w:rPr>
          <w:rFonts w:hint="eastAsia" w:ascii="宋体" w:hAnsi="宋体"/>
          <w:b/>
          <w:color w:val="auto"/>
          <w:sz w:val="32"/>
          <w:highlight w:val="none"/>
          <w:u w:val="thick"/>
          <w:lang w:val="en-US" w:eastAsia="zh-CN"/>
        </w:rPr>
        <w:t xml:space="preserve">    滁州市公共交通有限公司       </w:t>
      </w:r>
      <w:r>
        <w:rPr>
          <w:rFonts w:hint="eastAsia" w:ascii="宋体" w:hAnsi="宋体"/>
          <w:b/>
          <w:color w:val="auto"/>
          <w:sz w:val="32"/>
          <w:highlight w:val="none"/>
          <w:u w:val="thick"/>
        </w:rPr>
        <w:t xml:space="preserve"> </w:t>
      </w:r>
    </w:p>
    <w:p w14:paraId="0A6611B0">
      <w:pPr>
        <w:adjustRightInd w:val="0"/>
        <w:snapToGrid w:val="0"/>
        <w:ind w:firstLine="302" w:firstLineChars="94"/>
        <w:rPr>
          <w:rFonts w:hint="eastAsia" w:ascii="宋体" w:hAnsi="宋体"/>
          <w:b/>
          <w:color w:val="auto"/>
          <w:sz w:val="32"/>
          <w:highlight w:val="none"/>
          <w:u w:val="thick"/>
        </w:rPr>
      </w:pPr>
    </w:p>
    <w:p w14:paraId="3C40EE62">
      <w:pPr>
        <w:adjustRightInd w:val="0"/>
        <w:snapToGrid w:val="0"/>
        <w:ind w:firstLine="340" w:firstLineChars="94"/>
        <w:rPr>
          <w:rFonts w:hint="eastAsia" w:ascii="宋体" w:hAnsi="宋体"/>
          <w:color w:val="auto"/>
          <w:spacing w:val="20"/>
          <w:sz w:val="32"/>
          <w:highlight w:val="none"/>
          <w:u w:val="single"/>
        </w:rPr>
      </w:pPr>
      <w:r>
        <w:rPr>
          <w:rFonts w:hint="eastAsia" w:ascii="宋体" w:hAnsi="宋体"/>
          <w:b/>
          <w:color w:val="auto"/>
          <w:spacing w:val="20"/>
          <w:sz w:val="32"/>
          <w:highlight w:val="none"/>
        </w:rPr>
        <w:t>招标代理机构:</w:t>
      </w:r>
      <w:r>
        <w:rPr>
          <w:rFonts w:hint="eastAsia" w:ascii="宋体" w:hAnsi="宋体"/>
          <w:b/>
          <w:color w:val="auto"/>
          <w:spacing w:val="20"/>
          <w:sz w:val="32"/>
          <w:highlight w:val="none"/>
          <w:u w:val="thick"/>
        </w:rPr>
        <w:t xml:space="preserve"> </w:t>
      </w:r>
      <w:r>
        <w:rPr>
          <w:rFonts w:hint="eastAsia" w:ascii="宋体" w:hAnsi="宋体"/>
          <w:b/>
          <w:color w:val="auto"/>
          <w:sz w:val="32"/>
          <w:highlight w:val="none"/>
          <w:u w:val="thick"/>
        </w:rPr>
        <w:t xml:space="preserve">滁州市城投工程咨询管理有限公司 </w:t>
      </w:r>
    </w:p>
    <w:p w14:paraId="322607BD">
      <w:pPr>
        <w:adjustRightInd w:val="0"/>
        <w:snapToGrid w:val="0"/>
        <w:rPr>
          <w:rFonts w:hint="eastAsia" w:ascii="宋体" w:hAnsi="宋体"/>
          <w:color w:val="auto"/>
          <w:spacing w:val="20"/>
          <w:sz w:val="32"/>
          <w:highlight w:val="none"/>
          <w:u w:val="single"/>
        </w:rPr>
      </w:pPr>
    </w:p>
    <w:p w14:paraId="5C99CD48">
      <w:pPr>
        <w:adjustRightInd w:val="0"/>
        <w:snapToGrid w:val="0"/>
        <w:spacing w:line="460" w:lineRule="exact"/>
        <w:ind w:firstLine="354" w:firstLineChars="98"/>
        <w:rPr>
          <w:rFonts w:hint="eastAsia" w:ascii="宋体" w:hAnsi="宋体"/>
          <w:b/>
          <w:color w:val="auto"/>
          <w:spacing w:val="20"/>
          <w:sz w:val="32"/>
          <w:szCs w:val="32"/>
          <w:highlight w:val="none"/>
        </w:rPr>
      </w:pPr>
      <w:r>
        <w:rPr>
          <w:rFonts w:hint="eastAsia" w:ascii="宋体" w:hAnsi="宋体"/>
          <w:b/>
          <w:color w:val="auto"/>
          <w:spacing w:val="20"/>
          <w:sz w:val="32"/>
          <w:highlight w:val="none"/>
        </w:rPr>
        <w:t>发 布 日 期:</w:t>
      </w:r>
      <w:r>
        <w:rPr>
          <w:rFonts w:hint="eastAsia" w:ascii="宋体" w:hAnsi="宋体"/>
          <w:b/>
          <w:color w:val="auto"/>
          <w:sz w:val="32"/>
          <w:highlight w:val="none"/>
          <w:u w:val="thick"/>
        </w:rPr>
        <w:t xml:space="preserve">      </w:t>
      </w:r>
      <w:r>
        <w:rPr>
          <w:rFonts w:hint="eastAsia" w:ascii="宋体" w:hAnsi="宋体"/>
          <w:b/>
          <w:color w:val="auto"/>
          <w:sz w:val="32"/>
          <w:highlight w:val="none"/>
          <w:u w:val="thick"/>
          <w:lang w:eastAsia="zh-CN"/>
        </w:rPr>
        <w:t>2026年6月</w:t>
      </w:r>
      <w:r>
        <w:rPr>
          <w:rFonts w:hint="eastAsia" w:ascii="宋体" w:hAnsi="宋体"/>
          <w:b/>
          <w:color w:val="auto"/>
          <w:sz w:val="32"/>
          <w:highlight w:val="none"/>
          <w:u w:val="thick"/>
        </w:rPr>
        <w:t xml:space="preserve">     </w:t>
      </w:r>
      <w:r>
        <w:rPr>
          <w:rFonts w:hint="eastAsia" w:ascii="宋体" w:hAnsi="宋体"/>
          <w:b/>
          <w:color w:val="auto"/>
          <w:sz w:val="32"/>
          <w:highlight w:val="none"/>
          <w:u w:val="thick"/>
          <w:lang w:val="en-US" w:eastAsia="zh-CN"/>
        </w:rPr>
        <w:t xml:space="preserve">     </w:t>
      </w:r>
      <w:r>
        <w:rPr>
          <w:rFonts w:hint="eastAsia" w:ascii="宋体" w:hAnsi="宋体"/>
          <w:b/>
          <w:color w:val="auto"/>
          <w:sz w:val="32"/>
          <w:highlight w:val="none"/>
          <w:u w:val="thick"/>
        </w:rPr>
        <w:t xml:space="preserve">      </w:t>
      </w:r>
    </w:p>
    <w:p w14:paraId="1765903D">
      <w:pPr>
        <w:pStyle w:val="14"/>
        <w:widowControl/>
        <w:spacing w:before="0" w:beforeAutospacing="0" w:after="120" w:afterAutospacing="0"/>
        <w:ind w:leftChars="200" w:right="0"/>
        <w:rPr>
          <w:color w:val="auto"/>
          <w:highlight w:val="none"/>
          <w:lang w:val="en-US"/>
        </w:rPr>
      </w:pPr>
      <w:r>
        <w:rPr>
          <w:color w:val="auto"/>
          <w:highlight w:val="none"/>
          <w:lang w:val="en-US"/>
        </w:rPr>
        <w:t xml:space="preserve"> </w:t>
      </w:r>
    </w:p>
    <w:p w14:paraId="1953A394">
      <w:pPr>
        <w:spacing w:line="700" w:lineRule="exact"/>
        <w:jc w:val="center"/>
        <w:rPr>
          <w:rFonts w:hint="eastAsia"/>
          <w:color w:val="auto"/>
          <w:sz w:val="44"/>
          <w:szCs w:val="44"/>
          <w:highlight w:val="none"/>
        </w:rPr>
      </w:pPr>
    </w:p>
    <w:p w14:paraId="36FA5A3F">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2" w:name="_Toc152042287"/>
      <w:bookmarkStart w:id="13" w:name="_Toc152045511"/>
      <w:bookmarkStart w:id="14" w:name="_Toc144974479"/>
      <w:bookmarkStart w:id="15" w:name="_Toc179632527"/>
    </w:p>
    <w:p w14:paraId="49DA90A4">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TOC \o "1-1" \h \u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_Toc7325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招标公告信息</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_Toc7325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08D794DE">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_Toc8980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第一章  投标人须知</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_Toc8980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4</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7F38CCA0">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_Toc10676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第二章  资格审查办法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_Toc10676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19</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84F40EE">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_Toc30518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 xml:space="preserve">第三章 </w:t>
      </w:r>
      <w:r>
        <w:rPr>
          <w:rFonts w:hint="eastAsia" w:ascii="宋体" w:hAnsi="宋体" w:eastAsia="宋体" w:cs="宋体"/>
          <w:b w:val="0"/>
          <w:bCs w:val="0"/>
          <w:color w:val="auto"/>
          <w:kern w:val="0"/>
          <w:sz w:val="28"/>
          <w:szCs w:val="28"/>
          <w:highlight w:val="none"/>
          <w:lang w:val="en-US" w:eastAsia="zh-CN"/>
        </w:rPr>
        <w:t xml:space="preserve"> </w:t>
      </w:r>
      <w:r>
        <w:rPr>
          <w:rFonts w:hint="eastAsia" w:ascii="宋体" w:hAnsi="宋体" w:eastAsia="宋体" w:cs="宋体"/>
          <w:b w:val="0"/>
          <w:bCs w:val="0"/>
          <w:color w:val="auto"/>
          <w:kern w:val="0"/>
          <w:sz w:val="28"/>
          <w:szCs w:val="28"/>
          <w:highlight w:val="none"/>
        </w:rPr>
        <w:t>评标办法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_Toc30518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1073C666">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_Toc7231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第</w:t>
      </w:r>
      <w:r>
        <w:rPr>
          <w:rFonts w:hint="eastAsia" w:ascii="宋体" w:hAnsi="宋体" w:eastAsia="宋体" w:cs="宋体"/>
          <w:b w:val="0"/>
          <w:bCs w:val="0"/>
          <w:color w:val="auto"/>
          <w:kern w:val="0"/>
          <w:sz w:val="28"/>
          <w:szCs w:val="28"/>
          <w:highlight w:val="none"/>
          <w:lang w:val="en-US" w:eastAsia="zh-CN"/>
        </w:rPr>
        <w:t>四</w:t>
      </w:r>
      <w:r>
        <w:rPr>
          <w:rFonts w:hint="eastAsia" w:ascii="宋体" w:hAnsi="宋体" w:eastAsia="宋体" w:cs="宋体"/>
          <w:b w:val="0"/>
          <w:bCs w:val="0"/>
          <w:color w:val="auto"/>
          <w:kern w:val="0"/>
          <w:sz w:val="28"/>
          <w:szCs w:val="28"/>
          <w:highlight w:val="none"/>
        </w:rPr>
        <w:t>章  合同条款及格式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_Toc7231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28</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B97C67C">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_Toc23990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lang w:val="en-US" w:eastAsia="zh-CN" w:bidi="ar-SA"/>
        </w:rPr>
        <w:t>第五章</w:t>
      </w:r>
      <w:r>
        <w:rPr>
          <w:rFonts w:hint="eastAsia" w:ascii="宋体" w:hAnsi="宋体" w:eastAsia="宋体" w:cs="宋体"/>
          <w:b w:val="0"/>
          <w:bCs w:val="0"/>
          <w:color w:val="auto"/>
          <w:sz w:val="28"/>
          <w:szCs w:val="28"/>
          <w:highlight w:val="none"/>
        </w:rPr>
        <w:t xml:space="preserve"> </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cs="宋体"/>
          <w:b w:val="0"/>
          <w:bCs w:val="0"/>
          <w:color w:val="auto"/>
          <w:sz w:val="28"/>
          <w:szCs w:val="28"/>
          <w:highlight w:val="none"/>
          <w:lang w:val="en-US" w:eastAsia="zh-CN"/>
        </w:rPr>
        <w:t>采购需求</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_Toc23990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35</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62423F08">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_Toc5279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cs="宋体"/>
          <w:b w:val="0"/>
          <w:bCs w:val="0"/>
          <w:color w:val="auto"/>
          <w:sz w:val="28"/>
          <w:szCs w:val="28"/>
          <w:highlight w:val="none"/>
          <w:lang w:val="en-US" w:eastAsia="zh-CN"/>
        </w:rPr>
        <w:t>六</w:t>
      </w:r>
      <w:r>
        <w:rPr>
          <w:rFonts w:hint="eastAsia" w:ascii="宋体" w:hAnsi="宋体" w:eastAsia="宋体" w:cs="宋体"/>
          <w:b w:val="0"/>
          <w:bCs w:val="0"/>
          <w:color w:val="auto"/>
          <w:sz w:val="28"/>
          <w:szCs w:val="28"/>
          <w:highlight w:val="none"/>
        </w:rPr>
        <w:t>章  投标文件格式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_Toc5279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38</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DA7EE6D">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_Toc8955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cs="宋体"/>
          <w:b w:val="0"/>
          <w:bCs w:val="0"/>
          <w:color w:val="auto"/>
          <w:sz w:val="28"/>
          <w:szCs w:val="28"/>
          <w:highlight w:val="none"/>
          <w:lang w:val="en-US" w:eastAsia="zh-CN"/>
        </w:rPr>
        <w:t>七</w:t>
      </w:r>
      <w:r>
        <w:rPr>
          <w:rFonts w:hint="eastAsia" w:ascii="宋体" w:hAnsi="宋体" w:eastAsia="宋体" w:cs="宋体"/>
          <w:b w:val="0"/>
          <w:bCs w:val="0"/>
          <w:color w:val="auto"/>
          <w:sz w:val="28"/>
          <w:szCs w:val="28"/>
          <w:highlight w:val="none"/>
        </w:rPr>
        <w:t>章  招标单位、招标代理机构对本招标文件的确认</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_Toc8955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47</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2668408">
      <w:pPr>
        <w:pStyle w:val="32"/>
        <w:tabs>
          <w:tab w:val="right" w:leader="dot" w:pos="9062"/>
        </w:tabs>
        <w:spacing w:line="700" w:lineRule="exact"/>
        <w:ind w:firstLine="56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eastAsia="宋体" w:cs="宋体"/>
          <w:b w:val="0"/>
          <w:bCs w:val="0"/>
          <w:caps w:val="0"/>
          <w:color w:val="auto"/>
          <w:sz w:val="28"/>
          <w:szCs w:val="28"/>
          <w:highlight w:val="none"/>
          <w:lang w:val="en-US" w:eastAsia="zh-CN"/>
        </w:rPr>
        <w:fldChar w:fldCharType="end"/>
      </w:r>
    </w:p>
    <w:p w14:paraId="0DCA3C39">
      <w:pPr>
        <w:pStyle w:val="14"/>
        <w:spacing w:line="700" w:lineRule="exact"/>
        <w:ind w:left="0" w:leftChars="0" w:firstLine="480"/>
        <w:jc w:val="left"/>
        <w:rPr>
          <w:color w:val="auto"/>
          <w:sz w:val="24"/>
          <w:szCs w:val="24"/>
          <w:highlight w:val="none"/>
        </w:rPr>
      </w:pPr>
    </w:p>
    <w:p w14:paraId="2238D339">
      <w:pPr>
        <w:pStyle w:val="44"/>
        <w:spacing w:line="700" w:lineRule="exact"/>
        <w:jc w:val="left"/>
        <w:rPr>
          <w:color w:val="auto"/>
          <w:sz w:val="24"/>
          <w:szCs w:val="24"/>
          <w:highlight w:val="none"/>
        </w:rPr>
        <w:sectPr>
          <w:headerReference r:id="rId3" w:type="default"/>
          <w:footerReference r:id="rId4" w:type="default"/>
          <w:pgSz w:w="11906" w:h="16838"/>
          <w:pgMar w:top="1134" w:right="1417" w:bottom="1134" w:left="1417" w:header="851" w:footer="992" w:gutter="0"/>
          <w:pgNumType w:fmt="decimal" w:start="1"/>
          <w:cols w:space="720" w:num="1"/>
          <w:docGrid w:type="lines" w:linePitch="312" w:charSpace="0"/>
        </w:sectPr>
      </w:pPr>
      <w:bookmarkStart w:id="920" w:name="_GoBack"/>
      <w:bookmarkEnd w:id="920"/>
    </w:p>
    <w:bookmarkEnd w:id="12"/>
    <w:bookmarkEnd w:id="13"/>
    <w:bookmarkEnd w:id="14"/>
    <w:bookmarkEnd w:id="15"/>
    <w:p w14:paraId="3AD31285">
      <w:pPr>
        <w:pStyle w:val="44"/>
        <w:keepNext w:val="0"/>
        <w:keepLines w:val="0"/>
        <w:pageBreakBefore w:val="0"/>
        <w:widowControl w:val="0"/>
        <w:kinsoku/>
        <w:wordWrap/>
        <w:overflowPunct/>
        <w:topLinePunct w:val="0"/>
        <w:autoSpaceDE/>
        <w:autoSpaceDN/>
        <w:bidi w:val="0"/>
        <w:adjustRightInd w:val="0"/>
        <w:snapToGrid/>
        <w:spacing w:beforeLines="50" w:afterLines="50" w:line="400" w:lineRule="exact"/>
        <w:textAlignment w:val="baseline"/>
        <w:rPr>
          <w:bCs/>
          <w:color w:val="auto"/>
          <w:szCs w:val="32"/>
          <w:highlight w:val="none"/>
        </w:rPr>
      </w:pPr>
      <w:bookmarkStart w:id="16" w:name="_Toc78803320"/>
      <w:bookmarkStart w:id="17" w:name="_Toc21980"/>
      <w:bookmarkStart w:id="18" w:name="_Toc12261"/>
      <w:bookmarkStart w:id="19" w:name="_Toc7325"/>
      <w:bookmarkStart w:id="20" w:name="_Toc324404813"/>
      <w:bookmarkStart w:id="21" w:name="_Toc35424883"/>
      <w:bookmarkStart w:id="22" w:name="_Toc35425050"/>
      <w:bookmarkStart w:id="23" w:name="_Toc247085687"/>
      <w:bookmarkStart w:id="24" w:name="_Toc506107267"/>
      <w:bookmarkStart w:id="25" w:name="_Toc152042303"/>
      <w:bookmarkStart w:id="26" w:name="_Toc144974495"/>
      <w:bookmarkStart w:id="27" w:name="_Toc152045527"/>
      <w:bookmarkStart w:id="28" w:name="_Toc179632544"/>
      <w:bookmarkStart w:id="29" w:name="_Toc15058844"/>
      <w:bookmarkStart w:id="30" w:name="_Toc246996916"/>
      <w:bookmarkStart w:id="31" w:name="_Toc246996173"/>
      <w:r>
        <w:rPr>
          <w:rFonts w:hint="eastAsia"/>
          <w:bCs/>
          <w:color w:val="auto"/>
          <w:szCs w:val="32"/>
          <w:highlight w:val="none"/>
          <w:lang w:eastAsia="zh-CN"/>
        </w:rPr>
        <w:t>城南停保场保养车间及二公司厂房地沟改造项目</w:t>
      </w:r>
      <w:r>
        <w:rPr>
          <w:rFonts w:hint="eastAsia"/>
          <w:bCs/>
          <w:color w:val="auto"/>
          <w:szCs w:val="32"/>
          <w:highlight w:val="none"/>
        </w:rPr>
        <w:t>招标公告信息</w:t>
      </w:r>
      <w:bookmarkEnd w:id="16"/>
      <w:bookmarkEnd w:id="17"/>
      <w:bookmarkEnd w:id="18"/>
      <w:bookmarkEnd w:id="19"/>
    </w:p>
    <w:tbl>
      <w:tblPr>
        <w:tblStyle w:val="47"/>
        <w:tblW w:w="958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Layout w:type="fixed"/>
        <w:tblCellMar>
          <w:top w:w="0" w:type="dxa"/>
          <w:left w:w="108" w:type="dxa"/>
          <w:bottom w:w="0" w:type="dxa"/>
          <w:right w:w="108" w:type="dxa"/>
        </w:tblCellMar>
      </w:tblPr>
      <w:tblGrid>
        <w:gridCol w:w="1511"/>
        <w:gridCol w:w="50"/>
        <w:gridCol w:w="2616"/>
        <w:gridCol w:w="220"/>
        <w:gridCol w:w="2270"/>
        <w:gridCol w:w="2916"/>
      </w:tblGrid>
      <w:tr w14:paraId="2F91C6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72FD2AA">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rPr>
            </w:pPr>
            <w:bookmarkStart w:id="32" w:name="_Toc78803321"/>
            <w:r>
              <w:rPr>
                <w:rFonts w:hint="eastAsia" w:ascii="宋体" w:hAnsi="宋体" w:eastAsia="宋体" w:cs="宋体"/>
                <w:bCs/>
                <w:color w:val="auto"/>
                <w:kern w:val="1"/>
                <w:sz w:val="21"/>
                <w:szCs w:val="21"/>
                <w:highlight w:val="none"/>
                <w:lang w:val="en-US" w:eastAsia="zh-CN" w:bidi="ar"/>
              </w:rPr>
              <w:t>招标项目名称</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B13F094">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城南停保场保养车间及二公司厂房地沟改造项目</w:t>
            </w:r>
          </w:p>
        </w:tc>
      </w:tr>
      <w:tr w14:paraId="21749C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352BDCD">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lang w:val="en-US" w:eastAsia="zh-CN" w:bidi="ar"/>
              </w:rPr>
            </w:pPr>
            <w:r>
              <w:rPr>
                <w:rFonts w:hint="eastAsia" w:ascii="宋体" w:hAnsi="宋体" w:eastAsia="宋体" w:cs="宋体"/>
                <w:bCs/>
                <w:color w:val="auto"/>
                <w:kern w:val="1"/>
                <w:sz w:val="21"/>
                <w:szCs w:val="21"/>
                <w:highlight w:val="none"/>
                <w:lang w:val="en-US" w:eastAsia="zh-CN" w:bidi="ar"/>
              </w:rPr>
              <w:t>项目编号</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4DDBD3F">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HXJY1110001058100001</w:t>
            </w:r>
          </w:p>
        </w:tc>
      </w:tr>
      <w:tr w14:paraId="4AFEFB3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729EF41">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招标方式</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8B69534">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公开招标</w:t>
            </w:r>
          </w:p>
        </w:tc>
      </w:tr>
      <w:tr w14:paraId="3C10E18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56F938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是否为网上电</w:t>
            </w:r>
          </w:p>
          <w:p w14:paraId="2F93F383">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子招投标项目</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49F5D0A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是</w:t>
            </w:r>
          </w:p>
        </w:tc>
      </w:tr>
      <w:tr w14:paraId="28AA64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9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D5ABAE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投标资质要求</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C1F083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lang w:val="en-US" w:eastAsia="zh-CN" w:bidi="ar"/>
              </w:rPr>
            </w:pPr>
            <w:r>
              <w:rPr>
                <w:rFonts w:hint="eastAsia" w:ascii="宋体" w:hAnsi="宋体" w:eastAsia="宋体" w:cs="宋体"/>
                <w:bCs/>
                <w:color w:val="auto"/>
                <w:kern w:val="0"/>
                <w:sz w:val="21"/>
                <w:szCs w:val="21"/>
                <w:highlight w:val="none"/>
                <w:lang w:val="en-US" w:eastAsia="zh-CN" w:bidi="ar"/>
              </w:rPr>
              <w:t>1、投标人要求：须具备建设行政主管部门颁发的建筑工程施工总承包三级（或以上）资质，且具有有效的安全生产许可证。</w:t>
            </w:r>
          </w:p>
          <w:p w14:paraId="06FE317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2、项目经理（建造师）要求：注册在投标单位的建筑工程专业二级（或以上）注册建造师资格，具备有效的安全生产考核合格（B 类）证书。</w:t>
            </w:r>
          </w:p>
        </w:tc>
      </w:tr>
      <w:tr w14:paraId="534545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04"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6B1051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是否接受联合体投标</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11907A21">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不接受</w:t>
            </w:r>
          </w:p>
        </w:tc>
      </w:tr>
      <w:tr w14:paraId="3AC4ABF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1C26438">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招标项目规模</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EB799CB">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估算价</w:t>
            </w:r>
            <w:r>
              <w:rPr>
                <w:rFonts w:hint="eastAsia" w:ascii="宋体" w:hAnsi="宋体" w:cs="宋体"/>
                <w:color w:val="auto"/>
                <w:kern w:val="0"/>
                <w:sz w:val="21"/>
                <w:szCs w:val="21"/>
                <w:highlight w:val="none"/>
                <w:lang w:val="en-US" w:eastAsia="zh-CN" w:bidi="ar"/>
              </w:rPr>
              <w:t>约23.8万元</w:t>
            </w:r>
          </w:p>
        </w:tc>
      </w:tr>
      <w:tr w14:paraId="14A895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7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89FDFF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招标项目内容范围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7D9B49A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bidi="ar"/>
              </w:rPr>
              <w:t>招标人提供的全套施工图纸及工程量清单中的全部内容</w:t>
            </w:r>
          </w:p>
        </w:tc>
      </w:tr>
      <w:tr w14:paraId="7E648D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6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6DC676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招标公告发布时间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7FF89A53">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kern w:val="0"/>
                <w:sz w:val="21"/>
                <w:szCs w:val="21"/>
                <w:highlight w:val="none"/>
                <w:lang w:val="en-US" w:eastAsia="zh-CN" w:bidi="ar"/>
              </w:rPr>
              <w:t>2026年6月18</w:t>
            </w:r>
            <w:r>
              <w:rPr>
                <w:rFonts w:hint="eastAsia" w:ascii="宋体" w:hAnsi="宋体" w:eastAsia="宋体" w:cs="宋体"/>
                <w:b w:val="0"/>
                <w:bCs w:val="0"/>
                <w:color w:val="auto"/>
                <w:kern w:val="0"/>
                <w:sz w:val="21"/>
                <w:szCs w:val="21"/>
                <w:highlight w:val="none"/>
                <w:lang w:val="en-US" w:eastAsia="zh-CN" w:bidi="ar"/>
              </w:rPr>
              <w:t>日</w:t>
            </w:r>
          </w:p>
        </w:tc>
      </w:tr>
      <w:tr w14:paraId="3FD114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2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D44BE5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递交投标文件的截止时间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EF2CC5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kern w:val="0"/>
                <w:sz w:val="21"/>
                <w:szCs w:val="21"/>
                <w:highlight w:val="none"/>
                <w:lang w:val="en-US" w:eastAsia="zh-CN" w:bidi="ar"/>
              </w:rPr>
              <w:t>2026年6月26</w:t>
            </w:r>
            <w:r>
              <w:rPr>
                <w:rFonts w:hint="eastAsia" w:ascii="宋体" w:hAnsi="宋体" w:eastAsia="宋体" w:cs="宋体"/>
                <w:b w:val="0"/>
                <w:bCs w:val="0"/>
                <w:color w:val="auto"/>
                <w:kern w:val="0"/>
                <w:sz w:val="21"/>
                <w:szCs w:val="21"/>
                <w:highlight w:val="none"/>
                <w:lang w:val="en-US" w:eastAsia="zh-CN" w:bidi="ar"/>
              </w:rPr>
              <w:t>日</w:t>
            </w:r>
            <w:r>
              <w:rPr>
                <w:rFonts w:hint="eastAsia" w:ascii="宋体" w:hAnsi="宋体" w:cs="宋体"/>
                <w:b w:val="0"/>
                <w:bCs w:val="0"/>
                <w:color w:val="auto"/>
                <w:kern w:val="0"/>
                <w:sz w:val="21"/>
                <w:szCs w:val="21"/>
                <w:highlight w:val="none"/>
                <w:lang w:val="en-US" w:eastAsia="zh-CN" w:bidi="ar"/>
              </w:rPr>
              <w:t>9</w:t>
            </w:r>
            <w:r>
              <w:rPr>
                <w:rFonts w:hint="eastAsia" w:ascii="宋体" w:hAnsi="宋体" w:eastAsia="宋体" w:cs="宋体"/>
                <w:b w:val="0"/>
                <w:bCs w:val="0"/>
                <w:color w:val="auto"/>
                <w:kern w:val="0"/>
                <w:sz w:val="21"/>
                <w:szCs w:val="21"/>
                <w:highlight w:val="none"/>
                <w:lang w:val="en-US" w:eastAsia="zh-CN" w:bidi="ar"/>
              </w:rPr>
              <w:t>时</w:t>
            </w:r>
            <w:r>
              <w:rPr>
                <w:rFonts w:hint="eastAsia" w:ascii="宋体" w:hAnsi="宋体" w:cs="宋体"/>
                <w:b w:val="0"/>
                <w:bCs w:val="0"/>
                <w:color w:val="auto"/>
                <w:kern w:val="0"/>
                <w:sz w:val="21"/>
                <w:szCs w:val="21"/>
                <w:highlight w:val="none"/>
                <w:lang w:val="en-US" w:eastAsia="zh-CN" w:bidi="ar"/>
              </w:rPr>
              <w:t>30分</w:t>
            </w:r>
            <w:r>
              <w:rPr>
                <w:rFonts w:hint="eastAsia" w:ascii="宋体" w:hAnsi="宋体" w:eastAsia="宋体" w:cs="宋体"/>
                <w:b w:val="0"/>
                <w:bCs w:val="0"/>
                <w:color w:val="auto"/>
                <w:kern w:val="0"/>
                <w:sz w:val="21"/>
                <w:szCs w:val="21"/>
                <w:highlight w:val="none"/>
                <w:lang w:val="en-US" w:eastAsia="zh-CN" w:bidi="ar"/>
              </w:rPr>
              <w:t>(北京时间)</w:t>
            </w:r>
          </w:p>
        </w:tc>
      </w:tr>
      <w:tr w14:paraId="45FA8A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1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E8533C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6B95FFC">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kern w:val="0"/>
                <w:sz w:val="21"/>
                <w:szCs w:val="21"/>
                <w:highlight w:val="none"/>
                <w:lang w:val="en-US" w:eastAsia="zh-CN" w:bidi="ar"/>
              </w:rPr>
              <w:t>2026年6月26</w:t>
            </w:r>
            <w:r>
              <w:rPr>
                <w:rFonts w:hint="eastAsia" w:ascii="宋体" w:hAnsi="宋体" w:eastAsia="宋体" w:cs="宋体"/>
                <w:b w:val="0"/>
                <w:bCs w:val="0"/>
                <w:color w:val="auto"/>
                <w:kern w:val="0"/>
                <w:sz w:val="21"/>
                <w:szCs w:val="21"/>
                <w:highlight w:val="none"/>
                <w:lang w:val="en-US" w:eastAsia="zh-CN" w:bidi="ar"/>
              </w:rPr>
              <w:t>日</w:t>
            </w:r>
            <w:r>
              <w:rPr>
                <w:rFonts w:hint="eastAsia" w:ascii="宋体" w:hAnsi="宋体" w:cs="宋体"/>
                <w:b w:val="0"/>
                <w:bCs w:val="0"/>
                <w:color w:val="auto"/>
                <w:kern w:val="0"/>
                <w:sz w:val="21"/>
                <w:szCs w:val="21"/>
                <w:highlight w:val="none"/>
                <w:lang w:val="en-US" w:eastAsia="zh-CN" w:bidi="ar"/>
              </w:rPr>
              <w:t>9</w:t>
            </w:r>
            <w:r>
              <w:rPr>
                <w:rFonts w:hint="eastAsia" w:ascii="宋体" w:hAnsi="宋体" w:eastAsia="宋体" w:cs="宋体"/>
                <w:b w:val="0"/>
                <w:bCs w:val="0"/>
                <w:color w:val="auto"/>
                <w:kern w:val="0"/>
                <w:sz w:val="21"/>
                <w:szCs w:val="21"/>
                <w:highlight w:val="none"/>
                <w:lang w:val="en-US" w:eastAsia="zh-CN" w:bidi="ar"/>
              </w:rPr>
              <w:t>时</w:t>
            </w:r>
            <w:r>
              <w:rPr>
                <w:rFonts w:hint="eastAsia" w:ascii="宋体" w:hAnsi="宋体" w:cs="宋体"/>
                <w:b w:val="0"/>
                <w:bCs w:val="0"/>
                <w:color w:val="auto"/>
                <w:kern w:val="0"/>
                <w:sz w:val="21"/>
                <w:szCs w:val="21"/>
                <w:highlight w:val="none"/>
                <w:lang w:val="en-US" w:eastAsia="zh-CN" w:bidi="ar"/>
              </w:rPr>
              <w:t>30分</w:t>
            </w:r>
            <w:r>
              <w:rPr>
                <w:rFonts w:hint="eastAsia" w:ascii="宋体" w:hAnsi="宋体" w:eastAsia="宋体" w:cs="宋体"/>
                <w:b w:val="0"/>
                <w:bCs w:val="0"/>
                <w:color w:val="auto"/>
                <w:kern w:val="0"/>
                <w:sz w:val="21"/>
                <w:szCs w:val="21"/>
                <w:highlight w:val="none"/>
                <w:lang w:val="en-US" w:eastAsia="zh-CN" w:bidi="ar"/>
              </w:rPr>
              <w:t>(北京时间)</w:t>
            </w:r>
          </w:p>
        </w:tc>
      </w:tr>
      <w:tr w14:paraId="7359A6F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1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EF4CEE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开标地点</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2ED85F84">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网上开标，投标人登录滁州市城投工程咨询有限公司不见面开标系统参与网上开标（网址：http://js.etrading.cn/EpointBidOpening/bidopeninghallaction/hall/login）</w:t>
            </w:r>
          </w:p>
        </w:tc>
      </w:tr>
      <w:tr w14:paraId="2FF84D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C24CCA1">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招标文件售价</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01677A5">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0元</w:t>
            </w:r>
          </w:p>
        </w:tc>
      </w:tr>
      <w:tr w14:paraId="7ED012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85"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0637FE1A">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信  息  内  容</w:t>
            </w:r>
          </w:p>
        </w:tc>
      </w:tr>
      <w:tr w14:paraId="59DD9AB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72"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3E91C43D">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工程概况</w:t>
            </w:r>
          </w:p>
        </w:tc>
        <w:tc>
          <w:tcPr>
            <w:tcW w:w="807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0F229A4C">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本项目为</w:t>
            </w:r>
            <w:r>
              <w:rPr>
                <w:rFonts w:hint="eastAsia" w:ascii="宋体" w:hAnsi="宋体" w:cs="宋体"/>
                <w:bCs/>
                <w:color w:val="auto"/>
                <w:kern w:val="0"/>
                <w:sz w:val="21"/>
                <w:szCs w:val="21"/>
                <w:highlight w:val="none"/>
                <w:lang w:eastAsia="zh-CN"/>
              </w:rPr>
              <w:t>城南停保场保养车间及二公司厂房地沟改造项目</w:t>
            </w:r>
            <w:r>
              <w:rPr>
                <w:rFonts w:hint="eastAsia" w:ascii="宋体" w:hAnsi="宋体" w:eastAsia="宋体" w:cs="宋体"/>
                <w:bCs/>
                <w:color w:val="auto"/>
                <w:kern w:val="0"/>
                <w:sz w:val="21"/>
                <w:szCs w:val="21"/>
                <w:highlight w:val="none"/>
              </w:rPr>
              <w:t>，服务范围：施工区域：公司生产厂房内现有排水地沟系统 改造目的：修复破损地沟、解决积水、渗漏、排水不畅问题，完善排水功能，消除现场安全隐患。</w:t>
            </w:r>
          </w:p>
        </w:tc>
      </w:tr>
      <w:tr w14:paraId="6AA946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5D496C9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标段划分</w:t>
            </w:r>
          </w:p>
        </w:tc>
        <w:tc>
          <w:tcPr>
            <w:tcW w:w="807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710B4FE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一个标段</w:t>
            </w:r>
          </w:p>
        </w:tc>
      </w:tr>
      <w:tr w14:paraId="156FD4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61AE101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评标办法</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73AC09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综合评估法</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A4CE88C">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工程款支付方式</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02A683A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05B6EE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1E5C732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工程概算</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55EB617">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val="en-US" w:eastAsia="zh-CN" w:bidi="ar"/>
              </w:rPr>
              <w:t>约23.8万元</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0226628">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计划工期</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115C3EAE">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28D5C3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6ACDCFA6">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资金来源</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9FBB43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自筹资金</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F9E99B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招标文件等获取方式</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08A44F4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网上下载</w:t>
            </w:r>
          </w:p>
        </w:tc>
      </w:tr>
      <w:tr w14:paraId="5CF6DF4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2E225A3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是否要求投标人提交投标保证金：</w:t>
            </w:r>
            <w:r>
              <w:rPr>
                <w:rFonts w:hint="eastAsia" w:ascii="宋体" w:hAnsi="宋体" w:cs="宋体"/>
                <w:color w:val="auto"/>
                <w:kern w:val="2"/>
                <w:sz w:val="21"/>
                <w:szCs w:val="21"/>
                <w:highlight w:val="none"/>
                <w:lang w:val="en-US" w:eastAsia="zh-CN" w:bidi="ar"/>
              </w:rPr>
              <w:t>本项目不</w:t>
            </w:r>
            <w:r>
              <w:rPr>
                <w:rFonts w:hint="eastAsia" w:ascii="宋体" w:hAnsi="宋体" w:eastAsia="宋体" w:cs="宋体"/>
                <w:color w:val="auto"/>
                <w:kern w:val="2"/>
                <w:sz w:val="21"/>
                <w:szCs w:val="21"/>
                <w:highlight w:val="none"/>
                <w:lang w:val="en-US" w:eastAsia="zh-CN" w:bidi="ar"/>
              </w:rPr>
              <w:t>要求提交投标保证金。</w:t>
            </w:r>
          </w:p>
        </w:tc>
      </w:tr>
      <w:tr w14:paraId="06E7DF1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53CEC0D5">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重要说明：</w:t>
            </w:r>
          </w:p>
          <w:p w14:paraId="6722700F">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6D19A2BE">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请于公告发布之日起从滁州市城投工程咨询管理有限公司官网（https://www.czctgczx.com/）下载本项目招标文件，或从滁州市城投工程咨询管理有限公司官网（https://www.czctgczx.com/），点击项目招标公告下方【我要投标】，登录新点电子交易平台后在【滁州专区】（https://www.etrading.cn/BREpointSSO/login/oauth2login?regioncode=DQ_ChuZhou）下载本项目招标文件。</w:t>
            </w:r>
          </w:p>
          <w:p w14:paraId="456BA92F">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投标人参与投标的，须登录新点电子交易平台【滁州专区】查询、获取招标文件。首次登录办理入库手续，办理入库不收取任何费用。新点电子招投标统一认证平台使用相关问题（如系统登录、信息登记、录入及提交、数字证书关联等）请拨打服务电话：</w:t>
            </w:r>
            <w:r>
              <w:rPr>
                <w:rFonts w:hint="eastAsia" w:ascii="宋体" w:hAnsi="宋体" w:cs="宋体"/>
                <w:color w:val="auto"/>
                <w:kern w:val="2"/>
                <w:sz w:val="21"/>
                <w:szCs w:val="21"/>
                <w:highlight w:val="none"/>
                <w:lang w:val="en-US" w:eastAsia="zh-CN" w:bidi="ar"/>
              </w:rPr>
              <w:t>0512-58151515</w:t>
            </w:r>
            <w:r>
              <w:rPr>
                <w:rFonts w:hint="eastAsia" w:ascii="宋体" w:hAnsi="宋体" w:eastAsia="宋体" w:cs="宋体"/>
                <w:color w:val="auto"/>
                <w:kern w:val="2"/>
                <w:sz w:val="21"/>
                <w:szCs w:val="21"/>
                <w:highlight w:val="none"/>
                <w:lang w:val="en-US" w:eastAsia="zh-CN" w:bidi="ar"/>
              </w:rPr>
              <w:t>（工作日）。</w:t>
            </w:r>
          </w:p>
          <w:p w14:paraId="250D08E8">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4.投标人登录新点电子交易平台【滁州专区】获取招标文件及其它资料（含澄清和补充说明等）。如在招标文件获取过程中遇到系统问题，请拨打技术支持服务热线</w:t>
            </w:r>
            <w:r>
              <w:rPr>
                <w:rFonts w:hint="eastAsia" w:ascii="宋体" w:hAnsi="宋体" w:cs="宋体"/>
                <w:color w:val="auto"/>
                <w:kern w:val="2"/>
                <w:sz w:val="21"/>
                <w:szCs w:val="21"/>
                <w:highlight w:val="none"/>
                <w:lang w:val="en-US" w:eastAsia="zh-CN" w:bidi="ar"/>
              </w:rPr>
              <w:t>0512-58151515</w:t>
            </w:r>
            <w:r>
              <w:rPr>
                <w:rFonts w:hint="eastAsia" w:ascii="宋体" w:hAnsi="宋体" w:eastAsia="宋体" w:cs="宋体"/>
                <w:color w:val="auto"/>
                <w:kern w:val="2"/>
                <w:sz w:val="21"/>
                <w:szCs w:val="21"/>
                <w:highlight w:val="none"/>
                <w:lang w:val="en-US" w:eastAsia="zh-CN" w:bidi="ar"/>
              </w:rPr>
              <w:t>或者网站首页在线客服。投标人自行承担因未按要求获取招标文件导致无法上传电子投标文件的风险。</w:t>
            </w:r>
          </w:p>
          <w:p w14:paraId="52B75CD4">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5.本项目采用不见面开标，投标人登录滁州市城投工程咨询有限公司不见面开标系统参与网上开标（网址：http://js.etrading.cn/EpointBidOpening/bidopeninghallaction/hall/login）。</w:t>
            </w:r>
          </w:p>
          <w:p w14:paraId="3B176FF3">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6.投标人应在投标截止时间之前，登录新点电子交易平台【滁州专区】上传投标文件。投标人逾期上传投标文件的，电子系统不予受理。</w:t>
            </w:r>
          </w:p>
          <w:p w14:paraId="1D628347">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34DDCE86">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8.投标人的联系人电话(手机)、电子邮箱等通讯方式在开标过程中必须保持畅通，否则因上述原因造成的后果，责任自负。</w:t>
            </w:r>
          </w:p>
        </w:tc>
      </w:tr>
      <w:tr w14:paraId="6FDEEE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15"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7341691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招标文件获取时间：</w:t>
            </w:r>
            <w:r>
              <w:rPr>
                <w:rFonts w:hint="eastAsia" w:ascii="宋体" w:hAnsi="宋体" w:cs="宋体"/>
                <w:b/>
                <w:bCs/>
                <w:color w:val="auto"/>
                <w:kern w:val="0"/>
                <w:sz w:val="21"/>
                <w:szCs w:val="21"/>
                <w:highlight w:val="none"/>
                <w:lang w:val="en-US" w:eastAsia="zh-CN" w:bidi="ar"/>
              </w:rPr>
              <w:t>2026年6月18</w:t>
            </w:r>
            <w:r>
              <w:rPr>
                <w:rFonts w:hint="eastAsia" w:ascii="宋体" w:hAnsi="宋体" w:eastAsia="宋体" w:cs="宋体"/>
                <w:b/>
                <w:bCs/>
                <w:color w:val="auto"/>
                <w:kern w:val="0"/>
                <w:sz w:val="21"/>
                <w:szCs w:val="21"/>
                <w:highlight w:val="none"/>
                <w:lang w:val="en-US" w:eastAsia="zh-CN" w:bidi="ar"/>
              </w:rPr>
              <w:t>日17时后</w:t>
            </w:r>
            <w:r>
              <w:rPr>
                <w:rFonts w:hint="eastAsia" w:ascii="宋体" w:hAnsi="宋体" w:eastAsia="宋体" w:cs="宋体"/>
                <w:color w:val="auto"/>
                <w:kern w:val="0"/>
                <w:sz w:val="21"/>
                <w:szCs w:val="21"/>
                <w:highlight w:val="none"/>
                <w:lang w:val="en-US" w:eastAsia="zh-CN" w:bidi="ar"/>
              </w:rPr>
              <w:t>，如投标人不及时下载招标文件，造成后果由投标人自负。</w:t>
            </w:r>
          </w:p>
        </w:tc>
      </w:tr>
      <w:tr w14:paraId="36DD9D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23" w:hRule="atLeast"/>
          <w:jc w:val="center"/>
        </w:trPr>
        <w:tc>
          <w:tcPr>
            <w:tcW w:w="4397"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1090353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en-US" w:eastAsia="zh-CN"/>
              </w:rPr>
            </w:pPr>
            <w:r>
              <w:rPr>
                <w:rFonts w:hint="default" w:ascii="宋体" w:hAnsi="宋体" w:eastAsia="宋体" w:cs="宋体"/>
                <w:color w:val="auto"/>
                <w:kern w:val="2"/>
                <w:sz w:val="21"/>
                <w:szCs w:val="21"/>
                <w:highlight w:val="none"/>
                <w:lang w:val="en-US"/>
              </w:rPr>
              <w:t>建设单位：</w:t>
            </w:r>
            <w:r>
              <w:rPr>
                <w:rFonts w:hint="eastAsia" w:ascii="宋体" w:hAnsi="宋体" w:cs="宋体"/>
                <w:color w:val="auto"/>
                <w:kern w:val="2"/>
                <w:sz w:val="21"/>
                <w:szCs w:val="21"/>
                <w:highlight w:val="none"/>
                <w:lang w:val="en-US" w:eastAsia="zh-CN"/>
              </w:rPr>
              <w:t>滁州市公共交通有限公司</w:t>
            </w:r>
          </w:p>
          <w:p w14:paraId="4540700B">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en-US" w:eastAsia="zh-CN"/>
              </w:rPr>
            </w:pPr>
            <w:r>
              <w:rPr>
                <w:rFonts w:hint="default" w:ascii="宋体" w:hAnsi="宋体" w:eastAsia="宋体" w:cs="宋体"/>
                <w:color w:val="auto"/>
                <w:kern w:val="2"/>
                <w:sz w:val="21"/>
                <w:szCs w:val="21"/>
                <w:highlight w:val="none"/>
                <w:lang w:val="en-US"/>
              </w:rPr>
              <w:t>地址：</w:t>
            </w:r>
            <w:r>
              <w:rPr>
                <w:rFonts w:hint="eastAsia" w:ascii="宋体" w:hAnsi="宋体" w:cs="宋体"/>
                <w:color w:val="auto"/>
                <w:kern w:val="2"/>
                <w:sz w:val="21"/>
                <w:szCs w:val="21"/>
                <w:highlight w:val="none"/>
                <w:lang w:val="en-US" w:eastAsia="zh-CN"/>
              </w:rPr>
              <w:t>滁州市花园东路766号</w:t>
            </w:r>
          </w:p>
          <w:p w14:paraId="6BF16C6E">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en-US" w:eastAsia="zh-CN"/>
              </w:rPr>
            </w:pPr>
            <w:r>
              <w:rPr>
                <w:rFonts w:hint="default" w:ascii="宋体" w:hAnsi="宋体" w:eastAsia="宋体" w:cs="宋体"/>
                <w:color w:val="auto"/>
                <w:kern w:val="2"/>
                <w:sz w:val="21"/>
                <w:szCs w:val="21"/>
                <w:highlight w:val="none"/>
                <w:lang w:val="en-US"/>
              </w:rPr>
              <w:t>联系人：</w:t>
            </w:r>
            <w:r>
              <w:rPr>
                <w:rFonts w:hint="eastAsia" w:ascii="宋体" w:hAnsi="宋体" w:cs="宋体"/>
                <w:color w:val="auto"/>
                <w:kern w:val="2"/>
                <w:sz w:val="21"/>
                <w:szCs w:val="21"/>
                <w:highlight w:val="none"/>
                <w:lang w:val="en-US" w:eastAsia="zh-CN"/>
              </w:rPr>
              <w:t>安孝武</w:t>
            </w:r>
          </w:p>
          <w:p w14:paraId="55869BD0">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val="en-US" w:eastAsia="zh-CN"/>
              </w:rPr>
            </w:pPr>
            <w:r>
              <w:rPr>
                <w:rFonts w:hint="default" w:ascii="宋体" w:hAnsi="宋体" w:eastAsia="宋体" w:cs="宋体"/>
                <w:color w:val="auto"/>
                <w:kern w:val="2"/>
                <w:sz w:val="21"/>
                <w:szCs w:val="21"/>
                <w:highlight w:val="none"/>
                <w:lang w:val="en-US"/>
              </w:rPr>
              <w:t>联系方式：</w:t>
            </w:r>
            <w:r>
              <w:rPr>
                <w:rFonts w:hint="eastAsia" w:ascii="宋体" w:hAnsi="宋体" w:cs="宋体"/>
                <w:color w:val="auto"/>
                <w:kern w:val="2"/>
                <w:sz w:val="21"/>
                <w:szCs w:val="21"/>
                <w:highlight w:val="none"/>
                <w:lang w:val="en-US" w:eastAsia="zh-CN"/>
              </w:rPr>
              <w:t>18365290581</w:t>
            </w:r>
          </w:p>
        </w:tc>
        <w:tc>
          <w:tcPr>
            <w:tcW w:w="518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EFC762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招标代理机构：滁州市城投工程咨询管理有限公司</w:t>
            </w:r>
          </w:p>
          <w:p w14:paraId="691B75E3">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地址：滁州市龙蟠大道109号房产</w:t>
            </w:r>
            <w:r>
              <w:rPr>
                <w:rFonts w:hint="eastAsia" w:ascii="宋体" w:hAnsi="宋体" w:eastAsia="宋体" w:cs="宋体"/>
                <w:color w:val="auto"/>
                <w:kern w:val="0"/>
                <w:sz w:val="21"/>
                <w:szCs w:val="21"/>
                <w:highlight w:val="none"/>
                <w:u w:val="none"/>
                <w:lang w:val="en-US" w:eastAsia="zh-CN"/>
              </w:rPr>
              <w:t>商务</w:t>
            </w:r>
            <w:r>
              <w:rPr>
                <w:rFonts w:hint="eastAsia" w:ascii="宋体" w:hAnsi="宋体" w:eastAsia="宋体" w:cs="宋体"/>
                <w:color w:val="auto"/>
                <w:kern w:val="0"/>
                <w:sz w:val="21"/>
                <w:szCs w:val="21"/>
                <w:highlight w:val="none"/>
                <w:u w:val="none"/>
              </w:rPr>
              <w:t>大厦6楼</w:t>
            </w:r>
          </w:p>
          <w:p w14:paraId="39BC38DF">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rPr>
              <w:t>联系人：</w:t>
            </w:r>
            <w:r>
              <w:rPr>
                <w:rFonts w:hint="eastAsia" w:ascii="宋体" w:hAnsi="宋体" w:cs="宋体"/>
                <w:color w:val="auto"/>
                <w:kern w:val="0"/>
                <w:sz w:val="21"/>
                <w:szCs w:val="21"/>
                <w:highlight w:val="none"/>
                <w:u w:val="none"/>
                <w:lang w:eastAsia="zh-CN"/>
              </w:rPr>
              <w:t>周晓培</w:t>
            </w:r>
          </w:p>
          <w:p w14:paraId="07E53031">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联系方式：</w:t>
            </w:r>
            <w:r>
              <w:rPr>
                <w:rFonts w:hint="eastAsia" w:ascii="宋体" w:hAnsi="宋体" w:cs="宋体"/>
                <w:color w:val="auto"/>
                <w:kern w:val="0"/>
                <w:sz w:val="21"/>
                <w:szCs w:val="21"/>
                <w:highlight w:val="none"/>
                <w:u w:val="none"/>
                <w:lang w:eastAsia="zh-CN"/>
              </w:rPr>
              <w:t>0550-3519512</w:t>
            </w:r>
            <w:r>
              <w:rPr>
                <w:rFonts w:hint="eastAsia" w:ascii="宋体" w:hAnsi="宋体" w:eastAsia="宋体" w:cs="宋体"/>
                <w:color w:val="auto"/>
                <w:kern w:val="0"/>
                <w:sz w:val="21"/>
                <w:szCs w:val="21"/>
                <w:highlight w:val="none"/>
                <w:u w:val="none"/>
                <w:lang w:eastAsia="zh-CN"/>
              </w:rPr>
              <w:t>、</w:t>
            </w:r>
            <w:r>
              <w:rPr>
                <w:rFonts w:hint="eastAsia" w:ascii="宋体" w:hAnsi="宋体" w:cs="宋体"/>
                <w:color w:val="auto"/>
                <w:kern w:val="0"/>
                <w:sz w:val="21"/>
                <w:szCs w:val="21"/>
                <w:highlight w:val="none"/>
                <w:u w:val="none"/>
                <w:lang w:eastAsia="zh-CN"/>
              </w:rPr>
              <w:t>18255055896</w:t>
            </w:r>
          </w:p>
        </w:tc>
      </w:tr>
    </w:tbl>
    <w:p w14:paraId="2BFDA484">
      <w:pPr>
        <w:pStyle w:val="44"/>
        <w:spacing w:beforeLines="50" w:afterLines="50" w:line="440" w:lineRule="exact"/>
        <w:rPr>
          <w:bCs/>
          <w:color w:val="auto"/>
          <w:szCs w:val="32"/>
          <w:highlight w:val="none"/>
        </w:rPr>
      </w:pPr>
      <w:r>
        <w:rPr>
          <w:rFonts w:hint="eastAsia"/>
          <w:bCs/>
          <w:color w:val="auto"/>
          <w:szCs w:val="32"/>
          <w:highlight w:val="none"/>
        </w:rPr>
        <w:br w:type="page"/>
      </w:r>
      <w:bookmarkStart w:id="33" w:name="_Toc18989"/>
      <w:bookmarkStart w:id="34" w:name="_Toc8980"/>
      <w:bookmarkStart w:id="35" w:name="_Toc22947"/>
      <w:r>
        <w:rPr>
          <w:rFonts w:hint="eastAsia"/>
          <w:bCs/>
          <w:color w:val="auto"/>
          <w:szCs w:val="32"/>
          <w:highlight w:val="none"/>
        </w:rPr>
        <w:t>第一章  投标人须知</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038B4F0B">
      <w:pPr>
        <w:spacing w:beforeLines="50" w:afterLines="50" w:line="440" w:lineRule="exact"/>
        <w:jc w:val="center"/>
        <w:rPr>
          <w:b/>
          <w:bCs/>
          <w:color w:val="auto"/>
          <w:sz w:val="28"/>
          <w:szCs w:val="28"/>
          <w:highlight w:val="none"/>
        </w:rPr>
      </w:pPr>
      <w:bookmarkStart w:id="36" w:name="_Toc246996917"/>
      <w:bookmarkStart w:id="37" w:name="_Toc152042304"/>
      <w:bookmarkStart w:id="38" w:name="_Toc152045528"/>
      <w:bookmarkStart w:id="39" w:name="_Toc246996174"/>
      <w:bookmarkStart w:id="40" w:name="_Toc506107268"/>
      <w:bookmarkStart w:id="41" w:name="_Toc179632545"/>
      <w:bookmarkStart w:id="42" w:name="_Toc35425051"/>
      <w:bookmarkStart w:id="43" w:name="_Toc324404814"/>
      <w:bookmarkStart w:id="44" w:name="_Toc35424884"/>
      <w:bookmarkStart w:id="45" w:name="_Toc247085688"/>
      <w:bookmarkStart w:id="46" w:name="_Toc144974496"/>
      <w:bookmarkStart w:id="47" w:name="_Toc15058845"/>
      <w:r>
        <w:rPr>
          <w:rFonts w:hint="eastAsia"/>
          <w:b/>
          <w:bCs/>
          <w:color w:val="auto"/>
          <w:sz w:val="28"/>
          <w:szCs w:val="28"/>
          <w:highlight w:val="none"/>
        </w:rPr>
        <w:t>投标人须知前附表</w:t>
      </w:r>
      <w:bookmarkEnd w:id="36"/>
      <w:bookmarkEnd w:id="37"/>
      <w:bookmarkEnd w:id="38"/>
      <w:bookmarkEnd w:id="39"/>
      <w:bookmarkEnd w:id="40"/>
      <w:bookmarkEnd w:id="41"/>
      <w:bookmarkEnd w:id="42"/>
      <w:bookmarkEnd w:id="43"/>
      <w:bookmarkEnd w:id="44"/>
      <w:bookmarkEnd w:id="45"/>
      <w:bookmarkEnd w:id="46"/>
      <w:bookmarkEnd w:id="47"/>
    </w:p>
    <w:tbl>
      <w:tblPr>
        <w:tblStyle w:val="47"/>
        <w:tblW w:w="9914" w:type="dxa"/>
        <w:jc w:val="center"/>
        <w:tblLayout w:type="fixed"/>
        <w:tblCellMar>
          <w:top w:w="0" w:type="dxa"/>
          <w:left w:w="108" w:type="dxa"/>
          <w:bottom w:w="0" w:type="dxa"/>
          <w:right w:w="108" w:type="dxa"/>
        </w:tblCellMar>
      </w:tblPr>
      <w:tblGrid>
        <w:gridCol w:w="868"/>
        <w:gridCol w:w="910"/>
        <w:gridCol w:w="1299"/>
        <w:gridCol w:w="6837"/>
      </w:tblGrid>
      <w:tr w14:paraId="0BDD4F3A">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30021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bookmarkStart w:id="48" w:name="_Toc246996918"/>
            <w:bookmarkStart w:id="49" w:name="_Toc179632546"/>
            <w:bookmarkStart w:id="50" w:name="_Toc324404815"/>
            <w:bookmarkStart w:id="51" w:name="_Toc152045529"/>
            <w:bookmarkStart w:id="52" w:name="_Toc506107269"/>
            <w:bookmarkStart w:id="53" w:name="_Toc246996175"/>
            <w:bookmarkStart w:id="54" w:name="_Toc152042305"/>
            <w:bookmarkStart w:id="55" w:name="_Toc247085689"/>
            <w:bookmarkStart w:id="56" w:name="_Toc144974497"/>
            <w:r>
              <w:rPr>
                <w:rFonts w:hint="eastAsia" w:ascii="宋体" w:hAnsi="宋体" w:cs="宋体"/>
                <w:b/>
                <w:color w:val="auto"/>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342837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条  款  名  称</w:t>
            </w:r>
          </w:p>
        </w:tc>
        <w:tc>
          <w:tcPr>
            <w:tcW w:w="6837" w:type="dxa"/>
            <w:tcBorders>
              <w:top w:val="single" w:color="auto" w:sz="4" w:space="0"/>
              <w:left w:val="single" w:color="auto" w:sz="4" w:space="0"/>
              <w:bottom w:val="single" w:color="auto" w:sz="4" w:space="0"/>
              <w:right w:val="single" w:color="auto" w:sz="4" w:space="0"/>
            </w:tcBorders>
            <w:noWrap/>
            <w:vAlign w:val="center"/>
          </w:tcPr>
          <w:p w14:paraId="4B914A4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编  列  内  容</w:t>
            </w:r>
          </w:p>
        </w:tc>
      </w:tr>
      <w:tr w14:paraId="77A4F99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89CB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C92606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w:t>
            </w:r>
          </w:p>
        </w:tc>
        <w:tc>
          <w:tcPr>
            <w:tcW w:w="6837" w:type="dxa"/>
            <w:tcBorders>
              <w:top w:val="single" w:color="auto" w:sz="4" w:space="0"/>
              <w:left w:val="single" w:color="auto" w:sz="4" w:space="0"/>
              <w:bottom w:val="single" w:color="auto" w:sz="4" w:space="0"/>
              <w:right w:val="single" w:color="auto" w:sz="4" w:space="0"/>
            </w:tcBorders>
            <w:noWrap/>
            <w:vAlign w:val="center"/>
          </w:tcPr>
          <w:p w14:paraId="47F4E802">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left"/>
              <w:textAlignment w:val="auto"/>
              <w:rPr>
                <w:rFonts w:hint="eastAsia" w:eastAsia="宋体"/>
                <w:color w:val="auto"/>
                <w:kern w:val="2"/>
                <w:sz w:val="21"/>
                <w:szCs w:val="21"/>
                <w:highlight w:val="none"/>
                <w:lang w:eastAsia="zh-CN"/>
              </w:rPr>
            </w:pPr>
            <w:r>
              <w:rPr>
                <w:rFonts w:hint="eastAsia" w:ascii="宋体" w:hAnsi="宋体" w:eastAsia="宋体" w:cs="宋体"/>
                <w:color w:val="auto"/>
                <w:kern w:val="0"/>
                <w:szCs w:val="21"/>
                <w:highlight w:val="none"/>
              </w:rPr>
              <w:t>详见招标公告</w:t>
            </w:r>
          </w:p>
        </w:tc>
      </w:tr>
      <w:tr w14:paraId="6934FE2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E50D38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EB631D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招标代理机构</w:t>
            </w:r>
          </w:p>
        </w:tc>
        <w:tc>
          <w:tcPr>
            <w:tcW w:w="6837" w:type="dxa"/>
            <w:tcBorders>
              <w:top w:val="single" w:color="auto" w:sz="4" w:space="0"/>
              <w:left w:val="single" w:color="auto" w:sz="4" w:space="0"/>
              <w:bottom w:val="single" w:color="auto" w:sz="4" w:space="0"/>
              <w:right w:val="single" w:color="auto" w:sz="4" w:space="0"/>
            </w:tcBorders>
            <w:noWrap/>
            <w:vAlign w:val="center"/>
          </w:tcPr>
          <w:p w14:paraId="6A4F386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rPr>
              <w:t>详见招标公告</w:t>
            </w:r>
          </w:p>
        </w:tc>
      </w:tr>
      <w:tr w14:paraId="31BD3B61">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30EF8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D14E14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项目名称</w:t>
            </w:r>
          </w:p>
        </w:tc>
        <w:tc>
          <w:tcPr>
            <w:tcW w:w="6837" w:type="dxa"/>
            <w:tcBorders>
              <w:top w:val="single" w:color="auto" w:sz="4" w:space="0"/>
              <w:left w:val="single" w:color="auto" w:sz="4" w:space="0"/>
              <w:bottom w:val="single" w:color="auto" w:sz="4" w:space="0"/>
              <w:right w:val="single" w:color="auto" w:sz="4" w:space="0"/>
            </w:tcBorders>
            <w:noWrap/>
            <w:vAlign w:val="center"/>
          </w:tcPr>
          <w:p w14:paraId="244173E7">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详见招标公告</w:t>
            </w:r>
          </w:p>
        </w:tc>
      </w:tr>
      <w:tr w14:paraId="08FFE5D0">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667C6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C87BA5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建设地点</w:t>
            </w:r>
          </w:p>
        </w:tc>
        <w:tc>
          <w:tcPr>
            <w:tcW w:w="6837" w:type="dxa"/>
            <w:tcBorders>
              <w:top w:val="single" w:color="auto" w:sz="4" w:space="0"/>
              <w:left w:val="single" w:color="auto" w:sz="4" w:space="0"/>
              <w:bottom w:val="single" w:color="auto" w:sz="4" w:space="0"/>
              <w:right w:val="single" w:color="auto" w:sz="4" w:space="0"/>
            </w:tcBorders>
            <w:noWrap/>
            <w:vAlign w:val="center"/>
          </w:tcPr>
          <w:p w14:paraId="506B480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Cs w:val="21"/>
                <w:highlight w:val="none"/>
              </w:rPr>
              <w:t>详见招标公告</w:t>
            </w:r>
          </w:p>
        </w:tc>
      </w:tr>
      <w:tr w14:paraId="035A6C0C">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4CEDDC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16D1835">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资金落实情况</w:t>
            </w:r>
          </w:p>
        </w:tc>
        <w:tc>
          <w:tcPr>
            <w:tcW w:w="6837" w:type="dxa"/>
            <w:tcBorders>
              <w:top w:val="single" w:color="auto" w:sz="4" w:space="0"/>
              <w:left w:val="single" w:color="auto" w:sz="4" w:space="0"/>
              <w:bottom w:val="single" w:color="auto" w:sz="4" w:space="0"/>
              <w:right w:val="single" w:color="auto" w:sz="4" w:space="0"/>
            </w:tcBorders>
            <w:noWrap/>
            <w:vAlign w:val="center"/>
          </w:tcPr>
          <w:p w14:paraId="3AD56AE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lang w:val="en-US" w:eastAsia="zh-CN"/>
              </w:rPr>
              <w:t>已落实</w:t>
            </w:r>
          </w:p>
        </w:tc>
      </w:tr>
      <w:tr w14:paraId="767AED2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E0487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77C389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招标范围</w:t>
            </w:r>
          </w:p>
        </w:tc>
        <w:tc>
          <w:tcPr>
            <w:tcW w:w="6837" w:type="dxa"/>
            <w:tcBorders>
              <w:top w:val="single" w:color="auto" w:sz="4" w:space="0"/>
              <w:left w:val="single" w:color="auto" w:sz="4" w:space="0"/>
              <w:bottom w:val="single" w:color="auto" w:sz="4" w:space="0"/>
              <w:right w:val="single" w:color="auto" w:sz="4" w:space="0"/>
            </w:tcBorders>
            <w:noWrap/>
            <w:vAlign w:val="center"/>
          </w:tcPr>
          <w:p w14:paraId="46D945E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color w:val="auto"/>
                <w:szCs w:val="21"/>
                <w:highlight w:val="none"/>
              </w:rPr>
              <w:t>详见招标公告</w:t>
            </w:r>
          </w:p>
        </w:tc>
      </w:tr>
      <w:tr w14:paraId="32245EDE">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67889D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7EFB0B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评标办法</w:t>
            </w:r>
          </w:p>
        </w:tc>
        <w:tc>
          <w:tcPr>
            <w:tcW w:w="6837" w:type="dxa"/>
            <w:tcBorders>
              <w:top w:val="single" w:color="auto" w:sz="4" w:space="0"/>
              <w:left w:val="single" w:color="auto" w:sz="4" w:space="0"/>
              <w:bottom w:val="single" w:color="auto" w:sz="4" w:space="0"/>
              <w:right w:val="single" w:color="auto" w:sz="4" w:space="0"/>
            </w:tcBorders>
            <w:noWrap/>
            <w:vAlign w:val="center"/>
          </w:tcPr>
          <w:p w14:paraId="26E51304">
            <w:pPr>
              <w:pStyle w:val="96"/>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综合评估法</w:t>
            </w:r>
          </w:p>
        </w:tc>
      </w:tr>
      <w:tr w14:paraId="08246C8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5D6FC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6B991F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工期</w:t>
            </w:r>
          </w:p>
        </w:tc>
        <w:tc>
          <w:tcPr>
            <w:tcW w:w="6837" w:type="dxa"/>
            <w:tcBorders>
              <w:top w:val="single" w:color="auto" w:sz="4" w:space="0"/>
              <w:left w:val="single" w:color="auto" w:sz="4" w:space="0"/>
              <w:bottom w:val="single" w:color="auto" w:sz="4" w:space="0"/>
              <w:right w:val="single" w:color="auto" w:sz="4" w:space="0"/>
            </w:tcBorders>
            <w:noWrap/>
            <w:vAlign w:val="center"/>
          </w:tcPr>
          <w:p w14:paraId="22AC1F9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rPr>
              <w:t>计划工期：</w:t>
            </w:r>
            <w:r>
              <w:rPr>
                <w:rFonts w:hint="eastAsia" w:ascii="宋体" w:hAnsi="宋体" w:cs="宋体"/>
                <w:b/>
                <w:color w:val="auto"/>
                <w:sz w:val="21"/>
                <w:szCs w:val="21"/>
                <w:highlight w:val="none"/>
                <w:lang w:val="en-US" w:eastAsia="zh-CN"/>
              </w:rPr>
              <w:t>不高于</w:t>
            </w:r>
            <w:r>
              <w:rPr>
                <w:rFonts w:hint="eastAsia" w:ascii="宋体" w:hAnsi="宋体" w:cs="宋体"/>
                <w:b/>
                <w:color w:val="auto"/>
                <w:sz w:val="21"/>
                <w:szCs w:val="21"/>
                <w:highlight w:val="none"/>
                <w:u w:val="single"/>
                <w:lang w:val="en-US" w:eastAsia="zh-CN"/>
              </w:rPr>
              <w:t xml:space="preserve"> 15 </w:t>
            </w:r>
            <w:r>
              <w:rPr>
                <w:rFonts w:hint="eastAsia" w:ascii="宋体" w:hAnsi="宋体" w:cs="宋体"/>
                <w:b/>
                <w:color w:val="auto"/>
                <w:sz w:val="21"/>
                <w:szCs w:val="21"/>
                <w:highlight w:val="none"/>
                <w:u w:val="none"/>
                <w:lang w:val="en-US" w:eastAsia="zh-CN"/>
              </w:rPr>
              <w:t>个</w:t>
            </w:r>
            <w:r>
              <w:rPr>
                <w:rFonts w:hint="eastAsia" w:ascii="宋体" w:hAnsi="宋体" w:cs="宋体"/>
                <w:b/>
                <w:color w:val="auto"/>
                <w:sz w:val="21"/>
                <w:szCs w:val="21"/>
                <w:highlight w:val="none"/>
                <w:lang w:val="en-US" w:eastAsia="zh-CN"/>
              </w:rPr>
              <w:t>日历天。</w:t>
            </w:r>
          </w:p>
          <w:p w14:paraId="62D820D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计划开工日期：双方签订合同时明确</w:t>
            </w:r>
            <w:r>
              <w:rPr>
                <w:rFonts w:hint="eastAsia" w:ascii="宋体" w:hAnsi="宋体" w:cs="宋体"/>
                <w:color w:val="auto"/>
                <w:sz w:val="21"/>
                <w:szCs w:val="21"/>
                <w:highlight w:val="none"/>
                <w:lang w:val="en-US" w:eastAsia="zh-CN"/>
              </w:rPr>
              <w:t xml:space="preserve"> </w:t>
            </w:r>
          </w:p>
          <w:p w14:paraId="1D6C9E7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计划竣工日期：双方签订合同时明确</w:t>
            </w:r>
            <w:r>
              <w:rPr>
                <w:rFonts w:hint="eastAsia" w:ascii="宋体" w:hAnsi="宋体" w:cs="宋体"/>
                <w:color w:val="auto"/>
                <w:sz w:val="21"/>
                <w:szCs w:val="21"/>
                <w:highlight w:val="none"/>
                <w:lang w:val="en-US" w:eastAsia="zh-CN"/>
              </w:rPr>
              <w:t xml:space="preserve"> </w:t>
            </w:r>
          </w:p>
          <w:p w14:paraId="5032111F">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注：投标人自报的承诺工期为考核标准。</w:t>
            </w:r>
            <w:r>
              <w:rPr>
                <w:rFonts w:hint="eastAsia" w:ascii="宋体" w:hAnsi="宋体" w:cs="宋体"/>
                <w:color w:val="auto"/>
                <w:sz w:val="21"/>
                <w:szCs w:val="21"/>
                <w:highlight w:val="none"/>
                <w:lang w:eastAsia="zh-CN"/>
              </w:rPr>
              <w:t>因中标人原因造成的工期延误，</w:t>
            </w:r>
            <w:r>
              <w:rPr>
                <w:rFonts w:hint="eastAsia" w:ascii="宋体" w:hAnsi="宋体" w:cs="宋体"/>
                <w:color w:val="auto"/>
                <w:sz w:val="21"/>
                <w:szCs w:val="21"/>
                <w:highlight w:val="none"/>
              </w:rPr>
              <w:t>工期每延误一天，处以</w:t>
            </w:r>
            <w:r>
              <w:rPr>
                <w:rFonts w:hint="eastAsia" w:ascii="宋体" w:hAnsi="宋体" w:cs="宋体"/>
                <w:color w:val="auto"/>
                <w:sz w:val="21"/>
                <w:szCs w:val="21"/>
                <w:highlight w:val="none"/>
                <w:u w:val="single"/>
                <w:lang w:val="en-US" w:eastAsia="zh-CN"/>
              </w:rPr>
              <w:t xml:space="preserve"> 1000 </w:t>
            </w:r>
            <w:r>
              <w:rPr>
                <w:rFonts w:hint="eastAsia" w:ascii="宋体" w:hAnsi="宋体" w:cs="宋体"/>
                <w:color w:val="auto"/>
                <w:sz w:val="21"/>
                <w:szCs w:val="21"/>
                <w:highlight w:val="none"/>
              </w:rPr>
              <w:t xml:space="preserve">元违约金，工期提前不奖励。 </w:t>
            </w:r>
          </w:p>
        </w:tc>
      </w:tr>
      <w:tr w14:paraId="52D1B80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2265A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8D869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质量要求</w:t>
            </w:r>
          </w:p>
        </w:tc>
        <w:tc>
          <w:tcPr>
            <w:tcW w:w="6837" w:type="dxa"/>
            <w:tcBorders>
              <w:top w:val="single" w:color="auto" w:sz="4" w:space="0"/>
              <w:left w:val="single" w:color="auto" w:sz="4" w:space="0"/>
              <w:bottom w:val="single" w:color="auto" w:sz="4" w:space="0"/>
              <w:right w:val="single" w:color="auto" w:sz="4" w:space="0"/>
            </w:tcBorders>
            <w:noWrap/>
            <w:vAlign w:val="center"/>
          </w:tcPr>
          <w:p w14:paraId="30D229F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rPr>
              <w:t>工程质量必须达到国家工程施工质量验收合格标准</w:t>
            </w:r>
          </w:p>
        </w:tc>
      </w:tr>
      <w:tr w14:paraId="14722C22">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56270CA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C8625C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6837" w:type="dxa"/>
            <w:tcBorders>
              <w:top w:val="single" w:color="auto" w:sz="4" w:space="0"/>
              <w:left w:val="single" w:color="auto" w:sz="4" w:space="0"/>
              <w:bottom w:val="single" w:color="auto" w:sz="4" w:space="0"/>
              <w:right w:val="single" w:color="auto" w:sz="4" w:space="0"/>
            </w:tcBorders>
            <w:noWrap/>
            <w:vAlign w:val="center"/>
          </w:tcPr>
          <w:p w14:paraId="3661F8E0">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26BB7244">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2DE1695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B65144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招标文件发布时间</w:t>
            </w:r>
          </w:p>
        </w:tc>
        <w:tc>
          <w:tcPr>
            <w:tcW w:w="6837" w:type="dxa"/>
            <w:tcBorders>
              <w:top w:val="single" w:color="auto" w:sz="4" w:space="0"/>
              <w:left w:val="single" w:color="auto" w:sz="4" w:space="0"/>
              <w:bottom w:val="single" w:color="auto" w:sz="4" w:space="0"/>
              <w:right w:val="single" w:color="auto" w:sz="4" w:space="0"/>
            </w:tcBorders>
            <w:noWrap/>
            <w:vAlign w:val="center"/>
          </w:tcPr>
          <w:p w14:paraId="6E38338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3FFCBBF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C58AE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52A809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6837" w:type="dxa"/>
            <w:tcBorders>
              <w:top w:val="single" w:color="auto" w:sz="4" w:space="0"/>
              <w:left w:val="single" w:color="auto" w:sz="4" w:space="0"/>
              <w:bottom w:val="single" w:color="auto" w:sz="4" w:space="0"/>
              <w:right w:val="single" w:color="auto" w:sz="4" w:space="0"/>
            </w:tcBorders>
            <w:noWrap/>
            <w:vAlign w:val="center"/>
          </w:tcPr>
          <w:p w14:paraId="6AA5E599">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；□组织</w:t>
            </w:r>
          </w:p>
        </w:tc>
      </w:tr>
      <w:tr w14:paraId="5EE952C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FD1E6E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638E5E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6837" w:type="dxa"/>
            <w:tcBorders>
              <w:top w:val="single" w:color="auto" w:sz="4" w:space="0"/>
              <w:left w:val="single" w:color="auto" w:sz="4" w:space="0"/>
              <w:bottom w:val="single" w:color="auto" w:sz="4" w:space="0"/>
              <w:right w:val="single" w:color="auto" w:sz="4" w:space="0"/>
            </w:tcBorders>
            <w:noWrap/>
            <w:vAlign w:val="center"/>
          </w:tcPr>
          <w:p w14:paraId="7F81BA54">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lang w:eastAsia="zh-CN"/>
              </w:rPr>
              <w:t>☑</w:t>
            </w: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w:t>
            </w:r>
            <w:r>
              <w:rPr>
                <w:rFonts w:hint="eastAsia" w:hAnsi="宋体" w:cs="宋体"/>
                <w:color w:val="auto"/>
                <w:sz w:val="21"/>
                <w:szCs w:val="21"/>
                <w:highlight w:val="none"/>
                <w:lang w:eastAsia="zh-CN"/>
              </w:rPr>
              <w:t>□</w:t>
            </w:r>
            <w:r>
              <w:rPr>
                <w:rFonts w:hint="eastAsia" w:hAnsi="宋体" w:cs="宋体"/>
                <w:color w:val="auto"/>
                <w:sz w:val="21"/>
                <w:szCs w:val="21"/>
                <w:highlight w:val="none"/>
              </w:rPr>
              <w:t>召开</w:t>
            </w:r>
          </w:p>
        </w:tc>
      </w:tr>
      <w:tr w14:paraId="0BEEB6A8">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DC3317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9BBE13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投标人提出问题的截止时间及方式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64F852B0">
            <w:pPr>
              <w:pStyle w:val="25"/>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hAnsi="宋体" w:eastAsia="宋体" w:cs="宋体"/>
                <w:color w:val="auto"/>
                <w:szCs w:val="21"/>
                <w:highlight w:val="none"/>
                <w:lang w:eastAsia="zh-CN"/>
              </w:rPr>
            </w:pPr>
            <w:r>
              <w:rPr>
                <w:rFonts w:hint="eastAsia" w:ascii="宋体" w:hAnsi="宋体" w:cs="宋体"/>
                <w:color w:val="auto"/>
                <w:kern w:val="0"/>
                <w:szCs w:val="21"/>
                <w:highlight w:val="none"/>
              </w:rPr>
              <w:t>如投标人对招标文件有疑问，请于</w:t>
            </w:r>
            <w:r>
              <w:rPr>
                <w:rFonts w:hint="eastAsia" w:ascii="宋体" w:hAnsi="宋体" w:cs="宋体"/>
                <w:b w:val="0"/>
                <w:bCs/>
                <w:color w:val="auto"/>
                <w:szCs w:val="21"/>
                <w:highlight w:val="none"/>
                <w:lang w:eastAsia="zh-CN"/>
              </w:rPr>
              <w:t>2026年6月</w:t>
            </w:r>
            <w:r>
              <w:rPr>
                <w:rFonts w:hint="eastAsia" w:ascii="宋体" w:hAnsi="宋体" w:cs="宋体"/>
                <w:b w:val="0"/>
                <w:bCs/>
                <w:color w:val="auto"/>
                <w:szCs w:val="21"/>
                <w:highlight w:val="none"/>
                <w:lang w:val="en-US" w:eastAsia="zh-CN"/>
              </w:rPr>
              <w:t>22</w:t>
            </w:r>
            <w:r>
              <w:rPr>
                <w:rFonts w:hint="eastAsia" w:ascii="宋体" w:hAnsi="宋体" w:cs="宋体"/>
                <w:b w:val="0"/>
                <w:bCs/>
                <w:color w:val="auto"/>
                <w:szCs w:val="21"/>
                <w:highlight w:val="none"/>
              </w:rPr>
              <w:t>日1</w:t>
            </w:r>
            <w:r>
              <w:rPr>
                <w:rFonts w:hint="eastAsia" w:ascii="宋体" w:hAnsi="宋体" w:cs="宋体"/>
                <w:b w:val="0"/>
                <w:bCs/>
                <w:color w:val="auto"/>
                <w:szCs w:val="21"/>
                <w:highlight w:val="none"/>
                <w:lang w:val="en-US" w:eastAsia="zh-CN"/>
              </w:rPr>
              <w:t>7</w:t>
            </w:r>
            <w:r>
              <w:rPr>
                <w:rFonts w:hint="eastAsia" w:ascii="宋体" w:hAnsi="宋体" w:cs="宋体"/>
                <w:b w:val="0"/>
                <w:bCs/>
                <w:color w:val="auto"/>
                <w:szCs w:val="21"/>
                <w:highlight w:val="none"/>
              </w:rPr>
              <w:t>时</w:t>
            </w:r>
            <w:r>
              <w:rPr>
                <w:rFonts w:hint="eastAsia" w:ascii="宋体" w:hAnsi="宋体" w:cs="宋体"/>
                <w:color w:val="auto"/>
                <w:kern w:val="0"/>
                <w:szCs w:val="21"/>
                <w:highlight w:val="none"/>
              </w:rPr>
              <w:t>前</w:t>
            </w:r>
            <w:r>
              <w:rPr>
                <w:rFonts w:hint="eastAsia" w:ascii="宋体" w:hAnsi="宋体" w:cs="宋体"/>
                <w:color w:val="auto"/>
                <w:kern w:val="0"/>
                <w:szCs w:val="21"/>
                <w:highlight w:val="none"/>
                <w:lang w:val="en-US" w:eastAsia="zh-CN"/>
              </w:rPr>
              <w:t>通过新点电子交易平台【滁州专区】对招标文件提出澄清（质疑）。</w:t>
            </w:r>
          </w:p>
        </w:tc>
      </w:tr>
      <w:tr w14:paraId="2934A45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30DD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8A0A15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35D92E4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将在</w:t>
            </w:r>
            <w:r>
              <w:rPr>
                <w:rFonts w:hint="eastAsia" w:ascii="宋体" w:hAnsi="宋体" w:cs="宋体"/>
                <w:color w:val="auto"/>
                <w:szCs w:val="21"/>
                <w:highlight w:val="none"/>
                <w:lang w:eastAsia="zh-CN"/>
              </w:rPr>
              <w:t>2026年6月</w:t>
            </w: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日17时后以澄清公告形式在滁州市城投工程咨询管理有限公司（https://www.czctgczx.com/）网站发布，请各位投标人注意查看有关澄清内容，如不及时查看造成后果由投标人自负。</w:t>
            </w:r>
          </w:p>
        </w:tc>
      </w:tr>
      <w:tr w14:paraId="3BD97139">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52998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CB156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6837" w:type="dxa"/>
            <w:tcBorders>
              <w:top w:val="single" w:color="auto" w:sz="4" w:space="0"/>
              <w:left w:val="single" w:color="auto" w:sz="4" w:space="0"/>
              <w:bottom w:val="single" w:color="auto" w:sz="4" w:space="0"/>
              <w:right w:val="single" w:color="auto" w:sz="4" w:space="0"/>
            </w:tcBorders>
            <w:noWrap/>
            <w:vAlign w:val="center"/>
          </w:tcPr>
          <w:p w14:paraId="62C55BF9">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不允许</w:t>
            </w:r>
          </w:p>
          <w:p w14:paraId="4C7F9585">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szCs w:val="21"/>
                <w:highlight w:val="none"/>
              </w:rPr>
            </w:pPr>
            <w:r>
              <w:rPr>
                <w:rFonts w:hint="eastAsia" w:hAnsi="宋体" w:cs="宋体"/>
                <w:color w:val="auto"/>
                <w:sz w:val="21"/>
                <w:szCs w:val="21"/>
                <w:highlight w:val="none"/>
                <w:lang w:eastAsia="zh-CN"/>
              </w:rPr>
              <w:t>□</w:t>
            </w:r>
            <w:r>
              <w:rPr>
                <w:rFonts w:hint="eastAsia" w:ascii="宋体" w:hAnsi="宋体" w:cs="宋体"/>
                <w:color w:val="auto"/>
                <w:szCs w:val="21"/>
                <w:highlight w:val="none"/>
              </w:rPr>
              <w:t>允许，分包内容要求：/</w:t>
            </w:r>
          </w:p>
          <w:p w14:paraId="1E02A672">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分包金额要求：/</w:t>
            </w:r>
          </w:p>
          <w:p w14:paraId="5CDD9F6D">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highlight w:val="none"/>
              </w:rPr>
            </w:pPr>
            <w:r>
              <w:rPr>
                <w:rFonts w:hint="eastAsia" w:hAnsi="宋体" w:cs="宋体"/>
                <w:color w:val="auto"/>
                <w:sz w:val="21"/>
                <w:szCs w:val="21"/>
                <w:highlight w:val="none"/>
              </w:rPr>
              <w:t>接受分包的第三人资质要求：/</w:t>
            </w:r>
          </w:p>
        </w:tc>
      </w:tr>
      <w:tr w14:paraId="6713B92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E6AA00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CACEC4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偏离</w:t>
            </w:r>
          </w:p>
        </w:tc>
        <w:tc>
          <w:tcPr>
            <w:tcW w:w="6837" w:type="dxa"/>
            <w:tcBorders>
              <w:top w:val="single" w:color="auto" w:sz="4" w:space="0"/>
              <w:left w:val="single" w:color="auto" w:sz="4" w:space="0"/>
              <w:bottom w:val="single" w:color="auto" w:sz="4" w:space="0"/>
              <w:right w:val="single" w:color="auto" w:sz="4" w:space="0"/>
            </w:tcBorders>
            <w:noWrap/>
            <w:vAlign w:val="center"/>
          </w:tcPr>
          <w:p w14:paraId="03189168">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z w:val="21"/>
                <w:szCs w:val="21"/>
                <w:highlight w:val="none"/>
              </w:rPr>
            </w:pPr>
            <w:r>
              <w:rPr>
                <w:rFonts w:hint="eastAsia"/>
                <w:color w:val="auto"/>
                <w:highlight w:val="none"/>
              </w:rPr>
              <w:t>☑</w:t>
            </w:r>
            <w:r>
              <w:rPr>
                <w:rFonts w:hint="eastAsia" w:hAnsi="宋体" w:cs="宋体"/>
                <w:color w:val="auto"/>
                <w:sz w:val="21"/>
                <w:szCs w:val="21"/>
                <w:highlight w:val="none"/>
              </w:rPr>
              <w:t>不允许；□允许</w:t>
            </w:r>
          </w:p>
        </w:tc>
      </w:tr>
      <w:tr w14:paraId="5647E6D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78A507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D6549E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6837" w:type="dxa"/>
            <w:tcBorders>
              <w:top w:val="single" w:color="auto" w:sz="4" w:space="0"/>
              <w:left w:val="single" w:color="auto" w:sz="4" w:space="0"/>
              <w:bottom w:val="single" w:color="auto" w:sz="4" w:space="0"/>
              <w:right w:val="single" w:color="auto" w:sz="4" w:space="0"/>
            </w:tcBorders>
            <w:noWrap/>
            <w:vAlign w:val="center"/>
          </w:tcPr>
          <w:p w14:paraId="0FA3530B">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招标人提供的其他材料及招标澄清答疑文件</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w:t>
            </w:r>
          </w:p>
        </w:tc>
      </w:tr>
      <w:tr w14:paraId="50FF530F">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341D04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90C7E4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75CFFED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同本表第13条</w:t>
            </w:r>
          </w:p>
        </w:tc>
      </w:tr>
      <w:tr w14:paraId="6B0CA663">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F3D9D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5518DC6">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增值税税金</w:t>
            </w:r>
          </w:p>
        </w:tc>
        <w:tc>
          <w:tcPr>
            <w:tcW w:w="6837" w:type="dxa"/>
            <w:tcBorders>
              <w:top w:val="single" w:color="auto" w:sz="4" w:space="0"/>
              <w:left w:val="single" w:color="auto" w:sz="4" w:space="0"/>
              <w:bottom w:val="single" w:color="auto" w:sz="4" w:space="0"/>
              <w:right w:val="single" w:color="auto" w:sz="4" w:space="0"/>
            </w:tcBorders>
            <w:noWrap/>
            <w:vAlign w:val="top"/>
          </w:tcPr>
          <w:p w14:paraId="1840E859">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（1）计税方法：</w:t>
            </w:r>
          </w:p>
          <w:p w14:paraId="31D5399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一般计税方法</w:t>
            </w:r>
          </w:p>
          <w:p w14:paraId="397E3A7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 xml:space="preserve">□简易计算方法 </w:t>
            </w:r>
          </w:p>
          <w:p w14:paraId="0F1F967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（2）发票类型：</w:t>
            </w:r>
          </w:p>
          <w:p w14:paraId="5286D3E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增值税专用发票</w:t>
            </w:r>
          </w:p>
          <w:p w14:paraId="2C50DB1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□增值税普通发票</w:t>
            </w:r>
          </w:p>
          <w:p w14:paraId="16E44764">
            <w:pPr>
              <w:keepNext w:val="0"/>
              <w:keepLines w:val="0"/>
              <w:pageBreakBefore w:val="0"/>
              <w:numPr>
                <w:ilvl w:val="0"/>
                <w:numId w:val="1"/>
              </w:numPr>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增值税税率按照国家有关规定执行。</w:t>
            </w:r>
          </w:p>
          <w:p w14:paraId="3E8B0272">
            <w:pPr>
              <w:pStyle w:val="19"/>
              <w:keepNext w:val="0"/>
              <w:keepLines w:val="0"/>
              <w:pageBreakBefore w:val="0"/>
              <w:suppressLineNumbers w:val="0"/>
              <w:kinsoku/>
              <w:wordWrap/>
              <w:overflowPunct/>
              <w:topLinePunct/>
              <w:autoSpaceDN/>
              <w:bidi w:val="0"/>
              <w:adjustRightInd w:val="0"/>
              <w:snapToGrid w:val="0"/>
              <w:spacing w:before="0" w:beforeAutospacing="0" w:after="0" w:afterAutospacing="0" w:line="440" w:lineRule="exact"/>
              <w:ind w:left="0" w:right="0" w:firstLine="525" w:firstLineChars="250"/>
              <w:textAlignment w:val="auto"/>
              <w:rPr>
                <w:rFonts w:hint="eastAsia" w:ascii="宋体" w:hAnsi="宋体" w:cs="宋体"/>
                <w:color w:val="auto"/>
                <w:szCs w:val="21"/>
                <w:highlight w:val="none"/>
              </w:rPr>
            </w:pPr>
            <w:r>
              <w:rPr>
                <w:rFonts w:hint="eastAsia" w:ascii="宋体" w:hAnsi="宋体" w:eastAsia="宋体" w:cs="宋体"/>
                <w:bCs/>
                <w:snapToGrid w:val="0"/>
                <w:color w:val="auto"/>
                <w:kern w:val="0"/>
                <w:sz w:val="21"/>
                <w:szCs w:val="21"/>
                <w:highlight w:val="none"/>
              </w:rPr>
              <w:t>其它：</w:t>
            </w:r>
            <w:r>
              <w:rPr>
                <w:rFonts w:hint="eastAsia" w:ascii="宋体" w:hAnsi="宋体" w:eastAsia="宋体" w:cs="宋体"/>
                <w:bCs/>
                <w:snapToGrid w:val="0"/>
                <w:color w:val="auto"/>
                <w:kern w:val="0"/>
                <w:sz w:val="21"/>
                <w:szCs w:val="21"/>
                <w:highlight w:val="none"/>
                <w:u w:val="single"/>
                <w:lang w:val="en-US" w:eastAsia="zh-CN"/>
              </w:rPr>
              <w:t>/</w:t>
            </w:r>
            <w:r>
              <w:rPr>
                <w:rFonts w:hint="eastAsia" w:ascii="宋体" w:hAnsi="宋体" w:eastAsia="宋体" w:cs="宋体"/>
                <w:bCs/>
                <w:snapToGrid w:val="0"/>
                <w:color w:val="auto"/>
                <w:kern w:val="0"/>
                <w:sz w:val="21"/>
                <w:szCs w:val="21"/>
                <w:highlight w:val="none"/>
              </w:rPr>
              <w:t xml:space="preserve"> 。</w:t>
            </w:r>
          </w:p>
        </w:tc>
      </w:tr>
      <w:tr w14:paraId="3484A48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A31C2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490671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b/>
                <w:bCs/>
                <w:color w:val="auto"/>
                <w:sz w:val="21"/>
                <w:szCs w:val="21"/>
                <w:highlight w:val="none"/>
              </w:rPr>
              <w:t>最高限价</w:t>
            </w:r>
          </w:p>
        </w:tc>
        <w:tc>
          <w:tcPr>
            <w:tcW w:w="6837" w:type="dxa"/>
            <w:tcBorders>
              <w:top w:val="single" w:color="auto" w:sz="4" w:space="0"/>
              <w:left w:val="single" w:color="auto" w:sz="4" w:space="0"/>
              <w:bottom w:val="single" w:color="auto" w:sz="4" w:space="0"/>
              <w:right w:val="single" w:color="auto" w:sz="4" w:space="0"/>
            </w:tcBorders>
            <w:noWrap/>
            <w:vAlign w:val="center"/>
          </w:tcPr>
          <w:p w14:paraId="5ED4160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
                <w:bCs/>
                <w:color w:val="auto"/>
                <w:szCs w:val="21"/>
                <w:highlight w:val="none"/>
                <w:u w:val="single"/>
                <w:lang w:eastAsia="zh-CN"/>
              </w:rPr>
            </w:pPr>
            <w:r>
              <w:rPr>
                <w:rFonts w:hint="eastAsia" w:ascii="宋体" w:hAnsi="宋体" w:cs="宋体"/>
                <w:b/>
                <w:bCs/>
                <w:color w:val="auto"/>
                <w:sz w:val="21"/>
                <w:szCs w:val="21"/>
                <w:highlight w:val="none"/>
              </w:rPr>
              <w:t>最高限价：人民币</w:t>
            </w:r>
            <w:r>
              <w:rPr>
                <w:rFonts w:hint="eastAsia" w:ascii="宋体" w:hAnsi="宋体" w:cs="宋体"/>
                <w:b/>
                <w:bCs/>
                <w:color w:val="auto"/>
                <w:sz w:val="21"/>
                <w:szCs w:val="21"/>
                <w:highlight w:val="none"/>
                <w:lang w:val="en-US" w:eastAsia="zh-CN"/>
              </w:rPr>
              <w:t>贰拾叁万捌仟元整</w:t>
            </w:r>
            <w:r>
              <w:rPr>
                <w:rFonts w:hint="eastAsia" w:ascii="宋体" w:hAnsi="宋体" w:cs="宋体"/>
                <w:b/>
                <w:bCs/>
                <w:color w:val="auto"/>
                <w:sz w:val="21"/>
                <w:szCs w:val="21"/>
                <w:highlight w:val="none"/>
              </w:rPr>
              <w:t>（¥：</w:t>
            </w:r>
            <w:r>
              <w:rPr>
                <w:rFonts w:hint="eastAsia" w:ascii="宋体" w:hAnsi="宋体" w:cs="宋体"/>
                <w:b/>
                <w:bCs/>
                <w:color w:val="auto"/>
                <w:sz w:val="21"/>
                <w:szCs w:val="21"/>
                <w:highlight w:val="none"/>
                <w:lang w:val="en-US" w:eastAsia="zh-CN"/>
              </w:rPr>
              <w:t>238000</w:t>
            </w:r>
            <w:r>
              <w:rPr>
                <w:rFonts w:hint="eastAsia" w:ascii="宋体" w:hAnsi="宋体" w:cs="宋体"/>
                <w:b/>
                <w:bCs/>
                <w:color w:val="auto"/>
                <w:sz w:val="21"/>
                <w:szCs w:val="21"/>
                <w:highlight w:val="none"/>
              </w:rPr>
              <w:t>元），投标报价不得高于最高限价，否则，其投标文件按无效标处理。</w:t>
            </w:r>
          </w:p>
        </w:tc>
      </w:tr>
      <w:tr w14:paraId="33653CF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558C0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EBAC12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投标有效期</w:t>
            </w:r>
          </w:p>
        </w:tc>
        <w:tc>
          <w:tcPr>
            <w:tcW w:w="6837" w:type="dxa"/>
            <w:tcBorders>
              <w:top w:val="single" w:color="auto" w:sz="4" w:space="0"/>
              <w:left w:val="single" w:color="auto" w:sz="4" w:space="0"/>
              <w:bottom w:val="single" w:color="auto" w:sz="4" w:space="0"/>
              <w:right w:val="single" w:color="auto" w:sz="4" w:space="0"/>
            </w:tcBorders>
            <w:noWrap/>
            <w:vAlign w:val="center"/>
          </w:tcPr>
          <w:p w14:paraId="0D43EDBA">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 w:val="21"/>
                <w:szCs w:val="21"/>
                <w:highlight w:val="none"/>
              </w:rPr>
              <w:t>自投标人递交投标文件截止之日起计算</w:t>
            </w:r>
            <w:r>
              <w:rPr>
                <w:rFonts w:hint="eastAsia" w:ascii="宋体" w:hAnsi="宋体" w:eastAsia="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rPr>
              <w:t>日历天。在此期限内，凡符合本招标文件要求的投标文件均保持有效。</w:t>
            </w:r>
          </w:p>
        </w:tc>
      </w:tr>
      <w:tr w14:paraId="3B5D074E">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0637DD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5CB413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投标保证金</w:t>
            </w:r>
          </w:p>
        </w:tc>
        <w:tc>
          <w:tcPr>
            <w:tcW w:w="6837" w:type="dxa"/>
            <w:tcBorders>
              <w:top w:val="single" w:color="auto" w:sz="4" w:space="0"/>
              <w:left w:val="single" w:color="auto" w:sz="4" w:space="0"/>
              <w:bottom w:val="single" w:color="auto" w:sz="4" w:space="0"/>
              <w:right w:val="single" w:color="auto" w:sz="4" w:space="0"/>
            </w:tcBorders>
            <w:noWrap/>
            <w:vAlign w:val="center"/>
          </w:tcPr>
          <w:p w14:paraId="594EE2DC">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详见招标公告</w:t>
            </w:r>
          </w:p>
        </w:tc>
      </w:tr>
      <w:tr w14:paraId="4B169B3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03BC2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ED0E85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签字或盖章要求</w:t>
            </w:r>
          </w:p>
        </w:tc>
        <w:tc>
          <w:tcPr>
            <w:tcW w:w="6837" w:type="dxa"/>
            <w:tcBorders>
              <w:top w:val="single" w:color="auto" w:sz="4" w:space="0"/>
              <w:left w:val="single" w:color="auto" w:sz="4" w:space="0"/>
              <w:bottom w:val="single" w:color="auto" w:sz="4" w:space="0"/>
              <w:right w:val="single" w:color="auto" w:sz="4" w:space="0"/>
            </w:tcBorders>
            <w:noWrap/>
            <w:vAlign w:val="center"/>
          </w:tcPr>
          <w:p w14:paraId="4C935010">
            <w:pPr>
              <w:keepNext w:val="0"/>
              <w:keepLines w:val="0"/>
              <w:pageBreakBefore w:val="0"/>
              <w:widowControl/>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电子投标文件须按格式文件要求签字或盖章（电子签章），招标文件格式中要求“签章”部位，指电子签章或盖章后扫描上传均可。</w:t>
            </w:r>
          </w:p>
          <w:p w14:paraId="1FB90A74">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b/>
                <w:color w:val="auto"/>
                <w:kern w:val="0"/>
                <w:szCs w:val="21"/>
                <w:highlight w:val="none"/>
              </w:rPr>
              <w:t>否则经评委会一致认定按照无效投标处理。</w:t>
            </w:r>
          </w:p>
        </w:tc>
      </w:tr>
      <w:tr w14:paraId="45EB737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C064C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E93C69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投标文件份数</w:t>
            </w:r>
          </w:p>
        </w:tc>
        <w:tc>
          <w:tcPr>
            <w:tcW w:w="6837" w:type="dxa"/>
            <w:tcBorders>
              <w:top w:val="single" w:color="auto" w:sz="4" w:space="0"/>
              <w:left w:val="single" w:color="auto" w:sz="4" w:space="0"/>
              <w:bottom w:val="single" w:color="auto" w:sz="4" w:space="0"/>
              <w:right w:val="single" w:color="auto" w:sz="4" w:space="0"/>
            </w:tcBorders>
            <w:noWrap/>
            <w:vAlign w:val="center"/>
          </w:tcPr>
          <w:p w14:paraId="56900DD7">
            <w:pPr>
              <w:pStyle w:val="14"/>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firstLine="0" w:firstLineChars="0"/>
              <w:textAlignment w:val="auto"/>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加密电子投标文件投标人应在投标截止时间前通过新点电子交易平台后在【滁州专区】（https://www.etrading.cn/BREpointSSO/login/oauth2login?regioncode=DQ_ChuZhou）交易系统递交电子投标文件。</w:t>
            </w:r>
          </w:p>
          <w:p w14:paraId="4FE5B874">
            <w:pPr>
              <w:pStyle w:val="14"/>
              <w:keepNext w:val="0"/>
              <w:keepLines w:val="0"/>
              <w:pageBreakBefore w:val="0"/>
              <w:suppressLineNumbers w:val="0"/>
              <w:kinsoku/>
              <w:wordWrap/>
              <w:overflowPunct/>
              <w:autoSpaceDN/>
              <w:bidi w:val="0"/>
              <w:spacing w:before="0" w:beforeAutospacing="0" w:after="0" w:afterAutospacing="0" w:line="440" w:lineRule="exact"/>
              <w:ind w:left="0" w:leftChars="0" w:right="0" w:firstLine="0" w:firstLineChars="0"/>
              <w:textAlignment w:val="auto"/>
              <w:rPr>
                <w:rFonts w:hint="default"/>
                <w:color w:val="auto"/>
                <w:highlight w:val="none"/>
              </w:rPr>
            </w:pPr>
            <w:r>
              <w:rPr>
                <w:rFonts w:hint="eastAsia" w:ascii="宋体" w:hAnsi="宋体" w:cs="宋体"/>
                <w:b/>
                <w:color w:val="auto"/>
                <w:kern w:val="0"/>
                <w:szCs w:val="21"/>
                <w:highlight w:val="none"/>
              </w:rPr>
              <w:t>（投标人中标后须递交与网上电子投标文件完全一致的纸质版投标文件，并按要求加盖单位章；份数：正本 1 份，副本 2 份；中标人领取中标通知书时，一并递交给招标代理机构）。</w:t>
            </w:r>
          </w:p>
        </w:tc>
      </w:tr>
      <w:tr w14:paraId="0C6864E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right w:val="single" w:color="auto" w:sz="4" w:space="0"/>
            </w:tcBorders>
            <w:noWrap/>
            <w:vAlign w:val="center"/>
          </w:tcPr>
          <w:p w14:paraId="18A5B89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CA10E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color w:val="auto"/>
                <w:sz w:val="21"/>
                <w:szCs w:val="21"/>
                <w:highlight w:val="none"/>
              </w:rPr>
              <w:t>投标文件</w:t>
            </w:r>
            <w:r>
              <w:rPr>
                <w:rFonts w:hint="eastAsia" w:ascii="宋体" w:hAnsi="宋体" w:cs="宋体"/>
                <w:color w:val="auto"/>
                <w:szCs w:val="21"/>
                <w:highlight w:val="none"/>
                <w:lang w:val="en-US" w:eastAsia="zh-CN"/>
              </w:rPr>
              <w:t>提交截止时间</w:t>
            </w:r>
          </w:p>
        </w:tc>
        <w:tc>
          <w:tcPr>
            <w:tcW w:w="6837" w:type="dxa"/>
            <w:tcBorders>
              <w:top w:val="single" w:color="auto" w:sz="4" w:space="0"/>
              <w:left w:val="single" w:color="auto" w:sz="4" w:space="0"/>
              <w:bottom w:val="single" w:color="auto" w:sz="4" w:space="0"/>
              <w:right w:val="single" w:color="auto" w:sz="4" w:space="0"/>
            </w:tcBorders>
            <w:noWrap/>
            <w:vAlign w:val="center"/>
          </w:tcPr>
          <w:p w14:paraId="0F2F46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8"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网上递交投标文件截止时间：</w:t>
            </w:r>
            <w:r>
              <w:rPr>
                <w:rFonts w:hint="eastAsia" w:ascii="宋体" w:hAnsi="宋体" w:cs="宋体"/>
                <w:b/>
                <w:bCs/>
                <w:color w:val="auto"/>
                <w:sz w:val="21"/>
                <w:szCs w:val="21"/>
                <w:highlight w:val="none"/>
                <w:lang w:val="en-US" w:eastAsia="zh-CN"/>
              </w:rPr>
              <w:t>2026年6月26</w:t>
            </w:r>
            <w:r>
              <w:rPr>
                <w:rFonts w:hint="eastAsia" w:ascii="宋体" w:hAnsi="宋体" w:eastAsia="宋体" w:cs="宋体"/>
                <w:b/>
                <w:bCs/>
                <w:color w:val="auto"/>
                <w:sz w:val="21"/>
                <w:szCs w:val="21"/>
                <w:highlight w:val="none"/>
                <w:lang w:val="en-US" w:eastAsia="zh-CN"/>
              </w:rPr>
              <w:t>日9时</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0分（北京时间）</w:t>
            </w:r>
          </w:p>
          <w:p w14:paraId="56C71E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9"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注：以投标人在投标截止时间前网上递交的电子投标文件为准，逾期提交的，投标文件将被拒绝。</w:t>
            </w:r>
          </w:p>
          <w:p w14:paraId="4BD260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8"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1.解密程序开始后30分钟内（以本项目网上招投标系统解密倒计时为准）。</w:t>
            </w:r>
          </w:p>
        </w:tc>
      </w:tr>
      <w:tr w14:paraId="18EF77F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69E38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cs="宋体"/>
                <w:color w:val="auto"/>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23770E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是否允许递交备选投标方案</w:t>
            </w:r>
          </w:p>
        </w:tc>
        <w:tc>
          <w:tcPr>
            <w:tcW w:w="6837" w:type="dxa"/>
            <w:tcBorders>
              <w:top w:val="single" w:color="auto" w:sz="4" w:space="0"/>
              <w:left w:val="single" w:color="auto" w:sz="4" w:space="0"/>
              <w:bottom w:val="single" w:color="auto" w:sz="4" w:space="0"/>
              <w:right w:val="single" w:color="auto" w:sz="4" w:space="0"/>
            </w:tcBorders>
            <w:noWrap/>
            <w:vAlign w:val="center"/>
          </w:tcPr>
          <w:p w14:paraId="28BDF73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☑不允许；</w:t>
            </w:r>
          </w:p>
          <w:p w14:paraId="2C0FA23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cs="宋体"/>
                <w:color w:val="auto"/>
                <w:kern w:val="2"/>
                <w:sz w:val="21"/>
                <w:szCs w:val="21"/>
                <w:highlight w:val="none"/>
                <w:u w:color="000000"/>
                <w:lang w:val="en-US" w:eastAsia="zh-CN" w:bidi="ar"/>
              </w:rPr>
              <w:t>□</w:t>
            </w:r>
            <w:r>
              <w:rPr>
                <w:rFonts w:hint="eastAsia" w:ascii="宋体" w:hAnsi="宋体" w:eastAsia="宋体" w:cs="宋体"/>
                <w:color w:val="auto"/>
                <w:kern w:val="2"/>
                <w:sz w:val="21"/>
                <w:szCs w:val="21"/>
                <w:highlight w:val="none"/>
                <w:u w:color="000000"/>
                <w:lang w:val="en-US" w:eastAsia="zh-CN" w:bidi="ar"/>
              </w:rPr>
              <w:t>允许：/</w:t>
            </w:r>
          </w:p>
        </w:tc>
      </w:tr>
      <w:tr w14:paraId="67446FC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A2924C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0114B2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是否退还投标文件</w:t>
            </w:r>
          </w:p>
        </w:tc>
        <w:tc>
          <w:tcPr>
            <w:tcW w:w="6837" w:type="dxa"/>
            <w:tcBorders>
              <w:top w:val="single" w:color="auto" w:sz="4" w:space="0"/>
              <w:left w:val="single" w:color="auto" w:sz="4" w:space="0"/>
              <w:bottom w:val="single" w:color="auto" w:sz="4" w:space="0"/>
              <w:right w:val="single" w:color="auto" w:sz="4" w:space="0"/>
            </w:tcBorders>
            <w:noWrap/>
            <w:vAlign w:val="center"/>
          </w:tcPr>
          <w:p w14:paraId="3B01A5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否</w:t>
            </w:r>
          </w:p>
        </w:tc>
      </w:tr>
      <w:tr w14:paraId="554E501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D5599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B96C2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开标时间及地点</w:t>
            </w:r>
          </w:p>
        </w:tc>
        <w:tc>
          <w:tcPr>
            <w:tcW w:w="6837" w:type="dxa"/>
            <w:tcBorders>
              <w:top w:val="single" w:color="auto" w:sz="4" w:space="0"/>
              <w:left w:val="single" w:color="auto" w:sz="4" w:space="0"/>
              <w:bottom w:val="single" w:color="auto" w:sz="4" w:space="0"/>
              <w:right w:val="single" w:color="auto" w:sz="4" w:space="0"/>
            </w:tcBorders>
            <w:noWrap/>
            <w:vAlign w:val="center"/>
          </w:tcPr>
          <w:p w14:paraId="3DA97AB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详见招标公告</w:t>
            </w:r>
          </w:p>
        </w:tc>
      </w:tr>
      <w:tr w14:paraId="59938181">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A1119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59BE0F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开标程序</w:t>
            </w:r>
          </w:p>
        </w:tc>
        <w:tc>
          <w:tcPr>
            <w:tcW w:w="6837" w:type="dxa"/>
            <w:tcBorders>
              <w:top w:val="single" w:color="auto" w:sz="4" w:space="0"/>
              <w:left w:val="single" w:color="auto" w:sz="4" w:space="0"/>
              <w:bottom w:val="single" w:color="auto" w:sz="4" w:space="0"/>
              <w:right w:val="single" w:color="auto" w:sz="4" w:space="0"/>
            </w:tcBorders>
            <w:noWrap/>
            <w:vAlign w:val="center"/>
          </w:tcPr>
          <w:p w14:paraId="312B3E8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解密电子投标文件后，由评标委员会评审。</w:t>
            </w:r>
          </w:p>
        </w:tc>
      </w:tr>
      <w:tr w14:paraId="5A3CC426">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B6DF45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F2B105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评标委员会的组建</w:t>
            </w:r>
          </w:p>
        </w:tc>
        <w:tc>
          <w:tcPr>
            <w:tcW w:w="6837" w:type="dxa"/>
            <w:tcBorders>
              <w:top w:val="single" w:color="auto" w:sz="4" w:space="0"/>
              <w:left w:val="single" w:color="auto" w:sz="4" w:space="0"/>
              <w:bottom w:val="single" w:color="auto" w:sz="4" w:space="0"/>
              <w:right w:val="single" w:color="auto" w:sz="4" w:space="0"/>
            </w:tcBorders>
            <w:noWrap/>
            <w:vAlign w:val="center"/>
          </w:tcPr>
          <w:p w14:paraId="36B0EA06">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u w:color="000000"/>
              </w:rPr>
              <w:t>评标委员会由招标人依法组建。</w:t>
            </w:r>
          </w:p>
        </w:tc>
      </w:tr>
      <w:tr w14:paraId="6BB9958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9EED1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91A01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6837" w:type="dxa"/>
            <w:tcBorders>
              <w:top w:val="single" w:color="auto" w:sz="4" w:space="0"/>
              <w:left w:val="single" w:color="auto" w:sz="4" w:space="0"/>
              <w:bottom w:val="single" w:color="auto" w:sz="4" w:space="0"/>
              <w:right w:val="single" w:color="auto" w:sz="4" w:space="0"/>
            </w:tcBorders>
            <w:noWrap/>
            <w:vAlign w:val="center"/>
          </w:tcPr>
          <w:p w14:paraId="66BAC0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default"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75E93D81">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EF03F7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32</w:t>
            </w:r>
          </w:p>
        </w:tc>
        <w:tc>
          <w:tcPr>
            <w:tcW w:w="2209" w:type="dxa"/>
            <w:gridSpan w:val="2"/>
            <w:tcBorders>
              <w:top w:val="single" w:color="auto" w:sz="4" w:space="0"/>
              <w:left w:val="single" w:color="auto" w:sz="4" w:space="0"/>
              <w:right w:val="single" w:color="auto" w:sz="4" w:space="0"/>
            </w:tcBorders>
            <w:noWrap/>
            <w:vAlign w:val="center"/>
          </w:tcPr>
          <w:p w14:paraId="3C2BCE7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中标候选人公示媒介</w:t>
            </w:r>
          </w:p>
        </w:tc>
        <w:tc>
          <w:tcPr>
            <w:tcW w:w="6837" w:type="dxa"/>
            <w:tcBorders>
              <w:top w:val="single" w:color="auto" w:sz="4" w:space="0"/>
              <w:left w:val="single" w:color="auto" w:sz="4" w:space="0"/>
              <w:right w:val="single" w:color="auto" w:sz="4" w:space="0"/>
            </w:tcBorders>
            <w:noWrap/>
            <w:vAlign w:val="center"/>
          </w:tcPr>
          <w:p w14:paraId="5934AC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141B9AA6">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1E99CD29">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CD3FD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33</w:t>
            </w:r>
          </w:p>
        </w:tc>
        <w:tc>
          <w:tcPr>
            <w:tcW w:w="2209" w:type="dxa"/>
            <w:gridSpan w:val="2"/>
            <w:tcBorders>
              <w:top w:val="single" w:color="auto" w:sz="4" w:space="0"/>
              <w:left w:val="single" w:color="auto" w:sz="4" w:space="0"/>
              <w:right w:val="single" w:color="auto" w:sz="4" w:space="0"/>
            </w:tcBorders>
            <w:noWrap/>
            <w:vAlign w:val="center"/>
          </w:tcPr>
          <w:p w14:paraId="78948775">
            <w:pPr>
              <w:keepNext w:val="0"/>
              <w:keepLines w:val="0"/>
              <w:pageBreakBefore w:val="0"/>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中标通知书发出形式</w:t>
            </w:r>
          </w:p>
        </w:tc>
        <w:tc>
          <w:tcPr>
            <w:tcW w:w="6837" w:type="dxa"/>
            <w:tcBorders>
              <w:top w:val="single" w:color="auto" w:sz="4" w:space="0"/>
              <w:left w:val="single" w:color="auto" w:sz="4" w:space="0"/>
              <w:right w:val="single" w:color="auto" w:sz="4" w:space="0"/>
            </w:tcBorders>
            <w:noWrap/>
            <w:vAlign w:val="center"/>
          </w:tcPr>
          <w:p w14:paraId="72945261">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中标通知书须加盖招标人、招标代理公司公章后方可发出。</w:t>
            </w:r>
          </w:p>
        </w:tc>
      </w:tr>
      <w:tr w14:paraId="616DD867">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3D5A16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979CC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履约担保</w:t>
            </w:r>
          </w:p>
        </w:tc>
        <w:tc>
          <w:tcPr>
            <w:tcW w:w="6837" w:type="dxa"/>
            <w:tcBorders>
              <w:top w:val="single" w:color="auto" w:sz="4" w:space="0"/>
              <w:left w:val="single" w:color="auto" w:sz="4" w:space="0"/>
              <w:bottom w:val="single" w:color="auto" w:sz="4" w:space="0"/>
              <w:right w:val="single" w:color="auto" w:sz="4" w:space="0"/>
            </w:tcBorders>
            <w:noWrap/>
            <w:vAlign w:val="center"/>
          </w:tcPr>
          <w:p w14:paraId="654CF6E9">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bCs/>
                <w:color w:val="auto"/>
                <w:szCs w:val="21"/>
                <w:highlight w:val="none"/>
              </w:rPr>
              <w:t>不要求</w:t>
            </w:r>
          </w:p>
        </w:tc>
      </w:tr>
      <w:tr w14:paraId="6EEFD45D">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512930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5789A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eastAsia="宋体" w:cs="宋体"/>
                <w:b/>
                <w:bCs/>
                <w:color w:val="auto"/>
                <w:sz w:val="21"/>
                <w:szCs w:val="21"/>
                <w:highlight w:val="none"/>
              </w:rPr>
              <w:t>付款方式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78E95C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cs="宋体"/>
                <w:color w:val="auto"/>
                <w:szCs w:val="21"/>
                <w:highlight w:val="none"/>
              </w:rPr>
            </w:pPr>
            <w:r>
              <w:rPr>
                <w:rFonts w:hint="eastAsia" w:ascii="宋体" w:hAnsi="宋体" w:eastAsia="宋体" w:cs="宋体"/>
                <w:b/>
                <w:bCs/>
                <w:color w:val="auto"/>
                <w:sz w:val="21"/>
                <w:szCs w:val="21"/>
                <w:highlight w:val="none"/>
                <w:lang w:val="en-US" w:eastAsia="zh-CN"/>
              </w:rPr>
              <w:t>工程竣工验收合格后付至合同价款的97%，剩余3%作为工程质量保证金，在本项目工程竣工验收合格之日起满5年后无质量问题一个月内付清。承包人应在3%工程质量保证金退回同时提供合同价款的3%的保函，保函有效期须与剩余质保时间一致。</w:t>
            </w:r>
          </w:p>
        </w:tc>
      </w:tr>
      <w:tr w14:paraId="00B21AE1">
        <w:tblPrEx>
          <w:tblCellMar>
            <w:top w:w="0" w:type="dxa"/>
            <w:left w:w="108" w:type="dxa"/>
            <w:bottom w:w="0" w:type="dxa"/>
            <w:right w:w="108" w:type="dxa"/>
          </w:tblCellMar>
        </w:tblPrEx>
        <w:trPr>
          <w:trHeight w:val="90" w:hRule="atLeast"/>
          <w:jc w:val="center"/>
        </w:trPr>
        <w:tc>
          <w:tcPr>
            <w:tcW w:w="9914" w:type="dxa"/>
            <w:gridSpan w:val="4"/>
            <w:tcBorders>
              <w:top w:val="single" w:color="auto" w:sz="4" w:space="0"/>
              <w:left w:val="single" w:color="auto" w:sz="4" w:space="0"/>
              <w:bottom w:val="single" w:color="auto" w:sz="4" w:space="0"/>
              <w:right w:val="single" w:color="auto" w:sz="4" w:space="0"/>
            </w:tcBorders>
            <w:noWrap/>
            <w:vAlign w:val="center"/>
          </w:tcPr>
          <w:p w14:paraId="4EA6DC9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需要补充的其他内容</w:t>
            </w:r>
          </w:p>
        </w:tc>
      </w:tr>
      <w:tr w14:paraId="570BA4C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ACBEBF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招标代理服务费</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510B69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3000</w:t>
            </w:r>
            <w:r>
              <w:rPr>
                <w:rFonts w:hint="eastAsia" w:ascii="宋体" w:hAnsi="宋体" w:cs="宋体"/>
                <w:color w:val="auto"/>
                <w:kern w:val="0"/>
                <w:szCs w:val="21"/>
                <w:highlight w:val="none"/>
              </w:rPr>
              <w:t>元</w:t>
            </w:r>
            <w:r>
              <w:rPr>
                <w:rFonts w:hint="eastAsia" w:ascii="宋体" w:hAnsi="宋体" w:cs="宋体"/>
                <w:bCs/>
                <w:color w:val="auto"/>
                <w:kern w:val="0"/>
                <w:highlight w:val="none"/>
              </w:rPr>
              <w:t>。</w:t>
            </w:r>
          </w:p>
          <w:p w14:paraId="56F56F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：中标单位</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rPr>
              <w:t>由中标单位在领取中标通知书时，一次性支付给代理机构。</w:t>
            </w:r>
          </w:p>
        </w:tc>
      </w:tr>
      <w:tr w14:paraId="425DA5A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3169FCB">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 w:val="21"/>
                <w:szCs w:val="21"/>
                <w:highlight w:val="none"/>
              </w:rPr>
              <w:t>专家评审劳务费</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23DA48D">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23D6C3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color w:val="auto"/>
                <w:kern w:val="0"/>
                <w:szCs w:val="21"/>
                <w:highlight w:val="none"/>
              </w:rPr>
            </w:pPr>
            <w:r>
              <w:rPr>
                <w:rFonts w:hint="eastAsia"/>
                <w:color w:val="auto"/>
                <w:sz w:val="21"/>
                <w:szCs w:val="21"/>
                <w:highlight w:val="none"/>
              </w:rPr>
              <w:t>支付主体：</w:t>
            </w:r>
            <w:r>
              <w:rPr>
                <w:rFonts w:hint="eastAsia"/>
                <w:color w:val="auto"/>
                <w:sz w:val="21"/>
                <w:szCs w:val="21"/>
                <w:highlight w:val="none"/>
                <w:lang w:val="en-US" w:eastAsia="zh-CN"/>
              </w:rPr>
              <w:t>中标单位。</w:t>
            </w:r>
          </w:p>
        </w:tc>
      </w:tr>
      <w:tr w14:paraId="30820828">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4C042B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评标过程中的澄清、说明或补正</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3638D8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55C709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2274AE55">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70B4A30">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材料要求</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457E1C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中标人自行采购的材料应满足设计和规范要求的质量等级，并须按有关技术规范要求对材料质量进行检验。中标人选定的材料供应厂家、质量和价格须经招标人和监理单位认可。如招标人和监理单位对某种或某些材料的质量有异议，有权提出停止使用的要求，中标人必须服从该要求。若该材料经权威检验部门鉴定确有质量问题，由此发生的一切费用由中标人自负；</w:t>
            </w:r>
          </w:p>
          <w:p w14:paraId="6FDFBA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2.因中标人自行采购的材料质量引起的工程质量问题由中标人承担所造成的一切损失。</w:t>
            </w:r>
          </w:p>
        </w:tc>
      </w:tr>
      <w:tr w14:paraId="0AB7A94F">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8EE1E0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相关要求</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37D71E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除非合同另有规定，工程量清单中有标价的单价和总价均已包括了为实施和完成合同工程所需的劳务、材料、机械、质检（自检）、安装、缺陷修复、管理、保险、税费、利润等费用，以及合同明示或暗示的所有责任、义务和一般风险。投标人应将工程量清单与交易文件、合同通用条款、专用条款以及技术规范和图纸一起对照阅读。</w:t>
            </w:r>
          </w:p>
          <w:p w14:paraId="02C3FB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2、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14:paraId="5A2A7D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lang w:val="en-US" w:eastAsia="zh-CN"/>
              </w:rPr>
              <w:t>3</w:t>
            </w:r>
            <w:r>
              <w:rPr>
                <w:rFonts w:hint="eastAsia"/>
                <w:color w:val="auto"/>
                <w:sz w:val="21"/>
                <w:szCs w:val="21"/>
                <w:highlight w:val="none"/>
              </w:rPr>
              <w:t>、承包人用于本合同工程的各类装备的提供、运输、维护、拆卸、拼装等支付的费用，已包括在工程量清单的单价与总价之中。</w:t>
            </w:r>
          </w:p>
          <w:p w14:paraId="1F8F21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b/>
                <w:bCs/>
                <w:color w:val="auto"/>
                <w:sz w:val="21"/>
                <w:szCs w:val="21"/>
                <w:highlight w:val="none"/>
              </w:rPr>
            </w:pPr>
            <w:r>
              <w:rPr>
                <w:rFonts w:hint="eastAsia"/>
                <w:color w:val="auto"/>
                <w:sz w:val="21"/>
                <w:szCs w:val="21"/>
                <w:highlight w:val="none"/>
                <w:lang w:val="en-US" w:eastAsia="zh-CN"/>
              </w:rPr>
              <w:t>4</w:t>
            </w:r>
            <w:r>
              <w:rPr>
                <w:rFonts w:hint="eastAsia"/>
                <w:color w:val="auto"/>
                <w:sz w:val="21"/>
                <w:szCs w:val="21"/>
                <w:highlight w:val="none"/>
              </w:rPr>
              <w:t>、</w:t>
            </w:r>
            <w:r>
              <w:rPr>
                <w:rFonts w:hint="eastAsia"/>
                <w:b/>
                <w:bCs/>
                <w:color w:val="auto"/>
                <w:sz w:val="21"/>
                <w:szCs w:val="21"/>
                <w:highlight w:val="none"/>
              </w:rPr>
              <w:t>整个施工期间，施工现场的人员安全由成交供应商进行保障，如发生安全事故，由成交供应商承担，成交供应商应该充分关注和保障所有在现场工作的人员的安全，采取有效措施，使现场和本合同工程的实施保持有条不紊，以免使上述人员的安全受到威协。特殊工种（电工、电梯工、起重工、电焊工、车船驾驶员、爆破工、瓦斯检查员等）要经专业培训，并持有专业主管部门签发的证书上岗；对于易燃易爆的材料除应专门妥善保管之外，还应配备有足够的消防设备，所有施工人员都应熟悉消防设备的性能和使用方法；所有施工机具设备和高空作业设备均应自费定期按国家和行政主管部门的有关规定进行检测和标定，并将检测结果报监理人。</w:t>
            </w:r>
          </w:p>
          <w:p w14:paraId="3720D9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eastAsia="宋体"/>
                <w:color w:val="auto"/>
                <w:sz w:val="21"/>
                <w:szCs w:val="21"/>
                <w:highlight w:val="none"/>
                <w:lang w:val="en-US" w:eastAsia="zh-CN"/>
              </w:rPr>
            </w:pPr>
            <w:r>
              <w:rPr>
                <w:rFonts w:hint="eastAsia"/>
                <w:b/>
                <w:bCs/>
                <w:color w:val="auto"/>
                <w:sz w:val="21"/>
                <w:szCs w:val="21"/>
                <w:highlight w:val="none"/>
                <w:lang w:val="en-US" w:eastAsia="zh-CN"/>
              </w:rPr>
              <w:t>5、本项目中，各系统设备的单体调试检测、整体联动调试检测等费用均包含在报价中，不再另行计算，各投标人报价时综合考虑。</w:t>
            </w:r>
          </w:p>
        </w:tc>
      </w:tr>
      <w:tr w14:paraId="316D6CAC">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4EA325E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现场管理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4AD781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1、施工过程中，项目管理及施工人员以外的无关人员一律不得留宿施工现场，项目负责人负责管理及清理出场；</w:t>
            </w:r>
          </w:p>
          <w:p w14:paraId="670556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2、施工过程中，严格执行国家及地方针对环保、禁噪、防尘、防护等措施，必须满足当地行政主管部门相关规定及要求。</w:t>
            </w:r>
          </w:p>
          <w:p w14:paraId="3B2D0B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3、所有专业承包工程，若总承包单位无此项专业承包施工资质，分包单位的选择必须经业主方认可，才能进行专业分包。</w:t>
            </w:r>
          </w:p>
          <w:p w14:paraId="1F7F4F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4、施工场地及周边场地、道路、绿化、管线、围墙等，若被施工方损坏，施工方必须无偿按照原貌恢复。</w:t>
            </w:r>
          </w:p>
          <w:p w14:paraId="3CAA3D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5、供应商自行勘察施工现场情况，因供应商未踏勘现场而造成的损失由供应商承担。</w:t>
            </w:r>
          </w:p>
          <w:p w14:paraId="0D2783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6、在工程建设过程中，出现质量、安全、进度、文明施工、扬尘污染、人员不在岗履职等违约行为的，发包人将给予违约处罚。</w:t>
            </w:r>
          </w:p>
        </w:tc>
      </w:tr>
      <w:tr w14:paraId="527F8741">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9F24BF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1230A7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1、本招标文件前后条款若有不一致之处，在澄清答疑时又未作出明确规定时，各投标人的投标文件只要满足其中任一条款，均视为对本招标文件的响应。</w:t>
            </w:r>
          </w:p>
          <w:p w14:paraId="421539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2、系统中提供的表格与招标文件中不一致时，以招标文件中提供的表格格式为准。</w:t>
            </w:r>
          </w:p>
          <w:p w14:paraId="27DA18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3、本项目招标公告与本招标文件不一致之处，以本招标文件为准。</w:t>
            </w:r>
          </w:p>
          <w:p w14:paraId="25D6F4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、本项目严禁非法转包，一经发现，招标人依法处理。</w:t>
            </w:r>
          </w:p>
          <w:p w14:paraId="7BDF3D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strike/>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、本文件的最终解释权归招标人、招标代理机构所有。</w:t>
            </w:r>
          </w:p>
        </w:tc>
      </w:tr>
    </w:tbl>
    <w:p w14:paraId="621305A5">
      <w:pPr>
        <w:rPr>
          <w:rFonts w:hint="eastAsia" w:ascii="宋体" w:hAnsi="宋体" w:eastAsia="宋体" w:cs="宋体"/>
          <w:color w:val="auto"/>
          <w:sz w:val="24"/>
          <w:szCs w:val="24"/>
          <w:highlight w:val="none"/>
        </w:rPr>
      </w:pPr>
      <w:bookmarkStart w:id="57" w:name="_Toc78803322"/>
      <w:bookmarkStart w:id="58" w:name="_Toc15058846"/>
      <w:bookmarkStart w:id="59" w:name="_Toc35424887"/>
      <w:bookmarkStart w:id="60" w:name="_Toc5813"/>
      <w:bookmarkStart w:id="61" w:name="_Toc35425053"/>
      <w:r>
        <w:rPr>
          <w:rFonts w:hint="eastAsia" w:ascii="宋体" w:hAnsi="宋体" w:eastAsia="宋体" w:cs="宋体"/>
          <w:color w:val="auto"/>
          <w:sz w:val="24"/>
          <w:szCs w:val="24"/>
          <w:highlight w:val="none"/>
        </w:rPr>
        <w:br w:type="page"/>
      </w:r>
    </w:p>
    <w:p w14:paraId="397CD072">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1602C201">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kern w:val="44"/>
          <w:highlight w:val="none"/>
        </w:rPr>
      </w:pPr>
      <w:bookmarkStart w:id="62" w:name="_Toc246996919"/>
      <w:bookmarkStart w:id="63" w:name="_Toc152042306"/>
      <w:bookmarkStart w:id="64" w:name="_Toc506107270"/>
      <w:bookmarkStart w:id="65" w:name="_Toc179632547"/>
      <w:bookmarkStart w:id="66" w:name="_Toc324404816"/>
      <w:bookmarkStart w:id="67" w:name="_Toc144974498"/>
      <w:bookmarkStart w:id="68" w:name="_Toc35424888"/>
      <w:bookmarkStart w:id="69" w:name="_Toc15058847"/>
      <w:bookmarkStart w:id="70" w:name="_Toc247085690"/>
      <w:bookmarkStart w:id="71" w:name="_Toc246996176"/>
      <w:bookmarkStart w:id="72" w:name="_Toc296602421"/>
      <w:bookmarkStart w:id="73" w:name="_Toc78803323"/>
      <w:bookmarkStart w:id="74" w:name="_Toc152045530"/>
      <w:bookmarkStart w:id="75" w:name="_Toc4678"/>
      <w:bookmarkStart w:id="76" w:name="_Toc35425054"/>
      <w:r>
        <w:rPr>
          <w:rFonts w:hint="eastAsia" w:ascii="宋体" w:hAnsi="宋体" w:eastAsia="宋体" w:cs="宋体"/>
          <w:color w:val="auto"/>
          <w:kern w:val="44"/>
          <w:highlight w:val="none"/>
        </w:rPr>
        <w:t>1.1 项目概况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5A8A10A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1.1.1根据《中华人民共和国招标投标法》《中华人民共和国招标投标法实施条例》等有关法律、法规和规章的规定，本招标项目已具备招标条件，现对本项目施工进行招标。</w:t>
      </w:r>
    </w:p>
    <w:p w14:paraId="02C7F19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175168C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1242FC7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3D8E07D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09E7A798">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77" w:name="_Toc152045531"/>
      <w:bookmarkStart w:id="78" w:name="_Toc15058848"/>
      <w:bookmarkStart w:id="79" w:name="_Toc324404817"/>
      <w:bookmarkStart w:id="80" w:name="_Toc35425055"/>
      <w:bookmarkStart w:id="81" w:name="_Toc78803324"/>
      <w:bookmarkStart w:id="82" w:name="_Toc246996177"/>
      <w:bookmarkStart w:id="83" w:name="_Toc246996920"/>
      <w:bookmarkStart w:id="84" w:name="_Toc179632548"/>
      <w:bookmarkStart w:id="85" w:name="_Toc247085691"/>
      <w:bookmarkStart w:id="86" w:name="_Toc296602422"/>
      <w:bookmarkStart w:id="87" w:name="_Toc144974499"/>
      <w:bookmarkStart w:id="88" w:name="_Toc506107271"/>
      <w:bookmarkStart w:id="89" w:name="_Toc7142"/>
      <w:bookmarkStart w:id="90" w:name="_Toc152042307"/>
      <w:bookmarkStart w:id="91" w:name="_Toc35424889"/>
      <w:r>
        <w:rPr>
          <w:rFonts w:hint="eastAsia" w:ascii="宋体" w:hAnsi="宋体" w:eastAsia="宋体" w:cs="宋体"/>
          <w:color w:val="auto"/>
          <w:highlight w:val="none"/>
        </w:rPr>
        <w:t>1.2 资金来源和落实情况</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24C6BD83">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373DD18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14:paraId="2592236A">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92" w:name="_Toc179632549"/>
      <w:bookmarkStart w:id="93" w:name="_Toc78803325"/>
      <w:bookmarkStart w:id="94" w:name="_Toc15058849"/>
      <w:bookmarkStart w:id="95" w:name="_Toc247085692"/>
      <w:bookmarkStart w:id="96" w:name="_Toc35424890"/>
      <w:bookmarkStart w:id="97" w:name="_Toc246996178"/>
      <w:bookmarkStart w:id="98" w:name="_Toc324404818"/>
      <w:bookmarkStart w:id="99" w:name="_Toc296602423"/>
      <w:bookmarkStart w:id="100" w:name="_Toc506107272"/>
      <w:bookmarkStart w:id="101" w:name="_Toc246996921"/>
      <w:bookmarkStart w:id="102" w:name="_Toc35425056"/>
      <w:bookmarkStart w:id="103" w:name="_Toc152042308"/>
      <w:bookmarkStart w:id="104" w:name="_Toc6330"/>
      <w:bookmarkStart w:id="105" w:name="_Toc152045532"/>
      <w:bookmarkStart w:id="106" w:name="_Toc144974500"/>
      <w:r>
        <w:rPr>
          <w:rFonts w:hint="eastAsia" w:ascii="宋体" w:hAnsi="宋体" w:eastAsia="宋体" w:cs="宋体"/>
          <w:color w:val="auto"/>
          <w:highlight w:val="none"/>
        </w:rPr>
        <w:t>1.3 招标范围、</w:t>
      </w:r>
      <w:r>
        <w:rPr>
          <w:rFonts w:hint="eastAsia" w:ascii="宋体" w:hAnsi="宋体" w:eastAsia="宋体" w:cs="宋体"/>
          <w:color w:val="auto"/>
          <w:highlight w:val="none"/>
          <w:lang w:val="en-US" w:eastAsia="zh-CN"/>
        </w:rPr>
        <w:t>工期</w:t>
      </w:r>
      <w:r>
        <w:rPr>
          <w:rFonts w:hint="eastAsia" w:ascii="宋体" w:hAnsi="宋体" w:eastAsia="宋体" w:cs="宋体"/>
          <w:color w:val="auto"/>
          <w:highlight w:val="none"/>
        </w:rPr>
        <w:t>、质量要求</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00EC76B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3D0015E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1.3.2 本招标项目的</w:t>
      </w:r>
      <w:r>
        <w:rPr>
          <w:rFonts w:hint="eastAsia" w:ascii="宋体" w:hAnsi="宋体" w:cs="宋体"/>
          <w:color w:val="auto"/>
          <w:szCs w:val="21"/>
          <w:highlight w:val="none"/>
          <w:lang w:val="en-US" w:eastAsia="zh-CN"/>
        </w:rPr>
        <w:t>工期</w:t>
      </w:r>
      <w:r>
        <w:rPr>
          <w:rFonts w:hint="eastAsia" w:ascii="宋体" w:hAnsi="宋体" w:cs="宋体"/>
          <w:color w:val="auto"/>
          <w:szCs w:val="21"/>
          <w:highlight w:val="none"/>
        </w:rPr>
        <w:t>：见投标人须知前附表。</w:t>
      </w:r>
    </w:p>
    <w:p w14:paraId="723ECF1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62F4DDBF">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07" w:name="_Toc247085693"/>
      <w:bookmarkStart w:id="108" w:name="_Toc26897"/>
      <w:bookmarkStart w:id="109" w:name="_Toc144974502"/>
      <w:bookmarkStart w:id="110" w:name="_Toc78803326"/>
      <w:bookmarkStart w:id="111" w:name="_Toc324404819"/>
      <w:bookmarkStart w:id="112" w:name="_Toc246996922"/>
      <w:bookmarkStart w:id="113" w:name="_Toc15058850"/>
      <w:bookmarkStart w:id="114" w:name="_Toc179632551"/>
      <w:bookmarkStart w:id="115" w:name="_Toc35424891"/>
      <w:bookmarkStart w:id="116" w:name="_Toc506107273"/>
      <w:bookmarkStart w:id="117" w:name="_Toc152042310"/>
      <w:bookmarkStart w:id="118" w:name="_Toc35425057"/>
      <w:bookmarkStart w:id="119" w:name="_Toc296602424"/>
      <w:bookmarkStart w:id="120" w:name="_Toc246996179"/>
      <w:bookmarkStart w:id="121" w:name="_Toc152045534"/>
      <w:r>
        <w:rPr>
          <w:rFonts w:hint="eastAsia" w:ascii="宋体" w:hAnsi="宋体" w:eastAsia="宋体" w:cs="宋体"/>
          <w:color w:val="auto"/>
          <w:highlight w:val="none"/>
        </w:rPr>
        <w:t>1.4 投标人资格要求</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03808A2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1.4.1 投标人应具备承担本项目</w:t>
      </w:r>
      <w:r>
        <w:rPr>
          <w:rFonts w:hint="eastAsia" w:ascii="宋体" w:hAnsi="宋体" w:cs="宋体"/>
          <w:color w:val="auto"/>
          <w:szCs w:val="21"/>
          <w:highlight w:val="none"/>
          <w:lang w:val="en-US" w:eastAsia="zh-CN"/>
        </w:rPr>
        <w:t>施工</w:t>
      </w:r>
      <w:r>
        <w:rPr>
          <w:rFonts w:hint="eastAsia" w:ascii="宋体" w:hAnsi="宋体" w:cs="宋体"/>
          <w:color w:val="auto"/>
          <w:szCs w:val="21"/>
          <w:highlight w:val="none"/>
        </w:rPr>
        <w:t>的资质条件、能力和信誉。</w:t>
      </w:r>
    </w:p>
    <w:p w14:paraId="24FF60A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（1）资质条件：见投标人须知前附表；</w:t>
      </w:r>
    </w:p>
    <w:p w14:paraId="3D1D9B8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（2）项目</w:t>
      </w:r>
      <w:r>
        <w:rPr>
          <w:rFonts w:hint="eastAsia" w:ascii="宋体" w:hAnsi="宋体" w:cs="宋体"/>
          <w:color w:val="auto"/>
          <w:szCs w:val="21"/>
          <w:highlight w:val="none"/>
          <w:lang w:val="en-US" w:eastAsia="zh-CN"/>
        </w:rPr>
        <w:t>经理</w:t>
      </w:r>
      <w:r>
        <w:rPr>
          <w:rFonts w:hint="eastAsia" w:ascii="宋体" w:hAnsi="宋体" w:cs="宋体"/>
          <w:color w:val="auto"/>
          <w:szCs w:val="21"/>
          <w:highlight w:val="none"/>
        </w:rPr>
        <w:t>资格：见投标人须知前附表；</w:t>
      </w:r>
    </w:p>
    <w:p w14:paraId="4AD897A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（3）信誉要求：见投标人须知前附表；</w:t>
      </w:r>
    </w:p>
    <w:p w14:paraId="7E29362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）其他要求：见投标人须知前附表。</w:t>
      </w:r>
    </w:p>
    <w:p w14:paraId="6AB64CF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1.4.2 投标人不得存在下列情形之一：</w:t>
      </w:r>
    </w:p>
    <w:p w14:paraId="6048E02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623529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4F6A068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00E0631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002B223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p>
    <w:p w14:paraId="5301E19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（6）为本标段的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w:t>
      </w:r>
    </w:p>
    <w:p w14:paraId="45A5B8F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（7）为本标段的代建人；</w:t>
      </w:r>
    </w:p>
    <w:p w14:paraId="3D5C44B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（8）为本标段的招标代理机构；</w:t>
      </w:r>
    </w:p>
    <w:p w14:paraId="4F2469C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或代建人或招标代理机构同为一个法定代表人；</w:t>
      </w:r>
    </w:p>
    <w:p w14:paraId="21DDF5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（10）与本标段的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或代建人或招标代理机构存在控股或参股关系；</w:t>
      </w:r>
    </w:p>
    <w:p w14:paraId="111AA2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14:paraId="41946C8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1.4.3 单位负责人为同一人或者存在控股、管理关系的不同单位，不得同时参加本招标项目投标。</w:t>
      </w:r>
    </w:p>
    <w:p w14:paraId="4BC6C2B0">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22" w:name="_Toc10179"/>
      <w:bookmarkStart w:id="123" w:name="_Toc152042311"/>
      <w:bookmarkStart w:id="124" w:name="_Toc179632552"/>
      <w:bookmarkStart w:id="125" w:name="_Toc247085694"/>
      <w:bookmarkStart w:id="126" w:name="_Toc246996180"/>
      <w:bookmarkStart w:id="127" w:name="_Toc78803327"/>
      <w:bookmarkStart w:id="128" w:name="_Toc296602425"/>
      <w:bookmarkStart w:id="129" w:name="_Toc506107274"/>
      <w:bookmarkStart w:id="130" w:name="_Toc246996923"/>
      <w:bookmarkStart w:id="131" w:name="_Toc35424892"/>
      <w:bookmarkStart w:id="132" w:name="_Toc15058851"/>
      <w:bookmarkStart w:id="133" w:name="_Toc144974503"/>
      <w:bookmarkStart w:id="134" w:name="_Toc152045535"/>
      <w:bookmarkStart w:id="135" w:name="_Toc35425058"/>
      <w:bookmarkStart w:id="136" w:name="_Toc324404820"/>
      <w:r>
        <w:rPr>
          <w:rFonts w:hint="eastAsia" w:ascii="宋体" w:hAnsi="宋体" w:eastAsia="宋体" w:cs="宋体"/>
          <w:color w:val="auto"/>
          <w:highlight w:val="none"/>
        </w:rPr>
        <w:t>1.5 费用承担</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4A0E657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40BDE53B">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37" w:name="_Toc506107275"/>
      <w:bookmarkStart w:id="138" w:name="_Toc78803328"/>
      <w:bookmarkStart w:id="139" w:name="_Toc152042312"/>
      <w:bookmarkStart w:id="140" w:name="_Toc35425059"/>
      <w:bookmarkStart w:id="141" w:name="_Toc152045536"/>
      <w:bookmarkStart w:id="142" w:name="_Toc179632553"/>
      <w:bookmarkStart w:id="143" w:name="_Toc246996181"/>
      <w:bookmarkStart w:id="144" w:name="_Toc35424893"/>
      <w:bookmarkStart w:id="145" w:name="_Toc324404821"/>
      <w:bookmarkStart w:id="146" w:name="_Toc15058852"/>
      <w:bookmarkStart w:id="147" w:name="_Toc246996924"/>
      <w:bookmarkStart w:id="148" w:name="_Toc4092"/>
      <w:bookmarkStart w:id="149" w:name="_Toc296602426"/>
      <w:bookmarkStart w:id="150" w:name="_Toc144974504"/>
      <w:bookmarkStart w:id="151" w:name="_Toc247085695"/>
      <w:r>
        <w:rPr>
          <w:rFonts w:hint="eastAsia" w:ascii="宋体" w:hAnsi="宋体" w:eastAsia="宋体" w:cs="宋体"/>
          <w:color w:val="auto"/>
          <w:highlight w:val="none"/>
        </w:rPr>
        <w:t>1.6 保密</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406A465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416FA317">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52" w:name="_Toc144974505"/>
      <w:bookmarkStart w:id="153" w:name="_Toc247085696"/>
      <w:bookmarkStart w:id="154" w:name="_Toc15058853"/>
      <w:bookmarkStart w:id="155" w:name="_Toc246996925"/>
      <w:bookmarkStart w:id="156" w:name="_Toc324404822"/>
      <w:bookmarkStart w:id="157" w:name="_Toc152045537"/>
      <w:bookmarkStart w:id="158" w:name="_Toc35424894"/>
      <w:bookmarkStart w:id="159" w:name="_Toc152042313"/>
      <w:bookmarkStart w:id="160" w:name="_Toc506107276"/>
      <w:bookmarkStart w:id="161" w:name="_Toc4119"/>
      <w:bookmarkStart w:id="162" w:name="_Toc296602427"/>
      <w:bookmarkStart w:id="163" w:name="_Toc35425060"/>
      <w:bookmarkStart w:id="164" w:name="_Toc78803329"/>
      <w:bookmarkStart w:id="165" w:name="_Toc246996182"/>
      <w:bookmarkStart w:id="166" w:name="_Toc179632554"/>
      <w:r>
        <w:rPr>
          <w:rFonts w:hint="eastAsia" w:ascii="宋体" w:hAnsi="宋体" w:eastAsia="宋体" w:cs="宋体"/>
          <w:color w:val="auto"/>
          <w:highlight w:val="none"/>
        </w:rPr>
        <w:t>1.7 语言</w:t>
      </w:r>
      <w:bookmarkEnd w:id="152"/>
      <w:r>
        <w:rPr>
          <w:rFonts w:hint="eastAsia" w:ascii="宋体" w:hAnsi="宋体" w:eastAsia="宋体" w:cs="宋体"/>
          <w:color w:val="auto"/>
          <w:highlight w:val="none"/>
        </w:rPr>
        <w:t>文字</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67969E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167" w:name="_Toc246996183"/>
      <w:bookmarkStart w:id="168" w:name="_Toc144974506"/>
      <w:bookmarkStart w:id="169" w:name="_Toc246996926"/>
      <w:bookmarkStart w:id="170" w:name="_Toc152042314"/>
      <w:bookmarkStart w:id="171" w:name="_Toc247085697"/>
      <w:bookmarkStart w:id="172" w:name="_Toc152045538"/>
      <w:bookmarkStart w:id="173" w:name="_Toc179632555"/>
      <w:r>
        <w:rPr>
          <w:rFonts w:hint="eastAsia" w:ascii="宋体" w:hAnsi="宋体" w:cs="宋体"/>
          <w:color w:val="auto"/>
          <w:szCs w:val="21"/>
          <w:highlight w:val="none"/>
        </w:rPr>
        <w:t>招标投标文件使用的语言文字为中文。专用术语使用外文的，应附有中文注释。</w:t>
      </w:r>
    </w:p>
    <w:p w14:paraId="32BE040E">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74" w:name="_Toc15058854"/>
      <w:bookmarkStart w:id="175" w:name="_Toc324404823"/>
      <w:bookmarkStart w:id="176" w:name="_Toc78803330"/>
      <w:bookmarkStart w:id="177" w:name="_Toc35425061"/>
      <w:bookmarkStart w:id="178" w:name="_Toc35424895"/>
      <w:bookmarkStart w:id="179" w:name="_Toc13408"/>
      <w:bookmarkStart w:id="180" w:name="_Toc506107277"/>
      <w:bookmarkStart w:id="181" w:name="_Toc296602428"/>
      <w:r>
        <w:rPr>
          <w:rFonts w:hint="eastAsia" w:ascii="宋体" w:hAnsi="宋体" w:eastAsia="宋体" w:cs="宋体"/>
          <w:color w:val="auto"/>
          <w:highlight w:val="none"/>
        </w:rPr>
        <w:t>1.8 计量单位</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352E05A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2CDDED85">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82" w:name="_Toc35425062"/>
      <w:bookmarkStart w:id="183" w:name="_Toc247592876"/>
      <w:bookmarkStart w:id="184" w:name="_Toc35424896"/>
      <w:bookmarkStart w:id="185" w:name="_Toc152045539"/>
      <w:bookmarkStart w:id="186" w:name="_Toc324404824"/>
      <w:bookmarkStart w:id="187" w:name="_Toc506107278"/>
      <w:bookmarkStart w:id="188" w:name="_Toc78803331"/>
      <w:bookmarkStart w:id="189" w:name="_Toc152042315"/>
      <w:bookmarkStart w:id="190" w:name="_Toc296602429"/>
      <w:bookmarkStart w:id="191" w:name="_Toc11493"/>
      <w:bookmarkStart w:id="192" w:name="_Toc247513962"/>
      <w:bookmarkStart w:id="193" w:name="_Toc15058855"/>
      <w:bookmarkStart w:id="194" w:name="_Toc144974507"/>
      <w:bookmarkStart w:id="195" w:name="_Toc247527563"/>
      <w:r>
        <w:rPr>
          <w:rFonts w:hint="eastAsia" w:ascii="宋体" w:hAnsi="宋体" w:eastAsia="宋体" w:cs="宋体"/>
          <w:color w:val="auto"/>
          <w:highlight w:val="none"/>
        </w:rPr>
        <w:t>1.9 踏勘现场</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4824D52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1.9.1 投标人须知前附表规定组织踏勘现场的，招标人按投标人须知前附表规定的时间、地点组织投标人踏勘项目现场。 </w:t>
      </w:r>
    </w:p>
    <w:p w14:paraId="3400E97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37C774C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608A1DC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14:paraId="71AACDF5">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96" w:name="_Toc15058856"/>
      <w:bookmarkStart w:id="197" w:name="_Toc35424897"/>
      <w:bookmarkStart w:id="198" w:name="_Toc247527564"/>
      <w:bookmarkStart w:id="199" w:name="_Toc247592877"/>
      <w:bookmarkStart w:id="200" w:name="_Toc296602430"/>
      <w:bookmarkStart w:id="201" w:name="_Toc22954"/>
      <w:bookmarkStart w:id="202" w:name="_Toc324404825"/>
      <w:bookmarkStart w:id="203" w:name="_Toc247513963"/>
      <w:bookmarkStart w:id="204" w:name="_Toc35425063"/>
      <w:bookmarkStart w:id="205" w:name="_Toc506107279"/>
      <w:bookmarkStart w:id="206" w:name="_Toc78803332"/>
      <w:bookmarkStart w:id="207" w:name="_Toc152042316"/>
      <w:bookmarkStart w:id="208" w:name="_Toc144974508"/>
      <w:bookmarkStart w:id="209" w:name="_Toc152045540"/>
      <w:r>
        <w:rPr>
          <w:rFonts w:hint="eastAsia" w:ascii="宋体" w:hAnsi="宋体" w:eastAsia="宋体" w:cs="宋体"/>
          <w:color w:val="auto"/>
          <w:highlight w:val="none"/>
        </w:rPr>
        <w:t>1.10 投标预备会</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1F4A435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14:paraId="19372174">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14:paraId="166EBEA0">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1.10.3招标人在投标人须知前附表规定的时间，将对投标人所提的问题进行澄清。该澄清内容为招标文件的组成部分。</w:t>
      </w:r>
    </w:p>
    <w:p w14:paraId="29D1FE60">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10" w:name="_Toc296602431"/>
      <w:bookmarkStart w:id="211" w:name="_Toc324404826"/>
      <w:bookmarkStart w:id="212" w:name="_Toc506107280"/>
      <w:bookmarkStart w:id="213" w:name="_Toc15058857"/>
      <w:bookmarkStart w:id="214" w:name="_Toc83301699"/>
      <w:bookmarkStart w:id="215" w:name="_Toc60061444"/>
      <w:bookmarkStart w:id="216" w:name="_Toc95223347"/>
      <w:bookmarkStart w:id="217" w:name="_Toc324404827"/>
      <w:bookmarkStart w:id="218" w:name="_Toc78803334"/>
      <w:bookmarkStart w:id="219" w:name="_Toc247085701"/>
      <w:bookmarkStart w:id="220" w:name="_Toc152042318"/>
      <w:bookmarkStart w:id="221" w:name="_Toc15058858"/>
      <w:bookmarkStart w:id="222" w:name="_Toc179632560"/>
      <w:bookmarkStart w:id="223" w:name="_Toc506107281"/>
      <w:bookmarkStart w:id="224" w:name="_Toc152045542"/>
      <w:bookmarkStart w:id="225" w:name="_Toc35425065"/>
      <w:bookmarkStart w:id="226" w:name="_Toc35424899"/>
      <w:bookmarkStart w:id="227" w:name="_Toc144974510"/>
      <w:bookmarkStart w:id="228" w:name="_Toc4012"/>
      <w:bookmarkStart w:id="229" w:name="_Toc246996187"/>
      <w:bookmarkStart w:id="230" w:name="_Toc246996930"/>
      <w:r>
        <w:rPr>
          <w:rFonts w:hint="eastAsia" w:ascii="宋体" w:hAnsi="宋体" w:eastAsia="宋体" w:cs="宋体"/>
          <w:color w:val="auto"/>
          <w:highlight w:val="none"/>
        </w:rPr>
        <w:t xml:space="preserve">1.11 </w:t>
      </w:r>
      <w:bookmarkEnd w:id="210"/>
      <w:bookmarkEnd w:id="211"/>
      <w:bookmarkEnd w:id="212"/>
      <w:bookmarkEnd w:id="213"/>
      <w:r>
        <w:rPr>
          <w:rFonts w:hint="eastAsia" w:ascii="宋体" w:hAnsi="宋体" w:eastAsia="宋体" w:cs="宋体"/>
          <w:color w:val="auto"/>
          <w:highlight w:val="none"/>
        </w:rPr>
        <w:t>分包</w:t>
      </w:r>
      <w:bookmarkEnd w:id="214"/>
      <w:bookmarkEnd w:id="215"/>
      <w:bookmarkEnd w:id="216"/>
    </w:p>
    <w:p w14:paraId="1C2ED91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1.11.1 投标人拟在中标后将中标项目的部分非主体、非关键性工作进行分包的，应符合以下规定：</w:t>
      </w:r>
    </w:p>
    <w:p w14:paraId="79C10CA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（1）分包内容要求：招标人允许分包或不允许分包的专业工程（如有）应在投标人须知前附表中载明；</w:t>
      </w:r>
    </w:p>
    <w:p w14:paraId="79B1134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（2）接受分包的第三人资格要求：分包人的资格能力应与其分包工程的标准和规模相适应，且具备投标人须知前附表中规定的资格条件；</w:t>
      </w:r>
    </w:p>
    <w:p w14:paraId="682A8BA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（3）其他要求：</w:t>
      </w:r>
      <w:r>
        <w:rPr>
          <w:rFonts w:hint="eastAsia" w:ascii="宋体" w:hAnsi="宋体" w:cs="宋体"/>
          <w:color w:val="auto"/>
          <w:szCs w:val="21"/>
          <w:highlight w:val="none"/>
          <w:lang w:val="en-US" w:eastAsia="zh-CN"/>
        </w:rPr>
        <w:t>无。</w:t>
      </w:r>
    </w:p>
    <w:p w14:paraId="72DC977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1.11.2中标人不得向他人转让中标项目，接受分包的人不得再次分包。中标人应就分包项目向招标人负责，接受分包的人就分包项目承担连带责任。</w:t>
      </w:r>
    </w:p>
    <w:p w14:paraId="68ADCF22">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31" w:name="_Toc83301700"/>
      <w:bookmarkStart w:id="232" w:name="_Toc60061445"/>
      <w:bookmarkStart w:id="233" w:name="_Toc95223348"/>
      <w:r>
        <w:rPr>
          <w:rFonts w:hint="eastAsia" w:ascii="宋体" w:hAnsi="宋体" w:eastAsia="宋体" w:cs="宋体"/>
          <w:color w:val="auto"/>
          <w:highlight w:val="none"/>
        </w:rPr>
        <w:t>1.12 偏离</w:t>
      </w:r>
      <w:bookmarkEnd w:id="231"/>
      <w:bookmarkEnd w:id="232"/>
      <w:bookmarkEnd w:id="233"/>
    </w:p>
    <w:p w14:paraId="6AC9972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4F53D58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2AFC0F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投标文件存在第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章“评标办法”中所列任一无效投标情形的，均属于存在重大偏差。</w:t>
      </w:r>
    </w:p>
    <w:p w14:paraId="3D0622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747FCCD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章“评标办法”规定的算术性错误和投标报价的其他错误；</w:t>
      </w:r>
    </w:p>
    <w:p w14:paraId="63E877C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03C13F0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587CB98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项（1）目所述的细微偏差，按照第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章“评标办法”的规定予以修正并要求投标人进行澄清；</w:t>
      </w:r>
    </w:p>
    <w:p w14:paraId="4211907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14:paraId="7AD4D020">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招标文件</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1617D227">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34" w:name="_Toc15058859"/>
      <w:bookmarkStart w:id="235" w:name="_Toc13213"/>
      <w:bookmarkStart w:id="236" w:name="_Toc78803335"/>
      <w:bookmarkStart w:id="237" w:name="_Toc35424900"/>
      <w:bookmarkStart w:id="238" w:name="_Toc179632561"/>
      <w:bookmarkStart w:id="239" w:name="_Toc35425066"/>
      <w:bookmarkStart w:id="240" w:name="_Toc296602433"/>
      <w:bookmarkStart w:id="241" w:name="_Toc152045543"/>
      <w:bookmarkStart w:id="242" w:name="_Toc247085702"/>
      <w:bookmarkStart w:id="243" w:name="_Toc144974511"/>
      <w:bookmarkStart w:id="244" w:name="_Toc246996188"/>
      <w:bookmarkStart w:id="245" w:name="_Toc506107282"/>
      <w:bookmarkStart w:id="246" w:name="_Toc152042319"/>
      <w:bookmarkStart w:id="247" w:name="_Toc324404828"/>
      <w:bookmarkStart w:id="248" w:name="_Toc246996931"/>
      <w:r>
        <w:rPr>
          <w:rFonts w:hint="eastAsia" w:ascii="宋体" w:hAnsi="宋体" w:eastAsia="宋体" w:cs="宋体"/>
          <w:color w:val="auto"/>
          <w:highlight w:val="none"/>
        </w:rPr>
        <w:t>2.1 招标文件的组成</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40CEAFF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 本招标文件包括：</w:t>
      </w:r>
    </w:p>
    <w:p w14:paraId="42D2F2F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14:paraId="5902BE9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（2）投标人须知；</w:t>
      </w:r>
    </w:p>
    <w:p w14:paraId="16B1B42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（3）资格审查办法</w:t>
      </w:r>
    </w:p>
    <w:p w14:paraId="6F91010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（4）评标办法；</w:t>
      </w:r>
    </w:p>
    <w:p w14:paraId="7B5ABAB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（5）合同条款及格式；</w:t>
      </w:r>
    </w:p>
    <w:p w14:paraId="6A9F516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cs="宋体"/>
          <w:color w:val="auto"/>
          <w:szCs w:val="21"/>
          <w:highlight w:val="none"/>
          <w:lang w:val="en-US" w:eastAsia="zh-CN"/>
        </w:rPr>
        <w:t>采购需求</w:t>
      </w:r>
      <w:r>
        <w:rPr>
          <w:rFonts w:hint="eastAsia" w:ascii="宋体" w:hAnsi="宋体" w:eastAsia="宋体" w:cs="宋体"/>
          <w:color w:val="auto"/>
          <w:szCs w:val="21"/>
          <w:highlight w:val="none"/>
        </w:rPr>
        <w:t xml:space="preserve">； </w:t>
      </w:r>
    </w:p>
    <w:p w14:paraId="043FA20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）投标文件格式；</w:t>
      </w:r>
    </w:p>
    <w:p w14:paraId="29C1FDE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）投标人须知前附表规定的其他材料。</w:t>
      </w:r>
    </w:p>
    <w:p w14:paraId="2A7E5CD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5AF466DE">
      <w:pPr>
        <w:pStyle w:val="20"/>
        <w:pageBreakBefore w:val="0"/>
        <w:widowControl w:val="0"/>
        <w:kinsoku/>
        <w:wordWrap/>
        <w:overflowPunct/>
        <w:topLinePunct w:val="0"/>
        <w:autoSpaceDE/>
        <w:autoSpaceDN/>
        <w:bidi w:val="0"/>
        <w:adjustRightInd w:val="0"/>
        <w:snapToGrid w:val="0"/>
        <w:spacing w:after="0" w:line="420" w:lineRule="exact"/>
        <w:ind w:firstLine="420" w:firstLineChars="200"/>
        <w:textAlignment w:val="auto"/>
        <w:rPr>
          <w:color w:val="auto"/>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2918C0BF">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49" w:name="_Toc296602434"/>
      <w:bookmarkStart w:id="250" w:name="_Toc324404829"/>
      <w:bookmarkStart w:id="251" w:name="_Toc32239"/>
      <w:bookmarkStart w:id="252" w:name="_Toc35425067"/>
      <w:bookmarkStart w:id="253" w:name="_Toc247085703"/>
      <w:bookmarkStart w:id="254" w:name="_Toc152045544"/>
      <w:bookmarkStart w:id="255" w:name="_Toc144974512"/>
      <w:bookmarkStart w:id="256" w:name="_Toc35424901"/>
      <w:bookmarkStart w:id="257" w:name="_Toc506107283"/>
      <w:bookmarkStart w:id="258" w:name="_Toc78803336"/>
      <w:bookmarkStart w:id="259" w:name="_Toc15058860"/>
      <w:bookmarkStart w:id="260" w:name="_Toc152042320"/>
      <w:bookmarkStart w:id="261" w:name="_Toc246996189"/>
      <w:bookmarkStart w:id="262" w:name="_Toc179632562"/>
      <w:bookmarkStart w:id="263" w:name="_Toc246996932"/>
      <w:r>
        <w:rPr>
          <w:rFonts w:hint="eastAsia" w:ascii="宋体" w:hAnsi="宋体" w:eastAsia="宋体" w:cs="宋体"/>
          <w:color w:val="auto"/>
          <w:highlight w:val="none"/>
        </w:rPr>
        <w:t>2.2 招标文件的</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Pr>
          <w:rFonts w:hint="eastAsia" w:ascii="宋体" w:hAnsi="宋体" w:eastAsia="宋体" w:cs="宋体"/>
          <w:color w:val="auto"/>
          <w:highlight w:val="none"/>
          <w:lang w:val="en-US" w:eastAsia="zh-CN"/>
        </w:rPr>
        <w:t>异议</w:t>
      </w:r>
    </w:p>
    <w:p w14:paraId="06C3224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投标人或其他利害关系人投标人应仔细阅读和检查招标文件的全部内容，对招标文件有异议的，应在投标人须知前附表规定的</w:t>
      </w:r>
      <w:r>
        <w:rPr>
          <w:rFonts w:hint="eastAsia" w:ascii="宋体" w:hAnsi="宋体" w:eastAsia="宋体" w:cs="宋体"/>
          <w:color w:val="auto"/>
          <w:szCs w:val="21"/>
          <w:highlight w:val="none"/>
          <w:lang w:val="en-US" w:eastAsia="zh-CN"/>
        </w:rPr>
        <w:t>时间前以</w:t>
      </w:r>
      <w:r>
        <w:rPr>
          <w:rFonts w:hint="eastAsia" w:ascii="宋体" w:hAnsi="宋体" w:eastAsia="宋体" w:cs="宋体"/>
          <w:color w:val="auto"/>
          <w:szCs w:val="21"/>
          <w:highlight w:val="none"/>
        </w:rPr>
        <w:t>网上留言或书面形式提出。招标人将在</w:t>
      </w:r>
      <w:r>
        <w:rPr>
          <w:rFonts w:hint="eastAsia" w:ascii="宋体" w:hAnsi="宋体" w:cs="宋体"/>
          <w:color w:val="auto"/>
          <w:szCs w:val="21"/>
          <w:highlight w:val="none"/>
          <w:lang w:eastAsia="zh-CN"/>
        </w:rPr>
        <w:t>“滁州市城投工程咨询管理有限公司”（https://www.czctgczx.com/）</w:t>
      </w:r>
      <w:r>
        <w:rPr>
          <w:rFonts w:hint="eastAsia" w:ascii="宋体" w:hAnsi="宋体" w:cs="宋体"/>
          <w:color w:val="auto"/>
          <w:szCs w:val="21"/>
          <w:highlight w:val="none"/>
          <w:lang w:val="en-US" w:eastAsia="zh-CN"/>
        </w:rPr>
        <w:t>网</w:t>
      </w:r>
      <w:r>
        <w:rPr>
          <w:rFonts w:hint="eastAsia" w:ascii="宋体" w:hAnsi="宋体" w:cs="宋体"/>
          <w:color w:val="auto"/>
          <w:szCs w:val="21"/>
          <w:highlight w:val="none"/>
        </w:rPr>
        <w:t xml:space="preserve">发布，但不指明澄清问题的来源。 </w:t>
      </w:r>
    </w:p>
    <w:p w14:paraId="159D9C20">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64" w:name="_Toc78803337"/>
      <w:bookmarkStart w:id="265" w:name="_Toc35425068"/>
      <w:bookmarkStart w:id="266" w:name="_Toc296602435"/>
      <w:bookmarkStart w:id="267" w:name="_Toc152045545"/>
      <w:bookmarkStart w:id="268" w:name="_Toc152042321"/>
      <w:bookmarkStart w:id="269" w:name="_Toc15058861"/>
      <w:bookmarkStart w:id="270" w:name="_Toc506107284"/>
      <w:bookmarkStart w:id="271" w:name="_Toc24633"/>
      <w:bookmarkStart w:id="272" w:name="_Toc35424902"/>
      <w:bookmarkStart w:id="273" w:name="_Toc324404830"/>
      <w:bookmarkStart w:id="274" w:name="_Toc246996190"/>
      <w:bookmarkStart w:id="275" w:name="_Toc179632563"/>
      <w:bookmarkStart w:id="276" w:name="_Toc144974513"/>
      <w:bookmarkStart w:id="277" w:name="_Toc246996933"/>
      <w:bookmarkStart w:id="278" w:name="_Toc247085704"/>
      <w:r>
        <w:rPr>
          <w:rFonts w:hint="eastAsia" w:ascii="宋体" w:hAnsi="宋体" w:eastAsia="宋体" w:cs="宋体"/>
          <w:color w:val="auto"/>
          <w:highlight w:val="none"/>
        </w:rPr>
        <w:t>2.3 招标文件的</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Pr>
          <w:rFonts w:hint="eastAsia" w:ascii="宋体" w:hAnsi="宋体" w:eastAsia="宋体" w:cs="宋体"/>
          <w:color w:val="auto"/>
          <w:highlight w:val="none"/>
          <w:lang w:val="en-US" w:eastAsia="zh-CN"/>
        </w:rPr>
        <w:t>澄清</w:t>
      </w:r>
    </w:p>
    <w:p w14:paraId="7AAF530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招标人可以澄清招标文件，并以投标人须知前附表规定澄清的方式在</w:t>
      </w:r>
      <w:r>
        <w:rPr>
          <w:rFonts w:hint="eastAsia" w:ascii="宋体" w:hAnsi="宋体" w:cs="宋体"/>
          <w:color w:val="auto"/>
          <w:spacing w:val="0"/>
          <w:sz w:val="21"/>
          <w:szCs w:val="21"/>
          <w:highlight w:val="none"/>
          <w:lang w:eastAsia="zh-CN"/>
        </w:rPr>
        <w:t>“滁州市城投工程咨询管理有限公司”（https://www.czctgczx.com/）</w:t>
      </w:r>
      <w:r>
        <w:rPr>
          <w:rFonts w:hint="eastAsia"/>
          <w:color w:val="auto"/>
          <w:spacing w:val="0"/>
          <w:sz w:val="21"/>
          <w:highlight w:val="none"/>
        </w:rPr>
        <w:t xml:space="preserve"> 网</w:t>
      </w:r>
      <w:r>
        <w:rPr>
          <w:rFonts w:hint="eastAsia" w:ascii="宋体" w:hAnsi="宋体" w:cs="宋体"/>
          <w:color w:val="auto"/>
          <w:spacing w:val="0"/>
          <w:sz w:val="21"/>
          <w:szCs w:val="21"/>
          <w:highlight w:val="none"/>
        </w:rPr>
        <w:t>发布。但如果修改内容影响投标文件编制的，将相应延长投标截止时间。</w:t>
      </w:r>
    </w:p>
    <w:p w14:paraId="75317E1D">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279" w:name="_Toc324404832"/>
      <w:bookmarkStart w:id="280" w:name="_Toc35425070"/>
      <w:bookmarkStart w:id="281" w:name="_Toc246996934"/>
      <w:bookmarkStart w:id="282" w:name="_Toc247085705"/>
      <w:bookmarkStart w:id="283" w:name="_Toc152045546"/>
      <w:bookmarkStart w:id="284" w:name="_Toc35424904"/>
      <w:bookmarkStart w:id="285" w:name="_Toc152042322"/>
      <w:bookmarkStart w:id="286" w:name="_Toc246996191"/>
      <w:bookmarkStart w:id="287" w:name="_Toc506107285"/>
      <w:bookmarkStart w:id="288" w:name="_Toc78803339"/>
      <w:bookmarkStart w:id="289" w:name="_Toc144974514"/>
      <w:bookmarkStart w:id="290" w:name="_Toc6464"/>
      <w:bookmarkStart w:id="291" w:name="_Toc179632564"/>
      <w:bookmarkStart w:id="292" w:name="_Toc15058863"/>
      <w:r>
        <w:rPr>
          <w:rFonts w:hint="eastAsia" w:ascii="宋体" w:hAnsi="宋体" w:eastAsia="宋体" w:cs="宋体"/>
          <w:color w:val="auto"/>
          <w:sz w:val="24"/>
          <w:szCs w:val="24"/>
          <w:highlight w:val="none"/>
        </w:rPr>
        <w:t>3. 投标文件</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713998A4">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93" w:name="_Toc324404833"/>
      <w:bookmarkStart w:id="294" w:name="_Toc179632565"/>
      <w:bookmarkStart w:id="295" w:name="_Toc247085706"/>
      <w:bookmarkStart w:id="296" w:name="_Toc35424905"/>
      <w:bookmarkStart w:id="297" w:name="_Toc152045547"/>
      <w:bookmarkStart w:id="298" w:name="_Toc35425071"/>
      <w:bookmarkStart w:id="299" w:name="_Toc152042323"/>
      <w:bookmarkStart w:id="300" w:name="_Toc246996192"/>
      <w:bookmarkStart w:id="301" w:name="_Toc506107286"/>
      <w:bookmarkStart w:id="302" w:name="_Toc246996935"/>
      <w:bookmarkStart w:id="303" w:name="_Toc296602437"/>
      <w:bookmarkStart w:id="304" w:name="_Toc144974515"/>
      <w:bookmarkStart w:id="305" w:name="_Toc157"/>
      <w:bookmarkStart w:id="306" w:name="_Toc78803340"/>
      <w:bookmarkStart w:id="307" w:name="_Toc15058864"/>
      <w:r>
        <w:rPr>
          <w:rFonts w:hint="eastAsia" w:ascii="宋体" w:hAnsi="宋体" w:eastAsia="宋体" w:cs="宋体"/>
          <w:color w:val="auto"/>
          <w:highlight w:val="none"/>
        </w:rPr>
        <w:t>3.1 投标文件的组成</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37296B2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投标文件的具体组成部分及材料要求详见本招标文件第</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章“投标文件格式”。</w:t>
      </w:r>
    </w:p>
    <w:p w14:paraId="43674CA5">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08" w:name="_Toc296602438"/>
      <w:bookmarkStart w:id="309" w:name="_Toc35425072"/>
      <w:bookmarkStart w:id="310" w:name="_Toc152045548"/>
      <w:bookmarkStart w:id="311" w:name="_Toc506107287"/>
      <w:bookmarkStart w:id="312" w:name="_Toc35424906"/>
      <w:bookmarkStart w:id="313" w:name="_Toc246996936"/>
      <w:bookmarkStart w:id="314" w:name="_Toc78803341"/>
      <w:bookmarkStart w:id="315" w:name="_Toc144974516"/>
      <w:bookmarkStart w:id="316" w:name="_Toc246996193"/>
      <w:bookmarkStart w:id="317" w:name="_Toc6829"/>
      <w:bookmarkStart w:id="318" w:name="_Toc15058865"/>
      <w:bookmarkStart w:id="319" w:name="_Toc152042324"/>
      <w:bookmarkStart w:id="320" w:name="_Toc179632566"/>
      <w:bookmarkStart w:id="321" w:name="_Toc247085707"/>
      <w:bookmarkStart w:id="322" w:name="_Toc324404834"/>
      <w:r>
        <w:rPr>
          <w:rFonts w:hint="eastAsia" w:ascii="宋体" w:hAnsi="宋体" w:eastAsia="宋体" w:cs="宋体"/>
          <w:color w:val="auto"/>
          <w:highlight w:val="none"/>
        </w:rPr>
        <w:t>3.2 投标报价</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16F1D4E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23" w:name="_Toc246996194"/>
      <w:bookmarkStart w:id="324" w:name="_Toc152045549"/>
      <w:bookmarkStart w:id="325" w:name="_Toc324404835"/>
      <w:bookmarkStart w:id="326" w:name="_Toc246996937"/>
      <w:bookmarkStart w:id="327" w:name="_Toc152042325"/>
      <w:bookmarkStart w:id="328" w:name="_Toc179632567"/>
      <w:bookmarkStart w:id="329" w:name="_Toc506107288"/>
      <w:bookmarkStart w:id="330" w:name="_Toc15058866"/>
      <w:bookmarkStart w:id="331" w:name="_Toc247085708"/>
      <w:bookmarkStart w:id="332" w:name="_Toc78803342"/>
      <w:bookmarkStart w:id="333" w:name="_Toc35424907"/>
      <w:bookmarkStart w:id="334" w:name="_Toc35425073"/>
      <w:bookmarkStart w:id="335" w:name="_Toc296602439"/>
      <w:bookmarkStart w:id="336" w:name="_Toc144974517"/>
      <w:bookmarkStart w:id="337" w:name="_Toc31735"/>
      <w:r>
        <w:rPr>
          <w:rFonts w:hint="eastAsia" w:ascii="宋体" w:hAnsi="宋体" w:eastAsia="宋体" w:cs="宋体"/>
          <w:color w:val="auto"/>
          <w:szCs w:val="21"/>
          <w:highlight w:val="none"/>
        </w:rPr>
        <w:t>3.2.1投标报价应包括国家规定的增值税税金，除投标人须知前附表另有规定外，增值税税金按一般计税方法计算。投标人应按第</w:t>
      </w:r>
      <w:r>
        <w:rPr>
          <w:rFonts w:hint="eastAsia" w:ascii="宋体" w:hAnsi="宋体" w:cs="宋体"/>
          <w:color w:val="auto"/>
          <w:szCs w:val="21"/>
          <w:highlight w:val="none"/>
          <w:lang w:val="en-US" w:eastAsia="zh-CN"/>
        </w:rPr>
        <w:t>六</w:t>
      </w:r>
      <w:r>
        <w:rPr>
          <w:rFonts w:hint="eastAsia" w:ascii="宋体" w:hAnsi="宋体" w:eastAsia="宋体" w:cs="宋体"/>
          <w:color w:val="auto"/>
          <w:szCs w:val="21"/>
          <w:highlight w:val="none"/>
        </w:rPr>
        <w:t>章“投标文件格式”的要求在投标函中进行报价并填写工程量清单相应表格。</w:t>
      </w:r>
    </w:p>
    <w:p w14:paraId="7667627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3.2.2投标人应充分了解本项目的总体情况以及影响投标报价的其他要素。</w:t>
      </w:r>
    </w:p>
    <w:p w14:paraId="4D796BD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3.2.3投标人在投标截止时间前修改投标函中的投标报价总额，应同时修改“已标价工程量清单”中的相应报价，投标报价总额为各分项金额之和。此修改须符合本章第4.4款的有关要求。</w:t>
      </w:r>
    </w:p>
    <w:p w14:paraId="13F722C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3.2.4招标人设有最高投标限价的，投标人的投标报价不得超过最高投标限价，最高投标限价在投标人须知前附表中载明。</w:t>
      </w:r>
    </w:p>
    <w:p w14:paraId="6C4EE0EF">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3.3 投标有效期</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7E5B1ED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除投标人须知前附表另有规定外，投标有效期为90天。</w:t>
      </w:r>
    </w:p>
    <w:p w14:paraId="7C6861E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5EB52D8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0146EB0">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338" w:name="_Toc15058867"/>
      <w:bookmarkStart w:id="339" w:name="_Toc247085709"/>
      <w:bookmarkStart w:id="340" w:name="_Toc152042326"/>
      <w:bookmarkStart w:id="341" w:name="_Toc246996938"/>
      <w:bookmarkStart w:id="342" w:name="_Toc246996195"/>
      <w:bookmarkStart w:id="343" w:name="_Toc296602440"/>
      <w:bookmarkStart w:id="344" w:name="_Toc506107289"/>
      <w:bookmarkStart w:id="345" w:name="_Toc78803343"/>
      <w:bookmarkStart w:id="346" w:name="_Toc144974518"/>
      <w:bookmarkStart w:id="347" w:name="_Toc35424908"/>
      <w:bookmarkStart w:id="348" w:name="_Toc324404836"/>
      <w:bookmarkStart w:id="349" w:name="_Toc152045550"/>
      <w:bookmarkStart w:id="350" w:name="_Toc179632568"/>
      <w:bookmarkStart w:id="351" w:name="_Toc35425074"/>
      <w:bookmarkStart w:id="352" w:name="_Toc10714"/>
      <w:r>
        <w:rPr>
          <w:rFonts w:hint="eastAsia" w:ascii="宋体" w:hAnsi="宋体" w:eastAsia="宋体" w:cs="宋体"/>
          <w:color w:val="auto"/>
          <w:highlight w:val="none"/>
        </w:rPr>
        <w:t>3.4 投标保证金</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1D11B24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 投标人须知前附表规定递交投标保证金的，投标人在递交投标文件的同时，应按投标人须知前附表规定的金额、担保形式规定的或者事先经过招标人认可的保证金格式递交保证金，并作为其投标文件的组成部分。联合体投标的，其投标保证金由牵头人递交，并应符合投标人须知前附表的规定。</w:t>
      </w:r>
    </w:p>
    <w:p w14:paraId="3F7801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论采取何种形式的投标保证金，投标保证金有效期均应与投标有效期一致（采用保函的保证期截止时间不得早于该项目投标有效期的截止时间）。招标人如果按本章第3.3.3项的规定延长了投标有效期，则投标保证金的有效期也相应延长。</w:t>
      </w:r>
    </w:p>
    <w:p w14:paraId="56FF5A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投标人不按本章第3.4.1项要求提交投标保证金的，评标委员会将否决其投标。</w:t>
      </w:r>
    </w:p>
    <w:p w14:paraId="77920BD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有下列情形之一的，投标保证金将不予退还： </w:t>
      </w:r>
    </w:p>
    <w:p w14:paraId="0DD74E7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（1）投标截止后投标人撤销投标文件的；</w:t>
      </w:r>
    </w:p>
    <w:p w14:paraId="38EC08CC">
      <w:pPr>
        <w:pageBreakBefore w:val="0"/>
        <w:widowControl w:val="0"/>
        <w:kinsoku/>
        <w:wordWrap/>
        <w:overflowPunct/>
        <w:topLinePunct w:val="0"/>
        <w:autoSpaceDE/>
        <w:autoSpaceDN/>
        <w:bidi w:val="0"/>
        <w:spacing w:line="42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（2）中标人无正当理由不与招标人订立合同，在签订合同时向招标人提出附加条件，或者不按照招标文件要求提交履约保证金的。</w:t>
      </w:r>
    </w:p>
    <w:p w14:paraId="1E0B748B">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53" w:name="_Toc15058868"/>
      <w:bookmarkStart w:id="354" w:name="_Toc19037"/>
      <w:bookmarkStart w:id="355" w:name="_Toc296602442"/>
      <w:bookmarkStart w:id="356" w:name="_Toc78803344"/>
      <w:bookmarkStart w:id="357" w:name="_Toc35424909"/>
      <w:bookmarkStart w:id="358" w:name="_Toc506107290"/>
      <w:bookmarkStart w:id="359" w:name="_Toc324404837"/>
      <w:bookmarkStart w:id="360" w:name="_Toc35425075"/>
      <w:bookmarkStart w:id="361" w:name="_Toc247085711"/>
      <w:bookmarkStart w:id="362" w:name="_Toc179632571"/>
      <w:bookmarkStart w:id="363" w:name="_Toc152042329"/>
      <w:bookmarkStart w:id="364" w:name="_Toc144974521"/>
      <w:bookmarkStart w:id="365" w:name="_Toc246996197"/>
      <w:bookmarkStart w:id="366" w:name="_Toc152045553"/>
      <w:bookmarkStart w:id="367" w:name="_Toc246996940"/>
      <w:r>
        <w:rPr>
          <w:rFonts w:hint="eastAsia" w:ascii="宋体" w:hAnsi="宋体" w:eastAsia="宋体" w:cs="宋体"/>
          <w:color w:val="auto"/>
          <w:highlight w:val="none"/>
        </w:rPr>
        <w:t>3.5投标文件的编制</w:t>
      </w:r>
      <w:bookmarkEnd w:id="353"/>
      <w:bookmarkEnd w:id="354"/>
      <w:bookmarkEnd w:id="355"/>
      <w:bookmarkEnd w:id="356"/>
      <w:bookmarkEnd w:id="357"/>
      <w:bookmarkEnd w:id="358"/>
      <w:bookmarkEnd w:id="359"/>
      <w:bookmarkEnd w:id="360"/>
    </w:p>
    <w:p w14:paraId="5EADB78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3.5.1投标文件应按第</w:t>
      </w:r>
      <w:r>
        <w:rPr>
          <w:rFonts w:hint="eastAsia" w:ascii="宋体" w:hAnsi="宋体" w:cs="宋体"/>
          <w:color w:val="auto"/>
          <w:szCs w:val="21"/>
          <w:highlight w:val="none"/>
          <w:lang w:val="en-US" w:eastAsia="zh-CN"/>
        </w:rPr>
        <w:t>六</w:t>
      </w:r>
      <w:r>
        <w:rPr>
          <w:rFonts w:hint="eastAsia" w:ascii="宋体" w:hAnsi="宋体" w:eastAsia="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bookmarkEnd w:id="361"/>
    <w:bookmarkEnd w:id="362"/>
    <w:bookmarkEnd w:id="363"/>
    <w:bookmarkEnd w:id="364"/>
    <w:bookmarkEnd w:id="365"/>
    <w:bookmarkEnd w:id="366"/>
    <w:bookmarkEnd w:id="367"/>
    <w:p w14:paraId="0C2C8A6B">
      <w:pPr>
        <w:pageBreakBefore w:val="0"/>
        <w:widowControl w:val="0"/>
        <w:kinsoku/>
        <w:wordWrap/>
        <w:overflowPunct/>
        <w:topLinePunct w:val="0"/>
        <w:autoSpaceDE/>
        <w:autoSpaceDN/>
        <w:bidi w:val="0"/>
        <w:spacing w:line="420" w:lineRule="exact"/>
        <w:ind w:firstLine="422" w:firstLineChars="200"/>
        <w:jc w:val="left"/>
        <w:textAlignment w:val="auto"/>
        <w:rPr>
          <w:rFonts w:hint="eastAsia" w:ascii="宋体" w:hAnsi="宋体" w:eastAsia="宋体" w:cs="宋体"/>
          <w:color w:val="auto"/>
          <w:szCs w:val="21"/>
          <w:highlight w:val="none"/>
        </w:rPr>
      </w:pPr>
      <w:bookmarkStart w:id="368" w:name="_Toc152045555"/>
      <w:bookmarkStart w:id="369" w:name="_Toc247085713"/>
      <w:bookmarkStart w:id="370" w:name="_Toc246996942"/>
      <w:bookmarkStart w:id="371" w:name="_Toc152042331"/>
      <w:bookmarkStart w:id="372" w:name="_Toc246996199"/>
      <w:bookmarkStart w:id="373" w:name="_Toc324404838"/>
      <w:bookmarkStart w:id="374" w:name="_Toc144974523"/>
      <w:bookmarkStart w:id="375" w:name="_Toc179632573"/>
      <w:r>
        <w:rPr>
          <w:rFonts w:hint="eastAsia" w:ascii="宋体" w:hAnsi="宋体" w:eastAsia="宋体" w:cs="宋体"/>
          <w:b/>
          <w:bCs/>
          <w:color w:val="auto"/>
          <w:szCs w:val="21"/>
          <w:highlight w:val="none"/>
        </w:rPr>
        <w:t>3.5.2本次投标不需要提供纸质投标文件，投标人应按照</w:t>
      </w:r>
      <w:r>
        <w:rPr>
          <w:rFonts w:hint="eastAsia" w:ascii="宋体" w:hAnsi="宋体" w:eastAsia="宋体" w:cs="宋体"/>
          <w:b/>
          <w:bCs/>
          <w:color w:val="auto"/>
          <w:szCs w:val="21"/>
          <w:highlight w:val="none"/>
          <w:lang w:val="en-US" w:eastAsia="zh-CN"/>
        </w:rPr>
        <w:t>招标文件</w:t>
      </w:r>
      <w:r>
        <w:rPr>
          <w:rFonts w:hint="eastAsia" w:ascii="宋体" w:hAnsi="宋体" w:eastAsia="宋体" w:cs="宋体"/>
          <w:b/>
          <w:bCs/>
          <w:color w:val="auto"/>
          <w:szCs w:val="21"/>
          <w:highlight w:val="none"/>
        </w:rPr>
        <w:t>的要求，制作、签章、</w:t>
      </w:r>
      <w:r>
        <w:rPr>
          <w:rFonts w:hint="eastAsia" w:ascii="宋体" w:hAnsi="宋体" w:cs="宋体"/>
          <w:b/>
          <w:bCs/>
          <w:color w:val="auto"/>
          <w:szCs w:val="21"/>
          <w:highlight w:val="none"/>
          <w:lang w:val="en-US" w:eastAsia="zh-CN"/>
        </w:rPr>
        <w:t>上传</w:t>
      </w:r>
      <w:r>
        <w:rPr>
          <w:rFonts w:hint="eastAsia" w:ascii="宋体" w:hAnsi="宋体" w:eastAsia="宋体" w:cs="宋体"/>
          <w:b/>
          <w:bCs/>
          <w:color w:val="auto"/>
          <w:szCs w:val="21"/>
          <w:highlight w:val="none"/>
        </w:rPr>
        <w:t>加密的电子投标文件。</w:t>
      </w:r>
    </w:p>
    <w:p w14:paraId="2C6DC4A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3.5.3投标文件应当对招标文件有关工期、投标有效期、质量要求、技术标准和要求、招标范围等实质性内容作出响应。</w:t>
      </w:r>
    </w:p>
    <w:p w14:paraId="69663F8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3.5.4 投标人须知前附表规定接受联合体投标的，资格审查资料应包括联合体各方相关情况。</w:t>
      </w:r>
    </w:p>
    <w:p w14:paraId="4A7347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3.5.5 招标人有权核查投标人在投标文件中提供的资料，若在评标期间发现投标人提供了虚假资料，其投标将被否决；若在签订合同前发现作为中标候选人的投标人提供了虚假资料，招标人有权取消其中标资格；</w:t>
      </w:r>
      <w:r>
        <w:rPr>
          <w:rFonts w:hint="eastAsia" w:ascii="宋体" w:hAnsi="宋体" w:eastAsia="宋体" w:cs="宋体"/>
          <w:b/>
          <w:bCs/>
          <w:color w:val="auto"/>
          <w:szCs w:val="21"/>
          <w:highlight w:val="none"/>
        </w:rPr>
        <w:t>如果签订合同后发现中标人提供了虚假材料，招标人有权解除合同。</w:t>
      </w:r>
      <w:r>
        <w:rPr>
          <w:rFonts w:hint="eastAsia" w:ascii="宋体" w:hAnsi="宋体" w:eastAsia="宋体" w:cs="宋体"/>
          <w:color w:val="auto"/>
          <w:szCs w:val="21"/>
          <w:highlight w:val="none"/>
        </w:rPr>
        <w:t>同时招标人将投标人上述弄虚作假行为上报</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部门处理。</w:t>
      </w:r>
    </w:p>
    <w:p w14:paraId="2751B06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投标文件的制作应满足以下规定：</w:t>
      </w:r>
    </w:p>
    <w:p w14:paraId="514B3A76">
      <w:pPr>
        <w:pageBreakBefore w:val="0"/>
        <w:widowControl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（1）投标文件由投标人使用新点电子交易平台提供的“投标文件制作工具”制作生成。“投标文件制作工具”可以通过电子交易系统下载。</w:t>
      </w:r>
    </w:p>
    <w:p w14:paraId="71101C40">
      <w:pPr>
        <w:pageBreakBefore w:val="0"/>
        <w:widowControl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b/>
          <w:bCs/>
          <w:color w:val="auto"/>
          <w:szCs w:val="21"/>
          <w:highlight w:val="none"/>
        </w:rPr>
        <w:t>招标文件中“签章”是指签字或盖章。</w:t>
      </w:r>
      <w:r>
        <w:rPr>
          <w:rFonts w:hint="eastAsia" w:ascii="宋体" w:hAnsi="宋体" w:eastAsia="宋体" w:cs="宋体"/>
          <w:color w:val="auto"/>
          <w:szCs w:val="21"/>
          <w:highlight w:val="none"/>
        </w:rPr>
        <w:t>在第</w:t>
      </w:r>
      <w:r>
        <w:rPr>
          <w:rFonts w:hint="eastAsia" w:ascii="宋体" w:hAnsi="宋体" w:cs="宋体"/>
          <w:color w:val="auto"/>
          <w:szCs w:val="21"/>
          <w:highlight w:val="none"/>
          <w:lang w:val="en-US" w:eastAsia="zh-CN"/>
        </w:rPr>
        <w:t>六</w:t>
      </w:r>
      <w:r>
        <w:rPr>
          <w:rFonts w:hint="eastAsia" w:ascii="宋体" w:hAnsi="宋体" w:eastAsia="宋体" w:cs="宋体"/>
          <w:color w:val="auto"/>
          <w:szCs w:val="21"/>
          <w:highlight w:val="none"/>
        </w:rPr>
        <w:t>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投标文件由联合体牵头人按上述规定加盖联合体牵头人单位电子印章和法定代表人的个人电子印章/电子签名章或直接上传加盖联合体牵头人单位印章和法定代表人的印章（或签字）的原件彩色扫描件。</w:t>
      </w:r>
    </w:p>
    <w:p w14:paraId="4157439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0D39D96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2"/>
          <w:sz w:val="21"/>
          <w:szCs w:val="21"/>
          <w:highlight w:val="none"/>
          <w:lang w:val="en-US" w:eastAsia="zh-CN" w:bidi="ar-SA"/>
        </w:rPr>
        <w:t>3.5.7 因投标人自身原因而导致投标文件无法导入电子交易系统电子开标、评标系统，该投标视为无效投标，投标人自行承担由此导致的全部责任</w:t>
      </w:r>
      <w:r>
        <w:rPr>
          <w:rFonts w:hint="eastAsia" w:ascii="宋体" w:hAnsi="宋体" w:eastAsia="宋体" w:cs="宋体"/>
          <w:color w:val="auto"/>
          <w:szCs w:val="21"/>
          <w:highlight w:val="none"/>
          <w:lang w:eastAsia="zh-CN"/>
        </w:rPr>
        <w:t>。</w:t>
      </w:r>
    </w:p>
    <w:p w14:paraId="3AFD8E88">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 备选投标方案</w:t>
      </w:r>
    </w:p>
    <w:p w14:paraId="4C07A0F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3.6.1除投标人须知前附表规定允许外，投标人不得递交备选投标方案，否则其投标将被否决。</w:t>
      </w:r>
    </w:p>
    <w:p w14:paraId="46C31E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062A6E1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3.6.3投标人提供两个或两个以上投标报价，或在投标文件中提供一个报价，但同时提供两个或两个以上施工组织设计的，视为提供备选方案。</w:t>
      </w:r>
    </w:p>
    <w:p w14:paraId="7D818A36">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376" w:name="_Toc15058869"/>
      <w:bookmarkStart w:id="377" w:name="_Toc19455"/>
      <w:bookmarkStart w:id="378" w:name="_Toc78803345"/>
      <w:bookmarkStart w:id="379" w:name="_Toc35424910"/>
      <w:bookmarkStart w:id="380" w:name="_Toc506107291"/>
      <w:bookmarkStart w:id="381" w:name="_Toc35425076"/>
      <w:r>
        <w:rPr>
          <w:rFonts w:hint="eastAsia" w:ascii="宋体" w:hAnsi="宋体" w:eastAsia="宋体" w:cs="宋体"/>
          <w:color w:val="auto"/>
          <w:sz w:val="24"/>
          <w:szCs w:val="24"/>
          <w:highlight w:val="none"/>
        </w:rPr>
        <w:t>4.投标</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428D5FF5">
      <w:pPr>
        <w:pStyle w:val="4"/>
        <w:pageBreakBefore w:val="0"/>
        <w:widowControl w:val="0"/>
        <w:kinsoku/>
        <w:wordWrap/>
        <w:overflowPunct/>
        <w:topLinePunct w:val="0"/>
        <w:autoSpaceDE/>
        <w:autoSpaceDN/>
        <w:bidi w:val="0"/>
        <w:spacing w:line="420" w:lineRule="exact"/>
        <w:ind w:firstLine="422" w:firstLineChars="200"/>
        <w:textAlignment w:val="auto"/>
        <w:rPr>
          <w:rFonts w:hint="default" w:ascii="宋体" w:hAnsi="宋体" w:eastAsia="宋体" w:cs="宋体"/>
          <w:color w:val="auto"/>
          <w:highlight w:val="none"/>
          <w:lang w:val="en-US" w:eastAsia="zh-CN"/>
        </w:rPr>
      </w:pPr>
      <w:bookmarkStart w:id="382" w:name="_Toc14473"/>
      <w:bookmarkStart w:id="383" w:name="_Toc35425077"/>
      <w:bookmarkStart w:id="384" w:name="_Toc78803346"/>
      <w:bookmarkStart w:id="385" w:name="_Toc15058870"/>
      <w:bookmarkStart w:id="386" w:name="_Toc35424911"/>
      <w:r>
        <w:rPr>
          <w:rFonts w:hint="eastAsia" w:ascii="宋体" w:hAnsi="宋体" w:eastAsia="宋体" w:cs="宋体"/>
          <w:color w:val="auto"/>
          <w:highlight w:val="none"/>
        </w:rPr>
        <w:t>4.1投标文件</w:t>
      </w:r>
      <w:bookmarkEnd w:id="382"/>
      <w:bookmarkEnd w:id="383"/>
      <w:bookmarkEnd w:id="384"/>
      <w:bookmarkEnd w:id="385"/>
      <w:bookmarkEnd w:id="386"/>
      <w:r>
        <w:rPr>
          <w:rFonts w:hint="eastAsia" w:ascii="宋体" w:hAnsi="宋体" w:eastAsia="宋体" w:cs="宋体"/>
          <w:color w:val="auto"/>
          <w:highlight w:val="none"/>
          <w:lang w:val="en-US" w:eastAsia="zh-CN"/>
        </w:rPr>
        <w:t>的提交</w:t>
      </w:r>
    </w:p>
    <w:p w14:paraId="4F7DAAF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4.1.1请投标人通过</w:t>
      </w:r>
      <w:r>
        <w:rPr>
          <w:rFonts w:hint="eastAsia" w:ascii="宋体" w:hAnsi="宋体" w:eastAsia="宋体" w:cs="宋体"/>
          <w:color w:val="auto"/>
          <w:szCs w:val="21"/>
          <w:highlight w:val="none"/>
          <w:lang w:val="en-US" w:eastAsia="zh-CN"/>
        </w:rPr>
        <w:t>新点电子交易平台</w:t>
      </w:r>
      <w:r>
        <w:rPr>
          <w:rFonts w:hint="eastAsia" w:ascii="宋体" w:hAnsi="宋体" w:eastAsia="宋体" w:cs="宋体"/>
          <w:color w:val="auto"/>
          <w:szCs w:val="21"/>
          <w:highlight w:val="none"/>
        </w:rPr>
        <w:t>下载投标工具制作投标文件，并利用CA数字证书进行上传投标文件，上传已加密的投标文件，务必通过此方式上传投标文件。</w:t>
      </w:r>
    </w:p>
    <w:p w14:paraId="041AC3C3">
      <w:pPr>
        <w:pageBreakBefore w:val="0"/>
        <w:widowControl w:val="0"/>
        <w:kinsoku/>
        <w:wordWrap/>
        <w:overflowPunct/>
        <w:topLinePunct w:val="0"/>
        <w:autoSpaceDE/>
        <w:autoSpaceDN/>
        <w:bidi w:val="0"/>
        <w:spacing w:line="420" w:lineRule="exact"/>
        <w:ind w:firstLine="42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4.1.2</w:t>
      </w:r>
      <w:r>
        <w:rPr>
          <w:rFonts w:hint="eastAsia" w:ascii="宋体" w:hAnsi="宋体" w:eastAsia="宋体" w:cs="宋体"/>
          <w:b/>
          <w:bCs/>
          <w:color w:val="auto"/>
          <w:szCs w:val="21"/>
          <w:highlight w:val="none"/>
          <w:lang w:val="en-US" w:eastAsia="zh-CN"/>
        </w:rPr>
        <w:t>投标人在投标文件编制、签章、上传过程中如有任何操作的疑问请及时联系技术支持，电话：</w:t>
      </w:r>
      <w:r>
        <w:rPr>
          <w:rFonts w:hint="eastAsia" w:ascii="宋体" w:hAnsi="宋体" w:cs="宋体"/>
          <w:b/>
          <w:bCs/>
          <w:color w:val="auto"/>
          <w:szCs w:val="21"/>
          <w:highlight w:val="none"/>
          <w:lang w:val="en-US" w:eastAsia="zh-CN"/>
        </w:rPr>
        <w:t>0512-58151515</w:t>
      </w:r>
      <w:r>
        <w:rPr>
          <w:rFonts w:hint="eastAsia" w:ascii="宋体" w:hAnsi="宋体" w:eastAsia="宋体" w:cs="宋体"/>
          <w:b/>
          <w:bCs/>
          <w:color w:val="auto"/>
          <w:szCs w:val="21"/>
          <w:highlight w:val="none"/>
          <w:lang w:val="en-US" w:eastAsia="zh-CN"/>
        </w:rPr>
        <w:t xml:space="preserve"> （工作日）或者网站首页在线客服</w:t>
      </w:r>
      <w:r>
        <w:rPr>
          <w:rFonts w:hint="eastAsia" w:ascii="宋体" w:hAnsi="宋体" w:eastAsia="宋体" w:cs="宋体"/>
          <w:b/>
          <w:bCs/>
          <w:color w:val="auto"/>
          <w:szCs w:val="21"/>
          <w:highlight w:val="none"/>
          <w:u w:val="none"/>
          <w:lang w:val="en-US" w:eastAsia="zh-CN"/>
        </w:rPr>
        <w:t>。</w:t>
      </w:r>
    </w:p>
    <w:p w14:paraId="74182504">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87" w:name="_Toc15058873"/>
      <w:bookmarkStart w:id="388" w:name="_Toc35424914"/>
      <w:bookmarkStart w:id="389" w:name="_Toc152042334"/>
      <w:bookmarkStart w:id="390" w:name="_Toc246996202"/>
      <w:bookmarkStart w:id="391" w:name="_Toc144974526"/>
      <w:bookmarkStart w:id="392" w:name="_Toc324404841"/>
      <w:bookmarkStart w:id="393" w:name="_Toc152045558"/>
      <w:bookmarkStart w:id="394" w:name="_Toc179632576"/>
      <w:bookmarkStart w:id="395" w:name="_Toc246996945"/>
      <w:bookmarkStart w:id="396" w:name="_Toc506107294"/>
      <w:bookmarkStart w:id="397" w:name="_Toc247085716"/>
      <w:bookmarkStart w:id="398" w:name="_Toc19572"/>
      <w:bookmarkStart w:id="399" w:name="_Toc296602446"/>
      <w:bookmarkStart w:id="400" w:name="_Toc78803347"/>
      <w:bookmarkStart w:id="401" w:name="_Toc35425080"/>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投标文件的修改与撤回</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2DB18BE7">
      <w:pPr>
        <w:pageBreakBefore w:val="0"/>
        <w:widowControl w:val="0"/>
        <w:kinsoku/>
        <w:wordWrap/>
        <w:overflowPunct/>
        <w:topLinePunct w:val="0"/>
        <w:autoSpaceDE/>
        <w:autoSpaceDN/>
        <w:bidi w:val="0"/>
        <w:spacing w:line="420" w:lineRule="exact"/>
        <w:ind w:firstLine="422" w:firstLineChars="200"/>
        <w:jc w:val="left"/>
        <w:textAlignment w:val="auto"/>
        <w:rPr>
          <w:rFonts w:ascii="宋体" w:hAnsi="宋体" w:cs="宋体"/>
          <w:color w:val="auto"/>
          <w:szCs w:val="21"/>
          <w:highlight w:val="none"/>
        </w:rPr>
      </w:pPr>
      <w:r>
        <w:rPr>
          <w:rFonts w:hint="eastAsia" w:ascii="宋体" w:hAnsi="宋体" w:cs="宋体"/>
          <w:b/>
          <w:color w:val="auto"/>
          <w:szCs w:val="21"/>
          <w:highlight w:val="none"/>
        </w:rPr>
        <w:t>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.1 在规定的投标截止时间前，投标人可以自行从网上新点电子交易平台撤回已递交的投标文件，并可修改后重新加密上传，开标时以投标截止时间前投标人最终上传的投标文件为准。</w:t>
      </w:r>
    </w:p>
    <w:p w14:paraId="54810E39">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02" w:name="_Toc247085717"/>
      <w:bookmarkStart w:id="403" w:name="_Toc506107295"/>
      <w:bookmarkStart w:id="404" w:name="_Toc179632577"/>
      <w:bookmarkStart w:id="405" w:name="_Toc246996946"/>
      <w:bookmarkStart w:id="406" w:name="_Toc152042335"/>
      <w:bookmarkStart w:id="407" w:name="_Toc78803348"/>
      <w:bookmarkStart w:id="408" w:name="_Toc324404842"/>
      <w:bookmarkStart w:id="409" w:name="_Toc152045559"/>
      <w:bookmarkStart w:id="410" w:name="_Toc29639"/>
      <w:bookmarkStart w:id="411" w:name="_Toc246996203"/>
      <w:bookmarkStart w:id="412" w:name="_Toc15058874"/>
      <w:bookmarkStart w:id="413" w:name="_Toc144974527"/>
      <w:bookmarkStart w:id="414" w:name="_Toc35425081"/>
      <w:bookmarkStart w:id="415" w:name="_Toc35424915"/>
      <w:r>
        <w:rPr>
          <w:rFonts w:hint="eastAsia" w:ascii="宋体" w:hAnsi="宋体" w:eastAsia="宋体" w:cs="宋体"/>
          <w:color w:val="auto"/>
          <w:sz w:val="24"/>
          <w:szCs w:val="24"/>
          <w:highlight w:val="none"/>
        </w:rPr>
        <w:t>5. 开标</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53EC18D2">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16" w:name="_Toc246996204"/>
      <w:bookmarkStart w:id="417" w:name="_Toc152045560"/>
      <w:bookmarkStart w:id="418" w:name="_Toc179632578"/>
      <w:bookmarkStart w:id="419" w:name="_Toc246996947"/>
      <w:bookmarkStart w:id="420" w:name="_Toc152042336"/>
      <w:bookmarkStart w:id="421" w:name="_Toc15058875"/>
      <w:bookmarkStart w:id="422" w:name="_Toc247085718"/>
      <w:bookmarkStart w:id="423" w:name="_Toc144974528"/>
      <w:bookmarkStart w:id="424" w:name="_Toc78803349"/>
      <w:bookmarkStart w:id="425" w:name="_Toc35425082"/>
      <w:bookmarkStart w:id="426" w:name="_Toc296602448"/>
      <w:bookmarkStart w:id="427" w:name="_Toc506107296"/>
      <w:bookmarkStart w:id="428" w:name="_Toc35424916"/>
      <w:bookmarkStart w:id="429" w:name="_Toc13691"/>
      <w:bookmarkStart w:id="430" w:name="_Toc324404843"/>
      <w:r>
        <w:rPr>
          <w:rFonts w:hint="eastAsia" w:ascii="宋体" w:hAnsi="宋体" w:eastAsia="宋体" w:cs="宋体"/>
          <w:color w:val="auto"/>
          <w:highlight w:val="none"/>
        </w:rPr>
        <w:t>5.1 开标时间和地点</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35BB653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招标人在投标人须知前附表规定的投标截止时间（开标时间）和地点通过新点电子交易平台公开开标。</w:t>
      </w:r>
    </w:p>
    <w:p w14:paraId="269D989E">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31" w:name="_Toc35424917"/>
      <w:bookmarkStart w:id="432" w:name="_Toc247085719"/>
      <w:bookmarkStart w:id="433" w:name="_Toc506107297"/>
      <w:bookmarkStart w:id="434" w:name="_Toc32451"/>
      <w:bookmarkStart w:id="435" w:name="_Toc15058876"/>
      <w:bookmarkStart w:id="436" w:name="_Toc296602449"/>
      <w:bookmarkStart w:id="437" w:name="_Toc246996948"/>
      <w:bookmarkStart w:id="438" w:name="_Toc246996205"/>
      <w:bookmarkStart w:id="439" w:name="_Toc144974529"/>
      <w:bookmarkStart w:id="440" w:name="_Toc152045561"/>
      <w:bookmarkStart w:id="441" w:name="_Toc324404844"/>
      <w:bookmarkStart w:id="442" w:name="_Toc179632579"/>
      <w:bookmarkStart w:id="443" w:name="_Toc35425083"/>
      <w:bookmarkStart w:id="444" w:name="_Toc78803350"/>
      <w:bookmarkStart w:id="445" w:name="_Toc152042337"/>
      <w:r>
        <w:rPr>
          <w:rFonts w:hint="eastAsia" w:ascii="宋体" w:hAnsi="宋体" w:eastAsia="宋体" w:cs="宋体"/>
          <w:color w:val="auto"/>
          <w:highlight w:val="none"/>
        </w:rPr>
        <w:t>5.2 开标程序</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1AF56C4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主持人按下列程序进行开标：</w:t>
      </w:r>
      <w:bookmarkStart w:id="446" w:name="_Toc324404845"/>
      <w:bookmarkStart w:id="447" w:name="_Toc296602450"/>
    </w:p>
    <w:p w14:paraId="2E43154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bookmarkStart w:id="448" w:name="_Toc15058877"/>
      <w:bookmarkStart w:id="449" w:name="_Toc506107298"/>
      <w:r>
        <w:rPr>
          <w:rFonts w:hint="eastAsia" w:ascii="宋体" w:hAnsi="宋体" w:cs="宋体"/>
          <w:color w:val="auto"/>
          <w:szCs w:val="21"/>
          <w:highlight w:val="none"/>
        </w:rPr>
        <w:t>（1）</w:t>
      </w:r>
      <w:bookmarkEnd w:id="448"/>
      <w:bookmarkStart w:id="450" w:name="_Toc15058882"/>
      <w:r>
        <w:rPr>
          <w:rFonts w:hint="eastAsia" w:ascii="宋体" w:hAnsi="宋体" w:cs="宋体"/>
          <w:color w:val="auto"/>
          <w:szCs w:val="21"/>
          <w:highlight w:val="none"/>
        </w:rPr>
        <w:t>公布在投标截止时间前通过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完成投标文件递交的投标人名称；</w:t>
      </w:r>
    </w:p>
    <w:p w14:paraId="3452F29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（2）投标人在投标截止时间后在投标人须知前附表规定的解密时间内完成投标文件的解密工作；</w:t>
      </w:r>
    </w:p>
    <w:p w14:paraId="40129C2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（3）招标人或招标代理机构完成解密工作，导入并读取所有成功解密的投标文件；</w:t>
      </w:r>
    </w:p>
    <w:p w14:paraId="1D5BF68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（4）按投标人须知前附表规定公布投标人名称、投标报价</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内容；</w:t>
      </w:r>
    </w:p>
    <w:p w14:paraId="2C9966F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（5）开标结束。</w:t>
      </w:r>
      <w:bookmarkEnd w:id="450"/>
    </w:p>
    <w:p w14:paraId="7024519A">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5.3 开标异议</w:t>
      </w:r>
    </w:p>
    <w:p w14:paraId="6DC38D0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投标人对开标有异议的，应当在开标过程中提出，招标人在开标过程中作出答复，并制作记录。异议与答复应通过新点电子交易平台进行。</w:t>
      </w:r>
    </w:p>
    <w:bookmarkEnd w:id="446"/>
    <w:bookmarkEnd w:id="447"/>
    <w:bookmarkEnd w:id="449"/>
    <w:p w14:paraId="6DA8798D">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51" w:name="_Toc152042338"/>
      <w:bookmarkStart w:id="452" w:name="_Toc324404846"/>
      <w:bookmarkStart w:id="453" w:name="_Toc35424919"/>
      <w:bookmarkStart w:id="454" w:name="_Toc35425085"/>
      <w:bookmarkStart w:id="455" w:name="_Toc179632580"/>
      <w:bookmarkStart w:id="456" w:name="_Toc247085720"/>
      <w:bookmarkStart w:id="457" w:name="_Toc246996206"/>
      <w:bookmarkStart w:id="458" w:name="_Toc78803352"/>
      <w:bookmarkStart w:id="459" w:name="_Toc246996949"/>
      <w:bookmarkStart w:id="460" w:name="_Toc20689"/>
      <w:bookmarkStart w:id="461" w:name="_Toc506107299"/>
      <w:bookmarkStart w:id="462" w:name="_Toc152045562"/>
      <w:bookmarkStart w:id="463" w:name="_Toc144974530"/>
      <w:bookmarkStart w:id="464" w:name="_Toc15058884"/>
      <w:r>
        <w:rPr>
          <w:rFonts w:hint="eastAsia" w:ascii="宋体" w:hAnsi="宋体" w:eastAsia="宋体" w:cs="宋体"/>
          <w:color w:val="auto"/>
          <w:sz w:val="24"/>
          <w:szCs w:val="24"/>
          <w:highlight w:val="none"/>
        </w:rPr>
        <w:t>6. 评标</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78701A69">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65" w:name="_Toc35425086"/>
      <w:bookmarkStart w:id="466" w:name="_Toc247085721"/>
      <w:bookmarkStart w:id="467" w:name="_Toc152045563"/>
      <w:bookmarkStart w:id="468" w:name="_Toc324404847"/>
      <w:bookmarkStart w:id="469" w:name="_Toc179632581"/>
      <w:bookmarkStart w:id="470" w:name="_Toc144974531"/>
      <w:bookmarkStart w:id="471" w:name="_Toc296602452"/>
      <w:bookmarkStart w:id="472" w:name="_Toc152042339"/>
      <w:bookmarkStart w:id="473" w:name="_Toc246996207"/>
      <w:bookmarkStart w:id="474" w:name="_Toc15058885"/>
      <w:bookmarkStart w:id="475" w:name="_Toc246996950"/>
      <w:bookmarkStart w:id="476" w:name="_Toc35424920"/>
      <w:bookmarkStart w:id="477" w:name="_Toc506107300"/>
      <w:bookmarkStart w:id="478" w:name="_Toc14249"/>
      <w:bookmarkStart w:id="479" w:name="_Toc78803353"/>
      <w:r>
        <w:rPr>
          <w:rFonts w:hint="eastAsia" w:ascii="宋体" w:hAnsi="宋体" w:eastAsia="宋体" w:cs="宋体"/>
          <w:color w:val="auto"/>
          <w:highlight w:val="none"/>
        </w:rPr>
        <w:t>6.1 评标委员会</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4C6C8C5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24440D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6F7C2F0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（1）项目主管部门或行政监督管理部门，项目属地的公共资源交易综合管理部门、交易中心的工作人员； </w:t>
      </w:r>
    </w:p>
    <w:p w14:paraId="3768D94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（2）与竞争主体主要负责人或者授权参与交易的代理人有近亲属关系的人员； </w:t>
      </w:r>
    </w:p>
    <w:p w14:paraId="66067B0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（3）竞争主体的工作人员或者退休人员； </w:t>
      </w:r>
    </w:p>
    <w:p w14:paraId="231F4BC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（4）竞争主体的上级主管、控股或者被控股单位等相关利害关系的人员，或任职单位与竞争主体单位为同一法定代表人的； </w:t>
      </w:r>
    </w:p>
    <w:p w14:paraId="545A234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（5）存在其他法定回避情形的。</w:t>
      </w:r>
    </w:p>
    <w:p w14:paraId="69F1789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3AB2632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评标委员会或评审机构成员有前两款规定情形的，应当主动提出回避；已经进入的应当更换，被更换的成员评标评审意见无效。 </w:t>
      </w:r>
    </w:p>
    <w:p w14:paraId="424AFD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5F83F45C">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80" w:name="_Toc246996951"/>
      <w:bookmarkStart w:id="481" w:name="_Toc152045564"/>
      <w:bookmarkStart w:id="482" w:name="_Toc246996208"/>
      <w:bookmarkStart w:id="483" w:name="_Toc506107301"/>
      <w:bookmarkStart w:id="484" w:name="_Toc78803354"/>
      <w:bookmarkStart w:id="485" w:name="_Toc35424921"/>
      <w:bookmarkStart w:id="486" w:name="_Toc12948"/>
      <w:bookmarkStart w:id="487" w:name="_Toc179632582"/>
      <w:bookmarkStart w:id="488" w:name="_Toc144974532"/>
      <w:bookmarkStart w:id="489" w:name="_Toc296602453"/>
      <w:bookmarkStart w:id="490" w:name="_Toc15058886"/>
      <w:bookmarkStart w:id="491" w:name="_Toc152042340"/>
      <w:bookmarkStart w:id="492" w:name="_Toc35425087"/>
      <w:bookmarkStart w:id="493" w:name="_Toc324404848"/>
      <w:bookmarkStart w:id="494" w:name="_Toc247085722"/>
      <w:r>
        <w:rPr>
          <w:rFonts w:hint="eastAsia" w:ascii="宋体" w:hAnsi="宋体" w:eastAsia="宋体" w:cs="宋体"/>
          <w:color w:val="auto"/>
          <w:highlight w:val="none"/>
        </w:rPr>
        <w:t>6.2 评标原则</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609DF64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2CC2DB36">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95" w:name="_Toc506107302"/>
      <w:bookmarkStart w:id="496" w:name="_Toc246996952"/>
      <w:bookmarkStart w:id="497" w:name="_Toc14892"/>
      <w:bookmarkStart w:id="498" w:name="_Toc179632583"/>
      <w:bookmarkStart w:id="499" w:name="_Toc78803355"/>
      <w:bookmarkStart w:id="500" w:name="_Toc324404849"/>
      <w:bookmarkStart w:id="501" w:name="_Toc152042341"/>
      <w:bookmarkStart w:id="502" w:name="_Toc35424922"/>
      <w:bookmarkStart w:id="503" w:name="_Toc15058887"/>
      <w:bookmarkStart w:id="504" w:name="_Toc246996209"/>
      <w:bookmarkStart w:id="505" w:name="_Toc35425088"/>
      <w:bookmarkStart w:id="506" w:name="_Toc144974533"/>
      <w:bookmarkStart w:id="507" w:name="_Toc296602454"/>
      <w:bookmarkStart w:id="508" w:name="_Toc247085723"/>
      <w:bookmarkStart w:id="509" w:name="_Toc152045565"/>
      <w:r>
        <w:rPr>
          <w:rFonts w:hint="eastAsia" w:ascii="宋体" w:hAnsi="宋体" w:eastAsia="宋体" w:cs="宋体"/>
          <w:color w:val="auto"/>
          <w:highlight w:val="none"/>
        </w:rPr>
        <w:t>6.3 评标</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676AE67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510" w:name="_Toc152045566"/>
      <w:bookmarkStart w:id="511" w:name="_Toc247085724"/>
      <w:bookmarkStart w:id="512" w:name="_Toc152042342"/>
      <w:bookmarkStart w:id="513" w:name="_Toc246996210"/>
      <w:bookmarkStart w:id="514" w:name="_Toc324404850"/>
      <w:bookmarkStart w:id="515" w:name="_Toc144974534"/>
      <w:bookmarkStart w:id="516" w:name="_Toc246996953"/>
      <w:bookmarkStart w:id="517" w:name="_Toc179632584"/>
      <w:r>
        <w:rPr>
          <w:rFonts w:hint="eastAsia" w:ascii="宋体" w:hAnsi="宋体" w:cs="宋体"/>
          <w:color w:val="auto"/>
          <w:szCs w:val="21"/>
          <w:highlight w:val="none"/>
        </w:rPr>
        <w:t>6.3.1评标委员会按照第三章“评标办法”规定的方法、评审因素、标准和程序对投标文件进行评审。第三章“评标办法”没有规定的方法、评审因素和标准，不作为评标依据。</w:t>
      </w:r>
    </w:p>
    <w:p w14:paraId="500306B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0CE8491E">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518" w:name="_Toc26182"/>
      <w:bookmarkStart w:id="519" w:name="_Toc35424923"/>
      <w:bookmarkStart w:id="520" w:name="_Toc78803356"/>
      <w:bookmarkStart w:id="521" w:name="_Toc506107303"/>
      <w:bookmarkStart w:id="522" w:name="_Toc35425089"/>
      <w:bookmarkStart w:id="523" w:name="_Toc15058888"/>
      <w:r>
        <w:rPr>
          <w:rFonts w:hint="eastAsia" w:ascii="宋体" w:hAnsi="宋体" w:eastAsia="宋体" w:cs="宋体"/>
          <w:color w:val="auto"/>
          <w:sz w:val="24"/>
          <w:szCs w:val="24"/>
          <w:highlight w:val="none"/>
        </w:rPr>
        <w:t>7. 合同授予</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0064B0A8">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24" w:name="_Toc15058890"/>
      <w:bookmarkStart w:id="525" w:name="_Toc506107305"/>
      <w:bookmarkStart w:id="526" w:name="_Toc60061472"/>
      <w:bookmarkStart w:id="527" w:name="_Toc83301726"/>
      <w:bookmarkStart w:id="528" w:name="_Toc95223374"/>
      <w:bookmarkStart w:id="529" w:name="_Toc296602457"/>
      <w:bookmarkStart w:id="530" w:name="_Toc324404852"/>
      <w:bookmarkStart w:id="531" w:name="_Toc4204"/>
      <w:bookmarkStart w:id="532" w:name="_Toc247085726"/>
      <w:bookmarkStart w:id="533" w:name="_Toc152042344"/>
      <w:bookmarkStart w:id="534" w:name="_Toc15058891"/>
      <w:bookmarkStart w:id="535" w:name="_Toc324404853"/>
      <w:bookmarkStart w:id="536" w:name="_Toc296602458"/>
      <w:bookmarkStart w:id="537" w:name="_Toc78803360"/>
      <w:bookmarkStart w:id="538" w:name="_Toc179632586"/>
      <w:bookmarkStart w:id="539" w:name="_Toc246996212"/>
      <w:bookmarkStart w:id="540" w:name="_Toc35425093"/>
      <w:bookmarkStart w:id="541" w:name="_Toc14692"/>
      <w:bookmarkStart w:id="542" w:name="_Toc246996955"/>
      <w:bookmarkStart w:id="543" w:name="_Toc506107306"/>
      <w:bookmarkStart w:id="544" w:name="_Toc35424927"/>
      <w:bookmarkStart w:id="545" w:name="_Toc152045568"/>
      <w:bookmarkStart w:id="546" w:name="_Toc144974536"/>
      <w:r>
        <w:rPr>
          <w:rFonts w:hint="eastAsia" w:ascii="宋体" w:hAnsi="宋体" w:eastAsia="宋体" w:cs="宋体"/>
          <w:color w:val="auto"/>
          <w:highlight w:val="none"/>
        </w:rPr>
        <w:t>7.1 中标候选人公示</w:t>
      </w:r>
      <w:bookmarkEnd w:id="524"/>
      <w:bookmarkEnd w:id="525"/>
      <w:bookmarkEnd w:id="526"/>
      <w:bookmarkEnd w:id="527"/>
      <w:bookmarkEnd w:id="528"/>
      <w:bookmarkEnd w:id="529"/>
      <w:bookmarkEnd w:id="530"/>
    </w:p>
    <w:p w14:paraId="689684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招标人在收到评标报告之日起3日内，按照投标人须知前附表规定的公示媒介和期限依法公示。中标候选人公示期不得少于3日。</w:t>
      </w:r>
    </w:p>
    <w:p w14:paraId="097F7836">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 评标结果异议</w:t>
      </w:r>
    </w:p>
    <w:p w14:paraId="4AE5D7F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投标人或其他利害关系人对评标结果有异议的，应在中标候选人公示期内提出。招标人将在收到异议之日起3日内作出答复；作出答复前，将暂停招标投标活动。</w:t>
      </w:r>
    </w:p>
    <w:bookmarkEnd w:id="531"/>
    <w:p w14:paraId="36849310">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7.3 中标候选人履约能力审查</w:t>
      </w:r>
    </w:p>
    <w:p w14:paraId="2B7F747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14:paraId="4D32A218">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47" w:name="_Toc83301727"/>
      <w:bookmarkStart w:id="548" w:name="_Toc95223375"/>
      <w:bookmarkStart w:id="549" w:name="_Toc60061474"/>
      <w:bookmarkStart w:id="550" w:name="_Toc324404855"/>
      <w:bookmarkStart w:id="551" w:name="_Toc506107308"/>
      <w:bookmarkStart w:id="552" w:name="_Toc11010"/>
      <w:bookmarkStart w:id="553" w:name="_Toc35424930"/>
      <w:bookmarkStart w:id="554" w:name="_Toc246996214"/>
      <w:bookmarkStart w:id="555" w:name="_Toc35425096"/>
      <w:bookmarkStart w:id="556" w:name="_Toc152042346"/>
      <w:bookmarkStart w:id="557" w:name="_Toc296602460"/>
      <w:bookmarkStart w:id="558" w:name="_Toc152045570"/>
      <w:bookmarkStart w:id="559" w:name="_Toc246996957"/>
      <w:bookmarkStart w:id="560" w:name="_Toc179632588"/>
      <w:bookmarkStart w:id="561" w:name="_Toc78803363"/>
      <w:bookmarkStart w:id="562" w:name="_Toc247085728"/>
      <w:bookmarkStart w:id="563" w:name="_Toc15058893"/>
      <w:bookmarkStart w:id="564" w:name="_Toc144974538"/>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4 </w:t>
      </w:r>
      <w:r>
        <w:rPr>
          <w:rFonts w:hint="eastAsia" w:ascii="宋体" w:hAnsi="宋体" w:eastAsia="宋体" w:cs="宋体"/>
          <w:color w:val="auto"/>
          <w:highlight w:val="none"/>
        </w:rPr>
        <w:t>定标</w:t>
      </w:r>
      <w:bookmarkEnd w:id="547"/>
      <w:bookmarkEnd w:id="548"/>
    </w:p>
    <w:p w14:paraId="714925A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96BE9DF">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5" w:name="_Toc95223376"/>
      <w:bookmarkStart w:id="566" w:name="_Toc83301728"/>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中标通知</w:t>
      </w:r>
      <w:bookmarkEnd w:id="549"/>
      <w:bookmarkEnd w:id="565"/>
      <w:bookmarkEnd w:id="566"/>
    </w:p>
    <w:p w14:paraId="4AD65EF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在本招标文件规定的投标有效期内，招标人向中标人发出中标通知书，同时将中标结果通知未中标的投标人。</w:t>
      </w:r>
    </w:p>
    <w:p w14:paraId="4294DA74">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7" w:name="_Toc95223377"/>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6 </w:t>
      </w:r>
      <w:r>
        <w:rPr>
          <w:rFonts w:hint="eastAsia" w:ascii="宋体" w:hAnsi="宋体" w:eastAsia="宋体" w:cs="宋体"/>
          <w:color w:val="auto"/>
          <w:highlight w:val="none"/>
        </w:rPr>
        <w:t>中标结果公示</w:t>
      </w:r>
      <w:bookmarkEnd w:id="567"/>
    </w:p>
    <w:p w14:paraId="3E5A2F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招标人在确定中标人之日起3日内，按照投标人须知前附表规定的公示媒介和期限依法公示中标结果。</w:t>
      </w:r>
    </w:p>
    <w:p w14:paraId="29F52F53">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8" w:name="_Toc60061476"/>
      <w:bookmarkStart w:id="569" w:name="_Toc83301730"/>
      <w:bookmarkStart w:id="570" w:name="_Toc152042345"/>
      <w:bookmarkStart w:id="571" w:name="_Toc506107307"/>
      <w:bookmarkStart w:id="572" w:name="_Toc179632587"/>
      <w:bookmarkStart w:id="573" w:name="_Toc246996213"/>
      <w:bookmarkStart w:id="574" w:name="_Toc152045569"/>
      <w:bookmarkStart w:id="575" w:name="_Toc296602459"/>
      <w:bookmarkStart w:id="576" w:name="_Toc246996956"/>
      <w:bookmarkStart w:id="577" w:name="_Toc247085727"/>
      <w:bookmarkStart w:id="578" w:name="_Toc144974537"/>
      <w:bookmarkStart w:id="579" w:name="_Toc95223378"/>
      <w:bookmarkStart w:id="580" w:name="_Toc324404854"/>
      <w:bookmarkStart w:id="581" w:name="_Toc15058892"/>
      <w:r>
        <w:rPr>
          <w:rFonts w:hint="eastAsia" w:ascii="宋体" w:hAnsi="宋体" w:eastAsia="宋体" w:cs="宋体"/>
          <w:color w:val="auto"/>
          <w:highlight w:val="none"/>
        </w:rPr>
        <w:t>7.8 履约担保</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137F686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7.8.1在签订合同前，中标人应按投标人须知前附表规定的担保形式和招标文件第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章“合同条款及格式”规定的或者事先经过招标人书面认可的履约担保格式向招标人提交履约担保。联合体中标的，其履约担保应符合投标人须知前附表规定的金额、担保形式和招标文件第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章“合同条款及格式”规定的履约担保格式要求。</w:t>
      </w:r>
    </w:p>
    <w:p w14:paraId="221B81D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14:paraId="4242DBC1">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82" w:name="_Toc95223379"/>
      <w:bookmarkStart w:id="583" w:name="_Toc83301731"/>
      <w:bookmarkStart w:id="584" w:name="_Toc60061477"/>
      <w:r>
        <w:rPr>
          <w:rFonts w:hint="eastAsia" w:ascii="宋体" w:hAnsi="宋体" w:eastAsia="宋体" w:cs="宋体"/>
          <w:color w:val="auto"/>
          <w:highlight w:val="none"/>
        </w:rPr>
        <w:t>7.9 签订合同</w:t>
      </w:r>
      <w:bookmarkEnd w:id="582"/>
      <w:bookmarkEnd w:id="583"/>
      <w:bookmarkEnd w:id="584"/>
    </w:p>
    <w:p w14:paraId="0ADABA1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7.9.1本招标工程的施工合同将授予按本须知第7.</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款规定所确定的中标人。</w:t>
      </w:r>
    </w:p>
    <w:p w14:paraId="4B7A5D0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7B7101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7.9.3 发出中标通知书后，招标人无正当理由拒签合同的，招标人向中标人退还投标保证金；给中标人造成损失的，还应当赔偿损失。</w:t>
      </w:r>
    </w:p>
    <w:p w14:paraId="70ABAA7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7.9.4 除法定情形外，建设工程合同履行期间项目经理（建造师）不得更换。项目经理（建造师）确需变更的，应根据招标文件要求，变更后的项目经理（建造师）不低于投标文件中拟派项目经理（建造师）的资格条件。</w:t>
      </w:r>
    </w:p>
    <w:p w14:paraId="3B29B9A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7.9.5 联合体中标的，联合体各方应当共同与招标人签订合同，就中标项目向招标人承担连带责任。</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Start w:id="585" w:name="_Toc60061478"/>
      <w:bookmarkStart w:id="586" w:name="_Toc152045571"/>
      <w:bookmarkStart w:id="587" w:name="_Toc152042347"/>
      <w:bookmarkStart w:id="588" w:name="_Toc144974539"/>
      <w:bookmarkStart w:id="589" w:name="_Toc95223381"/>
      <w:bookmarkStart w:id="590" w:name="_Toc83301732"/>
      <w:bookmarkStart w:id="591" w:name="_Toc179632589"/>
      <w:bookmarkStart w:id="592" w:name="_Toc35424931"/>
      <w:bookmarkStart w:id="593" w:name="_Toc31686"/>
      <w:bookmarkStart w:id="594" w:name="_Toc78803367"/>
      <w:bookmarkStart w:id="595" w:name="_Toc25375"/>
      <w:bookmarkStart w:id="596" w:name="_Toc35425097"/>
      <w:bookmarkStart w:id="597" w:name="_Toc26974"/>
      <w:bookmarkStart w:id="598" w:name="_Toc324404864"/>
      <w:bookmarkStart w:id="599" w:name="_Toc506107317"/>
      <w:bookmarkStart w:id="600" w:name="_Toc15058902"/>
      <w:bookmarkStart w:id="601" w:name="_Toc35424939"/>
      <w:bookmarkStart w:id="602" w:name="_Toc35425105"/>
      <w:bookmarkStart w:id="603" w:name="_Toc296602475"/>
    </w:p>
    <w:p w14:paraId="10B04D0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8. 重新招标和不再招标</w:t>
      </w:r>
      <w:bookmarkEnd w:id="585"/>
      <w:bookmarkEnd w:id="586"/>
      <w:bookmarkEnd w:id="587"/>
      <w:bookmarkEnd w:id="588"/>
      <w:bookmarkEnd w:id="589"/>
      <w:bookmarkEnd w:id="590"/>
      <w:bookmarkEnd w:id="591"/>
    </w:p>
    <w:p w14:paraId="4D38A18F">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04" w:name="_Toc95223382"/>
      <w:bookmarkStart w:id="605" w:name="_Toc152042348"/>
      <w:bookmarkStart w:id="606" w:name="_Toc83301733"/>
      <w:bookmarkStart w:id="607" w:name="_Toc179632590"/>
      <w:bookmarkStart w:id="608" w:name="_Toc144974540"/>
      <w:bookmarkStart w:id="609" w:name="_Toc152045572"/>
      <w:bookmarkStart w:id="610" w:name="_Toc60061479"/>
      <w:r>
        <w:rPr>
          <w:rFonts w:hint="eastAsia" w:ascii="宋体" w:hAnsi="宋体" w:eastAsia="宋体" w:cs="宋体"/>
          <w:color w:val="auto"/>
          <w:highlight w:val="none"/>
        </w:rPr>
        <w:t>8.1 重新招标</w:t>
      </w:r>
      <w:bookmarkEnd w:id="604"/>
      <w:bookmarkEnd w:id="605"/>
      <w:bookmarkEnd w:id="606"/>
      <w:bookmarkEnd w:id="607"/>
      <w:bookmarkEnd w:id="608"/>
      <w:bookmarkEnd w:id="609"/>
      <w:bookmarkEnd w:id="610"/>
    </w:p>
    <w:p w14:paraId="14E74AB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依法必须招标的项目有下列情形之一的，招标人将重新招标：</w:t>
      </w:r>
    </w:p>
    <w:p w14:paraId="0C8D90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（1）投标截止时间止，投标人少于3个的；</w:t>
      </w:r>
    </w:p>
    <w:p w14:paraId="1A24784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（2）经评标委员会评审后否决所有投标的；</w:t>
      </w:r>
    </w:p>
    <w:p w14:paraId="3903675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（3）中标候选人均未与招标人签订合同的；</w:t>
      </w:r>
    </w:p>
    <w:p w14:paraId="07E813B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（4）法律、法规规定的其他情形。</w:t>
      </w:r>
    </w:p>
    <w:p w14:paraId="01404FF6">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11" w:name="_Toc152042349"/>
      <w:bookmarkStart w:id="612" w:name="_Toc95223383"/>
      <w:bookmarkStart w:id="613" w:name="_Toc60061480"/>
      <w:bookmarkStart w:id="614" w:name="_Toc179632591"/>
      <w:bookmarkStart w:id="615" w:name="_Toc152045573"/>
      <w:bookmarkStart w:id="616" w:name="_Toc83301734"/>
      <w:bookmarkStart w:id="617" w:name="_Toc144974541"/>
      <w:r>
        <w:rPr>
          <w:rFonts w:hint="eastAsia" w:ascii="宋体" w:hAnsi="宋体" w:eastAsia="宋体" w:cs="宋体"/>
          <w:color w:val="auto"/>
          <w:highlight w:val="none"/>
        </w:rPr>
        <w:t>8.2 不再招标</w:t>
      </w:r>
      <w:bookmarkEnd w:id="611"/>
      <w:bookmarkEnd w:id="612"/>
      <w:bookmarkEnd w:id="613"/>
      <w:bookmarkEnd w:id="614"/>
      <w:bookmarkEnd w:id="615"/>
      <w:bookmarkEnd w:id="616"/>
      <w:bookmarkEnd w:id="617"/>
    </w:p>
    <w:p w14:paraId="395FA9F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重新招标后投标人仍少于3个或者所有投标被否决的，属于必须审批或核准的工程建设项目，经原审批或核准部门批准后不再进行招标。</w:t>
      </w:r>
    </w:p>
    <w:p w14:paraId="6AE86776">
      <w:pPr>
        <w:pStyle w:val="4"/>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9. 纪律和监督</w:t>
      </w:r>
      <w:bookmarkEnd w:id="592"/>
      <w:bookmarkEnd w:id="593"/>
      <w:bookmarkEnd w:id="594"/>
      <w:bookmarkEnd w:id="595"/>
      <w:bookmarkEnd w:id="596"/>
      <w:bookmarkEnd w:id="597"/>
    </w:p>
    <w:p w14:paraId="4CA92C32">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18" w:name="_Toc324404857"/>
      <w:bookmarkStart w:id="619" w:name="_Toc296590983"/>
      <w:bookmarkStart w:id="620" w:name="_Toc506107310"/>
      <w:bookmarkStart w:id="621" w:name="_Toc35425098"/>
      <w:bookmarkStart w:id="622" w:name="_Toc246996962"/>
      <w:bookmarkStart w:id="623" w:name="_Toc35424932"/>
      <w:bookmarkStart w:id="624" w:name="_Toc179632593"/>
      <w:bookmarkStart w:id="625" w:name="_Toc15607"/>
      <w:bookmarkStart w:id="626" w:name="_Toc2855"/>
      <w:bookmarkStart w:id="627" w:name="_Toc152042351"/>
      <w:bookmarkStart w:id="628" w:name="_Toc247085733"/>
      <w:bookmarkStart w:id="629" w:name="_Toc144974543"/>
      <w:bookmarkStart w:id="630" w:name="_Toc246996219"/>
      <w:bookmarkStart w:id="631" w:name="_Toc15058895"/>
      <w:bookmarkStart w:id="632" w:name="_Toc296602462"/>
      <w:bookmarkStart w:id="633" w:name="_Toc78803368"/>
      <w:bookmarkStart w:id="634" w:name="_Toc152045575"/>
      <w:r>
        <w:rPr>
          <w:rFonts w:hint="eastAsia" w:ascii="宋体" w:hAnsi="宋体" w:eastAsia="宋体" w:cs="宋体"/>
          <w:color w:val="auto"/>
          <w:highlight w:val="none"/>
        </w:rPr>
        <w:t>9.1 对招标人的纪律要求</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49DC6FF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68A4A0C7">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35" w:name="_Toc506107311"/>
      <w:bookmarkStart w:id="636" w:name="_Toc179632594"/>
      <w:bookmarkStart w:id="637" w:name="_Toc35425099"/>
      <w:bookmarkStart w:id="638" w:name="_Toc35424933"/>
      <w:bookmarkStart w:id="639" w:name="_Toc324404858"/>
      <w:bookmarkStart w:id="640" w:name="_Toc246996963"/>
      <w:bookmarkStart w:id="641" w:name="_Toc32177"/>
      <w:bookmarkStart w:id="642" w:name="_Toc152042352"/>
      <w:bookmarkStart w:id="643" w:name="_Toc152045576"/>
      <w:bookmarkStart w:id="644" w:name="_Toc296602463"/>
      <w:bookmarkStart w:id="645" w:name="_Toc144974544"/>
      <w:bookmarkStart w:id="646" w:name="_Toc247085734"/>
      <w:bookmarkStart w:id="647" w:name="_Toc19779"/>
      <w:bookmarkStart w:id="648" w:name="_Toc15058896"/>
      <w:bookmarkStart w:id="649" w:name="_Toc78803369"/>
      <w:bookmarkStart w:id="650" w:name="_Toc246996220"/>
      <w:r>
        <w:rPr>
          <w:rFonts w:hint="eastAsia" w:ascii="宋体" w:hAnsi="宋体" w:eastAsia="宋体" w:cs="宋体"/>
          <w:color w:val="auto"/>
          <w:highlight w:val="none"/>
        </w:rPr>
        <w:t>9.2 对投标人的纪律要求</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14:paraId="0ABB96B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C2EC713">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51" w:name="_Toc13043"/>
      <w:bookmarkStart w:id="652" w:name="_Toc152045577"/>
      <w:bookmarkStart w:id="653" w:name="_Toc35425100"/>
      <w:bookmarkStart w:id="654" w:name="_Toc506107312"/>
      <w:bookmarkStart w:id="655" w:name="_Toc12564"/>
      <w:bookmarkStart w:id="656" w:name="_Toc152042353"/>
      <w:bookmarkStart w:id="657" w:name="_Toc324404859"/>
      <w:bookmarkStart w:id="658" w:name="_Toc296602464"/>
      <w:bookmarkStart w:id="659" w:name="_Toc246996221"/>
      <w:bookmarkStart w:id="660" w:name="_Toc247085735"/>
      <w:bookmarkStart w:id="661" w:name="_Toc15058897"/>
      <w:bookmarkStart w:id="662" w:name="_Toc179632595"/>
      <w:bookmarkStart w:id="663" w:name="_Toc144974545"/>
      <w:bookmarkStart w:id="664" w:name="_Toc35424934"/>
      <w:bookmarkStart w:id="665" w:name="_Toc78803370"/>
      <w:bookmarkStart w:id="666" w:name="_Toc246996964"/>
      <w:r>
        <w:rPr>
          <w:rFonts w:hint="eastAsia" w:ascii="宋体" w:hAnsi="宋体" w:eastAsia="宋体" w:cs="宋体"/>
          <w:color w:val="auto"/>
          <w:highlight w:val="none"/>
        </w:rPr>
        <w:t>9.3 对评标委员会成员的纪律要求</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482A0C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67F3A90">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67" w:name="_Toc35424935"/>
      <w:bookmarkStart w:id="668" w:name="_Toc32214"/>
      <w:bookmarkStart w:id="669" w:name="_Toc15058898"/>
      <w:bookmarkStart w:id="670" w:name="_Toc506107313"/>
      <w:bookmarkStart w:id="671" w:name="_Toc246996965"/>
      <w:bookmarkStart w:id="672" w:name="_Toc247085736"/>
      <w:bookmarkStart w:id="673" w:name="_Toc18329"/>
      <w:bookmarkStart w:id="674" w:name="_Toc296602465"/>
      <w:bookmarkStart w:id="675" w:name="_Toc324404860"/>
      <w:bookmarkStart w:id="676" w:name="_Toc35425101"/>
      <w:bookmarkStart w:id="677" w:name="_Toc78803371"/>
      <w:bookmarkStart w:id="678" w:name="_Toc246996222"/>
      <w:bookmarkStart w:id="679" w:name="_Toc152042354"/>
      <w:bookmarkStart w:id="680" w:name="_Toc179632596"/>
      <w:bookmarkStart w:id="681" w:name="_Toc152045578"/>
      <w:bookmarkStart w:id="682" w:name="_Toc144974546"/>
      <w:r>
        <w:rPr>
          <w:rFonts w:hint="eastAsia" w:ascii="宋体" w:hAnsi="宋体" w:eastAsia="宋体" w:cs="宋体"/>
          <w:color w:val="auto"/>
          <w:highlight w:val="none"/>
        </w:rPr>
        <w:t>9.4 对与评标活动有关的工作人员的纪律要求</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2E47BC5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683"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83"/>
    </w:p>
    <w:p w14:paraId="13717A0C">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84" w:name="_Toc506107314"/>
      <w:bookmarkStart w:id="685" w:name="_Toc2811"/>
      <w:bookmarkStart w:id="686" w:name="_Toc152045579"/>
      <w:bookmarkStart w:id="687" w:name="_Toc35424936"/>
      <w:bookmarkStart w:id="688" w:name="_Toc15058899"/>
      <w:bookmarkStart w:id="689" w:name="_Toc296602466"/>
      <w:bookmarkStart w:id="690" w:name="_Toc324404861"/>
      <w:bookmarkStart w:id="691" w:name="_Toc247085737"/>
      <w:bookmarkStart w:id="692" w:name="_Toc246996966"/>
      <w:bookmarkStart w:id="693" w:name="_Toc23607"/>
      <w:bookmarkStart w:id="694" w:name="_Toc152042356"/>
      <w:bookmarkStart w:id="695" w:name="_Toc78803372"/>
      <w:bookmarkStart w:id="696" w:name="_Toc179632597"/>
      <w:bookmarkStart w:id="697" w:name="_Toc246996223"/>
      <w:bookmarkStart w:id="698" w:name="_Toc35425102"/>
      <w:r>
        <w:rPr>
          <w:rFonts w:hint="eastAsia" w:ascii="宋体" w:hAnsi="宋体" w:eastAsia="宋体" w:cs="宋体"/>
          <w:color w:val="auto"/>
          <w:highlight w:val="none"/>
        </w:rPr>
        <w:t>9.5 投诉</w:t>
      </w:r>
      <w:bookmarkEnd w:id="682"/>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p w14:paraId="5A4327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699" w:name="_Toc15058900"/>
      <w:bookmarkStart w:id="700" w:name="_Toc144974547"/>
      <w:bookmarkStart w:id="701" w:name="_Toc31643"/>
      <w:bookmarkStart w:id="702" w:name="_Toc16463"/>
      <w:bookmarkStart w:id="703" w:name="_Toc247085738"/>
      <w:bookmarkStart w:id="704" w:name="_Toc506107315"/>
      <w:bookmarkStart w:id="705" w:name="_Toc246996967"/>
      <w:bookmarkStart w:id="706" w:name="_Toc152042357"/>
      <w:bookmarkStart w:id="707" w:name="_Toc246996224"/>
      <w:bookmarkStart w:id="708" w:name="_Toc78803373"/>
      <w:bookmarkStart w:id="709" w:name="_Toc324404862"/>
      <w:bookmarkStart w:id="710" w:name="_Toc152045580"/>
      <w:bookmarkStart w:id="711" w:name="_Toc20669"/>
      <w:bookmarkStart w:id="712" w:name="_Toc35425103"/>
      <w:bookmarkStart w:id="713" w:name="_Toc35424937"/>
      <w:bookmarkStart w:id="714" w:name="_Toc179632598"/>
      <w:r>
        <w:rPr>
          <w:rFonts w:hint="eastAsia" w:ascii="宋体" w:hAnsi="宋体" w:eastAsia="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67E3BE5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9.5.2投标人和其他利害关系人对招标文件、开标和评标结果事项投诉的，应当按照投标人须知的规定先向招标人提出异议。异议答复期间不计算在第9.5.1项规定的期限内。</w:t>
      </w:r>
    </w:p>
    <w:p w14:paraId="4FEAD4F3">
      <w:pPr>
        <w:pStyle w:val="4"/>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10.需要补充的其他内容</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0045BA9A">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715" w:name="_Toc15058901"/>
      <w:r>
        <w:rPr>
          <w:rFonts w:hint="eastAsia" w:ascii="宋体" w:hAnsi="宋体" w:cs="宋体"/>
          <w:color w:val="auto"/>
          <w:szCs w:val="21"/>
          <w:highlight w:val="none"/>
        </w:rPr>
        <w:t>需要补充的其他内容：见投标人须知前附表。</w:t>
      </w:r>
      <w:bookmarkEnd w:id="715"/>
    </w:p>
    <w:p w14:paraId="33B215FF">
      <w:pPr>
        <w:spacing w:line="440" w:lineRule="exact"/>
        <w:jc w:val="left"/>
        <w:rPr>
          <w:rFonts w:ascii="宋体" w:hAnsi="宋体" w:cs="宋体"/>
          <w:color w:val="auto"/>
          <w:szCs w:val="21"/>
          <w:highlight w:val="none"/>
        </w:rPr>
      </w:pPr>
    </w:p>
    <w:p w14:paraId="20C1C40C">
      <w:pPr>
        <w:pageBreakBefore/>
        <w:spacing w:beforeLines="80" w:afterLines="80" w:line="440" w:lineRule="exact"/>
        <w:jc w:val="center"/>
        <w:outlineLvl w:val="0"/>
        <w:rPr>
          <w:rFonts w:ascii="宋体"/>
          <w:b/>
          <w:color w:val="auto"/>
          <w:sz w:val="32"/>
          <w:szCs w:val="32"/>
          <w:highlight w:val="none"/>
        </w:rPr>
      </w:pPr>
      <w:bookmarkStart w:id="716" w:name="_Toc10676"/>
      <w:bookmarkStart w:id="717" w:name="_Toc78803375"/>
      <w:bookmarkStart w:id="718" w:name="_Toc5501"/>
      <w:r>
        <w:rPr>
          <w:rFonts w:hint="eastAsia" w:ascii="宋体"/>
          <w:b/>
          <w:color w:val="auto"/>
          <w:sz w:val="32"/>
          <w:szCs w:val="32"/>
          <w:highlight w:val="none"/>
        </w:rPr>
        <w:t>第二章  资格审查</w:t>
      </w:r>
      <w:bookmarkEnd w:id="598"/>
      <w:r>
        <w:rPr>
          <w:rFonts w:hint="eastAsia" w:ascii="宋体"/>
          <w:b/>
          <w:color w:val="auto"/>
          <w:sz w:val="32"/>
          <w:szCs w:val="32"/>
          <w:highlight w:val="none"/>
        </w:rPr>
        <w:t>办法</w:t>
      </w:r>
      <w:bookmarkEnd w:id="599"/>
      <w:bookmarkEnd w:id="600"/>
      <w:bookmarkEnd w:id="601"/>
      <w:bookmarkEnd w:id="602"/>
      <w:bookmarkEnd w:id="716"/>
      <w:bookmarkEnd w:id="717"/>
      <w:bookmarkEnd w:id="718"/>
    </w:p>
    <w:p w14:paraId="1680BB4F">
      <w:pPr>
        <w:spacing w:beforeLines="50" w:afterLines="50" w:line="440" w:lineRule="exact"/>
        <w:jc w:val="center"/>
        <w:rPr>
          <w:rFonts w:ascii="宋体" w:hAnsi="宋体" w:cs="宋体"/>
          <w:b/>
          <w:bCs/>
          <w:color w:val="auto"/>
          <w:sz w:val="28"/>
          <w:szCs w:val="22"/>
          <w:highlight w:val="none"/>
        </w:rPr>
      </w:pPr>
      <w:bookmarkStart w:id="719" w:name="_Toc506107318"/>
      <w:bookmarkStart w:id="720" w:name="_Toc35425106"/>
      <w:bookmarkStart w:id="721" w:name="_Toc15058903"/>
      <w:bookmarkStart w:id="722" w:name="_Toc324404865"/>
      <w:bookmarkStart w:id="723" w:name="_Toc35424940"/>
      <w:r>
        <w:rPr>
          <w:rFonts w:hint="eastAsia" w:ascii="宋体" w:hAnsi="宋体" w:cs="宋体"/>
          <w:b/>
          <w:bCs/>
          <w:color w:val="auto"/>
          <w:sz w:val="28"/>
          <w:szCs w:val="22"/>
          <w:highlight w:val="none"/>
        </w:rPr>
        <w:t>资格审查办法前附表</w:t>
      </w:r>
      <w:bookmarkEnd w:id="719"/>
      <w:bookmarkEnd w:id="720"/>
      <w:bookmarkEnd w:id="721"/>
      <w:bookmarkEnd w:id="722"/>
      <w:bookmarkEnd w:id="723"/>
    </w:p>
    <w:p w14:paraId="4132067E">
      <w:pPr>
        <w:spacing w:beforeLines="50" w:afterLines="50" w:line="440" w:lineRule="exact"/>
        <w:jc w:val="center"/>
        <w:rPr>
          <w:b/>
          <w:bCs/>
          <w:color w:val="auto"/>
          <w:sz w:val="24"/>
          <w:highlight w:val="none"/>
        </w:rPr>
      </w:pPr>
      <w:r>
        <w:rPr>
          <w:rFonts w:hint="eastAsia"/>
          <w:b/>
          <w:bCs/>
          <w:color w:val="auto"/>
          <w:sz w:val="24"/>
          <w:highlight w:val="none"/>
        </w:rPr>
        <w:t>资信证明文件评审</w:t>
      </w:r>
    </w:p>
    <w:tbl>
      <w:tblPr>
        <w:tblStyle w:val="4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4465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09922EC7">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序号</w:t>
            </w:r>
          </w:p>
        </w:tc>
        <w:tc>
          <w:tcPr>
            <w:tcW w:w="6183" w:type="dxa"/>
            <w:noWrap/>
            <w:vAlign w:val="center"/>
          </w:tcPr>
          <w:p w14:paraId="224F837E">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审查内容</w:t>
            </w:r>
          </w:p>
        </w:tc>
        <w:tc>
          <w:tcPr>
            <w:tcW w:w="1860" w:type="dxa"/>
            <w:noWrap/>
            <w:vAlign w:val="center"/>
          </w:tcPr>
          <w:p w14:paraId="2342EE03">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评审标准</w:t>
            </w:r>
          </w:p>
        </w:tc>
      </w:tr>
      <w:tr w14:paraId="06CF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4CD03B1E">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ign w:val="center"/>
          </w:tcPr>
          <w:p w14:paraId="46DBBDD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审查资料</w:t>
            </w:r>
          </w:p>
        </w:tc>
        <w:tc>
          <w:tcPr>
            <w:tcW w:w="6183" w:type="dxa"/>
            <w:noWrap/>
            <w:vAlign w:val="center"/>
          </w:tcPr>
          <w:p w14:paraId="3298B6D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法定代表人身份证明文件和本人有效身份证(或法定代表人授权委托书和委托代理人有效身份证)</w:t>
            </w:r>
          </w:p>
        </w:tc>
        <w:tc>
          <w:tcPr>
            <w:tcW w:w="1860" w:type="dxa"/>
            <w:noWrap/>
            <w:vAlign w:val="center"/>
          </w:tcPr>
          <w:p w14:paraId="31B50CA2">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7CB7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AAEA56F">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79D14290">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536A8E5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诚信投标承诺书</w:t>
            </w:r>
          </w:p>
        </w:tc>
        <w:tc>
          <w:tcPr>
            <w:tcW w:w="1860" w:type="dxa"/>
            <w:vMerge w:val="restart"/>
            <w:noWrap/>
            <w:vAlign w:val="center"/>
          </w:tcPr>
          <w:p w14:paraId="7AF8AB1F">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54DE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876B9E4">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6781960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1FF1A326">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企业法人营业执照</w:t>
            </w:r>
          </w:p>
        </w:tc>
        <w:tc>
          <w:tcPr>
            <w:tcW w:w="1860" w:type="dxa"/>
            <w:vMerge w:val="continue"/>
            <w:noWrap/>
            <w:vAlign w:val="center"/>
          </w:tcPr>
          <w:p w14:paraId="60646E32">
            <w:pPr>
              <w:keepNext w:val="0"/>
              <w:keepLines w:val="0"/>
              <w:suppressLineNumbers w:val="0"/>
              <w:spacing w:before="0" w:beforeAutospacing="0" w:after="0" w:afterAutospacing="0" w:line="440" w:lineRule="exact"/>
              <w:ind w:left="0" w:right="0"/>
              <w:rPr>
                <w:rFonts w:hint="default" w:ascii="宋体" w:hAnsi="宋体" w:cs="宋体"/>
                <w:b/>
                <w:color w:val="auto"/>
                <w:szCs w:val="21"/>
                <w:highlight w:val="none"/>
              </w:rPr>
            </w:pPr>
          </w:p>
        </w:tc>
      </w:tr>
      <w:tr w14:paraId="1D10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5BC803E7">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317BE10C">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7C50C838">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企业资质证书</w:t>
            </w:r>
          </w:p>
        </w:tc>
        <w:tc>
          <w:tcPr>
            <w:tcW w:w="1860" w:type="dxa"/>
            <w:vMerge w:val="continue"/>
            <w:noWrap/>
            <w:vAlign w:val="center"/>
          </w:tcPr>
          <w:p w14:paraId="4591BAB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12D4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221C2EB0">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44CD5E17">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1439A2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企业安全生产许可证</w:t>
            </w:r>
          </w:p>
        </w:tc>
        <w:tc>
          <w:tcPr>
            <w:tcW w:w="1860" w:type="dxa"/>
            <w:vMerge w:val="continue"/>
            <w:noWrap/>
            <w:vAlign w:val="center"/>
          </w:tcPr>
          <w:p w14:paraId="42889EE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0824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49D7041B">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58A48EB5">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533328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项目经理（建造师）有效身份证、注册证书以及安全生产考核合格证书（B证）</w:t>
            </w:r>
          </w:p>
        </w:tc>
        <w:tc>
          <w:tcPr>
            <w:tcW w:w="1860" w:type="dxa"/>
            <w:vMerge w:val="continue"/>
            <w:noWrap/>
            <w:vAlign w:val="center"/>
          </w:tcPr>
          <w:p w14:paraId="16CBB1A7">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2EBF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765" w:type="dxa"/>
            <w:vMerge w:val="continue"/>
            <w:noWrap/>
            <w:vAlign w:val="center"/>
          </w:tcPr>
          <w:p w14:paraId="1D00DED7">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2D35A3FA">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42D85A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投标人的法定代表人(或委托代理人)和拟任项目经理（建造师）须持有社保部门出具的本单位（或其不具备独立法人资格的分公司）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5C79B4D5">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bl>
    <w:p w14:paraId="0FCF003C">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重要提示：</w:t>
      </w:r>
    </w:p>
    <w:p w14:paraId="09F388F7">
      <w:pPr>
        <w:spacing w:line="440" w:lineRule="exact"/>
        <w:ind w:firstLine="422" w:firstLineChars="200"/>
        <w:jc w:val="left"/>
        <w:rPr>
          <w:rFonts w:hint="eastAsia" w:ascii="宋体" w:hAnsi="宋体" w:cs="宋体"/>
          <w:b/>
          <w:bCs/>
          <w:color w:val="auto"/>
          <w:szCs w:val="21"/>
          <w:highlight w:val="none"/>
          <w:lang w:eastAsia="zh-CN"/>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r>
        <w:rPr>
          <w:rFonts w:hint="eastAsia" w:ascii="宋体" w:hAnsi="宋体" w:cs="宋体"/>
          <w:b/>
          <w:bCs/>
          <w:color w:val="auto"/>
          <w:szCs w:val="21"/>
          <w:highlight w:val="none"/>
          <w:lang w:eastAsia="zh-CN"/>
        </w:rPr>
        <w:t>。</w:t>
      </w:r>
    </w:p>
    <w:p w14:paraId="5CF22E8D">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lang w:eastAsia="zh-CN"/>
        </w:rPr>
        <w:t>）投标人拟委任项目经理为注册建造师（含一级、二级）的，须提供有效的纸质版电子证书。投标人打印纸质电子证书后，应由建造师本人在个人签名栏手写本人签名，或附其本人知情承诺，未手写签名或与签名图片笔迹不一致的，该打印的纸质证书无效（其他省份建造师电子证书执行该省现行政策规定）。投标人应对其提供的纸质版电子证书真实性、有效性负责。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r>
        <w:rPr>
          <w:rFonts w:hint="eastAsia" w:ascii="宋体" w:hAnsi="宋体" w:cs="宋体"/>
          <w:b/>
          <w:bCs/>
          <w:color w:val="auto"/>
          <w:szCs w:val="21"/>
          <w:highlight w:val="none"/>
        </w:rPr>
        <w:t>。</w:t>
      </w:r>
    </w:p>
    <w:p w14:paraId="4418AF8B">
      <w:pPr>
        <w:pStyle w:val="4"/>
        <w:spacing w:beforeLines="50" w:afterLines="50"/>
        <w:ind w:firstLine="422" w:firstLineChars="200"/>
        <w:rPr>
          <w:rFonts w:ascii="宋体" w:hAnsi="宋体" w:eastAsia="宋体" w:cs="宋体"/>
          <w:color w:val="auto"/>
          <w:highlight w:val="none"/>
        </w:rPr>
      </w:pPr>
      <w:bookmarkStart w:id="724" w:name="_Toc35424942"/>
      <w:bookmarkStart w:id="725" w:name="_Toc15058909"/>
      <w:bookmarkStart w:id="726" w:name="_Toc12549"/>
      <w:bookmarkStart w:id="727" w:name="_Toc35425108"/>
      <w:bookmarkStart w:id="728" w:name="_Toc506107320"/>
      <w:bookmarkStart w:id="729" w:name="_Toc78803377"/>
      <w:bookmarkStart w:id="730" w:name="_Toc324404867"/>
      <w:r>
        <w:rPr>
          <w:rFonts w:hint="eastAsia" w:ascii="宋体" w:hAnsi="宋体" w:eastAsia="宋体" w:cs="宋体"/>
          <w:color w:val="auto"/>
          <w:highlight w:val="none"/>
        </w:rPr>
        <w:t>2.审查办法</w:t>
      </w:r>
      <w:bookmarkEnd w:id="724"/>
      <w:bookmarkEnd w:id="725"/>
      <w:bookmarkEnd w:id="726"/>
      <w:bookmarkEnd w:id="727"/>
      <w:bookmarkEnd w:id="728"/>
      <w:bookmarkEnd w:id="729"/>
      <w:bookmarkEnd w:id="730"/>
    </w:p>
    <w:p w14:paraId="1C727AD6">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24C02976">
      <w:pPr>
        <w:pStyle w:val="4"/>
        <w:spacing w:beforeLines="50" w:afterLines="50"/>
        <w:ind w:firstLine="422" w:firstLineChars="200"/>
        <w:rPr>
          <w:rFonts w:ascii="宋体" w:hAnsi="宋体" w:eastAsia="宋体" w:cs="宋体"/>
          <w:color w:val="auto"/>
          <w:highlight w:val="none"/>
        </w:rPr>
      </w:pPr>
      <w:bookmarkStart w:id="731" w:name="_Toc15626"/>
      <w:bookmarkStart w:id="732" w:name="_Toc15058910"/>
      <w:bookmarkStart w:id="733" w:name="_Toc78803378"/>
      <w:bookmarkStart w:id="734" w:name="_Toc324404868"/>
      <w:bookmarkStart w:id="735" w:name="_Toc35424943"/>
      <w:bookmarkStart w:id="736" w:name="_Toc35425109"/>
      <w:bookmarkStart w:id="737" w:name="_Toc506107321"/>
      <w:r>
        <w:rPr>
          <w:rFonts w:hint="eastAsia" w:ascii="宋体" w:hAnsi="宋体" w:eastAsia="宋体" w:cs="宋体"/>
          <w:color w:val="auto"/>
          <w:highlight w:val="none"/>
        </w:rPr>
        <w:t>3.资格审查委员会和审查标准</w:t>
      </w:r>
      <w:bookmarkEnd w:id="731"/>
      <w:bookmarkEnd w:id="732"/>
      <w:bookmarkEnd w:id="733"/>
      <w:bookmarkEnd w:id="734"/>
      <w:bookmarkEnd w:id="735"/>
      <w:bookmarkEnd w:id="736"/>
      <w:bookmarkEnd w:id="737"/>
    </w:p>
    <w:p w14:paraId="247912DA">
      <w:pPr>
        <w:spacing w:line="440" w:lineRule="exact"/>
        <w:ind w:firstLine="420" w:firstLineChars="200"/>
        <w:jc w:val="left"/>
        <w:rPr>
          <w:rFonts w:hint="eastAsia" w:ascii="宋体" w:hAnsi="宋体" w:eastAsia="宋体" w:cs="宋体"/>
          <w:color w:val="auto"/>
          <w:szCs w:val="21"/>
          <w:highlight w:val="none"/>
        </w:rPr>
      </w:pPr>
      <w:bookmarkStart w:id="738" w:name="_Toc78803379"/>
      <w:bookmarkStart w:id="739" w:name="_Toc324404869"/>
      <w:bookmarkStart w:id="740" w:name="_Toc10330"/>
      <w:bookmarkStart w:id="741" w:name="_Toc15058911"/>
      <w:bookmarkStart w:id="742" w:name="_Toc506107322"/>
      <w:bookmarkStart w:id="743" w:name="_Toc35424944"/>
      <w:bookmarkStart w:id="744" w:name="_Toc35425110"/>
      <w:r>
        <w:rPr>
          <w:rFonts w:hint="eastAsia" w:ascii="宋体" w:hAnsi="宋体" w:eastAsia="宋体" w:cs="宋体"/>
          <w:color w:val="auto"/>
          <w:szCs w:val="21"/>
          <w:highlight w:val="none"/>
        </w:rPr>
        <w:t>3.1资格审查由招标人依法组建的资格审查委员会（或评标委员会）负责。审查标准见资格审查办法前附表。</w:t>
      </w:r>
    </w:p>
    <w:p w14:paraId="131E6942">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2745C2C3">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未上传电子标书或电子标书经审查不合格；</w:t>
      </w:r>
    </w:p>
    <w:p w14:paraId="719EFAFF">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未</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招标公告</w:t>
      </w:r>
      <w:r>
        <w:rPr>
          <w:rFonts w:hint="eastAsia" w:ascii="宋体" w:hAnsi="宋体" w:eastAsia="宋体" w:cs="宋体"/>
          <w:color w:val="auto"/>
          <w:szCs w:val="21"/>
          <w:highlight w:val="none"/>
        </w:rPr>
        <w:t>要求提交投标保证金的；</w:t>
      </w:r>
    </w:p>
    <w:p w14:paraId="415A82FD">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）法律、法规规定的其他情形。</w:t>
      </w:r>
    </w:p>
    <w:p w14:paraId="6B78F5C3">
      <w:pPr>
        <w:pStyle w:val="4"/>
        <w:spacing w:beforeLines="50" w:afterLines="50"/>
        <w:ind w:firstLine="422" w:firstLineChars="200"/>
        <w:rPr>
          <w:rFonts w:ascii="宋体" w:hAnsi="宋体" w:eastAsia="宋体" w:cs="宋体"/>
          <w:color w:val="auto"/>
          <w:highlight w:val="none"/>
        </w:rPr>
      </w:pPr>
      <w:r>
        <w:rPr>
          <w:rFonts w:hint="eastAsia" w:ascii="宋体" w:hAnsi="宋体" w:eastAsia="宋体" w:cs="宋体"/>
          <w:color w:val="auto"/>
          <w:highlight w:val="none"/>
        </w:rPr>
        <w:t>4.审查结果</w:t>
      </w:r>
      <w:bookmarkEnd w:id="738"/>
      <w:bookmarkEnd w:id="739"/>
      <w:bookmarkEnd w:id="740"/>
      <w:bookmarkEnd w:id="741"/>
      <w:bookmarkEnd w:id="742"/>
      <w:bookmarkEnd w:id="743"/>
      <w:bookmarkEnd w:id="744"/>
    </w:p>
    <w:p w14:paraId="34F5680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745" w:name="_Toc506107323"/>
    </w:p>
    <w:p w14:paraId="10BAEF2B">
      <w:pPr>
        <w:pStyle w:val="3"/>
        <w:numPr>
          <w:ilvl w:val="0"/>
          <w:numId w:val="2"/>
        </w:numPr>
        <w:spacing w:beforeLines="50" w:afterLines="50"/>
        <w:rPr>
          <w:rFonts w:hint="eastAsia" w:ascii="Arial" w:hAnsi="Arial"/>
          <w:color w:val="auto"/>
          <w:kern w:val="0"/>
          <w:sz w:val="32"/>
          <w:szCs w:val="32"/>
          <w:highlight w:val="none"/>
        </w:rPr>
      </w:pPr>
      <w:bookmarkStart w:id="746" w:name="_Toc15058912"/>
      <w:bookmarkStart w:id="747" w:name="_Toc35424945"/>
      <w:bookmarkStart w:id="748" w:name="_Toc35425111"/>
      <w:r>
        <w:rPr>
          <w:rFonts w:hint="eastAsia"/>
          <w:color w:val="auto"/>
          <w:highlight w:val="none"/>
        </w:rPr>
        <w:br w:type="page"/>
      </w:r>
      <w:bookmarkStart w:id="749" w:name="_Toc78803380"/>
      <w:r>
        <w:rPr>
          <w:rFonts w:hint="eastAsia" w:ascii="Arial" w:hAnsi="Arial"/>
          <w:color w:val="auto"/>
          <w:kern w:val="0"/>
          <w:sz w:val="32"/>
          <w:szCs w:val="32"/>
          <w:highlight w:val="none"/>
        </w:rPr>
        <w:t xml:space="preserve"> </w:t>
      </w:r>
      <w:bookmarkStart w:id="750" w:name="_Toc30518"/>
      <w:bookmarkStart w:id="751" w:name="_Toc1286"/>
      <w:bookmarkStart w:id="752" w:name="_Toc32602"/>
      <w:r>
        <w:rPr>
          <w:rFonts w:hint="eastAsia" w:ascii="Arial" w:hAnsi="Arial"/>
          <w:color w:val="auto"/>
          <w:kern w:val="0"/>
          <w:sz w:val="32"/>
          <w:szCs w:val="32"/>
          <w:highlight w:val="none"/>
        </w:rPr>
        <w:t>评标办法</w:t>
      </w:r>
      <w:bookmarkEnd w:id="603"/>
      <w:bookmarkEnd w:id="745"/>
      <w:bookmarkEnd w:id="746"/>
      <w:bookmarkEnd w:id="747"/>
      <w:bookmarkEnd w:id="748"/>
      <w:bookmarkEnd w:id="749"/>
      <w:bookmarkEnd w:id="750"/>
      <w:bookmarkEnd w:id="751"/>
      <w:bookmarkEnd w:id="752"/>
    </w:p>
    <w:p w14:paraId="48D38EB9">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（一）中标候选人的确定</w:t>
      </w:r>
    </w:p>
    <w:p w14:paraId="628199B9">
      <w:pPr>
        <w:pStyle w:val="42"/>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440" w:lineRule="exact"/>
        <w:ind w:left="0" w:leftChars="0" w:righ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评标委员会对投标人依次进行</w:t>
      </w:r>
      <w:r>
        <w:rPr>
          <w:rFonts w:hint="eastAsia" w:cs="宋体"/>
          <w:color w:val="auto"/>
          <w:kern w:val="2"/>
          <w:sz w:val="21"/>
          <w:szCs w:val="21"/>
          <w:highlight w:val="none"/>
          <w:lang w:val="en-US" w:eastAsia="zh-CN" w:bidi="ar"/>
        </w:rPr>
        <w:t>资信、</w:t>
      </w:r>
      <w:r>
        <w:rPr>
          <w:rFonts w:hint="eastAsia" w:ascii="宋体" w:hAnsi="宋体" w:eastAsia="宋体" w:cs="宋体"/>
          <w:color w:val="auto"/>
          <w:kern w:val="2"/>
          <w:sz w:val="21"/>
          <w:szCs w:val="21"/>
          <w:highlight w:val="none"/>
          <w:lang w:val="en-US" w:eastAsia="zh-CN" w:bidi="ar"/>
        </w:rPr>
        <w:t>技术、商务文件审查，对均满足要求的投标人进行各项评审因素打分，合计的总得分按照从高到低进行排序，总得分第一的投标人为第一中标候选人。如总得分相等，以投标报价低的优先；投标报价仍相等，由评标委员会主任委员或招标人随机抽取确定排名。</w:t>
      </w:r>
    </w:p>
    <w:p w14:paraId="53EA7EE8">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（二）资信标评审（</w:t>
      </w:r>
      <w:r>
        <w:rPr>
          <w:rFonts w:hint="eastAsia" w:cs="Times New Roman"/>
          <w:b/>
          <w:color w:val="auto"/>
          <w:sz w:val="24"/>
          <w:szCs w:val="24"/>
          <w:highlight w:val="none"/>
          <w:lang w:val="en-US" w:eastAsia="zh-CN"/>
        </w:rPr>
        <w:t>30</w:t>
      </w:r>
      <w:r>
        <w:rPr>
          <w:rFonts w:hint="eastAsia" w:ascii="Times New Roman" w:hAnsi="Times New Roman" w:eastAsia="宋体" w:cs="Times New Roman"/>
          <w:b/>
          <w:color w:val="auto"/>
          <w:sz w:val="24"/>
          <w:szCs w:val="24"/>
          <w:highlight w:val="none"/>
          <w:lang w:val="en-US" w:eastAsia="zh-CN"/>
        </w:rPr>
        <w:t>分）</w:t>
      </w:r>
    </w:p>
    <w:tbl>
      <w:tblPr>
        <w:tblStyle w:val="47"/>
        <w:tblW w:w="9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51"/>
        <w:gridCol w:w="1804"/>
        <w:gridCol w:w="1595"/>
        <w:gridCol w:w="5711"/>
      </w:tblGrid>
      <w:tr w14:paraId="1E03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8" w:hRule="atLeast"/>
          <w:jc w:val="center"/>
        </w:trPr>
        <w:tc>
          <w:tcPr>
            <w:tcW w:w="751" w:type="dxa"/>
            <w:tcBorders>
              <w:top w:val="single" w:color="auto" w:sz="4" w:space="0"/>
              <w:left w:val="single" w:color="auto" w:sz="4" w:space="0"/>
              <w:bottom w:val="single" w:color="auto" w:sz="4" w:space="0"/>
              <w:right w:val="single" w:color="auto" w:sz="4" w:space="0"/>
            </w:tcBorders>
            <w:shd w:val="clear" w:color="auto" w:fill="auto"/>
            <w:vAlign w:val="top"/>
          </w:tcPr>
          <w:p w14:paraId="6A693F9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序号</w:t>
            </w:r>
          </w:p>
        </w:tc>
        <w:tc>
          <w:tcPr>
            <w:tcW w:w="1804" w:type="dxa"/>
            <w:tcBorders>
              <w:top w:val="single" w:color="auto" w:sz="4" w:space="0"/>
              <w:left w:val="single" w:color="auto" w:sz="4" w:space="0"/>
              <w:bottom w:val="single" w:color="auto" w:sz="4" w:space="0"/>
              <w:right w:val="single" w:color="auto" w:sz="4" w:space="0"/>
            </w:tcBorders>
            <w:shd w:val="clear" w:color="auto" w:fill="auto"/>
            <w:vAlign w:val="top"/>
          </w:tcPr>
          <w:p w14:paraId="13D4DD24">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评审因素</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top"/>
          </w:tcPr>
          <w:p w14:paraId="161F43D8">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分值设置</w:t>
            </w:r>
          </w:p>
        </w:tc>
        <w:tc>
          <w:tcPr>
            <w:tcW w:w="5711" w:type="dxa"/>
            <w:tcBorders>
              <w:top w:val="single" w:color="auto" w:sz="4" w:space="0"/>
              <w:left w:val="single" w:color="auto" w:sz="4" w:space="0"/>
              <w:bottom w:val="single" w:color="auto" w:sz="4" w:space="0"/>
              <w:right w:val="single" w:color="auto" w:sz="4" w:space="0"/>
            </w:tcBorders>
            <w:shd w:val="clear" w:color="auto" w:fill="auto"/>
            <w:vAlign w:val="top"/>
          </w:tcPr>
          <w:p w14:paraId="6AC9E87F">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评审标准</w:t>
            </w:r>
          </w:p>
        </w:tc>
      </w:tr>
      <w:tr w14:paraId="5BCB8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14:paraId="4B2D55C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804" w:type="dxa"/>
            <w:tcBorders>
              <w:top w:val="single" w:color="auto" w:sz="4" w:space="0"/>
              <w:left w:val="single" w:color="auto" w:sz="4" w:space="0"/>
              <w:bottom w:val="single" w:color="auto" w:sz="4" w:space="0"/>
              <w:right w:val="single" w:color="auto" w:sz="4" w:space="0"/>
            </w:tcBorders>
            <w:shd w:val="clear" w:color="auto" w:fill="auto"/>
            <w:vAlign w:val="center"/>
          </w:tcPr>
          <w:p w14:paraId="15EDD5A6">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企业业绩</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14:paraId="62944AFD">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20分</w:t>
            </w:r>
          </w:p>
        </w:tc>
        <w:tc>
          <w:tcPr>
            <w:tcW w:w="5711" w:type="dxa"/>
            <w:tcBorders>
              <w:top w:val="single" w:color="auto" w:sz="4" w:space="0"/>
              <w:left w:val="single" w:color="auto" w:sz="4" w:space="0"/>
              <w:bottom w:val="single" w:color="auto" w:sz="4" w:space="0"/>
              <w:right w:val="single" w:color="auto" w:sz="4" w:space="0"/>
            </w:tcBorders>
            <w:shd w:val="clear" w:color="auto" w:fill="auto"/>
            <w:vAlign w:val="top"/>
          </w:tcPr>
          <w:p w14:paraId="550A83CE">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①</w:t>
            </w:r>
            <w:r>
              <w:rPr>
                <w:rFonts w:hint="eastAsia" w:ascii="宋体" w:hAnsi="宋体" w:eastAsia="宋体" w:cs="宋体"/>
                <w:color w:val="auto"/>
                <w:kern w:val="2"/>
                <w:sz w:val="21"/>
                <w:szCs w:val="21"/>
                <w:highlight w:val="none"/>
                <w:lang w:val="en-US" w:eastAsia="zh-CN" w:bidi="ar"/>
              </w:rPr>
              <w:t>投标人自20</w:t>
            </w:r>
            <w:r>
              <w:rPr>
                <w:rFonts w:hint="eastAsia" w:ascii="宋体" w:hAnsi="宋体" w:cs="宋体"/>
                <w:color w:val="auto"/>
                <w:kern w:val="2"/>
                <w:sz w:val="21"/>
                <w:szCs w:val="21"/>
                <w:highlight w:val="none"/>
                <w:lang w:val="en-US" w:eastAsia="zh-CN" w:bidi="ar"/>
              </w:rPr>
              <w:t>21</w:t>
            </w:r>
            <w:r>
              <w:rPr>
                <w:rFonts w:hint="eastAsia" w:ascii="宋体" w:hAnsi="宋体" w:eastAsia="宋体" w:cs="宋体"/>
                <w:color w:val="auto"/>
                <w:kern w:val="2"/>
                <w:sz w:val="21"/>
                <w:szCs w:val="21"/>
                <w:highlight w:val="none"/>
                <w:lang w:val="en-US" w:eastAsia="zh-CN" w:bidi="ar"/>
              </w:rPr>
              <w:t>年1月1日</w:t>
            </w:r>
            <w:r>
              <w:rPr>
                <w:rFonts w:hint="eastAsia" w:ascii="宋体" w:hAnsi="宋体" w:cs="宋体"/>
                <w:color w:val="auto"/>
                <w:kern w:val="2"/>
                <w:sz w:val="21"/>
                <w:szCs w:val="21"/>
                <w:highlight w:val="none"/>
                <w:lang w:val="en-US" w:eastAsia="zh-CN" w:bidi="ar"/>
              </w:rPr>
              <w:t>以来（以合同签订时间为准）</w:t>
            </w:r>
            <w:r>
              <w:rPr>
                <w:rFonts w:hint="eastAsia" w:ascii="宋体" w:hAnsi="宋体" w:eastAsia="宋体" w:cs="宋体"/>
                <w:color w:val="auto"/>
                <w:kern w:val="2"/>
                <w:sz w:val="21"/>
                <w:szCs w:val="21"/>
                <w:highlight w:val="none"/>
                <w:lang w:val="en-US" w:eastAsia="zh-CN" w:bidi="ar"/>
              </w:rPr>
              <w:t>，具有</w:t>
            </w:r>
            <w:r>
              <w:rPr>
                <w:rFonts w:hint="eastAsia" w:ascii="宋体" w:hAnsi="宋体" w:cs="宋体"/>
                <w:color w:val="auto"/>
                <w:kern w:val="2"/>
                <w:sz w:val="21"/>
                <w:szCs w:val="21"/>
                <w:highlight w:val="none"/>
                <w:lang w:val="en-US" w:eastAsia="zh-CN" w:bidi="ar"/>
              </w:rPr>
              <w:t>厂房</w:t>
            </w:r>
            <w:r>
              <w:rPr>
                <w:rFonts w:hint="eastAsia" w:ascii="宋体" w:hAnsi="宋体" w:eastAsia="宋体" w:cs="宋体"/>
                <w:color w:val="auto"/>
                <w:kern w:val="2"/>
                <w:sz w:val="21"/>
                <w:szCs w:val="21"/>
                <w:highlight w:val="none"/>
                <w:lang w:val="en-US" w:eastAsia="zh-CN" w:bidi="ar"/>
              </w:rPr>
              <w:t>施工业绩</w:t>
            </w:r>
            <w:r>
              <w:rPr>
                <w:rFonts w:hint="eastAsia" w:ascii="宋体" w:hAnsi="宋体" w:cs="宋体"/>
                <w:color w:val="auto"/>
                <w:kern w:val="2"/>
                <w:sz w:val="21"/>
                <w:szCs w:val="21"/>
                <w:highlight w:val="none"/>
                <w:lang w:val="en-US" w:eastAsia="zh-CN" w:bidi="ar"/>
              </w:rPr>
              <w:t>的</w:t>
            </w:r>
            <w:r>
              <w:rPr>
                <w:rFonts w:hint="eastAsia" w:ascii="宋体" w:hAnsi="宋体" w:eastAsia="宋体" w:cs="宋体"/>
                <w:color w:val="auto"/>
                <w:kern w:val="2"/>
                <w:sz w:val="21"/>
                <w:szCs w:val="21"/>
                <w:highlight w:val="none"/>
                <w:lang w:val="en-US" w:eastAsia="zh-CN" w:bidi="ar"/>
              </w:rPr>
              <w:t>得</w:t>
            </w:r>
            <w:r>
              <w:rPr>
                <w:rFonts w:hint="eastAsia" w:ascii="宋体" w:hAnsi="宋体" w:cs="宋体"/>
                <w:color w:val="auto"/>
                <w:kern w:val="2"/>
                <w:sz w:val="21"/>
                <w:szCs w:val="21"/>
                <w:highlight w:val="none"/>
                <w:lang w:val="en-US" w:eastAsia="zh-CN" w:bidi="ar"/>
              </w:rPr>
              <w:t>10</w:t>
            </w:r>
            <w:r>
              <w:rPr>
                <w:rFonts w:hint="eastAsia" w:ascii="宋体" w:hAnsi="宋体" w:eastAsia="宋体" w:cs="宋体"/>
                <w:color w:val="auto"/>
                <w:kern w:val="2"/>
                <w:sz w:val="21"/>
                <w:szCs w:val="21"/>
                <w:highlight w:val="none"/>
                <w:lang w:val="en-US" w:eastAsia="zh-CN" w:bidi="ar"/>
              </w:rPr>
              <w:t>分；</w:t>
            </w:r>
          </w:p>
          <w:p w14:paraId="5B830FF5">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②</w:t>
            </w:r>
            <w:r>
              <w:rPr>
                <w:rFonts w:hint="eastAsia" w:ascii="宋体" w:hAnsi="宋体" w:eastAsia="宋体" w:cs="宋体"/>
                <w:color w:val="auto"/>
                <w:kern w:val="2"/>
                <w:sz w:val="21"/>
                <w:szCs w:val="21"/>
                <w:highlight w:val="none"/>
                <w:lang w:val="en-US" w:eastAsia="zh-CN" w:bidi="ar"/>
              </w:rPr>
              <w:t>投标人自20</w:t>
            </w:r>
            <w:r>
              <w:rPr>
                <w:rFonts w:hint="eastAsia" w:ascii="宋体" w:hAnsi="宋体" w:cs="宋体"/>
                <w:color w:val="auto"/>
                <w:kern w:val="2"/>
                <w:sz w:val="21"/>
                <w:szCs w:val="21"/>
                <w:highlight w:val="none"/>
                <w:lang w:val="en-US" w:eastAsia="zh-CN" w:bidi="ar"/>
              </w:rPr>
              <w:t>21</w:t>
            </w:r>
            <w:r>
              <w:rPr>
                <w:rFonts w:hint="eastAsia" w:ascii="宋体" w:hAnsi="宋体" w:eastAsia="宋体" w:cs="宋体"/>
                <w:color w:val="auto"/>
                <w:kern w:val="2"/>
                <w:sz w:val="21"/>
                <w:szCs w:val="21"/>
                <w:highlight w:val="none"/>
                <w:lang w:val="en-US" w:eastAsia="zh-CN" w:bidi="ar"/>
              </w:rPr>
              <w:t>年1月1日</w:t>
            </w:r>
            <w:r>
              <w:rPr>
                <w:rFonts w:hint="eastAsia" w:ascii="宋体" w:hAnsi="宋体" w:cs="宋体"/>
                <w:color w:val="auto"/>
                <w:kern w:val="2"/>
                <w:sz w:val="21"/>
                <w:szCs w:val="21"/>
                <w:highlight w:val="none"/>
                <w:lang w:val="en-US" w:eastAsia="zh-CN" w:bidi="ar"/>
              </w:rPr>
              <w:t>以来（以合同签订时间为准）</w:t>
            </w:r>
            <w:r>
              <w:rPr>
                <w:rFonts w:hint="eastAsia" w:ascii="宋体" w:hAnsi="宋体" w:eastAsia="宋体" w:cs="宋体"/>
                <w:color w:val="auto"/>
                <w:kern w:val="2"/>
                <w:sz w:val="21"/>
                <w:szCs w:val="21"/>
                <w:highlight w:val="none"/>
                <w:lang w:val="en-US" w:eastAsia="zh-CN" w:bidi="ar"/>
              </w:rPr>
              <w:t>，具有</w:t>
            </w:r>
            <w:r>
              <w:rPr>
                <w:rFonts w:hint="eastAsia" w:ascii="宋体" w:hAnsi="宋体" w:cs="宋体"/>
                <w:color w:val="auto"/>
                <w:kern w:val="2"/>
                <w:sz w:val="21"/>
                <w:szCs w:val="21"/>
                <w:highlight w:val="none"/>
                <w:lang w:val="en-US" w:eastAsia="zh-CN" w:bidi="ar"/>
              </w:rPr>
              <w:t>厂房或办公楼改造或维修业绩的</w:t>
            </w:r>
            <w:r>
              <w:rPr>
                <w:rFonts w:hint="eastAsia" w:ascii="宋体" w:hAnsi="宋体" w:eastAsia="宋体" w:cs="宋体"/>
                <w:color w:val="auto"/>
                <w:kern w:val="2"/>
                <w:sz w:val="21"/>
                <w:szCs w:val="21"/>
                <w:highlight w:val="none"/>
                <w:lang w:val="en-US" w:eastAsia="zh-CN" w:bidi="ar"/>
              </w:rPr>
              <w:t>得</w:t>
            </w:r>
            <w:r>
              <w:rPr>
                <w:rFonts w:hint="eastAsia" w:ascii="宋体" w:hAnsi="宋体" w:cs="宋体"/>
                <w:color w:val="auto"/>
                <w:kern w:val="2"/>
                <w:sz w:val="21"/>
                <w:szCs w:val="21"/>
                <w:highlight w:val="none"/>
                <w:lang w:val="en-US" w:eastAsia="zh-CN" w:bidi="ar"/>
              </w:rPr>
              <w:t>10</w:t>
            </w:r>
            <w:r>
              <w:rPr>
                <w:rFonts w:hint="eastAsia" w:ascii="宋体" w:hAnsi="宋体" w:eastAsia="宋体" w:cs="宋体"/>
                <w:color w:val="auto"/>
                <w:kern w:val="2"/>
                <w:sz w:val="21"/>
                <w:szCs w:val="21"/>
                <w:highlight w:val="none"/>
                <w:lang w:val="en-US" w:eastAsia="zh-CN" w:bidi="ar"/>
              </w:rPr>
              <w:t xml:space="preserve">分； </w:t>
            </w:r>
          </w:p>
          <w:p w14:paraId="04B0E9C9">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注：</w:t>
            </w:r>
            <w:r>
              <w:rPr>
                <w:rFonts w:hint="eastAsia" w:ascii="宋体" w:hAnsi="宋体" w:eastAsia="宋体" w:cs="宋体"/>
                <w:color w:val="auto"/>
                <w:kern w:val="2"/>
                <w:sz w:val="21"/>
                <w:szCs w:val="21"/>
                <w:highlight w:val="none"/>
                <w:lang w:val="en-US" w:eastAsia="zh-CN" w:bidi="ar"/>
              </w:rPr>
              <w:t>（1）评审核验电子标书中的下述文件、材料（同时提供下列资料扫描件）：①施工合同</w:t>
            </w: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②竣工验收证明</w:t>
            </w:r>
            <w:r>
              <w:rPr>
                <w:rFonts w:hint="eastAsia" w:ascii="宋体" w:hAnsi="宋体" w:cs="宋体"/>
                <w:color w:val="auto"/>
                <w:kern w:val="2"/>
                <w:sz w:val="21"/>
                <w:szCs w:val="21"/>
                <w:highlight w:val="none"/>
                <w:lang w:val="en-US" w:eastAsia="zh-CN" w:bidi="ar"/>
              </w:rPr>
              <w:t>材料</w:t>
            </w:r>
            <w:r>
              <w:rPr>
                <w:rFonts w:hint="eastAsia" w:ascii="宋体" w:hAnsi="宋体" w:eastAsia="宋体" w:cs="宋体"/>
                <w:color w:val="auto"/>
                <w:kern w:val="2"/>
                <w:sz w:val="21"/>
                <w:szCs w:val="21"/>
                <w:highlight w:val="none"/>
                <w:lang w:val="en-US" w:eastAsia="zh-CN" w:bidi="ar"/>
              </w:rPr>
              <w:t>。如以上证明材料无法反映出业绩相关信息，可以另外提供业主材料加盖公章，格式自拟。</w:t>
            </w:r>
          </w:p>
          <w:p w14:paraId="11892E15">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2）投标人投标时只须提供2个评审业绩，若投标人提供业绩个数超过2个则按照排列顺序从首个业绩开始评审至对应数量(2个)，超出部分业绩不进行评审。对应数量(2个)内业绩不符合招标文件要求不得分的，不再补充评申超出部分业绩。如:提供2个业绩即得满分的，按照投标文件排序评审第一、第二项业绩，其余超出部分不再评审。</w:t>
            </w:r>
          </w:p>
        </w:tc>
      </w:tr>
      <w:tr w14:paraId="61F8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14:paraId="736B5183">
            <w:pPr>
              <w:keepNext w:val="0"/>
              <w:keepLines w:val="0"/>
              <w:widowControl w:val="0"/>
              <w:suppressLineNumbers w:val="0"/>
              <w:adjustRightInd w:val="0"/>
              <w:snapToGrid w:val="0"/>
              <w:spacing w:before="0" w:beforeAutospacing="0" w:after="0" w:afterAutospacing="0" w:line="560" w:lineRule="exact"/>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2</w:t>
            </w:r>
          </w:p>
        </w:tc>
        <w:tc>
          <w:tcPr>
            <w:tcW w:w="1804" w:type="dxa"/>
            <w:tcBorders>
              <w:top w:val="single" w:color="auto" w:sz="4" w:space="0"/>
              <w:left w:val="single" w:color="auto" w:sz="4" w:space="0"/>
              <w:bottom w:val="single" w:color="auto" w:sz="4" w:space="0"/>
              <w:right w:val="single" w:color="auto" w:sz="4" w:space="0"/>
            </w:tcBorders>
            <w:shd w:val="clear" w:color="auto" w:fill="auto"/>
            <w:vAlign w:val="center"/>
          </w:tcPr>
          <w:p w14:paraId="5D66C2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屋面（厂房顶棚）质保</w:t>
            </w:r>
            <w:r>
              <w:rPr>
                <w:rFonts w:hint="eastAsia" w:ascii="宋体" w:hAnsi="宋体" w:cs="宋体"/>
                <w:color w:val="auto"/>
                <w:kern w:val="2"/>
                <w:sz w:val="21"/>
                <w:szCs w:val="21"/>
                <w:highlight w:val="none"/>
                <w:lang w:val="en-US" w:eastAsia="zh-CN" w:bidi="ar"/>
              </w:rPr>
              <w:t>期</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14:paraId="072D4A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val="en-US" w:eastAsia="zh-CN"/>
              </w:rPr>
              <w:t>10分</w:t>
            </w:r>
          </w:p>
        </w:tc>
        <w:tc>
          <w:tcPr>
            <w:tcW w:w="5711" w:type="dxa"/>
            <w:tcBorders>
              <w:top w:val="single" w:color="auto" w:sz="4" w:space="0"/>
              <w:left w:val="single" w:color="auto" w:sz="4" w:space="0"/>
              <w:bottom w:val="single" w:color="auto" w:sz="4" w:space="0"/>
              <w:right w:val="single" w:color="auto" w:sz="4" w:space="0"/>
            </w:tcBorders>
            <w:shd w:val="clear" w:color="auto" w:fill="auto"/>
            <w:vAlign w:val="center"/>
          </w:tcPr>
          <w:p w14:paraId="42F167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屋面（厂房顶棚）须质保</w:t>
            </w:r>
            <w:r>
              <w:rPr>
                <w:rFonts w:hint="eastAsia" w:ascii="宋体" w:hAnsi="宋体" w:cs="宋体"/>
                <w:color w:val="auto"/>
                <w:kern w:val="2"/>
                <w:sz w:val="21"/>
                <w:szCs w:val="21"/>
                <w:highlight w:val="none"/>
                <w:lang w:val="en-US" w:eastAsia="zh-CN" w:bidi="ar"/>
              </w:rPr>
              <w:t>10</w:t>
            </w:r>
            <w:r>
              <w:rPr>
                <w:rFonts w:hint="eastAsia" w:ascii="宋体" w:hAnsi="宋体" w:eastAsia="宋体" w:cs="宋体"/>
                <w:color w:val="auto"/>
                <w:kern w:val="2"/>
                <w:sz w:val="21"/>
                <w:szCs w:val="21"/>
                <w:highlight w:val="none"/>
                <w:lang w:val="en-US" w:eastAsia="zh-CN" w:bidi="ar"/>
              </w:rPr>
              <w:t>年，在此基础上每增加1年</w:t>
            </w:r>
            <w:r>
              <w:rPr>
                <w:rFonts w:hint="eastAsia" w:ascii="宋体" w:hAnsi="宋体" w:cs="宋体"/>
                <w:color w:val="auto"/>
                <w:kern w:val="2"/>
                <w:sz w:val="21"/>
                <w:szCs w:val="21"/>
                <w:highlight w:val="none"/>
                <w:lang w:val="en-US" w:eastAsia="zh-CN" w:bidi="ar"/>
              </w:rPr>
              <w:t>质保</w:t>
            </w:r>
            <w:r>
              <w:rPr>
                <w:rFonts w:hint="eastAsia" w:ascii="宋体" w:hAnsi="宋体" w:eastAsia="宋体" w:cs="宋体"/>
                <w:color w:val="auto"/>
                <w:kern w:val="2"/>
                <w:sz w:val="21"/>
                <w:szCs w:val="21"/>
                <w:highlight w:val="none"/>
                <w:lang w:val="en-US" w:eastAsia="zh-CN" w:bidi="ar"/>
              </w:rPr>
              <w:t>得</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分，最多得10分。</w:t>
            </w:r>
          </w:p>
          <w:p w14:paraId="1D478F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default" w:ascii="宋体" w:hAnsi="宋体" w:eastAsia="宋体" w:cs="宋体"/>
                <w:color w:val="auto"/>
                <w:kern w:val="2"/>
                <w:sz w:val="21"/>
                <w:szCs w:val="21"/>
                <w:highlight w:val="none"/>
                <w:lang w:val="en-US" w:eastAsia="zh-CN" w:bidi="ar"/>
              </w:rPr>
            </w:pPr>
            <w:r>
              <w:rPr>
                <w:rFonts w:hint="eastAsia" w:ascii="宋体" w:hAnsi="宋体" w:cs="宋体"/>
                <w:b/>
                <w:bCs/>
                <w:color w:val="auto"/>
                <w:kern w:val="2"/>
                <w:sz w:val="21"/>
                <w:szCs w:val="21"/>
                <w:highlight w:val="none"/>
                <w:lang w:val="en-US" w:eastAsia="zh-CN" w:bidi="ar"/>
              </w:rPr>
              <w:t>注：投标文件中须提供质保承诺函，格式自拟。</w:t>
            </w:r>
          </w:p>
        </w:tc>
      </w:tr>
    </w:tbl>
    <w:p w14:paraId="0B44F791">
      <w:pPr>
        <w:pStyle w:val="42"/>
        <w:keepNext w:val="0"/>
        <w:keepLines w:val="0"/>
        <w:widowControl w:val="0"/>
        <w:suppressLineNumbers w:val="0"/>
        <w:adjustRightInd w:val="0"/>
        <w:snapToGrid w:val="0"/>
        <w:spacing w:before="0" w:beforeAutospacing="1" w:after="0" w:afterLines="0" w:afterAutospacing="0" w:line="560" w:lineRule="exact"/>
        <w:ind w:left="0" w:leftChars="0" w:right="0" w:firstLine="0" w:firstLineChars="0"/>
        <w:jc w:val="center"/>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375E7FC1">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（三）商务标评审</w:t>
      </w: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136"/>
        <w:gridCol w:w="2550"/>
        <w:gridCol w:w="5581"/>
      </w:tblGrid>
      <w:tr w14:paraId="5DBB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60" w:type="dxa"/>
            <w:gridSpan w:val="2"/>
            <w:noWrap w:val="0"/>
            <w:vAlign w:val="center"/>
          </w:tcPr>
          <w:p w14:paraId="7143CFDA">
            <w:pPr>
              <w:keepNext w:val="0"/>
              <w:keepLines w:val="0"/>
              <w:widowControl w:val="0"/>
              <w:suppressLineNumbers w:val="0"/>
              <w:spacing w:before="0" w:beforeLines="0" w:beforeAutospacing="0" w:after="0" w:afterLines="0" w:afterAutospacing="0" w:line="440" w:lineRule="exact"/>
              <w:ind w:left="0" w:right="0"/>
              <w:jc w:val="center"/>
              <w:rPr>
                <w:rFonts w:hint="eastAsia" w:ascii="宋体" w:hAnsi="宋体" w:eastAsia="宋体" w:cs="宋体"/>
                <w:b/>
                <w:bCs w:val="0"/>
                <w:color w:val="auto"/>
                <w:kern w:val="2"/>
                <w:sz w:val="21"/>
                <w:szCs w:val="21"/>
                <w:highlight w:val="none"/>
              </w:rPr>
            </w:pPr>
            <w:bookmarkStart w:id="753" w:name="_Toc15058913"/>
            <w:bookmarkStart w:id="754" w:name="_Toc144974556"/>
            <w:bookmarkStart w:id="755" w:name="_Toc246996975"/>
            <w:bookmarkStart w:id="756" w:name="_Toc506107324"/>
            <w:bookmarkStart w:id="757" w:name="_Toc246996232"/>
            <w:bookmarkStart w:id="758" w:name="_Toc324404872"/>
            <w:bookmarkStart w:id="759" w:name="_Toc179632607"/>
            <w:bookmarkStart w:id="760" w:name="_Toc6491"/>
            <w:bookmarkStart w:id="761" w:name="_Toc35425113"/>
            <w:bookmarkStart w:id="762" w:name="_Toc152045589"/>
            <w:bookmarkStart w:id="763" w:name="_Toc35424947"/>
            <w:bookmarkStart w:id="764" w:name="_Toc247085747"/>
            <w:bookmarkStart w:id="765" w:name="_Toc78803381"/>
            <w:bookmarkStart w:id="766" w:name="_Toc152042366"/>
            <w:r>
              <w:rPr>
                <w:rFonts w:hint="eastAsia" w:ascii="宋体" w:hAnsi="宋体" w:eastAsia="宋体" w:cs="宋体"/>
                <w:b/>
                <w:bCs w:val="0"/>
                <w:color w:val="auto"/>
                <w:kern w:val="2"/>
                <w:sz w:val="21"/>
                <w:szCs w:val="21"/>
                <w:highlight w:val="none"/>
                <w:lang w:val="en-US" w:eastAsia="zh-CN" w:bidi="ar"/>
              </w:rPr>
              <w:t>条款号</w:t>
            </w:r>
          </w:p>
        </w:tc>
        <w:tc>
          <w:tcPr>
            <w:tcW w:w="2550" w:type="dxa"/>
            <w:noWrap w:val="0"/>
            <w:vAlign w:val="center"/>
          </w:tcPr>
          <w:p w14:paraId="2D7B4A61">
            <w:pPr>
              <w:keepNext w:val="0"/>
              <w:keepLines w:val="0"/>
              <w:widowControl w:val="0"/>
              <w:suppressLineNumbers w:val="0"/>
              <w:spacing w:before="0" w:beforeLines="0" w:beforeAutospacing="0" w:after="0" w:afterLines="0" w:afterAutospacing="0" w:line="440" w:lineRule="exact"/>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评审因素</w:t>
            </w:r>
          </w:p>
        </w:tc>
        <w:tc>
          <w:tcPr>
            <w:tcW w:w="5581" w:type="dxa"/>
            <w:noWrap w:val="0"/>
            <w:vAlign w:val="center"/>
          </w:tcPr>
          <w:p w14:paraId="798CAC95">
            <w:pPr>
              <w:keepNext w:val="0"/>
              <w:keepLines w:val="0"/>
              <w:widowControl w:val="0"/>
              <w:suppressLineNumbers w:val="0"/>
              <w:spacing w:before="0" w:beforeLines="0" w:beforeAutospacing="0" w:after="0" w:afterLines="0" w:afterAutospacing="0" w:line="440" w:lineRule="exact"/>
              <w:ind w:left="0" w:right="0"/>
              <w:jc w:val="center"/>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评审标准</w:t>
            </w:r>
          </w:p>
        </w:tc>
      </w:tr>
      <w:tr w14:paraId="1CE8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24" w:type="dxa"/>
            <w:vMerge w:val="restart"/>
            <w:noWrap w:val="0"/>
            <w:vAlign w:val="center"/>
          </w:tcPr>
          <w:p w14:paraId="23245669">
            <w:pPr>
              <w:keepNext w:val="0"/>
              <w:keepLines w:val="0"/>
              <w:widowControl w:val="0"/>
              <w:suppressLineNumbers w:val="0"/>
              <w:spacing w:before="0" w:beforeLines="0" w:beforeAutospacing="0" w:after="0" w:afterLines="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136" w:type="dxa"/>
            <w:vMerge w:val="restart"/>
            <w:noWrap w:val="0"/>
            <w:vAlign w:val="center"/>
          </w:tcPr>
          <w:p w14:paraId="317A18AA">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形式评审标准</w:t>
            </w:r>
          </w:p>
        </w:tc>
        <w:tc>
          <w:tcPr>
            <w:tcW w:w="2550" w:type="dxa"/>
            <w:noWrap w:val="0"/>
            <w:vAlign w:val="center"/>
          </w:tcPr>
          <w:p w14:paraId="69F1EF68">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投标函签字盖章</w:t>
            </w:r>
          </w:p>
        </w:tc>
        <w:tc>
          <w:tcPr>
            <w:tcW w:w="5581" w:type="dxa"/>
            <w:noWrap w:val="0"/>
            <w:vAlign w:val="top"/>
          </w:tcPr>
          <w:p w14:paraId="77164275">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有法定代表人或其委托代理人签字或盖章，并加盖单位公章</w:t>
            </w:r>
          </w:p>
          <w:p w14:paraId="051C9BFC">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否则经评委会一致认定后，按照无效投标处理。</w:t>
            </w:r>
          </w:p>
        </w:tc>
      </w:tr>
      <w:tr w14:paraId="1878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4" w:type="dxa"/>
            <w:vMerge w:val="continue"/>
            <w:noWrap w:val="0"/>
            <w:vAlign w:val="center"/>
          </w:tcPr>
          <w:p w14:paraId="457B719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noWrap w:val="0"/>
            <w:vAlign w:val="center"/>
          </w:tcPr>
          <w:p w14:paraId="51BDA29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50" w:type="dxa"/>
            <w:noWrap w:val="0"/>
            <w:vAlign w:val="center"/>
          </w:tcPr>
          <w:p w14:paraId="62ADD1AB">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投标文件格式</w:t>
            </w:r>
          </w:p>
        </w:tc>
        <w:tc>
          <w:tcPr>
            <w:tcW w:w="5581" w:type="dxa"/>
            <w:noWrap w:val="0"/>
            <w:vAlign w:val="top"/>
          </w:tcPr>
          <w:p w14:paraId="7D8F0689">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w:t>
            </w:r>
            <w:r>
              <w:rPr>
                <w:rFonts w:hint="eastAsia" w:ascii="宋体" w:hAnsi="宋体" w:cs="宋体"/>
                <w:color w:val="auto"/>
                <w:szCs w:val="21"/>
                <w:highlight w:val="none"/>
                <w:lang w:val="en-US" w:eastAsia="zh-CN"/>
              </w:rPr>
              <w:t>六</w:t>
            </w:r>
            <w:r>
              <w:rPr>
                <w:rFonts w:hint="eastAsia" w:ascii="宋体" w:hAnsi="宋体" w:eastAsia="宋体" w:cs="宋体"/>
                <w:color w:val="auto"/>
                <w:kern w:val="2"/>
                <w:sz w:val="21"/>
                <w:szCs w:val="21"/>
                <w:highlight w:val="none"/>
                <w:lang w:val="en-US" w:eastAsia="zh-CN" w:bidi="ar"/>
              </w:rPr>
              <w:t>章“投标文件格式”的要求</w:t>
            </w:r>
          </w:p>
        </w:tc>
      </w:tr>
      <w:tr w14:paraId="4B270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noWrap w:val="0"/>
            <w:vAlign w:val="center"/>
          </w:tcPr>
          <w:p w14:paraId="7E1E173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noWrap w:val="0"/>
            <w:vAlign w:val="center"/>
          </w:tcPr>
          <w:p w14:paraId="5D0EA18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50" w:type="dxa"/>
            <w:noWrap w:val="0"/>
            <w:vAlign w:val="center"/>
          </w:tcPr>
          <w:p w14:paraId="2FC9ED96">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报价唯一</w:t>
            </w:r>
          </w:p>
        </w:tc>
        <w:tc>
          <w:tcPr>
            <w:tcW w:w="5581" w:type="dxa"/>
            <w:noWrap w:val="0"/>
            <w:vAlign w:val="top"/>
          </w:tcPr>
          <w:p w14:paraId="7306D1BE">
            <w:pPr>
              <w:keepNext w:val="0"/>
              <w:keepLines w:val="0"/>
              <w:widowControl w:val="0"/>
              <w:suppressLineNumbers w:val="0"/>
              <w:autoSpaceDE w:val="0"/>
              <w:autoSpaceDN/>
              <w:spacing w:before="0" w:beforeLines="0" w:beforeAutospacing="0" w:after="0" w:afterLines="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只能有一个报价</w:t>
            </w:r>
          </w:p>
        </w:tc>
      </w:tr>
      <w:tr w14:paraId="477C4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restart"/>
            <w:noWrap w:val="0"/>
            <w:vAlign w:val="center"/>
          </w:tcPr>
          <w:p w14:paraId="33C51C93">
            <w:pPr>
              <w:keepNext w:val="0"/>
              <w:keepLines w:val="0"/>
              <w:widowControl w:val="0"/>
              <w:suppressLineNumbers w:val="0"/>
              <w:spacing w:before="0" w:beforeLines="0" w:beforeAutospacing="0" w:after="0" w:afterLines="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1136" w:type="dxa"/>
            <w:vMerge w:val="restart"/>
            <w:noWrap w:val="0"/>
            <w:vAlign w:val="center"/>
          </w:tcPr>
          <w:p w14:paraId="06FF764F">
            <w:pPr>
              <w:keepNext w:val="0"/>
              <w:keepLines w:val="0"/>
              <w:widowControl w:val="0"/>
              <w:suppressLineNumbers w:val="0"/>
              <w:autoSpaceDE w:val="0"/>
              <w:autoSpaceDN/>
              <w:spacing w:before="0" w:beforeLines="0" w:beforeAutospacing="0" w:after="0" w:afterLines="0" w:afterAutospacing="0" w:line="44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响应性评审标准</w:t>
            </w:r>
          </w:p>
        </w:tc>
        <w:tc>
          <w:tcPr>
            <w:tcW w:w="2550" w:type="dxa"/>
            <w:noWrap w:val="0"/>
            <w:vAlign w:val="center"/>
          </w:tcPr>
          <w:p w14:paraId="0BF04576">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工期</w:t>
            </w:r>
          </w:p>
        </w:tc>
        <w:tc>
          <w:tcPr>
            <w:tcW w:w="5581" w:type="dxa"/>
            <w:noWrap w:val="0"/>
            <w:vAlign w:val="center"/>
          </w:tcPr>
          <w:p w14:paraId="2D90F0A8">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563EE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noWrap w:val="0"/>
            <w:vAlign w:val="center"/>
          </w:tcPr>
          <w:p w14:paraId="0666416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noWrap w:val="0"/>
            <w:vAlign w:val="center"/>
          </w:tcPr>
          <w:p w14:paraId="3262D3E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50" w:type="dxa"/>
            <w:noWrap w:val="0"/>
            <w:vAlign w:val="center"/>
          </w:tcPr>
          <w:p w14:paraId="6B5463E2">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工程质量</w:t>
            </w:r>
          </w:p>
        </w:tc>
        <w:tc>
          <w:tcPr>
            <w:tcW w:w="5581" w:type="dxa"/>
            <w:noWrap w:val="0"/>
            <w:vAlign w:val="center"/>
          </w:tcPr>
          <w:p w14:paraId="356675A6">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43D4B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noWrap w:val="0"/>
            <w:vAlign w:val="center"/>
          </w:tcPr>
          <w:p w14:paraId="56A6016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36" w:type="dxa"/>
            <w:vMerge w:val="continue"/>
            <w:noWrap w:val="0"/>
            <w:vAlign w:val="center"/>
          </w:tcPr>
          <w:p w14:paraId="5874EE0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550" w:type="dxa"/>
            <w:noWrap w:val="0"/>
            <w:vAlign w:val="center"/>
          </w:tcPr>
          <w:p w14:paraId="3E02464D">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投标有效期</w:t>
            </w:r>
          </w:p>
        </w:tc>
        <w:tc>
          <w:tcPr>
            <w:tcW w:w="5581" w:type="dxa"/>
            <w:noWrap w:val="0"/>
            <w:vAlign w:val="center"/>
          </w:tcPr>
          <w:p w14:paraId="1F17478E">
            <w:pPr>
              <w:keepNext w:val="0"/>
              <w:keepLines w:val="0"/>
              <w:widowControl w:val="0"/>
              <w:suppressLineNumbers w:val="0"/>
              <w:autoSpaceDE w:val="0"/>
              <w:autoSpaceDN/>
              <w:spacing w:before="0" w:beforeLines="0" w:beforeAutospacing="0" w:after="0" w:afterLines="0" w:afterAutospacing="0" w:line="44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07C7B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noWrap w:val="0"/>
            <w:vAlign w:val="center"/>
          </w:tcPr>
          <w:p w14:paraId="01A4613D">
            <w:pPr>
              <w:keepNext w:val="0"/>
              <w:keepLines w:val="0"/>
              <w:widowControl w:val="0"/>
              <w:suppressLineNumbers w:val="0"/>
              <w:autoSpaceDE w:val="0"/>
              <w:autoSpaceDN/>
              <w:spacing w:before="0" w:beforeLines="0" w:beforeAutospacing="0" w:after="0" w:afterLines="0" w:afterAutospacing="0" w:line="440" w:lineRule="exact"/>
              <w:ind w:left="0" w:right="0"/>
              <w:jc w:val="center"/>
              <w:rPr>
                <w:rFonts w:hint="default"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3</w:t>
            </w:r>
          </w:p>
        </w:tc>
        <w:tc>
          <w:tcPr>
            <w:tcW w:w="1136" w:type="dxa"/>
            <w:noWrap w:val="0"/>
            <w:vAlign w:val="center"/>
          </w:tcPr>
          <w:p w14:paraId="1E3EE63F">
            <w:pPr>
              <w:keepNext w:val="0"/>
              <w:keepLines w:val="0"/>
              <w:widowControl w:val="0"/>
              <w:suppressLineNumbers w:val="0"/>
              <w:autoSpaceDE w:val="0"/>
              <w:autoSpaceDN/>
              <w:spacing w:before="0" w:beforeLines="0" w:beforeAutospacing="0" w:after="0" w:afterLines="0" w:afterAutospacing="0" w:line="440" w:lineRule="exact"/>
              <w:ind w:left="0" w:right="0"/>
              <w:jc w:val="center"/>
              <w:rPr>
                <w:rFonts w:hint="default" w:ascii="宋体" w:hAnsi="宋体" w:eastAsia="宋体" w:cs="宋体"/>
                <w:color w:val="auto"/>
                <w:kern w:val="2"/>
                <w:sz w:val="21"/>
                <w:szCs w:val="21"/>
                <w:highlight w:val="none"/>
                <w:lang w:val="en-US" w:eastAsia="zh-CN" w:bidi="ar"/>
              </w:rPr>
            </w:pPr>
            <w:r>
              <w:rPr>
                <w:rFonts w:hint="default" w:ascii="宋体" w:hAnsi="宋体" w:eastAsia="宋体" w:cs="宋体"/>
                <w:color w:val="auto"/>
                <w:kern w:val="2"/>
                <w:sz w:val="21"/>
                <w:szCs w:val="21"/>
                <w:highlight w:val="none"/>
                <w:lang w:val="en-US" w:eastAsia="zh-CN" w:bidi="ar"/>
              </w:rPr>
              <w:t>商务</w:t>
            </w:r>
          </w:p>
          <w:p w14:paraId="5711D910">
            <w:pPr>
              <w:keepNext w:val="0"/>
              <w:keepLines w:val="0"/>
              <w:widowControl w:val="0"/>
              <w:suppressLineNumbers w:val="0"/>
              <w:autoSpaceDE w:val="0"/>
              <w:autoSpaceDN/>
              <w:spacing w:before="0" w:beforeLines="0" w:beforeAutospacing="0" w:after="0" w:afterLines="0" w:afterAutospacing="0" w:line="440" w:lineRule="exact"/>
              <w:ind w:left="0" w:right="0"/>
              <w:jc w:val="center"/>
              <w:rPr>
                <w:rFonts w:hint="default" w:ascii="宋体" w:hAnsi="宋体" w:eastAsia="宋体" w:cs="宋体"/>
                <w:color w:val="auto"/>
                <w:kern w:val="2"/>
                <w:sz w:val="21"/>
                <w:szCs w:val="21"/>
                <w:highlight w:val="none"/>
                <w:lang w:val="en-US" w:eastAsia="zh-CN" w:bidi="ar"/>
              </w:rPr>
            </w:pPr>
            <w:r>
              <w:rPr>
                <w:rFonts w:hint="default" w:ascii="宋体" w:hAnsi="宋体" w:eastAsia="宋体" w:cs="宋体"/>
                <w:color w:val="auto"/>
                <w:kern w:val="2"/>
                <w:sz w:val="21"/>
                <w:szCs w:val="21"/>
                <w:highlight w:val="none"/>
                <w:lang w:val="en-US" w:eastAsia="zh-CN" w:bidi="ar"/>
              </w:rPr>
              <w:t>评分</w:t>
            </w:r>
          </w:p>
          <w:p w14:paraId="3E63616A">
            <w:pPr>
              <w:keepNext w:val="0"/>
              <w:keepLines w:val="0"/>
              <w:widowControl w:val="0"/>
              <w:suppressLineNumbers w:val="0"/>
              <w:autoSpaceDE w:val="0"/>
              <w:autoSpaceDN/>
              <w:spacing w:before="0" w:beforeLines="0" w:beforeAutospacing="0" w:after="0" w:afterLines="0" w:afterAutospacing="0" w:line="440" w:lineRule="exact"/>
              <w:ind w:left="0" w:right="0"/>
              <w:jc w:val="center"/>
              <w:rPr>
                <w:rFonts w:hint="default" w:ascii="宋体" w:hAnsi="宋体" w:eastAsia="宋体" w:cs="宋体"/>
                <w:color w:val="auto"/>
                <w:kern w:val="2"/>
                <w:sz w:val="21"/>
                <w:szCs w:val="21"/>
                <w:highlight w:val="none"/>
                <w:lang w:val="en-US" w:eastAsia="zh-CN" w:bidi="ar"/>
              </w:rPr>
            </w:pPr>
            <w:r>
              <w:rPr>
                <w:rFonts w:hint="default" w:ascii="宋体" w:hAnsi="宋体" w:eastAsia="宋体" w:cs="宋体"/>
                <w:color w:val="auto"/>
                <w:kern w:val="2"/>
                <w:sz w:val="21"/>
                <w:szCs w:val="21"/>
                <w:highlight w:val="none"/>
                <w:lang w:val="en-US" w:eastAsia="zh-CN" w:bidi="ar"/>
              </w:rPr>
              <w:t>（</w:t>
            </w:r>
            <w:r>
              <w:rPr>
                <w:rFonts w:hint="eastAsia" w:ascii="宋体" w:hAnsi="宋体" w:cs="宋体"/>
                <w:color w:val="auto"/>
                <w:kern w:val="2"/>
                <w:sz w:val="21"/>
                <w:szCs w:val="21"/>
                <w:highlight w:val="none"/>
                <w:lang w:val="en-US" w:eastAsia="zh-CN" w:bidi="ar"/>
              </w:rPr>
              <w:t>7</w:t>
            </w:r>
            <w:r>
              <w:rPr>
                <w:rFonts w:hint="eastAsia" w:ascii="宋体" w:hAnsi="宋体" w:eastAsia="宋体" w:cs="宋体"/>
                <w:color w:val="auto"/>
                <w:kern w:val="2"/>
                <w:sz w:val="21"/>
                <w:szCs w:val="21"/>
                <w:highlight w:val="none"/>
                <w:lang w:val="en-US" w:eastAsia="zh-CN" w:bidi="ar"/>
              </w:rPr>
              <w:t>0</w:t>
            </w:r>
            <w:r>
              <w:rPr>
                <w:rFonts w:hint="default" w:ascii="宋体" w:hAnsi="宋体" w:eastAsia="宋体" w:cs="宋体"/>
                <w:color w:val="auto"/>
                <w:kern w:val="2"/>
                <w:sz w:val="21"/>
                <w:szCs w:val="21"/>
                <w:highlight w:val="none"/>
                <w:lang w:val="en-US" w:eastAsia="zh-CN" w:bidi="ar"/>
              </w:rPr>
              <w:t>分）</w:t>
            </w:r>
          </w:p>
        </w:tc>
        <w:tc>
          <w:tcPr>
            <w:tcW w:w="8131" w:type="dxa"/>
            <w:gridSpan w:val="2"/>
            <w:noWrap w:val="0"/>
            <w:vAlign w:val="center"/>
          </w:tcPr>
          <w:p w14:paraId="7F707E14">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1.招标人设置投标报价最高限价，各投标人有效报价不得高于最高限价，否则，其投标文件按无效标处理。</w:t>
            </w:r>
          </w:p>
          <w:p w14:paraId="02C1C713">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2.评标基准价=所有通过（资信、商务）评审的有效投标人的最低报价；其得分为满分；</w:t>
            </w:r>
          </w:p>
          <w:p w14:paraId="08F0FA3B">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3.其它报价得分=评标基准价/投标报价*</w:t>
            </w:r>
            <w:r>
              <w:rPr>
                <w:rFonts w:hint="eastAsia" w:ascii="宋体" w:hAnsi="宋体" w:cs="宋体"/>
                <w:color w:val="auto"/>
                <w:kern w:val="2"/>
                <w:sz w:val="21"/>
                <w:szCs w:val="21"/>
                <w:highlight w:val="none"/>
                <w:lang w:val="en-US" w:eastAsia="zh-CN" w:bidi="ar"/>
              </w:rPr>
              <w:t>7</w:t>
            </w:r>
            <w:r>
              <w:rPr>
                <w:rFonts w:hint="eastAsia" w:ascii="宋体" w:hAnsi="宋体" w:eastAsia="宋体" w:cs="宋体"/>
                <w:color w:val="auto"/>
                <w:kern w:val="2"/>
                <w:sz w:val="21"/>
                <w:szCs w:val="21"/>
                <w:highlight w:val="none"/>
                <w:lang w:val="en-US" w:eastAsia="zh-CN" w:bidi="ar"/>
              </w:rPr>
              <w:t>0分，小数点后保留两位小数，第三位四舍五入；</w:t>
            </w:r>
          </w:p>
          <w:p w14:paraId="5085FC17">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both"/>
              <w:textAlignment w:val="auto"/>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4.本项分值由评标委员会负责组织计算</w:t>
            </w:r>
            <w:r>
              <w:rPr>
                <w:rFonts w:hint="eastAsia" w:ascii="宋体" w:hAnsi="宋体" w:cs="宋体"/>
                <w:color w:val="auto"/>
                <w:kern w:val="2"/>
                <w:sz w:val="21"/>
                <w:szCs w:val="21"/>
                <w:highlight w:val="none"/>
                <w:lang w:val="en-US" w:eastAsia="zh-CN" w:bidi="ar"/>
              </w:rPr>
              <w:t>。</w:t>
            </w:r>
          </w:p>
        </w:tc>
      </w:tr>
    </w:tbl>
    <w:p w14:paraId="2D9B843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商务标评审表注：</w:t>
      </w:r>
    </w:p>
    <w:p w14:paraId="28AEF6E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1、只有通过详细评审的投标人才能参加评分。</w:t>
      </w:r>
    </w:p>
    <w:p w14:paraId="5591ADE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2、本表所称投标报价是指按招标文件规定修正后的投标总报价（多算投标报价、多报费用不扣减）。</w:t>
      </w:r>
    </w:p>
    <w:p w14:paraId="6A8580C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w:t>
      </w:r>
      <w:r>
        <w:rPr>
          <w:rFonts w:hint="eastAsia" w:ascii="宋体" w:hAnsi="宋体" w:cs="宋体"/>
          <w:b/>
          <w:bCs/>
          <w:color w:val="auto"/>
          <w:szCs w:val="21"/>
          <w:highlight w:val="none"/>
          <w:lang w:val="en-US" w:eastAsia="zh-CN"/>
        </w:rPr>
        <w:t>评标办法中的评标基准价计算出来后，除数字计算错误外，其他情况均不再调整。</w:t>
      </w:r>
    </w:p>
    <w:p w14:paraId="5C6E515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4、其他</w:t>
      </w:r>
    </w:p>
    <w:p w14:paraId="1F11C3A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4.1 缺漏项金额是指投标人漏计招标人发布的清单项目，按最高投标限价对应清单综合单价计算缺漏金额。</w:t>
      </w:r>
    </w:p>
    <w:p w14:paraId="0756625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4.2 本表所述累计投标报价缺漏错总额占原投标报价格5%以下者，视为投标人主动让利或包含在其他项目中，不修正总价，工程结算时亦不予调整。</w:t>
      </w:r>
    </w:p>
    <w:p w14:paraId="0C6ABCCB">
      <w:pPr>
        <w:pStyle w:val="4"/>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1.评标方法</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14:paraId="5CAAE8F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Cs w:val="21"/>
          <w:highlight w:val="none"/>
          <w:lang w:eastAsia="zh-CN"/>
        </w:rPr>
      </w:pPr>
      <w:bookmarkStart w:id="767" w:name="_Toc506107325"/>
      <w:bookmarkStart w:id="768" w:name="_Toc78803382"/>
      <w:bookmarkStart w:id="769" w:name="_Toc11945"/>
      <w:bookmarkStart w:id="770" w:name="_Toc15058914"/>
      <w:bookmarkStart w:id="771" w:name="_Toc324404873"/>
      <w:bookmarkStart w:id="772" w:name="_Toc35424948"/>
      <w:bookmarkStart w:id="773" w:name="_Toc35425114"/>
      <w:bookmarkStart w:id="774" w:name="_Toc246996233"/>
      <w:bookmarkStart w:id="775" w:name="_Toc296602478"/>
      <w:bookmarkStart w:id="776" w:name="_Toc152045590"/>
      <w:bookmarkStart w:id="777" w:name="_Toc246996976"/>
      <w:bookmarkStart w:id="778" w:name="_Toc247085748"/>
      <w:bookmarkStart w:id="779" w:name="_Toc179632608"/>
      <w:bookmarkStart w:id="780" w:name="_Toc144974557"/>
      <w:bookmarkStart w:id="781" w:name="_Toc152042367"/>
      <w:r>
        <w:rPr>
          <w:rFonts w:hint="eastAsia" w:ascii="宋体" w:hAnsi="宋体" w:eastAsia="宋体" w:cs="宋体"/>
          <w:color w:val="auto"/>
          <w:szCs w:val="21"/>
          <w:highlight w:val="none"/>
        </w:rPr>
        <w:t>本次评标采用</w:t>
      </w:r>
      <w:r>
        <w:rPr>
          <w:rFonts w:hint="eastAsia" w:ascii="宋体" w:hAnsi="宋体" w:cs="宋体"/>
          <w:b/>
          <w:bCs/>
          <w:color w:val="auto"/>
          <w:szCs w:val="21"/>
          <w:highlight w:val="none"/>
          <w:lang w:eastAsia="zh-CN"/>
        </w:rPr>
        <w:t>综合评估法</w:t>
      </w:r>
      <w:r>
        <w:rPr>
          <w:rFonts w:hint="eastAsia" w:ascii="宋体" w:hAnsi="宋体" w:eastAsia="宋体" w:cs="宋体"/>
          <w:color w:val="auto"/>
          <w:szCs w:val="21"/>
          <w:highlight w:val="none"/>
        </w:rPr>
        <w:t>。评标委员会对满足招标文件实质性要求的投标文件，按照本章规定的评分标准进行打分，并按总得分由高到低顺序推荐中标候选人3名，并标明排序，但投标报价低于其成本的除外。如总得分相等，以投标报价低的优先，投标报价仍相等，以信用分得分高的优先；如信用分得分也相等，由评标委员会主任委员或招标人随机抽取确定排名</w:t>
      </w:r>
      <w:r>
        <w:rPr>
          <w:rFonts w:hint="eastAsia" w:ascii="宋体" w:hAnsi="宋体" w:cs="宋体"/>
          <w:color w:val="auto"/>
          <w:szCs w:val="21"/>
          <w:highlight w:val="none"/>
          <w:lang w:eastAsia="zh-CN"/>
        </w:rPr>
        <w:t>。</w:t>
      </w:r>
    </w:p>
    <w:p w14:paraId="052B9A6D">
      <w:pPr>
        <w:pStyle w:val="4"/>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2.评标委员会的职责</w:t>
      </w:r>
      <w:bookmarkEnd w:id="767"/>
      <w:bookmarkEnd w:id="768"/>
      <w:bookmarkEnd w:id="769"/>
      <w:bookmarkEnd w:id="770"/>
      <w:bookmarkEnd w:id="771"/>
      <w:bookmarkEnd w:id="772"/>
      <w:bookmarkEnd w:id="773"/>
    </w:p>
    <w:p w14:paraId="26A8BDA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46014B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bookmarkStart w:id="782" w:name="_Toc15058915"/>
      <w:bookmarkStart w:id="783" w:name="_Toc35424949"/>
      <w:bookmarkStart w:id="784" w:name="_Toc35425115"/>
      <w:bookmarkStart w:id="785" w:name="_Toc78803384"/>
      <w:bookmarkStart w:id="786" w:name="_Toc506107326"/>
      <w:bookmarkStart w:id="787" w:name="_Toc324404874"/>
      <w:bookmarkStart w:id="788" w:name="_Toc17377"/>
      <w:r>
        <w:rPr>
          <w:rFonts w:hint="eastAsia" w:ascii="宋体" w:hAnsi="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4CEB0BA6">
      <w:pPr>
        <w:pStyle w:val="4"/>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3.评标程序</w:t>
      </w:r>
      <w:bookmarkEnd w:id="782"/>
      <w:bookmarkEnd w:id="783"/>
      <w:bookmarkEnd w:id="784"/>
      <w:bookmarkEnd w:id="785"/>
      <w:bookmarkEnd w:id="786"/>
      <w:bookmarkEnd w:id="787"/>
      <w:bookmarkEnd w:id="788"/>
    </w:p>
    <w:p w14:paraId="6D204C9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评标先做准备工作，再进行资格标评审，然后进行商务标评审。</w:t>
      </w:r>
    </w:p>
    <w:p w14:paraId="267FE0A5">
      <w:pPr>
        <w:pStyle w:val="4"/>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789" w:name="_Toc78803385"/>
      <w:bookmarkStart w:id="790" w:name="_Toc15058916"/>
      <w:bookmarkStart w:id="791" w:name="_Toc35425116"/>
      <w:bookmarkStart w:id="792" w:name="_Toc35424950"/>
      <w:bookmarkStart w:id="793" w:name="_Toc27389"/>
      <w:r>
        <w:rPr>
          <w:rFonts w:hint="eastAsia" w:ascii="宋体" w:hAnsi="宋体" w:eastAsia="宋体" w:cs="宋体"/>
          <w:color w:val="auto"/>
          <w:highlight w:val="none"/>
        </w:rPr>
        <w:t>3.1评标准备工作</w:t>
      </w:r>
      <w:bookmarkEnd w:id="789"/>
      <w:bookmarkEnd w:id="790"/>
      <w:bookmarkEnd w:id="791"/>
      <w:bookmarkEnd w:id="792"/>
      <w:bookmarkEnd w:id="793"/>
    </w:p>
    <w:p w14:paraId="311AD17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评标委员会熟悉评标工作情况：</w:t>
      </w:r>
    </w:p>
    <w:p w14:paraId="018D940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2C0CD95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0771DA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5143744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（4）核对评标工作用表。</w:t>
      </w:r>
    </w:p>
    <w:p w14:paraId="06B91EFC">
      <w:pPr>
        <w:pStyle w:val="4"/>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794" w:name="_Toc15058917"/>
      <w:bookmarkStart w:id="795" w:name="_Toc78803386"/>
      <w:bookmarkStart w:id="796" w:name="_Toc1299"/>
      <w:bookmarkStart w:id="797" w:name="_Toc24650"/>
      <w:bookmarkStart w:id="798" w:name="_Toc35424951"/>
      <w:bookmarkStart w:id="799" w:name="_Toc35425117"/>
      <w:bookmarkStart w:id="800" w:name="_Toc35425120"/>
      <w:bookmarkStart w:id="801" w:name="_Toc15058919"/>
      <w:bookmarkStart w:id="802" w:name="_Toc12200"/>
      <w:bookmarkStart w:id="803" w:name="_Toc35424954"/>
      <w:bookmarkStart w:id="804" w:name="_Toc324404875"/>
      <w:bookmarkStart w:id="805" w:name="_Toc506107327"/>
      <w:r>
        <w:rPr>
          <w:rFonts w:hint="eastAsia" w:ascii="宋体" w:hAnsi="宋体" w:eastAsia="宋体" w:cs="宋体"/>
          <w:color w:val="auto"/>
          <w:highlight w:val="none"/>
        </w:rPr>
        <w:t>3.2</w:t>
      </w:r>
      <w:bookmarkEnd w:id="794"/>
      <w:bookmarkEnd w:id="795"/>
      <w:bookmarkEnd w:id="796"/>
      <w:bookmarkEnd w:id="797"/>
      <w:bookmarkEnd w:id="798"/>
      <w:bookmarkEnd w:id="799"/>
      <w:bookmarkStart w:id="806" w:name="_Toc15058918"/>
      <w:bookmarkStart w:id="807" w:name="_Toc11990"/>
      <w:bookmarkStart w:id="808" w:name="_Toc78803387"/>
      <w:bookmarkStart w:id="809" w:name="_Toc35424952"/>
      <w:bookmarkStart w:id="810" w:name="_Toc17468"/>
      <w:bookmarkStart w:id="811" w:name="_Toc35425118"/>
      <w:r>
        <w:rPr>
          <w:rFonts w:hint="eastAsia" w:ascii="宋体" w:hAnsi="宋体" w:eastAsia="宋体" w:cs="宋体"/>
          <w:color w:val="auto"/>
          <w:highlight w:val="none"/>
        </w:rPr>
        <w:t>技术标评审</w:t>
      </w:r>
    </w:p>
    <w:p w14:paraId="0BFF585D">
      <w:pPr>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详见技术标评审表。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p>
    <w:p w14:paraId="0DC00819">
      <w:pPr>
        <w:pStyle w:val="4"/>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lang w:val="en-US" w:eastAsia="zh-CN"/>
        </w:rPr>
        <w:t>3.3</w:t>
      </w:r>
      <w:r>
        <w:rPr>
          <w:rFonts w:hint="eastAsia" w:ascii="宋体" w:hAnsi="宋体" w:eastAsia="宋体" w:cs="宋体"/>
          <w:color w:val="auto"/>
          <w:highlight w:val="none"/>
        </w:rPr>
        <w:t>商务标评审</w:t>
      </w:r>
      <w:bookmarkEnd w:id="806"/>
      <w:bookmarkEnd w:id="807"/>
      <w:bookmarkEnd w:id="808"/>
      <w:bookmarkEnd w:id="809"/>
      <w:bookmarkEnd w:id="810"/>
      <w:bookmarkEnd w:id="811"/>
    </w:p>
    <w:p w14:paraId="689EEA11">
      <w:pPr>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详见商务标评审表。</w:t>
      </w:r>
    </w:p>
    <w:p w14:paraId="25869F54">
      <w:pPr>
        <w:pageBreakBefore w:val="0"/>
        <w:widowControl w:val="0"/>
        <w:kinsoku/>
        <w:wordWrap/>
        <w:overflowPunct/>
        <w:topLinePunct w:val="0"/>
        <w:autoSpaceDE/>
        <w:autoSpaceDN/>
        <w:bidi w:val="0"/>
        <w:spacing w:line="440" w:lineRule="exact"/>
        <w:ind w:firstLine="422" w:firstLineChars="200"/>
        <w:jc w:val="left"/>
        <w:textAlignment w:val="auto"/>
        <w:rPr>
          <w:rStyle w:val="198"/>
          <w:rFonts w:hint="eastAsia" w:ascii="宋体" w:hAnsi="宋体" w:eastAsia="宋体" w:cs="宋体"/>
          <w:color w:val="auto"/>
          <w:highlight w:val="none"/>
        </w:rPr>
      </w:pPr>
      <w:bookmarkStart w:id="812" w:name="_Toc35424953"/>
      <w:bookmarkStart w:id="813" w:name="_Toc26895"/>
      <w:bookmarkStart w:id="814" w:name="_Toc18087"/>
      <w:bookmarkStart w:id="815" w:name="_Toc35425119"/>
      <w:bookmarkStart w:id="816" w:name="_Toc78803388"/>
      <w:r>
        <w:rPr>
          <w:rStyle w:val="198"/>
          <w:rFonts w:hint="eastAsia" w:ascii="宋体" w:hAnsi="宋体" w:eastAsia="宋体" w:cs="宋体"/>
          <w:color w:val="auto"/>
          <w:highlight w:val="none"/>
        </w:rPr>
        <w:t>3.</w:t>
      </w:r>
      <w:r>
        <w:rPr>
          <w:rStyle w:val="198"/>
          <w:rFonts w:hint="eastAsia" w:ascii="宋体" w:hAnsi="宋体" w:cs="宋体"/>
          <w:color w:val="auto"/>
          <w:highlight w:val="none"/>
          <w:lang w:val="en-US"/>
        </w:rPr>
        <w:t>4</w:t>
      </w:r>
      <w:r>
        <w:rPr>
          <w:rStyle w:val="198"/>
          <w:rFonts w:hint="eastAsia" w:ascii="宋体" w:hAnsi="宋体" w:eastAsia="宋体" w:cs="宋体"/>
          <w:color w:val="auto"/>
          <w:highlight w:val="none"/>
        </w:rPr>
        <w:t>推荐中标候选人</w:t>
      </w:r>
      <w:bookmarkEnd w:id="812"/>
      <w:bookmarkEnd w:id="813"/>
      <w:bookmarkEnd w:id="814"/>
      <w:bookmarkEnd w:id="815"/>
      <w:bookmarkEnd w:id="816"/>
    </w:p>
    <w:p w14:paraId="362FA860">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资信评审、商务标评审后，推荐中标候选人，并标明排序。</w:t>
      </w:r>
    </w:p>
    <w:p w14:paraId="696AA247">
      <w:pPr>
        <w:pStyle w:val="4"/>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17" w:name="_Toc78803389"/>
      <w:r>
        <w:rPr>
          <w:rFonts w:hint="eastAsia" w:ascii="宋体" w:hAnsi="宋体" w:eastAsia="宋体" w:cs="宋体"/>
          <w:color w:val="auto"/>
          <w:highlight w:val="none"/>
        </w:rPr>
        <w:t>4.评审内容</w:t>
      </w:r>
      <w:bookmarkEnd w:id="800"/>
      <w:bookmarkEnd w:id="801"/>
      <w:bookmarkEnd w:id="802"/>
      <w:bookmarkEnd w:id="803"/>
      <w:bookmarkEnd w:id="804"/>
      <w:bookmarkEnd w:id="805"/>
      <w:bookmarkEnd w:id="817"/>
    </w:p>
    <w:p w14:paraId="20F7C8CD">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bookmarkStart w:id="818" w:name="_Toc78803390"/>
      <w:bookmarkStart w:id="819" w:name="_Toc9630"/>
      <w:r>
        <w:rPr>
          <w:rFonts w:hint="eastAsia" w:ascii="宋体" w:hAnsi="宋体" w:eastAsia="宋体" w:cs="宋体"/>
          <w:color w:val="auto"/>
          <w:highlight w:val="none"/>
        </w:rPr>
        <w:t>4.1</w:t>
      </w:r>
      <w:bookmarkEnd w:id="818"/>
      <w:bookmarkEnd w:id="819"/>
      <w:bookmarkStart w:id="820" w:name="_Toc506107328"/>
      <w:bookmarkStart w:id="821" w:name="_Toc35425123"/>
      <w:bookmarkStart w:id="822" w:name="_Toc324404876"/>
      <w:bookmarkStart w:id="823" w:name="_Toc35424957"/>
      <w:bookmarkStart w:id="824" w:name="_Toc13125"/>
      <w:bookmarkStart w:id="825" w:name="_Toc15058922"/>
      <w:bookmarkStart w:id="826" w:name="_Toc78803392"/>
      <w:r>
        <w:rPr>
          <w:rFonts w:hint="eastAsia" w:ascii="宋体" w:hAnsi="宋体" w:eastAsia="宋体" w:cs="宋体"/>
          <w:color w:val="auto"/>
          <w:highlight w:val="none"/>
        </w:rPr>
        <w:t>技术标评审（如有）</w:t>
      </w:r>
    </w:p>
    <w:p w14:paraId="0E6A9961">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4.1.1形式性评审标准：见技术标评审表。</w:t>
      </w:r>
    </w:p>
    <w:p w14:paraId="6F8F29CB">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4.1.2响应性评审标准：见技术标评审表。</w:t>
      </w:r>
    </w:p>
    <w:p w14:paraId="4FE304E5">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评标委员会依据上述标准对投标文件进行初步评审。有一项不符合评审标准的，作无效投标处理。</w:t>
      </w:r>
    </w:p>
    <w:p w14:paraId="10F907FD">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4.1.3详细评审</w:t>
      </w:r>
    </w:p>
    <w:p w14:paraId="03067073">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详细评审标准：见技术评审表。</w:t>
      </w:r>
    </w:p>
    <w:p w14:paraId="210D627A">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对投标人的技术标进行符合性评审，评审结论采用合格制。对否定的技术标，评标委员会要提出充足的否定理由，并填写在技术标评标记录上。</w:t>
      </w:r>
    </w:p>
    <w:p w14:paraId="02E73996">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color w:val="auto"/>
          <w:highlight w:val="none"/>
        </w:rPr>
        <w:t>4.2</w:t>
      </w:r>
      <w:r>
        <w:rPr>
          <w:rFonts w:hint="eastAsia" w:ascii="宋体" w:hAnsi="宋体" w:eastAsia="宋体" w:cs="宋体"/>
          <w:b/>
          <w:bCs/>
          <w:color w:val="auto"/>
          <w:kern w:val="2"/>
          <w:sz w:val="21"/>
          <w:szCs w:val="21"/>
          <w:highlight w:val="none"/>
          <w:lang w:val="en-US" w:eastAsia="zh-CN" w:bidi="ar"/>
        </w:rPr>
        <w:t>商务标评审</w:t>
      </w:r>
    </w:p>
    <w:p w14:paraId="2069F3A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只有通过技术标评审的投标才能够进入本阶段评审。</w:t>
      </w:r>
    </w:p>
    <w:p w14:paraId="5FFB502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4.2.1形式性评审标准：见商务标评审表。</w:t>
      </w:r>
    </w:p>
    <w:p w14:paraId="7D35BDA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4.2.2响应性评审标准：见商务标评审表。</w:t>
      </w:r>
    </w:p>
    <w:p w14:paraId="0F1BE6BE">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评标委员会依据上述标准对投标文件进行初步评审。有一项不符合评审标准的，作无效投标处理。</w:t>
      </w:r>
    </w:p>
    <w:p w14:paraId="06F7F84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4.2.3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14:paraId="367B362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（1）投标文件中的大写金额与小写金额不一致的，以大写金额为准。</w:t>
      </w:r>
    </w:p>
    <w:p w14:paraId="73160A39">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（2）总价金额与依据单价计算出的结果不一致的，以单价金额为准修正总价，但单价金额小数点有明显错误的除外。</w:t>
      </w:r>
    </w:p>
    <w:p w14:paraId="5F6D360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（3）工程量清单报价表中综合单价与工程量清单项目价格分析表相对应综合单价不一致时，以工程量清单项目价格分析表中标出的综合单价为准。</w:t>
      </w:r>
    </w:p>
    <w:p w14:paraId="7548F3C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bidi="ar"/>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r>
        <w:rPr>
          <w:rFonts w:hint="eastAsia" w:ascii="宋体" w:hAnsi="宋体" w:eastAsia="宋体" w:cs="宋体"/>
          <w:color w:val="auto"/>
          <w:highlight w:val="none"/>
        </w:rPr>
        <w:t>。</w:t>
      </w:r>
    </w:p>
    <w:p w14:paraId="51551E98">
      <w:pPr>
        <w:pStyle w:val="4"/>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5.无效投标条款</w:t>
      </w:r>
      <w:bookmarkEnd w:id="820"/>
      <w:bookmarkEnd w:id="821"/>
      <w:bookmarkEnd w:id="822"/>
      <w:bookmarkEnd w:id="823"/>
      <w:bookmarkEnd w:id="824"/>
      <w:bookmarkEnd w:id="825"/>
      <w:bookmarkEnd w:id="826"/>
    </w:p>
    <w:p w14:paraId="0591E6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5.1投标人存在下列情形的的招标人将拒收投标文件：</w:t>
      </w:r>
    </w:p>
    <w:p w14:paraId="18CF85E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（1）未在投标截止时间前通过网上招标投标系统递交有效电子投标文件的，开标系统不予接收，投标将被拒绝。</w:t>
      </w:r>
    </w:p>
    <w:p w14:paraId="2907B0D0">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所有投标人应在规定时间里完成投标文件的解密工作【投标企业接到远程解密指令后，须在规定时间内解密（以网上招投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5D9406E7">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投标人有下列情形的，经评审后其投标作无效投标处理：</w:t>
      </w:r>
    </w:p>
    <w:p w14:paraId="2E5FB7A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.1技术标评审（如有）</w:t>
      </w:r>
    </w:p>
    <w:p w14:paraId="3292BE8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(1)评标委员会依据《技术标评审表》进行形式性评审和响应性评审。有一项不符合评审标准的，做无效投标处理；</w:t>
      </w:r>
    </w:p>
    <w:p w14:paraId="01C6F8E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(2)评标委员会依据《技术标评审表》进行详细评审。对投标人的技术标进行符合性评审，评审结论采用合格制。对否定的技术标，评标委员会要提出充足的否定理由，并填写在技术标评标记录上。</w:t>
      </w:r>
    </w:p>
    <w:p w14:paraId="7BE7357E">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5.2.2商务标评审</w:t>
      </w:r>
    </w:p>
    <w:p w14:paraId="274DA15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(1)评标委员会依据《商务标评审表》进行形式性评审和响应性评审。有一项不符合评审标准的，做无效投标处理；</w:t>
      </w:r>
    </w:p>
    <w:p w14:paraId="15AFBF2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（2）商务标详细评审标准中有任何一项不能通过评审的，作无效投标处理</w:t>
      </w:r>
      <w:r>
        <w:rPr>
          <w:rFonts w:hint="eastAsia" w:ascii="宋体" w:hAnsi="宋体" w:cs="宋体"/>
          <w:color w:val="auto"/>
          <w:szCs w:val="21"/>
          <w:highlight w:val="none"/>
          <w:lang w:eastAsia="zh-CN"/>
        </w:rPr>
        <w:t>。</w:t>
      </w:r>
    </w:p>
    <w:p w14:paraId="47CFA92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其他无效投标情况：</w:t>
      </w:r>
    </w:p>
    <w:p w14:paraId="2C11B3E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39757C0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（2）按第三章《评标方法》4.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.4条款修正错误的原则及方法调整或修正投标文件的投标报价，调整或修正的价格经投标人书面确认后具有约束力。投标人不接修正价格的，其投标将被拒绝。</w:t>
      </w:r>
    </w:p>
    <w:p w14:paraId="3C36C6C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）投标人有串通投标、视为串通投标、弄虚作假、行贿等违法行为。</w:t>
      </w:r>
    </w:p>
    <w:p w14:paraId="7954A0F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）投标文件没有对招标文件的实质性要求和条件作出响应。</w:t>
      </w:r>
    </w:p>
    <w:p w14:paraId="1706800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）未按规定的格式填写导致实质性内容不全以及实质上不响应，或者关键字迹模糊、无法辨认的。</w:t>
      </w:r>
    </w:p>
    <w:p w14:paraId="28C036D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）同一投标人提交两个以上不同的投标文件或者投标报价，但招标文件规定提交备选投标的除外。</w:t>
      </w:r>
    </w:p>
    <w:p w14:paraId="185F8D6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）投标文件中存在招标人不能接受的其他实质性条件。</w:t>
      </w:r>
    </w:p>
    <w:p w14:paraId="5A81403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）投标文件中填报的拟任项目经理（建造师）与资格审查通过的项目经理（建造师）前后不一致的。</w:t>
      </w:r>
    </w:p>
    <w:p w14:paraId="73F01E5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14:paraId="2589E5A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）投标人单方面出现其他投标人材料。</w:t>
      </w:r>
    </w:p>
    <w:p w14:paraId="50B4F429">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）投标人投标MAC地址一致。</w:t>
      </w:r>
    </w:p>
    <w:p w14:paraId="58F77BC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12）评标时查询投标文件制作机器码、文件创建标识码及造价软件加密锁号。若存在投标文件制作机器码或创建标识码或造价软件加密锁号信息与其他投标人雷同的，投标无效</w:t>
      </w:r>
      <w:r>
        <w:rPr>
          <w:rFonts w:hint="eastAsia" w:ascii="宋体" w:hAnsi="宋体" w:cs="宋体"/>
          <w:color w:val="auto"/>
          <w:szCs w:val="21"/>
          <w:highlight w:val="none"/>
          <w:lang w:val="en-US" w:eastAsia="zh-CN"/>
        </w:rPr>
        <w:t>。</w:t>
      </w:r>
    </w:p>
    <w:p w14:paraId="32BA797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（13）</w:t>
      </w:r>
      <w:r>
        <w:rPr>
          <w:rFonts w:hint="eastAsia" w:ascii="宋体" w:hAnsi="宋体" w:eastAsia="宋体" w:cs="宋体"/>
          <w:color w:val="auto"/>
          <w:szCs w:val="21"/>
          <w:highlight w:val="none"/>
        </w:rPr>
        <w:t>法律、法规规定的其他情形。</w:t>
      </w:r>
    </w:p>
    <w:p w14:paraId="0353053F">
      <w:pPr>
        <w:pStyle w:val="4"/>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27" w:name="_Toc324404877"/>
      <w:bookmarkStart w:id="828" w:name="_Toc27846"/>
      <w:bookmarkStart w:id="829" w:name="_Toc35425124"/>
      <w:bookmarkStart w:id="830" w:name="_Toc78803393"/>
      <w:bookmarkStart w:id="831" w:name="_Toc35424958"/>
      <w:bookmarkStart w:id="832" w:name="_Toc15058923"/>
      <w:bookmarkStart w:id="833" w:name="_Toc506107329"/>
      <w:r>
        <w:rPr>
          <w:rFonts w:hint="eastAsia" w:ascii="宋体" w:hAnsi="宋体" w:eastAsia="宋体" w:cs="宋体"/>
          <w:color w:val="auto"/>
          <w:highlight w:val="none"/>
        </w:rPr>
        <w:t>6.投标文件的澄清和补正</w:t>
      </w:r>
      <w:bookmarkEnd w:id="827"/>
      <w:bookmarkEnd w:id="828"/>
      <w:bookmarkEnd w:id="829"/>
      <w:bookmarkEnd w:id="830"/>
      <w:bookmarkEnd w:id="831"/>
      <w:bookmarkEnd w:id="832"/>
      <w:bookmarkEnd w:id="833"/>
    </w:p>
    <w:p w14:paraId="6B60B03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14:paraId="5566E82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4653CAE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6940A8EE">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66DDEAF3">
      <w:pPr>
        <w:pStyle w:val="4"/>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34" w:name="_Toc15058924"/>
      <w:bookmarkStart w:id="835" w:name="_Toc78803394"/>
      <w:bookmarkStart w:id="836" w:name="_Toc35424959"/>
      <w:bookmarkStart w:id="837" w:name="_Toc324404878"/>
      <w:bookmarkStart w:id="838" w:name="_Toc506107330"/>
      <w:bookmarkStart w:id="839" w:name="_Toc35425125"/>
      <w:bookmarkStart w:id="840" w:name="_Toc13990"/>
      <w:r>
        <w:rPr>
          <w:rFonts w:hint="eastAsia" w:ascii="宋体" w:hAnsi="宋体" w:eastAsia="宋体" w:cs="宋体"/>
          <w:color w:val="auto"/>
          <w:highlight w:val="none"/>
        </w:rPr>
        <w:t>7.评分标准</w:t>
      </w:r>
      <w:bookmarkEnd w:id="834"/>
      <w:bookmarkEnd w:id="835"/>
      <w:bookmarkEnd w:id="836"/>
      <w:bookmarkEnd w:id="837"/>
      <w:bookmarkEnd w:id="838"/>
      <w:bookmarkEnd w:id="839"/>
      <w:bookmarkEnd w:id="840"/>
    </w:p>
    <w:p w14:paraId="573CB804">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评分标准：见</w:t>
      </w:r>
      <w:r>
        <w:rPr>
          <w:rFonts w:hint="eastAsia" w:ascii="宋体" w:hAnsi="宋体" w:cs="宋体"/>
          <w:color w:val="auto"/>
          <w:szCs w:val="21"/>
          <w:highlight w:val="none"/>
          <w:lang w:val="en-US" w:eastAsia="zh-CN"/>
        </w:rPr>
        <w:t>资信、技术及</w:t>
      </w:r>
      <w:r>
        <w:rPr>
          <w:rFonts w:hint="eastAsia" w:ascii="宋体" w:hAnsi="宋体" w:cs="宋体"/>
          <w:color w:val="auto"/>
          <w:szCs w:val="21"/>
          <w:highlight w:val="none"/>
        </w:rPr>
        <w:t>商务标评审表。</w:t>
      </w:r>
    </w:p>
    <w:p w14:paraId="045E90A1">
      <w:pPr>
        <w:pStyle w:val="4"/>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41" w:name="_Toc78803395"/>
      <w:bookmarkStart w:id="842" w:name="_Toc324404879"/>
      <w:bookmarkStart w:id="843" w:name="_Toc15058925"/>
      <w:bookmarkStart w:id="844" w:name="_Toc35425126"/>
      <w:bookmarkStart w:id="845" w:name="_Toc35424960"/>
      <w:bookmarkStart w:id="846" w:name="_Toc506107331"/>
      <w:bookmarkStart w:id="847" w:name="_Toc22863"/>
      <w:r>
        <w:rPr>
          <w:rFonts w:hint="eastAsia" w:ascii="宋体" w:hAnsi="宋体" w:eastAsia="宋体" w:cs="宋体"/>
          <w:color w:val="auto"/>
          <w:highlight w:val="none"/>
        </w:rPr>
        <w:t>8.评审结果</w:t>
      </w:r>
      <w:bookmarkEnd w:id="841"/>
      <w:bookmarkEnd w:id="842"/>
      <w:bookmarkEnd w:id="843"/>
      <w:bookmarkEnd w:id="844"/>
      <w:bookmarkEnd w:id="845"/>
      <w:bookmarkEnd w:id="846"/>
      <w:bookmarkEnd w:id="847"/>
    </w:p>
    <w:p w14:paraId="11A6268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8.1除投标人须知前附表授权直接确定中标人外，评标委员会按照</w:t>
      </w:r>
      <w:r>
        <w:rPr>
          <w:rFonts w:hint="eastAsia" w:ascii="宋体" w:hAnsi="宋体" w:cs="宋体"/>
          <w:color w:val="auto"/>
          <w:szCs w:val="21"/>
          <w:highlight w:val="none"/>
          <w:lang w:val="en-US" w:eastAsia="zh-CN"/>
        </w:rPr>
        <w:t>评标办法规定</w:t>
      </w:r>
      <w:r>
        <w:rPr>
          <w:rFonts w:hint="eastAsia" w:ascii="宋体" w:hAnsi="宋体" w:cs="宋体"/>
          <w:color w:val="auto"/>
          <w:szCs w:val="21"/>
          <w:highlight w:val="none"/>
        </w:rPr>
        <w:t>推荐中标候选人。</w:t>
      </w:r>
    </w:p>
    <w:p w14:paraId="0E2651C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14:paraId="238F52C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65B3C4C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194474D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791671E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20299AF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（5）否决投标情况说明。</w:t>
      </w:r>
    </w:p>
    <w:p w14:paraId="4CAD039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w:t>
      </w:r>
    </w:p>
    <w:p w14:paraId="5A1B033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（7）评标情况一览表。</w:t>
      </w:r>
    </w:p>
    <w:p w14:paraId="2A48E27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（8）经评审的投标人排序。</w:t>
      </w:r>
    </w:p>
    <w:p w14:paraId="5F5136D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（9）推荐的中标候选人名单与签订合同前要处理的事宜。</w:t>
      </w:r>
    </w:p>
    <w:p w14:paraId="60CB7F2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（10）澄清、说明、补正事项纪要。</w:t>
      </w:r>
    </w:p>
    <w:p w14:paraId="35FE1E15">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4EFCF4B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3D7F3DB2">
      <w:pPr>
        <w:pStyle w:val="4"/>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48" w:name="_Toc324404880"/>
      <w:bookmarkStart w:id="849" w:name="_Toc35424961"/>
      <w:bookmarkStart w:id="850" w:name="_Toc1576"/>
      <w:bookmarkStart w:id="851" w:name="_Toc15058926"/>
      <w:bookmarkStart w:id="852" w:name="_Toc506107332"/>
      <w:bookmarkStart w:id="853" w:name="_Toc35425127"/>
      <w:bookmarkStart w:id="854" w:name="_Toc78803396"/>
      <w:r>
        <w:rPr>
          <w:rFonts w:hint="eastAsia" w:ascii="宋体" w:hAnsi="宋体" w:eastAsia="宋体" w:cs="宋体"/>
          <w:color w:val="auto"/>
          <w:highlight w:val="none"/>
        </w:rPr>
        <w:t>9.其他</w:t>
      </w:r>
      <w:bookmarkEnd w:id="848"/>
      <w:bookmarkEnd w:id="849"/>
      <w:bookmarkEnd w:id="850"/>
      <w:bookmarkEnd w:id="851"/>
      <w:bookmarkEnd w:id="852"/>
      <w:bookmarkEnd w:id="853"/>
      <w:bookmarkEnd w:id="854"/>
    </w:p>
    <w:bookmarkEnd w:id="774"/>
    <w:bookmarkEnd w:id="775"/>
    <w:bookmarkEnd w:id="776"/>
    <w:bookmarkEnd w:id="777"/>
    <w:bookmarkEnd w:id="778"/>
    <w:bookmarkEnd w:id="779"/>
    <w:bookmarkEnd w:id="780"/>
    <w:bookmarkEnd w:id="781"/>
    <w:p w14:paraId="21330EDB">
      <w:pPr>
        <w:pageBreakBefore w:val="0"/>
        <w:widowControl w:val="0"/>
        <w:kinsoku/>
        <w:wordWrap/>
        <w:overflowPunct/>
        <w:topLinePunct w:val="0"/>
        <w:autoSpaceDE/>
        <w:autoSpaceDN/>
        <w:bidi w:val="0"/>
        <w:spacing w:line="440" w:lineRule="exact"/>
        <w:ind w:firstLine="420" w:firstLineChars="200"/>
        <w:jc w:val="left"/>
        <w:textAlignment w:val="auto"/>
        <w:rPr>
          <w:color w:val="auto"/>
          <w:highlight w:val="none"/>
        </w:rPr>
      </w:pPr>
      <w:bookmarkStart w:id="855" w:name="_Toc35424962"/>
      <w:bookmarkStart w:id="856" w:name="_Toc506107333"/>
      <w:bookmarkStart w:id="857" w:name="_Toc15058927"/>
      <w:bookmarkStart w:id="858" w:name="_Toc35425128"/>
      <w:bookmarkStart w:id="859" w:name="_Toc144974826"/>
      <w:bookmarkStart w:id="860" w:name="_Toc152045767"/>
      <w:bookmarkStart w:id="861" w:name="_Toc179632785"/>
      <w:bookmarkStart w:id="862" w:name="_Toc152042546"/>
      <w:r>
        <w:rPr>
          <w:rFonts w:hint="eastAsia" w:ascii="宋体" w:hAnsi="宋体" w:eastAsia="宋体" w:cs="宋体"/>
          <w:color w:val="auto"/>
          <w:szCs w:val="21"/>
          <w:highlight w:val="none"/>
        </w:rPr>
        <w:t>投标人提供的与投标文件有关的各类证书、证明、文件、资料等的真实性、合法性由投标人负全责。</w:t>
      </w:r>
    </w:p>
    <w:p w14:paraId="184EE62F">
      <w:pPr>
        <w:rPr>
          <w:rFonts w:hint="eastAsia"/>
          <w:color w:val="auto"/>
          <w:highlight w:val="none"/>
        </w:rPr>
      </w:pPr>
      <w:r>
        <w:rPr>
          <w:rFonts w:hint="eastAsia"/>
          <w:color w:val="auto"/>
          <w:highlight w:val="none"/>
        </w:rPr>
        <w:br w:type="page"/>
      </w:r>
      <w:bookmarkStart w:id="863" w:name="_Toc78803397"/>
    </w:p>
    <w:bookmarkEnd w:id="855"/>
    <w:bookmarkEnd w:id="856"/>
    <w:bookmarkEnd w:id="857"/>
    <w:bookmarkEnd w:id="858"/>
    <w:bookmarkEnd w:id="863"/>
    <w:p w14:paraId="51F85308">
      <w:pPr>
        <w:pStyle w:val="3"/>
        <w:rPr>
          <w:rFonts w:hint="eastAsia" w:ascii="Arial" w:hAnsi="Arial"/>
          <w:color w:val="auto"/>
          <w:kern w:val="0"/>
          <w:sz w:val="32"/>
          <w:szCs w:val="32"/>
          <w:highlight w:val="none"/>
        </w:rPr>
      </w:pPr>
      <w:bookmarkStart w:id="864" w:name="_Toc16721"/>
    </w:p>
    <w:p w14:paraId="47DAF6BF">
      <w:pPr>
        <w:pStyle w:val="3"/>
        <w:rPr>
          <w:color w:val="auto"/>
          <w:highlight w:val="none"/>
        </w:rPr>
      </w:pPr>
      <w:bookmarkStart w:id="865" w:name="_Toc8750"/>
      <w:bookmarkStart w:id="866" w:name="_Toc7231"/>
      <w:bookmarkStart w:id="867" w:name="_Toc27074"/>
      <w:r>
        <w:rPr>
          <w:rFonts w:hint="eastAsia" w:ascii="Arial" w:hAnsi="Arial"/>
          <w:color w:val="auto"/>
          <w:kern w:val="0"/>
          <w:sz w:val="32"/>
          <w:szCs w:val="32"/>
          <w:highlight w:val="none"/>
        </w:rPr>
        <w:t>第</w:t>
      </w:r>
      <w:r>
        <w:rPr>
          <w:rFonts w:hint="eastAsia" w:ascii="Arial" w:hAnsi="Arial"/>
          <w:color w:val="auto"/>
          <w:kern w:val="0"/>
          <w:sz w:val="32"/>
          <w:szCs w:val="32"/>
          <w:highlight w:val="none"/>
          <w:lang w:val="en-US" w:eastAsia="zh-CN"/>
        </w:rPr>
        <w:t>四</w:t>
      </w:r>
      <w:r>
        <w:rPr>
          <w:rFonts w:hint="eastAsia" w:ascii="Arial" w:hAnsi="Arial"/>
          <w:color w:val="auto"/>
          <w:kern w:val="0"/>
          <w:sz w:val="32"/>
          <w:szCs w:val="32"/>
          <w:highlight w:val="none"/>
        </w:rPr>
        <w:t>章  合同条款及格式</w:t>
      </w:r>
      <w:bookmarkEnd w:id="864"/>
      <w:bookmarkEnd w:id="865"/>
      <w:bookmarkEnd w:id="866"/>
      <w:bookmarkEnd w:id="867"/>
    </w:p>
    <w:p w14:paraId="7AF0934E">
      <w:pPr>
        <w:snapToGrid w:val="0"/>
        <w:spacing w:line="600" w:lineRule="auto"/>
        <w:jc w:val="center"/>
        <w:rPr>
          <w:rFonts w:hint="eastAsia" w:ascii="宋体" w:hAnsi="宋体" w:cs="宋体"/>
          <w:bCs/>
          <w:color w:val="auto"/>
          <w:szCs w:val="21"/>
          <w:highlight w:val="none"/>
        </w:rPr>
      </w:pPr>
    </w:p>
    <w:p w14:paraId="7C0D3274">
      <w:pPr>
        <w:snapToGrid w:val="0"/>
        <w:spacing w:line="600" w:lineRule="auto"/>
        <w:jc w:val="center"/>
        <w:rPr>
          <w:rFonts w:hint="eastAsia"/>
          <w:color w:val="auto"/>
          <w:highlight w:val="none"/>
          <w:lang w:val="en-US" w:eastAsia="zh-CN"/>
        </w:rPr>
      </w:pPr>
      <w:r>
        <w:rPr>
          <w:rFonts w:hint="eastAsia" w:ascii="宋体" w:hAnsi="宋体" w:cs="宋体"/>
          <w:bCs/>
          <w:color w:val="auto"/>
          <w:szCs w:val="21"/>
          <w:highlight w:val="none"/>
        </w:rPr>
        <w:t>（签订合同时，仅以此文本为基准，补充条款双方协定）</w:t>
      </w:r>
    </w:p>
    <w:p w14:paraId="1189182F">
      <w:pPr>
        <w:spacing w:line="360" w:lineRule="auto"/>
        <w:jc w:val="center"/>
        <w:rPr>
          <w:rFonts w:ascii="仿宋_GB2312" w:eastAsia="仿宋_GB2312"/>
          <w:b/>
          <w:color w:val="auto"/>
          <w:sz w:val="28"/>
          <w:szCs w:val="28"/>
          <w:highlight w:val="none"/>
        </w:rPr>
      </w:pPr>
    </w:p>
    <w:bookmarkEnd w:id="859"/>
    <w:bookmarkEnd w:id="860"/>
    <w:bookmarkEnd w:id="861"/>
    <w:bookmarkEnd w:id="862"/>
    <w:p w14:paraId="4586D369">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宋体"/>
          <w:b/>
          <w:bCs w:val="0"/>
          <w:color w:val="auto"/>
          <w:kern w:val="2"/>
          <w:sz w:val="44"/>
          <w:szCs w:val="44"/>
          <w:highlight w:val="none"/>
        </w:rPr>
      </w:pPr>
      <w:bookmarkStart w:id="868" w:name="_Toc324404888"/>
      <w:bookmarkStart w:id="869" w:name="_Toc15058934"/>
      <w:bookmarkStart w:id="870" w:name="_Toc78803398"/>
      <w:bookmarkStart w:id="871" w:name="_Toc35425136"/>
      <w:bookmarkStart w:id="872" w:name="_Toc179632806"/>
      <w:bookmarkStart w:id="873" w:name="_Toc144974855"/>
      <w:bookmarkStart w:id="874" w:name="_Toc35424970"/>
      <w:bookmarkStart w:id="875" w:name="_Toc506107340"/>
      <w:bookmarkStart w:id="876" w:name="_Toc152045786"/>
      <w:bookmarkStart w:id="877" w:name="_Toc152042575"/>
      <w:bookmarkStart w:id="878" w:name="_Toc247085872"/>
      <w:bookmarkStart w:id="879" w:name="_Toc246996354"/>
      <w:bookmarkStart w:id="880" w:name="_Toc246997097"/>
    </w:p>
    <w:p w14:paraId="4B6B2A8D">
      <w:pPr>
        <w:jc w:val="center"/>
        <w:rPr>
          <w:rFonts w:ascii="宋体" w:hAnsi="宋体" w:cs="宋体"/>
          <w:b/>
          <w:color w:val="auto"/>
          <w:sz w:val="72"/>
          <w:szCs w:val="52"/>
          <w:highlight w:val="none"/>
        </w:rPr>
      </w:pPr>
      <w:r>
        <w:rPr>
          <w:rFonts w:hint="eastAsia" w:ascii="宋体" w:hAnsi="宋体" w:cs="宋体"/>
          <w:b/>
          <w:color w:val="auto"/>
          <w:sz w:val="72"/>
          <w:szCs w:val="52"/>
          <w:highlight w:val="none"/>
        </w:rPr>
        <w:t>建设工程施工合同</w:t>
      </w:r>
    </w:p>
    <w:p w14:paraId="6F786650">
      <w:pPr>
        <w:spacing w:line="500" w:lineRule="exact"/>
        <w:jc w:val="center"/>
        <w:rPr>
          <w:rFonts w:ascii="宋体" w:hAnsi="宋体" w:cs="宋体"/>
          <w:bCs/>
          <w:color w:val="auto"/>
          <w:sz w:val="32"/>
          <w:szCs w:val="32"/>
          <w:highlight w:val="none"/>
        </w:rPr>
      </w:pPr>
    </w:p>
    <w:p w14:paraId="29EB7C03">
      <w:pPr>
        <w:spacing w:line="500" w:lineRule="exact"/>
        <w:jc w:val="center"/>
        <w:rPr>
          <w:rFonts w:ascii="宋体" w:hAnsi="宋体" w:cs="宋体"/>
          <w:bCs/>
          <w:color w:val="auto"/>
          <w:sz w:val="32"/>
          <w:szCs w:val="32"/>
          <w:highlight w:val="none"/>
          <w:u w:val="single"/>
        </w:rPr>
      </w:pPr>
      <w:r>
        <w:rPr>
          <w:rFonts w:hint="eastAsia" w:ascii="宋体" w:hAnsi="宋体" w:cs="宋体"/>
          <w:bCs/>
          <w:color w:val="auto"/>
          <w:sz w:val="32"/>
          <w:szCs w:val="32"/>
          <w:highlight w:val="none"/>
        </w:rPr>
        <w:t>合同编号：</w:t>
      </w:r>
    </w:p>
    <w:p w14:paraId="0EF0DF70">
      <w:pPr>
        <w:spacing w:line="500" w:lineRule="exact"/>
        <w:rPr>
          <w:rFonts w:ascii="宋体" w:hAnsi="宋体" w:cs="宋体"/>
          <w:b/>
          <w:color w:val="auto"/>
          <w:sz w:val="52"/>
          <w:szCs w:val="52"/>
          <w:highlight w:val="none"/>
        </w:rPr>
      </w:pPr>
      <w:r>
        <w:rPr>
          <w:rFonts w:hint="eastAsia" w:ascii="宋体" w:hAnsi="宋体" w:cs="宋体"/>
          <w:b/>
          <w:color w:val="auto"/>
          <w:sz w:val="52"/>
          <w:szCs w:val="52"/>
          <w:highlight w:val="none"/>
        </w:rPr>
        <w:br w:type="textWrapping"/>
      </w:r>
    </w:p>
    <w:p w14:paraId="5E47865D">
      <w:pPr>
        <w:spacing w:line="500" w:lineRule="exact"/>
        <w:jc w:val="center"/>
        <w:rPr>
          <w:rFonts w:ascii="宋体" w:hAnsi="宋体" w:cs="宋体"/>
          <w:b/>
          <w:color w:val="auto"/>
          <w:sz w:val="52"/>
          <w:szCs w:val="52"/>
          <w:highlight w:val="none"/>
        </w:rPr>
      </w:pPr>
    </w:p>
    <w:p w14:paraId="04C3D644">
      <w:pPr>
        <w:spacing w:line="500" w:lineRule="exact"/>
        <w:jc w:val="center"/>
        <w:rPr>
          <w:rFonts w:ascii="宋体" w:hAnsi="宋体" w:cs="宋体"/>
          <w:b/>
          <w:color w:val="auto"/>
          <w:sz w:val="72"/>
          <w:szCs w:val="72"/>
          <w:highlight w:val="none"/>
        </w:rPr>
      </w:pPr>
    </w:p>
    <w:p w14:paraId="2A55A8F5">
      <w:pPr>
        <w:spacing w:line="500" w:lineRule="exact"/>
        <w:jc w:val="center"/>
        <w:rPr>
          <w:rFonts w:ascii="宋体" w:hAnsi="宋体" w:cs="宋体"/>
          <w:b/>
          <w:color w:val="auto"/>
          <w:sz w:val="72"/>
          <w:szCs w:val="72"/>
          <w:highlight w:val="none"/>
        </w:rPr>
      </w:pPr>
    </w:p>
    <w:p w14:paraId="21C9D86F">
      <w:pPr>
        <w:pStyle w:val="14"/>
        <w:ind w:firstLine="1446"/>
        <w:rPr>
          <w:rFonts w:hAnsi="宋体" w:cs="宋体"/>
          <w:b/>
          <w:color w:val="auto"/>
          <w:sz w:val="72"/>
          <w:szCs w:val="72"/>
          <w:highlight w:val="none"/>
        </w:rPr>
      </w:pPr>
    </w:p>
    <w:p w14:paraId="6C0FDCE5">
      <w:pPr>
        <w:rPr>
          <w:rFonts w:ascii="宋体" w:hAnsi="宋体" w:cs="宋体"/>
          <w:b/>
          <w:color w:val="auto"/>
          <w:sz w:val="72"/>
          <w:szCs w:val="72"/>
          <w:highlight w:val="none"/>
        </w:rPr>
      </w:pPr>
    </w:p>
    <w:p w14:paraId="674AC3DF">
      <w:pPr>
        <w:pStyle w:val="14"/>
        <w:ind w:firstLine="420"/>
        <w:rPr>
          <w:color w:val="auto"/>
          <w:highlight w:val="none"/>
        </w:rPr>
      </w:pPr>
    </w:p>
    <w:p w14:paraId="3D7197ED">
      <w:pPr>
        <w:spacing w:line="500" w:lineRule="exact"/>
        <w:jc w:val="center"/>
        <w:rPr>
          <w:rFonts w:ascii="宋体" w:hAnsi="宋体" w:cs="宋体"/>
          <w:b/>
          <w:color w:val="auto"/>
          <w:sz w:val="52"/>
          <w:szCs w:val="52"/>
          <w:highlight w:val="none"/>
        </w:rPr>
      </w:pPr>
    </w:p>
    <w:p w14:paraId="3DD1890E">
      <w:pPr>
        <w:spacing w:line="500" w:lineRule="exact"/>
        <w:rPr>
          <w:rFonts w:ascii="宋体" w:hAnsi="宋体" w:cs="宋体"/>
          <w:b/>
          <w:color w:val="auto"/>
          <w:sz w:val="28"/>
          <w:szCs w:val="28"/>
          <w:highlight w:val="none"/>
        </w:rPr>
      </w:pPr>
    </w:p>
    <w:p w14:paraId="26E9DF8E">
      <w:pPr>
        <w:spacing w:line="500" w:lineRule="exact"/>
        <w:rPr>
          <w:b/>
          <w:color w:val="auto"/>
          <w:sz w:val="28"/>
          <w:szCs w:val="28"/>
          <w:highlight w:val="none"/>
        </w:rPr>
      </w:pPr>
    </w:p>
    <w:p w14:paraId="0EE615B3">
      <w:pPr>
        <w:spacing w:line="500" w:lineRule="exact"/>
        <w:rPr>
          <w:b/>
          <w:color w:val="auto"/>
          <w:sz w:val="28"/>
          <w:szCs w:val="28"/>
          <w:highlight w:val="none"/>
        </w:rPr>
      </w:pPr>
    </w:p>
    <w:p w14:paraId="572F56D8">
      <w:pPr>
        <w:spacing w:line="500" w:lineRule="exact"/>
        <w:jc w:val="center"/>
        <w:rPr>
          <w:b/>
          <w:color w:val="auto"/>
          <w:sz w:val="32"/>
          <w:szCs w:val="28"/>
          <w:highlight w:val="none"/>
        </w:rPr>
      </w:pPr>
      <w:r>
        <w:rPr>
          <w:color w:val="auto"/>
          <w:szCs w:val="22"/>
          <w:highlight w:val="none"/>
        </w:rPr>
        <mc:AlternateContent>
          <mc:Choice Requires="wps">
            <w:drawing>
              <wp:anchor distT="0" distB="0" distL="114300" distR="114300" simplePos="0" relativeHeight="251660288" behindDoc="0" locked="0" layoutInCell="1" allowOverlap="1">
                <wp:simplePos x="0" y="0"/>
                <wp:positionH relativeFrom="column">
                  <wp:posOffset>4076700</wp:posOffset>
                </wp:positionH>
                <wp:positionV relativeFrom="paragraph">
                  <wp:posOffset>165100</wp:posOffset>
                </wp:positionV>
                <wp:extent cx="723900" cy="457200"/>
                <wp:effectExtent l="4445" t="4445" r="14605" b="14605"/>
                <wp:wrapNone/>
                <wp:docPr id="1026" name="矩形 1026"/>
                <wp:cNvGraphicFramePr/>
                <a:graphic xmlns:a="http://schemas.openxmlformats.org/drawingml/2006/main">
                  <a:graphicData uri="http://schemas.microsoft.com/office/word/2010/wordprocessingShape">
                    <wps:wsp>
                      <wps:cNvSpPr/>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42E9D023">
                            <w:pPr>
                              <w:rPr>
                                <w:b/>
                                <w:bCs/>
                                <w:sz w:val="32"/>
                              </w:rPr>
                            </w:pPr>
                            <w:r>
                              <w:rPr>
                                <w:rFonts w:hint="eastAsia"/>
                                <w:b/>
                                <w:bCs/>
                                <w:sz w:val="32"/>
                              </w:rPr>
                              <w:t>制定</w:t>
                            </w:r>
                          </w:p>
                        </w:txbxContent>
                      </wps:txbx>
                      <wps:bodyPr upright="1"/>
                    </wps:wsp>
                  </a:graphicData>
                </a:graphic>
              </wp:anchor>
            </w:drawing>
          </mc:Choice>
          <mc:Fallback>
            <w:pict>
              <v:rect id="_x0000_s1026" o:spid="_x0000_s1026" o:spt="1" style="position:absolute;left:0pt;margin-left:321pt;margin-top:13pt;height:36pt;width:57pt;z-index:251660288;mso-width-relative:page;mso-height-relative:page;" filled="f" stroked="t" coordsize="21600,21600" o:gfxdata="UEsDBAoAAAAAAIdO4kAAAAAAAAAAAAAAAAAEAAAAZHJzL1BLAwQUAAAACACHTuJAL6AkSdoAAAAJ&#10;AQAADwAAAGRycy9kb3ducmV2LnhtbE2PQU/DMAyF70j8h8hIXCaWrkA3StMdkJCQ4LINoR2zxjSF&#10;xKmarNv49XgnONnWe3r+XrU8eidGHGIXSMFsmoFAaoLpqFXwvnm+WYCISZPRLhAqOGGEZX15UenS&#10;hAOtcFynVnAIxVIrsCn1pZSxseh1nIYeibXPMHid+BxaaQZ94HDvZJ5lhfS6I/5gdY9PFpvv9d4r&#10;+BqxpbfJ5sPO3espbm9ffib9Vqnrq1n2CCLhMf2Z4YzP6FAz0y7syUThFBR3OXdJCvKCJxvm9+dl&#10;p+BhkYGsK/m/Qf0LUEsDBBQAAAAIAIdO4kDEULoxAwIAABMEAAAOAAAAZHJzL2Uyb0RvYy54bWyt&#10;U82O0zAQviPxDpbvNGmhu2zUdA+UckGw0sIDTB0nseQ/edwmfRokbjwEj4N4DcZOKMty2QM5OGPP&#10;+PN8nz9vbkej2UkGVM7WfLkoOZNWuEbZruafP+1fvOYMI9gGtLOy5meJ/Hb7/Nlm8JVcud7pRgZG&#10;IBarwde8j9FXRYGilwZw4by0lGxdMBBpGrqiCTAQutHFqiyvisGFxgcnJCKt7qYknxHDUwBd2yoh&#10;d04cjbRxQg1SQyRK2CuPfJu7bVsp4se2RRmZrjkxjXmkQyg+pLHYbqDqAvheibkFeEoLjzgZUJYO&#10;vUDtIAI7BvUPlFEiOHRtXAhniolIVoRYLMtH2tz34GXmQlKjv4iO/w9WfDjdBaYackK5uuLMgqE7&#10;//nl24/vX1leIoUGjxUV3vu7MM+QwkR3bINJfyLCxqzq+aKqHCMTtHi9enlTkt6CUq/W1+SBpHrx&#10;Z7MPGN9JZ1gKah7o0rKWcHqPcSr9XZLOsm6vtKZ1qLRlQ81v1qs1wQOZsSUTUGg8EULbZRh0WjVp&#10;S9qBoTu80YGdgAyxz9/czV9l6bwdYD/V5dRkFaOiTCJA1Uto3tqGxbMnxSy9FZ6aMbLhTEt6WinK&#10;lRGUfkolSaJtgpbZuDP5JP4kd4rieBgJNIUH15zp7o4+qK4n3ZaZSMqQV7LAs6+TGR/OKX74lr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gJEnaAAAACQEAAA8AAAAAAAAAAQAgAAAAIgAAAGRy&#10;cy9kb3ducmV2LnhtbFBLAQIUABQAAAAIAIdO4kDEULoxAwIAABMEAAAOAAAAAAAAAAEAIAAAACkB&#10;AABkcnMvZTJvRG9jLnhtbFBLBQYAAAAABgAGAFkBAACeBQAAAAA=&#10;">
                <v:fill on="f" focussize="0,0"/>
                <v:stroke color="#FFFFFF" joinstyle="miter"/>
                <v:imagedata o:title=""/>
                <o:lock v:ext="edit" aspectratio="f"/>
                <v:textbox>
                  <w:txbxContent>
                    <w:p w14:paraId="42E9D023">
                      <w:pPr>
                        <w:rPr>
                          <w:b/>
                          <w:bCs/>
                          <w:sz w:val="32"/>
                        </w:rPr>
                      </w:pPr>
                      <w:r>
                        <w:rPr>
                          <w:rFonts w:hint="eastAsia"/>
                          <w:b/>
                          <w:bCs/>
                          <w:sz w:val="32"/>
                        </w:rPr>
                        <w:t>制定</w:t>
                      </w:r>
                    </w:p>
                  </w:txbxContent>
                </v:textbox>
              </v:rect>
            </w:pict>
          </mc:Fallback>
        </mc:AlternateContent>
      </w:r>
      <w:r>
        <w:rPr>
          <w:rFonts w:hint="eastAsia"/>
          <w:b/>
          <w:color w:val="auto"/>
          <w:sz w:val="32"/>
          <w:szCs w:val="28"/>
          <w:highlight w:val="none"/>
        </w:rPr>
        <w:t>住房和城乡建设部</w:t>
      </w:r>
    </w:p>
    <w:p w14:paraId="31A0EF8F">
      <w:pPr>
        <w:spacing w:line="500" w:lineRule="exact"/>
        <w:jc w:val="center"/>
        <w:rPr>
          <w:rFonts w:ascii="宋体" w:hAnsi="宋体" w:cs="宋体"/>
          <w:color w:val="auto"/>
          <w:szCs w:val="21"/>
          <w:highlight w:val="none"/>
        </w:rPr>
        <w:sectPr>
          <w:footerReference r:id="rId5" w:type="default"/>
          <w:pgSz w:w="11906" w:h="16838"/>
          <w:pgMar w:top="1440" w:right="1486" w:bottom="1440" w:left="1800" w:header="851" w:footer="992" w:gutter="0"/>
          <w:pgNumType w:fmt="decimal" w:start="1"/>
          <w:cols w:space="720" w:num="1"/>
          <w:docGrid w:type="lines" w:linePitch="312" w:charSpace="0"/>
        </w:sectPr>
      </w:pPr>
      <w:r>
        <w:rPr>
          <w:rFonts w:hint="eastAsia"/>
          <w:b/>
          <w:color w:val="auto"/>
          <w:sz w:val="32"/>
          <w:szCs w:val="28"/>
          <w:highlight w:val="none"/>
        </w:rPr>
        <w:t>国家工商行政管理总局</w:t>
      </w:r>
    </w:p>
    <w:p w14:paraId="3CB21063">
      <w:pPr>
        <w:spacing w:line="500" w:lineRule="exact"/>
        <w:jc w:val="center"/>
        <w:outlineLvl w:val="1"/>
        <w:rPr>
          <w:rFonts w:ascii="宋体" w:hAnsi="宋体" w:cs="宋体"/>
          <w:b/>
          <w:color w:val="auto"/>
          <w:sz w:val="32"/>
          <w:szCs w:val="32"/>
          <w:highlight w:val="none"/>
        </w:rPr>
      </w:pPr>
      <w:bookmarkStart w:id="881" w:name="_Toc5764"/>
      <w:r>
        <w:rPr>
          <w:rFonts w:hint="eastAsia" w:ascii="宋体" w:hAnsi="宋体" w:cs="宋体"/>
          <w:b/>
          <w:bCs/>
          <w:color w:val="auto"/>
          <w:sz w:val="32"/>
          <w:szCs w:val="32"/>
          <w:highlight w:val="none"/>
        </w:rPr>
        <w:t>第一部分 合同协议书</w:t>
      </w:r>
      <w:bookmarkEnd w:id="881"/>
    </w:p>
    <w:p w14:paraId="0DA340F0">
      <w:pPr>
        <w:spacing w:line="500" w:lineRule="exact"/>
        <w:ind w:firstLine="422" w:firstLineChars="200"/>
        <w:rPr>
          <w:rFonts w:ascii="宋体" w:hAnsi="宋体" w:cs="宋体"/>
          <w:b/>
          <w:color w:val="auto"/>
          <w:szCs w:val="21"/>
          <w:highlight w:val="none"/>
          <w:u w:val="single"/>
        </w:rPr>
      </w:pPr>
      <w:bookmarkStart w:id="882" w:name="_Toc351203494"/>
      <w:r>
        <w:rPr>
          <w:rFonts w:hint="eastAsia" w:ascii="宋体" w:hAnsi="宋体" w:cs="宋体"/>
          <w:b/>
          <w:color w:val="auto"/>
          <w:szCs w:val="21"/>
          <w:highlight w:val="none"/>
        </w:rPr>
        <w:t>发包人（全称）：</w:t>
      </w:r>
      <w:r>
        <w:rPr>
          <w:rFonts w:hint="eastAsia" w:ascii="宋体" w:hAnsi="宋体" w:cs="宋体"/>
          <w:b/>
          <w:color w:val="auto"/>
          <w:szCs w:val="21"/>
          <w:highlight w:val="none"/>
          <w:u w:val="single"/>
        </w:rPr>
        <w:t xml:space="preserve">                         （以下称发包人）</w:t>
      </w:r>
    </w:p>
    <w:p w14:paraId="1F0E2F70">
      <w:pPr>
        <w:spacing w:line="500" w:lineRule="exact"/>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rPr>
        <w:t>承包人（全称）：</w:t>
      </w:r>
      <w:r>
        <w:rPr>
          <w:rFonts w:hint="eastAsia" w:ascii="宋体" w:hAnsi="宋体" w:cs="宋体"/>
          <w:b/>
          <w:color w:val="auto"/>
          <w:szCs w:val="21"/>
          <w:highlight w:val="none"/>
          <w:u w:val="single"/>
        </w:rPr>
        <w:t xml:space="preserve">                            （以下称承包人）</w:t>
      </w:r>
    </w:p>
    <w:p w14:paraId="1EA7FDE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根据《中华人民共和国民法典》《中华人民共和国建筑法》及有关法律规定，遵循平等、自愿、公平和诚实信用的原则，双方就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施工及有关事项协商一致，共同达成如下协议：</w:t>
      </w:r>
    </w:p>
    <w:p w14:paraId="728295BA">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一、工程概况</w:t>
      </w:r>
    </w:p>
    <w:p w14:paraId="0C415FD7">
      <w:pPr>
        <w:spacing w:line="500" w:lineRule="exact"/>
        <w:ind w:firstLine="420" w:firstLineChars="200"/>
        <w:rPr>
          <w:rFonts w:ascii="宋体" w:hAnsi="宋体" w:cs="宋体"/>
          <w:color w:val="auto"/>
          <w:szCs w:val="21"/>
          <w:highlight w:val="none"/>
          <w:u w:val="single"/>
        </w:rPr>
      </w:pPr>
      <w:r>
        <w:rPr>
          <w:rFonts w:hint="eastAsia" w:ascii="宋体" w:hAnsi="宋体" w:cs="宋体"/>
          <w:bCs/>
          <w:color w:val="auto"/>
          <w:szCs w:val="21"/>
          <w:highlight w:val="none"/>
        </w:rPr>
        <w:t>1.工程名称</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51573EF4">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2.工程地点：</w:t>
      </w:r>
      <w:r>
        <w:rPr>
          <w:rFonts w:hint="eastAsia" w:ascii="宋体" w:hAnsi="宋体" w:cs="宋体"/>
          <w:color w:val="auto"/>
          <w:szCs w:val="21"/>
          <w:highlight w:val="none"/>
          <w:u w:val="single"/>
        </w:rPr>
        <w:t xml:space="preserve">                      </w:t>
      </w:r>
    </w:p>
    <w:p w14:paraId="26639397">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3.工程立项批准文号：</w:t>
      </w:r>
      <w:r>
        <w:rPr>
          <w:rFonts w:hint="eastAsia" w:ascii="宋体" w:hAnsi="宋体" w:cs="宋体"/>
          <w:color w:val="auto"/>
          <w:szCs w:val="21"/>
          <w:highlight w:val="none"/>
          <w:u w:val="single"/>
        </w:rPr>
        <w:t xml:space="preserve">  / </w:t>
      </w:r>
    </w:p>
    <w:p w14:paraId="316A54B8">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4.资金来源：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自筹</w:t>
      </w:r>
      <w:r>
        <w:rPr>
          <w:rFonts w:hint="eastAsia" w:ascii="宋体" w:hAnsi="宋体" w:cs="宋体"/>
          <w:color w:val="auto"/>
          <w:szCs w:val="21"/>
          <w:highlight w:val="none"/>
          <w:u w:val="single"/>
        </w:rPr>
        <w:t xml:space="preserve">资金 </w:t>
      </w:r>
      <w:r>
        <w:rPr>
          <w:rFonts w:hint="eastAsia" w:ascii="宋体" w:hAnsi="宋体" w:cs="宋体"/>
          <w:bCs/>
          <w:color w:val="auto"/>
          <w:szCs w:val="21"/>
          <w:highlight w:val="none"/>
        </w:rPr>
        <w:t>。</w:t>
      </w:r>
    </w:p>
    <w:p w14:paraId="46A871D9">
      <w:pPr>
        <w:spacing w:line="50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5.工程承包内容：</w:t>
      </w:r>
      <w:r>
        <w:rPr>
          <w:rFonts w:hint="eastAsia" w:ascii="宋体" w:hAnsi="宋体" w:cs="宋体"/>
          <w:color w:val="auto"/>
          <w:szCs w:val="21"/>
          <w:highlight w:val="none"/>
          <w:u w:val="single"/>
          <w:lang w:val="en-US" w:eastAsia="zh-CN"/>
        </w:rPr>
        <w:t>项目</w:t>
      </w:r>
      <w:r>
        <w:rPr>
          <w:rFonts w:hint="eastAsia" w:ascii="宋体" w:hAnsi="宋体" w:cs="宋体"/>
          <w:color w:val="auto"/>
          <w:szCs w:val="21"/>
          <w:highlight w:val="none"/>
          <w:u w:val="single"/>
        </w:rPr>
        <w:t>载明的施工内容及施工过程中的变更调整内容</w:t>
      </w:r>
    </w:p>
    <w:p w14:paraId="46F17C34">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二、合同工期</w:t>
      </w:r>
    </w:p>
    <w:p w14:paraId="1D1FBAE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计划开工日期：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E914D36">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计划竣工日期：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5D0AD70">
      <w:pPr>
        <w:keepNext/>
        <w:keepLines/>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工期总日历天数：</w:t>
      </w:r>
      <w:r>
        <w:rPr>
          <w:rFonts w:hint="eastAsia" w:ascii="宋体" w:hAnsi="宋体"/>
          <w:color w:val="auto"/>
          <w:sz w:val="24"/>
          <w:highlight w:val="none"/>
        </w:rPr>
        <w:t>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个日历天。投标人自报的承诺工期为考核标准，因施工单位原因导致的工期延误，按1000元/天处以违约金，工期计算以接到招标人通知为准，以最终核定的天数为准。 </w:t>
      </w:r>
    </w:p>
    <w:p w14:paraId="0079443B">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三、质量标准</w:t>
      </w:r>
    </w:p>
    <w:p w14:paraId="36CE126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工程质量必须达到国家工程施工质量验收</w:t>
      </w:r>
      <w:r>
        <w:rPr>
          <w:rFonts w:hint="eastAsia" w:ascii="宋体" w:hAnsi="宋体" w:cs="宋体"/>
          <w:b/>
          <w:color w:val="auto"/>
          <w:szCs w:val="21"/>
          <w:highlight w:val="none"/>
          <w:u w:val="single"/>
        </w:rPr>
        <w:t xml:space="preserve">  合格  </w:t>
      </w:r>
      <w:r>
        <w:rPr>
          <w:rFonts w:hint="eastAsia" w:ascii="宋体" w:hAnsi="宋体" w:cs="宋体"/>
          <w:color w:val="auto"/>
          <w:szCs w:val="21"/>
          <w:highlight w:val="none"/>
        </w:rPr>
        <w:t>标准。</w:t>
      </w:r>
    </w:p>
    <w:p w14:paraId="12BA1B8D">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四、签约合同价与合同价格形式</w:t>
      </w:r>
    </w:p>
    <w:p w14:paraId="6A6E031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1.签约合同价为：</w:t>
      </w:r>
    </w:p>
    <w:p w14:paraId="35C5BFF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元，其中含暂列金额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16320EB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其中：</w:t>
      </w:r>
    </w:p>
    <w:p w14:paraId="23A2F49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（1）安全文明施工费：</w:t>
      </w:r>
    </w:p>
    <w:p w14:paraId="732591AB">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元）；</w:t>
      </w:r>
    </w:p>
    <w:p w14:paraId="73F4C8A6">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（2）材料和工程设备暂估价金额：</w:t>
      </w:r>
    </w:p>
    <w:p w14:paraId="40B44D1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元）；</w:t>
      </w:r>
    </w:p>
    <w:p w14:paraId="16C7C69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（3）专业工程暂估价金额：</w:t>
      </w:r>
    </w:p>
    <w:p w14:paraId="2F9364B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元）；</w:t>
      </w:r>
    </w:p>
    <w:p w14:paraId="159CEEA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（4）暂列金额：</w:t>
      </w:r>
    </w:p>
    <w:p w14:paraId="5360833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元）；</w:t>
      </w:r>
    </w:p>
    <w:p w14:paraId="040E817A">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2.合同价格形式：</w:t>
      </w:r>
      <w:r>
        <w:rPr>
          <w:rFonts w:hint="eastAsia" w:ascii="宋体" w:hAnsi="宋体" w:cs="宋体"/>
          <w:color w:val="auto"/>
          <w:szCs w:val="21"/>
          <w:highlight w:val="none"/>
          <w:u w:val="single"/>
        </w:rPr>
        <w:t xml:space="preserve"> 固定</w:t>
      </w:r>
      <w:r>
        <w:rPr>
          <w:rFonts w:hint="eastAsia" w:ascii="宋体" w:hAnsi="宋体" w:cs="宋体"/>
          <w:color w:val="auto"/>
          <w:szCs w:val="21"/>
          <w:highlight w:val="none"/>
          <w:u w:val="single"/>
          <w:lang w:val="en-US" w:eastAsia="zh-CN"/>
        </w:rPr>
        <w:t>总价</w:t>
      </w:r>
      <w:r>
        <w:rPr>
          <w:rFonts w:hint="eastAsia" w:ascii="宋体" w:hAnsi="宋体" w:cs="宋体"/>
          <w:color w:val="auto"/>
          <w:szCs w:val="21"/>
          <w:highlight w:val="none"/>
          <w:u w:val="single"/>
        </w:rPr>
        <w:t xml:space="preserve">合同  </w:t>
      </w:r>
      <w:r>
        <w:rPr>
          <w:rFonts w:hint="eastAsia" w:ascii="宋体" w:hAnsi="宋体" w:cs="宋体"/>
          <w:color w:val="auto"/>
          <w:szCs w:val="21"/>
          <w:highlight w:val="none"/>
        </w:rPr>
        <w:t>。</w:t>
      </w:r>
    </w:p>
    <w:p w14:paraId="684469C7">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五、项目经理及技术负责人</w:t>
      </w:r>
    </w:p>
    <w:p w14:paraId="42A6229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承包人项目经理：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，建造师注册执业号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，联系号码：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0787ACB">
      <w:pPr>
        <w:pStyle w:val="14"/>
        <w:spacing w:line="500" w:lineRule="exact"/>
        <w:ind w:left="0" w:leftChars="0" w:firstLine="422"/>
        <w:rPr>
          <w:rFonts w:hAnsi="宋体" w:cs="宋体"/>
          <w:b/>
          <w:color w:val="auto"/>
          <w:szCs w:val="21"/>
          <w:highlight w:val="none"/>
        </w:rPr>
      </w:pPr>
      <w:r>
        <w:rPr>
          <w:rFonts w:hint="eastAsia" w:hAnsi="宋体" w:cs="宋体"/>
          <w:b/>
          <w:color w:val="auto"/>
          <w:szCs w:val="21"/>
          <w:highlight w:val="none"/>
        </w:rPr>
        <w:t>六、合同文件构成</w:t>
      </w:r>
    </w:p>
    <w:p w14:paraId="3445BA76">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14:paraId="3450FF95">
      <w:pPr>
        <w:autoSpaceDE w:val="0"/>
        <w:autoSpaceDN w:val="0"/>
        <w:adjustRightIn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（1）中标通知书；</w:t>
      </w:r>
    </w:p>
    <w:p w14:paraId="67B049F1">
      <w:pPr>
        <w:autoSpaceDE w:val="0"/>
        <w:autoSpaceDN w:val="0"/>
        <w:adjustRightIn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（2）投标函及其附录； </w:t>
      </w:r>
    </w:p>
    <w:p w14:paraId="3E501288">
      <w:pPr>
        <w:autoSpaceDE w:val="0"/>
        <w:autoSpaceDN w:val="0"/>
        <w:adjustRightIn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（3）专用合同条款及其附件；</w:t>
      </w:r>
    </w:p>
    <w:p w14:paraId="4B495EF7">
      <w:pPr>
        <w:autoSpaceDE w:val="0"/>
        <w:autoSpaceDN w:val="0"/>
        <w:adjustRightIn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（4）通用合同条款；</w:t>
      </w:r>
    </w:p>
    <w:p w14:paraId="4514D04E">
      <w:pPr>
        <w:autoSpaceDE w:val="0"/>
        <w:autoSpaceDN w:val="0"/>
        <w:adjustRightIn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（5）技术标准和要求；</w:t>
      </w:r>
    </w:p>
    <w:p w14:paraId="1EF94737">
      <w:pPr>
        <w:autoSpaceDE w:val="0"/>
        <w:autoSpaceDN w:val="0"/>
        <w:adjustRightIn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（6）图纸；</w:t>
      </w:r>
    </w:p>
    <w:p w14:paraId="0B6B9EA7">
      <w:pPr>
        <w:autoSpaceDE w:val="0"/>
        <w:autoSpaceDN w:val="0"/>
        <w:adjustRightIn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（7）已标价工程量清单或预算书；</w:t>
      </w:r>
    </w:p>
    <w:p w14:paraId="3FDA20C6">
      <w:pPr>
        <w:autoSpaceDE w:val="0"/>
        <w:autoSpaceDN w:val="0"/>
        <w:adjustRightIn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（8）其他合同文件。</w:t>
      </w:r>
    </w:p>
    <w:p w14:paraId="5E6CF9E2">
      <w:pPr>
        <w:spacing w:line="50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在合同订立及履行过程中形成的与合同有关的文件均构成合同文件组成部分。上述各项合同文件包括合同当事人就该项合同文件所作出的补充和修改，属于同一项内容的文件，应以最新签署的为准。专用合同条款及其附件须经合同当事人签字或盖章。</w:t>
      </w:r>
    </w:p>
    <w:p w14:paraId="3738626D">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七、承诺</w:t>
      </w:r>
    </w:p>
    <w:p w14:paraId="02EC1F83">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1.发包人承诺按照法律规定履行项目审批手续、筹集工程建设资金并按照合同约定的期限和方式支付合同价款。</w:t>
      </w:r>
    </w:p>
    <w:p w14:paraId="631E86EA">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2.承包人承诺按照法律规定及合同约定组织完成工程施工，确保工程质量和安全，不进行转包及违法分包，并在缺陷责任期及保修期内承担相应的工程维修责任。</w:t>
      </w:r>
    </w:p>
    <w:p w14:paraId="72724536">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3.发包人和承包人通过招投标形式签订合同的，双方理解并承诺不再就同一工程另行签订与合同实质性内容相背离的协议。</w:t>
      </w:r>
    </w:p>
    <w:p w14:paraId="696C63B1">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八、词语含义</w:t>
      </w:r>
    </w:p>
    <w:p w14:paraId="41D92614">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14:paraId="35133259">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九、签订时间</w:t>
      </w:r>
    </w:p>
    <w:p w14:paraId="13EF72CA">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14:paraId="09150E0A">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十、签订地点</w:t>
      </w:r>
    </w:p>
    <w:p w14:paraId="1482A5A8">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14:paraId="6EF65D02">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十一、补充协议</w:t>
      </w:r>
    </w:p>
    <w:p w14:paraId="3A60A369">
      <w:pPr>
        <w:spacing w:line="500" w:lineRule="exact"/>
        <w:ind w:firstLine="420" w:firstLineChars="200"/>
        <w:rPr>
          <w:rFonts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05F080A5">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十二、合同生效</w:t>
      </w:r>
    </w:p>
    <w:p w14:paraId="6DF7A53E">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 xml:space="preserve">    双方签字盖章后     </w:t>
      </w:r>
      <w:r>
        <w:rPr>
          <w:rFonts w:hint="eastAsia" w:ascii="宋体" w:hAnsi="宋体" w:cs="宋体"/>
          <w:bCs/>
          <w:color w:val="auto"/>
          <w:szCs w:val="21"/>
          <w:highlight w:val="none"/>
        </w:rPr>
        <w:t>生效。</w:t>
      </w:r>
    </w:p>
    <w:p w14:paraId="57D7A7DA">
      <w:pPr>
        <w:keepNext/>
        <w:keepLines/>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十三、合同份数</w:t>
      </w:r>
    </w:p>
    <w:p w14:paraId="431ED771">
      <w:pPr>
        <w:widowControl/>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本合同一式</w:t>
      </w:r>
      <w:r>
        <w:rPr>
          <w:rFonts w:hint="eastAsia" w:ascii="宋体" w:hAnsi="宋体" w:cs="宋体"/>
          <w:bCs/>
          <w:color w:val="auto"/>
          <w:szCs w:val="21"/>
          <w:highlight w:val="none"/>
          <w:u w:val="single"/>
        </w:rPr>
        <w:t xml:space="preserve"> 陆 </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 xml:space="preserve"> 肆 </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 xml:space="preserve"> 贰 </w:t>
      </w:r>
      <w:r>
        <w:rPr>
          <w:rFonts w:hint="eastAsia" w:ascii="宋体" w:hAnsi="宋体" w:cs="宋体"/>
          <w:bCs/>
          <w:color w:val="auto"/>
          <w:szCs w:val="21"/>
          <w:highlight w:val="none"/>
        </w:rPr>
        <w:t>份。</w:t>
      </w:r>
    </w:p>
    <w:p w14:paraId="052FA715">
      <w:pPr>
        <w:widowControl/>
        <w:spacing w:line="440" w:lineRule="exact"/>
        <w:ind w:firstLine="420" w:firstLineChars="200"/>
        <w:jc w:val="left"/>
        <w:rPr>
          <w:rFonts w:ascii="宋体" w:hAnsi="宋体" w:cs="宋体"/>
          <w:bCs/>
          <w:color w:val="auto"/>
          <w:szCs w:val="21"/>
          <w:highlight w:val="none"/>
        </w:rPr>
      </w:pPr>
    </w:p>
    <w:tbl>
      <w:tblPr>
        <w:tblStyle w:val="4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4"/>
        <w:gridCol w:w="4644"/>
      </w:tblGrid>
      <w:tr w14:paraId="782E9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2D34B5BF">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 xml:space="preserve">发包人：  (公章）  </w:t>
            </w:r>
          </w:p>
        </w:tc>
        <w:tc>
          <w:tcPr>
            <w:tcW w:w="4644" w:type="dxa"/>
          </w:tcPr>
          <w:p w14:paraId="1A834886">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承包人：        (公章）</w:t>
            </w:r>
          </w:p>
        </w:tc>
      </w:tr>
      <w:tr w14:paraId="12AD1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43E17861">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c>
          <w:tcPr>
            <w:tcW w:w="4644" w:type="dxa"/>
          </w:tcPr>
          <w:p w14:paraId="411A328E">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332B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4E3891F1">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法定代表人或其委托代理人：</w:t>
            </w:r>
          </w:p>
        </w:tc>
        <w:tc>
          <w:tcPr>
            <w:tcW w:w="4644" w:type="dxa"/>
          </w:tcPr>
          <w:p w14:paraId="788C157B">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法定代表人或其委托代理人：</w:t>
            </w:r>
          </w:p>
        </w:tc>
      </w:tr>
      <w:tr w14:paraId="4043B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035FAE6B">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（签章）</w:t>
            </w:r>
          </w:p>
        </w:tc>
        <w:tc>
          <w:tcPr>
            <w:tcW w:w="4644" w:type="dxa"/>
          </w:tcPr>
          <w:p w14:paraId="308AB442">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（签章）</w:t>
            </w:r>
          </w:p>
        </w:tc>
      </w:tr>
      <w:tr w14:paraId="53EAE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1F59CF4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tc>
        <w:tc>
          <w:tcPr>
            <w:tcW w:w="4644" w:type="dxa"/>
          </w:tcPr>
          <w:p w14:paraId="0AC0D75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                     </w:t>
            </w:r>
          </w:p>
        </w:tc>
      </w:tr>
      <w:tr w14:paraId="6989F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6CA2AECB">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tc>
        <w:tc>
          <w:tcPr>
            <w:tcW w:w="4644" w:type="dxa"/>
          </w:tcPr>
          <w:p w14:paraId="58DF7912">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tc>
      </w:tr>
      <w:tr w14:paraId="6E369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7315CFC1">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tc>
        <w:tc>
          <w:tcPr>
            <w:tcW w:w="4644" w:type="dxa"/>
          </w:tcPr>
          <w:p w14:paraId="0491B7CD">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tc>
      </w:tr>
      <w:tr w14:paraId="68B84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19656C9E">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c>
        <w:tc>
          <w:tcPr>
            <w:tcW w:w="4644" w:type="dxa"/>
          </w:tcPr>
          <w:p w14:paraId="2C8AC7B4">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tc>
      </w:tr>
      <w:tr w14:paraId="0C3F5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785AED33">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p>
        </w:tc>
        <w:tc>
          <w:tcPr>
            <w:tcW w:w="4644" w:type="dxa"/>
          </w:tcPr>
          <w:p w14:paraId="03D4E588">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          </w:t>
            </w:r>
          </w:p>
        </w:tc>
      </w:tr>
      <w:tr w14:paraId="76062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00E5B1C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c>
        <w:tc>
          <w:tcPr>
            <w:tcW w:w="4644" w:type="dxa"/>
          </w:tcPr>
          <w:p w14:paraId="37099418">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c>
      </w:tr>
      <w:tr w14:paraId="2E351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40D1D5D2">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tc>
        <w:tc>
          <w:tcPr>
            <w:tcW w:w="4644" w:type="dxa"/>
          </w:tcPr>
          <w:p w14:paraId="7C6CDE38">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   </w:t>
            </w:r>
          </w:p>
        </w:tc>
      </w:tr>
      <w:tr w14:paraId="204C5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0B0ED7D5">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p>
        </w:tc>
        <w:tc>
          <w:tcPr>
            <w:tcW w:w="4644" w:type="dxa"/>
          </w:tcPr>
          <w:p w14:paraId="04E5797D">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p>
        </w:tc>
      </w:tr>
      <w:tr w14:paraId="60C96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56242E0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p>
        </w:tc>
        <w:tc>
          <w:tcPr>
            <w:tcW w:w="4644" w:type="dxa"/>
          </w:tcPr>
          <w:p w14:paraId="6FEF6BE8">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c>
      </w:tr>
      <w:tr w14:paraId="1B0F7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2BA3EAA3">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p>
        </w:tc>
        <w:tc>
          <w:tcPr>
            <w:tcW w:w="4644" w:type="dxa"/>
          </w:tcPr>
          <w:p w14:paraId="2D20EFE3">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p>
        </w:tc>
      </w:tr>
    </w:tbl>
    <w:p w14:paraId="2CEFF172">
      <w:pPr>
        <w:pStyle w:val="14"/>
        <w:ind w:left="0" w:leftChars="0" w:firstLine="0" w:firstLineChars="0"/>
        <w:rPr>
          <w:color w:val="auto"/>
          <w:highlight w:val="none"/>
        </w:rPr>
      </w:pPr>
    </w:p>
    <w:p w14:paraId="46C5BF6B">
      <w:pPr>
        <w:keepNext/>
        <w:keepLines/>
        <w:spacing w:after="260" w:line="500" w:lineRule="exact"/>
        <w:jc w:val="center"/>
        <w:outlineLvl w:val="1"/>
        <w:rPr>
          <w:rFonts w:ascii="宋体" w:hAnsi="宋体" w:cs="宋体"/>
          <w:b/>
          <w:bCs/>
          <w:color w:val="auto"/>
          <w:sz w:val="32"/>
          <w:szCs w:val="32"/>
          <w:highlight w:val="none"/>
        </w:rPr>
      </w:pPr>
      <w:r>
        <w:rPr>
          <w:rFonts w:hint="eastAsia" w:ascii="宋体" w:hAnsi="宋体" w:cs="宋体"/>
          <w:b/>
          <w:bCs/>
          <w:color w:val="auto"/>
          <w:sz w:val="32"/>
          <w:szCs w:val="32"/>
          <w:highlight w:val="none"/>
        </w:rPr>
        <w:t>第二部分  通用合同条款</w:t>
      </w:r>
      <w:bookmarkEnd w:id="882"/>
      <w:bookmarkStart w:id="883" w:name="_Toc337558727"/>
    </w:p>
    <w:p w14:paraId="1E5E5437">
      <w:pPr>
        <w:spacing w:line="500" w:lineRule="exact"/>
        <w:ind w:right="199" w:rightChars="95"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使用住房城乡建设部、国家工商行政管理局2017年9月22日联合印发的《建设工程施工合同（GF-2017-0201示范文本）》第二部分通用条款。</w:t>
      </w:r>
    </w:p>
    <w:bookmarkEnd w:id="883"/>
    <w:p w14:paraId="0F9C16A5">
      <w:pPr>
        <w:rPr>
          <w:rFonts w:ascii="宋体" w:hAnsi="宋体" w:cs="宋体"/>
          <w:b/>
          <w:bCs/>
          <w:color w:val="auto"/>
          <w:sz w:val="32"/>
          <w:szCs w:val="32"/>
          <w:highlight w:val="none"/>
        </w:rPr>
      </w:pPr>
      <w:bookmarkStart w:id="884" w:name="_Toc2274"/>
      <w:bookmarkStart w:id="885" w:name="_Toc351203632"/>
      <w:r>
        <w:rPr>
          <w:rFonts w:hint="eastAsia" w:ascii="宋体" w:hAnsi="宋体" w:cs="宋体"/>
          <w:b/>
          <w:bCs/>
          <w:color w:val="auto"/>
          <w:sz w:val="32"/>
          <w:szCs w:val="32"/>
          <w:highlight w:val="none"/>
        </w:rPr>
        <w:br w:type="page"/>
      </w:r>
    </w:p>
    <w:p w14:paraId="4BAE56AE">
      <w:pPr>
        <w:spacing w:line="500" w:lineRule="exact"/>
        <w:jc w:val="center"/>
        <w:outlineLvl w:val="1"/>
        <w:rPr>
          <w:rFonts w:ascii="仿宋" w:hAnsi="仿宋" w:eastAsia="仿宋" w:cs="仿宋"/>
          <w:b/>
          <w:bCs/>
          <w:color w:val="auto"/>
          <w:sz w:val="28"/>
          <w:szCs w:val="28"/>
          <w:highlight w:val="none"/>
        </w:rPr>
      </w:pPr>
      <w:r>
        <w:rPr>
          <w:rFonts w:hint="eastAsia" w:ascii="宋体" w:hAnsi="宋体" w:cs="宋体"/>
          <w:b/>
          <w:bCs/>
          <w:color w:val="auto"/>
          <w:sz w:val="32"/>
          <w:szCs w:val="32"/>
          <w:highlight w:val="none"/>
        </w:rPr>
        <w:t>第三部分  专用合同条款</w:t>
      </w:r>
      <w:bookmarkEnd w:id="884"/>
      <w:bookmarkEnd w:id="885"/>
    </w:p>
    <w:p w14:paraId="5B53708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1.工程价款的支付 </w:t>
      </w:r>
    </w:p>
    <w:p w14:paraId="1F25E136">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 工程预付款：</w:t>
      </w:r>
      <w:r>
        <w:rPr>
          <w:rFonts w:hint="eastAsia" w:ascii="宋体" w:hAnsi="宋体" w:cs="宋体"/>
          <w:color w:val="auto"/>
          <w:szCs w:val="21"/>
          <w:highlight w:val="none"/>
          <w:u w:val="single"/>
        </w:rPr>
        <w:t>不支付预付款。</w:t>
      </w:r>
      <w:r>
        <w:rPr>
          <w:rFonts w:hint="eastAsia" w:ascii="宋体" w:hAnsi="宋体" w:cs="宋体"/>
          <w:color w:val="auto"/>
          <w:szCs w:val="21"/>
          <w:highlight w:val="none"/>
        </w:rPr>
        <w:t xml:space="preserve"> </w:t>
      </w:r>
    </w:p>
    <w:p w14:paraId="391A5915">
      <w:pPr>
        <w:spacing w:line="5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1.2 工程款支付</w:t>
      </w:r>
      <w:r>
        <w:rPr>
          <w:rFonts w:hint="eastAsia" w:ascii="宋体" w:hAnsi="宋体" w:cs="宋体"/>
          <w:color w:val="auto"/>
          <w:szCs w:val="21"/>
          <w:highlight w:val="none"/>
          <w:u w:val="single"/>
        </w:rPr>
        <w:t>：工程竣工验收合格后付至合同价款的97%，剩余3%作为工程质量保证金，在本项目工程竣工验收合格之日起满5年后无质量问题一个月内付清。承包人应在3%工程质量保证金退回同时提供合同价款的3%的保函，保函有效期须与剩余质保时间一致。</w:t>
      </w:r>
    </w:p>
    <w:p w14:paraId="3128B544">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1.3 发包人支付承包人工程款后，承包人也应及时支付各方面的工资、费用及材料等款项，如有投诉拖欠，所有责任由承包人承担。 </w:t>
      </w:r>
    </w:p>
    <w:p w14:paraId="00207BE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2.合同价款及调整</w:t>
      </w:r>
    </w:p>
    <w:p w14:paraId="46F1410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2.1本合同价款采用</w:t>
      </w:r>
      <w:r>
        <w:rPr>
          <w:rFonts w:hint="eastAsia" w:ascii="宋体" w:hAnsi="宋体" w:cs="宋体"/>
          <w:color w:val="auto"/>
          <w:szCs w:val="21"/>
          <w:highlight w:val="none"/>
          <w:u w:val="single"/>
        </w:rPr>
        <w:t>固定</w:t>
      </w:r>
      <w:r>
        <w:rPr>
          <w:rFonts w:hint="eastAsia" w:ascii="宋体" w:hAnsi="宋体" w:cs="宋体"/>
          <w:color w:val="auto"/>
          <w:szCs w:val="21"/>
          <w:highlight w:val="none"/>
          <w:u w:val="single"/>
          <w:lang w:val="en-US" w:eastAsia="zh-CN"/>
        </w:rPr>
        <w:t>总价</w:t>
      </w:r>
      <w:r>
        <w:rPr>
          <w:rFonts w:hint="eastAsia" w:ascii="宋体" w:hAnsi="宋体" w:cs="宋体"/>
          <w:color w:val="auto"/>
          <w:szCs w:val="21"/>
          <w:highlight w:val="none"/>
        </w:rPr>
        <w:t xml:space="preserve">确定。 </w:t>
      </w:r>
    </w:p>
    <w:p w14:paraId="01C72710">
      <w:pPr>
        <w:spacing w:line="5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2.2风险费用的计算方法：</w:t>
      </w:r>
      <w:r>
        <w:rPr>
          <w:rFonts w:hint="eastAsia" w:ascii="宋体" w:hAnsi="宋体" w:cs="宋体"/>
          <w:color w:val="auto"/>
          <w:szCs w:val="21"/>
          <w:highlight w:val="none"/>
          <w:u w:val="single"/>
        </w:rPr>
        <w:t xml:space="preserve">风险范围内的单价及有关费用的报价，不再调整，一次性包干。 </w:t>
      </w:r>
    </w:p>
    <w:p w14:paraId="46AECBC7">
      <w:pPr>
        <w:spacing w:line="50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 xml:space="preserve">2.3 </w:t>
      </w:r>
      <w:r>
        <w:rPr>
          <w:rFonts w:hint="eastAsia" w:ascii="宋体" w:hAnsi="宋体" w:cs="宋体"/>
          <w:color w:val="auto"/>
          <w:szCs w:val="21"/>
          <w:highlight w:val="none"/>
        </w:rPr>
        <w:t>结算价=中标价±工程量增减×中标综合单价±（新增工程量清单项目数量×审定签证综合单价）×A±合理工程索赔。（A为投标让利幅度，A=</w:t>
      </w:r>
      <w:r>
        <w:rPr>
          <w:rFonts w:hint="eastAsia" w:ascii="宋体" w:hAnsi="宋体" w:cs="宋体"/>
          <w:color w:val="auto"/>
          <w:szCs w:val="21"/>
          <w:highlight w:val="none"/>
          <w:u w:val="single"/>
        </w:rPr>
        <w:t>中标价/最高投标限价，比例式中的中标价、最高限价均不含暂列金暂估价部分，下同）</w:t>
      </w:r>
      <w:r>
        <w:rPr>
          <w:rFonts w:hint="eastAsia" w:ascii="宋体" w:hAnsi="宋体" w:cs="宋体"/>
          <w:color w:val="auto"/>
          <w:szCs w:val="21"/>
          <w:highlight w:val="none"/>
        </w:rPr>
        <w:t xml:space="preserve">。 </w:t>
      </w:r>
    </w:p>
    <w:p w14:paraId="71724EC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2.4.1工程量变更造价：</w:t>
      </w:r>
    </w:p>
    <w:p w14:paraId="52D9819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2.4.1.1因工程变更引起已标价工程量清单项目或者工程数量发生变化时，当工程量增加15％以上时，且原合同内综合单价超过招标控制价综合单价的，增加部分工程量的综合单价=招标控制价中综合单价*中标价/控制价（中标价和控制价均应扣除暂列金额和暂估价部分）。</w:t>
      </w:r>
    </w:p>
    <w:p w14:paraId="5EA41E8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2.4.1.2发包人提供的工程量清单项目漏项、设计变更、新的需求引起新的工程项目，其相应综合单价的确定方法为：</w:t>
      </w:r>
    </w:p>
    <w:p w14:paraId="4AFD245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（1）合同中有类似工程项目综合单价的，可参照合同中类似项目的综合单价计算确定。 </w:t>
      </w:r>
    </w:p>
    <w:p w14:paraId="0E057BCB">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合同中没有类似工程项目综合单价的，由承包人提出适当的综合单价，经发包人或其委托的工程造价咨询单位注册造价工程师审定后乘以投标让利幅度作为结算依据。投标让利幅度=（成交价-暂列金-暂估价）/（最高投标限价-暂列金-暂估价）。 </w:t>
      </w:r>
    </w:p>
    <w:p w14:paraId="7D42B2D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（3）清单项目中项目特征或工程内容发生部分变更的，应以原综合单价为基础，仅就变更部分调整其综合单价。</w:t>
      </w:r>
    </w:p>
    <w:p w14:paraId="42A8B19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2.4.2工程索赔引起合同价的调整 </w:t>
      </w:r>
    </w:p>
    <w:p w14:paraId="070D136A">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工程索赔是指在合同履行过程中，对于并非自己的过错，而是由于对方责任所造成的实际损失，向对方提出经济补偿的行为。</w:t>
      </w:r>
    </w:p>
    <w:p w14:paraId="2628F906">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索赔方依据合同约定和法律法规的规定，按照索赔处理的原则和程序，在规定的时间内提出包括索赔事件、索赔理由、索赔费用及有效证据的索赔报告。被索赔方或其委托方应及时对索赔事件、 费用、理由、证据进行调查、分析、判断及计算，核定索赔费用。凡索赔成立的，应按工程量清单项目漏项的合同价调整方式，进行调整。 </w:t>
      </w:r>
    </w:p>
    <w:p w14:paraId="4FD16050">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2.4.3措施项目变动引起合同价的调整</w:t>
      </w:r>
    </w:p>
    <w:p w14:paraId="3C6C9B00">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2.4.3.1由于承包人擅自改变施工技术措施，造成的价格变动，价格不予调整。 </w:t>
      </w:r>
    </w:p>
    <w:p w14:paraId="2C2A6D7A">
      <w:pPr>
        <w:pStyle w:val="14"/>
        <w:spacing w:line="500" w:lineRule="exact"/>
        <w:ind w:left="0" w:leftChars="0" w:firstLine="420"/>
        <w:rPr>
          <w:rFonts w:hAnsi="宋体" w:cs="宋体"/>
          <w:color w:val="auto"/>
          <w:szCs w:val="21"/>
          <w:highlight w:val="none"/>
        </w:rPr>
      </w:pPr>
      <w:r>
        <w:rPr>
          <w:rFonts w:hint="eastAsia" w:hAnsi="宋体" w:cs="宋体"/>
          <w:color w:val="auto"/>
          <w:szCs w:val="21"/>
          <w:highlight w:val="none"/>
        </w:rPr>
        <w:t xml:space="preserve">2.4.4本项目中的人、材、机等其他因素引起的价格变化的，其价格不作调整。 </w:t>
      </w:r>
    </w:p>
    <w:p w14:paraId="44EB20D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3.安全文明施工与环境保护 </w:t>
      </w:r>
    </w:p>
    <w:p w14:paraId="00CB1A1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3.1 安全文明施工 </w:t>
      </w:r>
    </w:p>
    <w:p w14:paraId="4333632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3.1.1 项目安全生产的达标目标及相应事项的约定：零安全生产事故的发生，否则按 4.1.5 条款执行。 </w:t>
      </w:r>
    </w:p>
    <w:p w14:paraId="2583669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3.1.2 关于治安保卫的特别约定：由承包人负责。关于编制施工场地治安管理计划的约定：由承包人负责。 </w:t>
      </w:r>
    </w:p>
    <w:p w14:paraId="1695F3E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3.1.3 文明施工合同当事人对文明施工的要求：执行通用条款。 </w:t>
      </w:r>
    </w:p>
    <w:p w14:paraId="736FEDC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3.1.4 关于安全文明施工费支付比例和支付期限的约定：无。 </w:t>
      </w:r>
    </w:p>
    <w:p w14:paraId="02CE5B5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3.1.5 发生安全事故，承包人应按照有关规定立即上报有关部门并通知工程师，同时按照政府有关要求处理，由事故责任方承担发生的费用。发包人根据事故的分类对承包人进行处以违约：（1）特别重大事故，发包人对承包人处以50万元的人民币违约金；（2）重大事故，发包人对承包人处以30万元的人民币违约金；（3）较大事故，发包人对承包人处以20万元的人民币违约金；（4）一般事故，发包人对承包人处以10万元的人民币违约金；并承担因施工安全事故给本工程建设单位、项目管理单位和监理人带来的经济损失。</w:t>
      </w:r>
    </w:p>
    <w:p w14:paraId="0D309443">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3.1.6 发生质量事故，承包人应按照有关规定立即上报有关部门并通知工程师，同时按照政府有关要求处理，由事故责任方承担发生的费用。发包人根据事故的分类对承包人进行处以违约：（1）特别重大质量事故，发包人对承包人处以50万元的人民币违约金；（2）重大质量事故，发包人对承包人处以30万元的人民币违约金；（3）严重质量事故，发包人对承包人处以20万元的人民币违约金；（4）一般质量事故，发包人对承包人处以10万元的人民币违约金；并承担因施工质量事故给本工程建设单位、项目管理单位和监理人带来的经济损失。</w:t>
      </w:r>
    </w:p>
    <w:p w14:paraId="39C4304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 监理人  （☑委托监理，</w:t>
      </w:r>
      <w:r>
        <w:rPr>
          <w:rFonts w:hint="eastAsia" w:ascii="宋体" w:hAnsi="宋体" w:cs="宋体"/>
          <w:color w:val="auto"/>
          <w:szCs w:val="21"/>
          <w:highlight w:val="none"/>
          <w:u w:val="single"/>
        </w:rPr>
        <w:t xml:space="preserve"> 详见监理合同</w:t>
      </w:r>
      <w:r>
        <w:rPr>
          <w:rFonts w:hint="eastAsia" w:ascii="宋体" w:hAnsi="宋体" w:cs="宋体"/>
          <w:color w:val="auto"/>
          <w:szCs w:val="21"/>
          <w:highlight w:val="none"/>
        </w:rPr>
        <w:t xml:space="preserve"> ；□ 建设单位自管）</w:t>
      </w:r>
    </w:p>
    <w:p w14:paraId="5A547A9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4.1监理人的一般规定</w:t>
      </w:r>
    </w:p>
    <w:p w14:paraId="4045233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4.1.1 监理人的监理内容：</w:t>
      </w:r>
      <w:r>
        <w:rPr>
          <w:rFonts w:hint="eastAsia" w:ascii="宋体" w:hAnsi="宋体" w:cs="宋体"/>
          <w:color w:val="auto"/>
          <w:szCs w:val="21"/>
          <w:highlight w:val="none"/>
          <w:u w:val="single"/>
        </w:rPr>
        <w:t xml:space="preserve">  详见监理合同</w:t>
      </w:r>
      <w:r>
        <w:rPr>
          <w:rFonts w:hint="eastAsia" w:ascii="宋体" w:hAnsi="宋体" w:cs="宋体"/>
          <w:color w:val="auto"/>
          <w:szCs w:val="21"/>
          <w:highlight w:val="none"/>
        </w:rPr>
        <w:t xml:space="preserve"> 。</w:t>
      </w:r>
    </w:p>
    <w:p w14:paraId="3C18920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4.1.2 监理人的监理权限：</w:t>
      </w:r>
      <w:r>
        <w:rPr>
          <w:rFonts w:hint="eastAsia" w:ascii="宋体" w:hAnsi="宋体" w:cs="宋体"/>
          <w:color w:val="auto"/>
          <w:szCs w:val="21"/>
          <w:highlight w:val="none"/>
          <w:u w:val="single"/>
        </w:rPr>
        <w:t>工程质量的监督权；工程上使用的材料和施工质量检验权、确认权；工程施工进度、安全的检查、监督权；工程款支付的审核权；向承包人提出施工组织设计和技术方案的建议权；发包人和承包人之间的组织协调的主持权；撤换承包人的不合格的项目管理人员的建议权；承包人的资质及能力的审查权及《建设工程监理规范》规定的法定职权等</w:t>
      </w:r>
      <w:r>
        <w:rPr>
          <w:rFonts w:hint="eastAsia" w:ascii="宋体" w:hAnsi="宋体" w:cs="宋体"/>
          <w:color w:val="auto"/>
          <w:szCs w:val="21"/>
          <w:highlight w:val="none"/>
        </w:rPr>
        <w:t>。</w:t>
      </w:r>
    </w:p>
    <w:p w14:paraId="6901943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4.1.3 监理人在施工现场的办公场所、监理费用承担的约定：发包人提供和承担。</w:t>
      </w:r>
    </w:p>
    <w:p w14:paraId="2D3EC48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4.2 监理人员</w:t>
      </w:r>
    </w:p>
    <w:p w14:paraId="1536257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总监理工程师：</w:t>
      </w:r>
    </w:p>
    <w:p w14:paraId="0272EF0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详见监理合同 </w:t>
      </w:r>
      <w:r>
        <w:rPr>
          <w:rFonts w:hint="eastAsia" w:ascii="宋体" w:hAnsi="宋体" w:cs="宋体"/>
          <w:color w:val="auto"/>
          <w:szCs w:val="21"/>
          <w:highlight w:val="none"/>
        </w:rPr>
        <w:t>；</w:t>
      </w:r>
    </w:p>
    <w:p w14:paraId="292C860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详见监理合同 </w:t>
      </w:r>
      <w:r>
        <w:rPr>
          <w:rFonts w:hint="eastAsia" w:ascii="宋体" w:hAnsi="宋体" w:cs="宋体"/>
          <w:color w:val="auto"/>
          <w:szCs w:val="21"/>
          <w:highlight w:val="none"/>
        </w:rPr>
        <w:t>；</w:t>
      </w:r>
    </w:p>
    <w:p w14:paraId="42EE555B">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监理工程师执业资格证书号：</w:t>
      </w:r>
      <w:r>
        <w:rPr>
          <w:rFonts w:hint="eastAsia" w:ascii="宋体" w:hAnsi="宋体" w:cs="宋体"/>
          <w:color w:val="auto"/>
          <w:szCs w:val="21"/>
          <w:highlight w:val="none"/>
          <w:u w:val="single"/>
        </w:rPr>
        <w:t>详见监理合同</w:t>
      </w:r>
      <w:r>
        <w:rPr>
          <w:rFonts w:hint="eastAsia" w:ascii="宋体" w:hAnsi="宋体" w:cs="宋体"/>
          <w:color w:val="auto"/>
          <w:szCs w:val="21"/>
          <w:highlight w:val="none"/>
        </w:rPr>
        <w:t>；</w:t>
      </w:r>
    </w:p>
    <w:p w14:paraId="3B4BCCC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详见监理合同</w:t>
      </w:r>
      <w:r>
        <w:rPr>
          <w:rFonts w:hint="eastAsia" w:ascii="宋体" w:hAnsi="宋体" w:cs="宋体"/>
          <w:color w:val="auto"/>
          <w:szCs w:val="21"/>
          <w:highlight w:val="none"/>
        </w:rPr>
        <w:t>；</w:t>
      </w:r>
    </w:p>
    <w:p w14:paraId="1713C60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详见监理合同</w:t>
      </w:r>
      <w:r>
        <w:rPr>
          <w:rFonts w:hint="eastAsia" w:ascii="宋体" w:hAnsi="宋体" w:cs="宋体"/>
          <w:color w:val="auto"/>
          <w:szCs w:val="21"/>
          <w:highlight w:val="none"/>
        </w:rPr>
        <w:t>；</w:t>
      </w:r>
    </w:p>
    <w:p w14:paraId="31A11E4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详见监理合同 ；</w:t>
      </w:r>
    </w:p>
    <w:p w14:paraId="0E5232F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关于监理人的其他约定</w:t>
      </w:r>
      <w:r>
        <w:rPr>
          <w:rFonts w:hint="eastAsia" w:ascii="宋体" w:hAnsi="宋体" w:cs="宋体"/>
          <w:color w:val="auto"/>
          <w:szCs w:val="21"/>
          <w:highlight w:val="none"/>
          <w:u w:val="single"/>
        </w:rPr>
        <w:t xml:space="preserve"> 详见监理合同 </w:t>
      </w:r>
      <w:r>
        <w:rPr>
          <w:rFonts w:hint="eastAsia" w:ascii="宋体" w:hAnsi="宋体" w:cs="宋体"/>
          <w:color w:val="auto"/>
          <w:szCs w:val="21"/>
          <w:highlight w:val="none"/>
        </w:rPr>
        <w:t>；</w:t>
      </w:r>
    </w:p>
    <w:p w14:paraId="55A38517">
      <w:pPr>
        <w:pStyle w:val="18"/>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5.质保期要求</w:t>
      </w:r>
    </w:p>
    <w:p w14:paraId="39E59251">
      <w:pPr>
        <w:pStyle w:val="18"/>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屋面（厂房顶棚）工程质保期为</w:t>
      </w:r>
      <w:r>
        <w:rPr>
          <w:rFonts w:hint="eastAsia" w:ascii="宋体" w:hAnsi="宋体" w:cs="宋体"/>
          <w:color w:val="auto"/>
          <w:szCs w:val="21"/>
          <w:highlight w:val="none"/>
          <w:u w:val="none"/>
          <w:lang w:val="en-US" w:eastAsia="zh-CN"/>
        </w:rPr>
        <w:t>10</w:t>
      </w:r>
      <w:r>
        <w:rPr>
          <w:rFonts w:hint="eastAsia" w:ascii="宋体" w:hAnsi="宋体" w:cs="宋体"/>
          <w:color w:val="auto"/>
          <w:szCs w:val="21"/>
          <w:highlight w:val="none"/>
          <w:u w:val="none"/>
        </w:rPr>
        <w:t>年</w:t>
      </w:r>
      <w:r>
        <w:rPr>
          <w:rFonts w:hint="eastAsia" w:ascii="宋体" w:hAnsi="宋体" w:cs="宋体"/>
          <w:color w:val="auto"/>
          <w:szCs w:val="21"/>
          <w:highlight w:val="none"/>
        </w:rPr>
        <w:t>。</w:t>
      </w:r>
      <w:r>
        <w:rPr>
          <w:rFonts w:hint="eastAsia" w:ascii="宋体" w:hAnsi="宋体" w:cs="宋体"/>
          <w:color w:val="auto"/>
          <w:szCs w:val="21"/>
          <w:highlight w:val="none"/>
          <w:lang w:val="zh-CN"/>
        </w:rPr>
        <w:t>质保期内发生设备运行故障等问题，</w:t>
      </w:r>
      <w:r>
        <w:rPr>
          <w:rFonts w:hint="eastAsia" w:ascii="宋体" w:hAnsi="宋体" w:cs="宋体"/>
          <w:color w:val="auto"/>
          <w:szCs w:val="21"/>
          <w:highlight w:val="none"/>
        </w:rPr>
        <w:t>承包人</w:t>
      </w:r>
      <w:r>
        <w:rPr>
          <w:rFonts w:hint="eastAsia" w:ascii="宋体" w:hAnsi="宋体" w:cs="宋体"/>
          <w:color w:val="auto"/>
          <w:szCs w:val="21"/>
          <w:highlight w:val="none"/>
          <w:lang w:val="zh-CN"/>
        </w:rPr>
        <w:t>收到</w:t>
      </w:r>
      <w:r>
        <w:rPr>
          <w:rFonts w:hint="eastAsia" w:ascii="宋体" w:hAnsi="宋体" w:cs="宋体"/>
          <w:color w:val="auto"/>
          <w:szCs w:val="21"/>
          <w:highlight w:val="none"/>
        </w:rPr>
        <w:t>发包人</w:t>
      </w:r>
      <w:r>
        <w:rPr>
          <w:rFonts w:hint="eastAsia" w:ascii="宋体" w:hAnsi="宋体" w:cs="宋体"/>
          <w:color w:val="auto"/>
          <w:szCs w:val="21"/>
          <w:highlight w:val="none"/>
          <w:lang w:val="zh-CN"/>
        </w:rPr>
        <w:t>通知时，应在3小时到达现场查看问题，符合维修条件时，3天内完成修复，如遇紧急情况，按</w:t>
      </w:r>
      <w:r>
        <w:rPr>
          <w:rFonts w:hint="eastAsia" w:ascii="宋体" w:hAnsi="宋体" w:cs="宋体"/>
          <w:color w:val="auto"/>
          <w:szCs w:val="21"/>
          <w:highlight w:val="none"/>
        </w:rPr>
        <w:t>发包人</w:t>
      </w:r>
      <w:r>
        <w:rPr>
          <w:rFonts w:hint="eastAsia" w:ascii="宋体" w:hAnsi="宋体" w:cs="宋体"/>
          <w:color w:val="auto"/>
          <w:szCs w:val="21"/>
          <w:highlight w:val="none"/>
          <w:lang w:val="zh-CN"/>
        </w:rPr>
        <w:t>要求执行。不能按</w:t>
      </w:r>
      <w:r>
        <w:rPr>
          <w:rFonts w:hint="eastAsia" w:ascii="宋体" w:hAnsi="宋体" w:cs="宋体"/>
          <w:color w:val="auto"/>
          <w:szCs w:val="21"/>
          <w:highlight w:val="none"/>
        </w:rPr>
        <w:t>发包人</w:t>
      </w:r>
      <w:r>
        <w:rPr>
          <w:rFonts w:hint="eastAsia" w:ascii="宋体" w:hAnsi="宋体" w:cs="宋体"/>
          <w:color w:val="auto"/>
          <w:szCs w:val="21"/>
          <w:highlight w:val="none"/>
          <w:lang w:val="zh-CN"/>
        </w:rPr>
        <w:t>要求及时到达及时维修的，由</w:t>
      </w:r>
      <w:r>
        <w:rPr>
          <w:rFonts w:hint="eastAsia" w:ascii="宋体" w:hAnsi="宋体" w:cs="宋体"/>
          <w:color w:val="auto"/>
          <w:szCs w:val="21"/>
          <w:highlight w:val="none"/>
        </w:rPr>
        <w:t>发包人</w:t>
      </w:r>
      <w:r>
        <w:rPr>
          <w:rFonts w:hint="eastAsia" w:ascii="宋体" w:hAnsi="宋体" w:cs="宋体"/>
          <w:color w:val="auto"/>
          <w:szCs w:val="21"/>
          <w:highlight w:val="none"/>
          <w:lang w:val="zh-CN"/>
        </w:rPr>
        <w:t>组织维修，费用从质保金中支付，其发生的费用无需征得</w:t>
      </w:r>
      <w:r>
        <w:rPr>
          <w:rFonts w:hint="eastAsia" w:ascii="宋体" w:hAnsi="宋体" w:cs="宋体"/>
          <w:color w:val="auto"/>
          <w:szCs w:val="21"/>
          <w:highlight w:val="none"/>
        </w:rPr>
        <w:t>承包人</w:t>
      </w:r>
      <w:r>
        <w:rPr>
          <w:rFonts w:hint="eastAsia" w:ascii="宋体" w:hAnsi="宋体" w:cs="宋体"/>
          <w:color w:val="auto"/>
          <w:szCs w:val="21"/>
          <w:highlight w:val="none"/>
          <w:lang w:val="zh-CN"/>
        </w:rPr>
        <w:t>同意。质保金费用不足以支付的，应由</w:t>
      </w:r>
      <w:r>
        <w:rPr>
          <w:rFonts w:hint="eastAsia" w:ascii="宋体" w:hAnsi="宋体" w:cs="宋体"/>
          <w:color w:val="auto"/>
          <w:szCs w:val="21"/>
          <w:highlight w:val="none"/>
        </w:rPr>
        <w:t>承包人</w:t>
      </w:r>
      <w:r>
        <w:rPr>
          <w:rFonts w:hint="eastAsia" w:ascii="宋体" w:hAnsi="宋体" w:cs="宋体"/>
          <w:color w:val="auto"/>
          <w:szCs w:val="21"/>
          <w:highlight w:val="none"/>
          <w:lang w:val="zh-CN"/>
        </w:rPr>
        <w:t>另行支付。质保期内同一地点同一故障累计发生2次以上的，全额扣除质量保证金。</w:t>
      </w:r>
      <w:r>
        <w:rPr>
          <w:rFonts w:hint="eastAsia" w:ascii="宋体" w:hAnsi="宋体" w:cs="宋体"/>
          <w:color w:val="auto"/>
          <w:szCs w:val="21"/>
          <w:highlight w:val="none"/>
        </w:rPr>
        <w:t>承包人</w:t>
      </w:r>
      <w:r>
        <w:rPr>
          <w:rFonts w:hint="eastAsia" w:ascii="宋体" w:hAnsi="宋体" w:cs="宋体"/>
          <w:color w:val="auto"/>
          <w:szCs w:val="21"/>
          <w:highlight w:val="none"/>
          <w:lang w:val="zh-CN"/>
        </w:rPr>
        <w:t>不服从</w:t>
      </w:r>
      <w:r>
        <w:rPr>
          <w:rFonts w:hint="eastAsia" w:ascii="宋体" w:hAnsi="宋体" w:cs="宋体"/>
          <w:color w:val="auto"/>
          <w:szCs w:val="21"/>
          <w:highlight w:val="none"/>
        </w:rPr>
        <w:t>发包人</w:t>
      </w:r>
      <w:r>
        <w:rPr>
          <w:rFonts w:hint="eastAsia" w:ascii="宋体" w:hAnsi="宋体" w:cs="宋体"/>
          <w:color w:val="auto"/>
          <w:szCs w:val="21"/>
          <w:highlight w:val="none"/>
          <w:lang w:val="zh-CN"/>
        </w:rPr>
        <w:t>要求，给</w:t>
      </w:r>
      <w:r>
        <w:rPr>
          <w:rFonts w:hint="eastAsia" w:ascii="宋体" w:hAnsi="宋体" w:cs="宋体"/>
          <w:color w:val="auto"/>
          <w:szCs w:val="21"/>
          <w:highlight w:val="none"/>
        </w:rPr>
        <w:t>发包人</w:t>
      </w:r>
      <w:r>
        <w:rPr>
          <w:rFonts w:hint="eastAsia" w:ascii="宋体" w:hAnsi="宋体" w:cs="宋体"/>
          <w:color w:val="auto"/>
          <w:szCs w:val="21"/>
          <w:highlight w:val="none"/>
          <w:lang w:val="zh-CN"/>
        </w:rPr>
        <w:t>造成损失或社会不良影响的，视为违约行为，</w:t>
      </w:r>
      <w:r>
        <w:rPr>
          <w:rFonts w:hint="eastAsia" w:ascii="宋体" w:hAnsi="宋体" w:cs="宋体"/>
          <w:color w:val="auto"/>
          <w:szCs w:val="21"/>
          <w:highlight w:val="none"/>
        </w:rPr>
        <w:t>发包人</w:t>
      </w:r>
      <w:r>
        <w:rPr>
          <w:rFonts w:hint="eastAsia" w:ascii="宋体" w:hAnsi="宋体" w:cs="宋体"/>
          <w:color w:val="auto"/>
          <w:szCs w:val="21"/>
          <w:highlight w:val="none"/>
          <w:lang w:val="zh-CN"/>
        </w:rPr>
        <w:t>依法依规追究其法律责任。</w:t>
      </w:r>
    </w:p>
    <w:p w14:paraId="5D46BCB2">
      <w:pPr>
        <w:pStyle w:val="18"/>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6.其他要求</w:t>
      </w:r>
    </w:p>
    <w:p w14:paraId="3D017536">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6.1 项目负责人驻场要求：不得更换项目负责人。项目负责人驻场时间不得低于实际工期的80%，不得无故脱离施工现场，不得无故不参加采购人组织的例会，缺勤一天（次）按1000元/天（次）从工程结算价抵扣，连续缺勤3天、累计缺勤5天或在施工关键技术环节缺勤的，采购人终止合同并对已完工程不予以计量计价，视为成交人违约并承担一切损失和赔偿。因工艺需求停工或采购人原因的停工（完工）除外。</w:t>
      </w:r>
    </w:p>
    <w:p w14:paraId="537B34C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6.2 承包人在施工期间，做好发包人既有设施设备的保护和管理，因施工给发包人带来损失的，应予以修复或赔偿，赔偿款从工程结算款中抵扣。工程结束后提交验收前应做好现场保洁，确保整洁干净。</w:t>
      </w:r>
    </w:p>
    <w:p w14:paraId="6ABC3A4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6.3承包人施工过程中，每批次施工材料进场前，应经发包人或监理人认可，未经发包人或监理人认可，不得使用，承包人应承担所发生的一切费用。</w:t>
      </w:r>
    </w:p>
    <w:p w14:paraId="500A6FF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6.4 施工工艺、工序以及隐蔽工程质量管理按建设工程质量管理和监理规范标准执行。</w:t>
      </w:r>
    </w:p>
    <w:p w14:paraId="29817D4E">
      <w:pPr>
        <w:pStyle w:val="18"/>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7.本合同文本未尽事宜，由合同签订双方友好协商。协商不成，向</w:t>
      </w:r>
      <w:r>
        <w:rPr>
          <w:rFonts w:hint="eastAsia" w:ascii="宋体" w:hAnsi="宋体" w:cs="宋体"/>
          <w:color w:val="auto"/>
          <w:szCs w:val="21"/>
          <w:highlight w:val="none"/>
          <w:u w:val="single"/>
          <w:lang w:val="en-US" w:eastAsia="zh-CN"/>
        </w:rPr>
        <w:t>项目所在地</w:t>
      </w:r>
      <w:r>
        <w:rPr>
          <w:rFonts w:hint="eastAsia" w:ascii="宋体" w:hAnsi="宋体" w:cs="宋体"/>
          <w:color w:val="auto"/>
          <w:szCs w:val="21"/>
          <w:highlight w:val="none"/>
          <w:u w:val="single"/>
        </w:rPr>
        <w:t>人民法院</w:t>
      </w:r>
      <w:r>
        <w:rPr>
          <w:rFonts w:hint="eastAsia" w:ascii="宋体" w:hAnsi="宋体" w:cs="宋体"/>
          <w:color w:val="auto"/>
          <w:szCs w:val="21"/>
          <w:highlight w:val="none"/>
        </w:rPr>
        <w:t>起诉。</w:t>
      </w:r>
    </w:p>
    <w:p w14:paraId="6FECA28A">
      <w:pPr>
        <w:rPr>
          <w:rFonts w:hint="eastAsia"/>
          <w:bCs/>
          <w:color w:val="auto"/>
          <w:szCs w:val="32"/>
          <w:highlight w:val="none"/>
        </w:rPr>
      </w:pPr>
    </w:p>
    <w:p w14:paraId="1393FFDF">
      <w:pPr>
        <w:rPr>
          <w:rFonts w:hint="eastAsia"/>
          <w:bCs/>
          <w:color w:val="auto"/>
          <w:szCs w:val="32"/>
          <w:highlight w:val="none"/>
        </w:rPr>
      </w:pPr>
    </w:p>
    <w:p w14:paraId="248E676E">
      <w:pPr>
        <w:rPr>
          <w:rFonts w:hint="eastAsia"/>
          <w:bCs/>
          <w:color w:val="auto"/>
          <w:szCs w:val="32"/>
          <w:highlight w:val="none"/>
        </w:rPr>
      </w:pPr>
    </w:p>
    <w:p w14:paraId="347994B1">
      <w:pPr>
        <w:rPr>
          <w:rFonts w:hint="eastAsia"/>
          <w:bCs/>
          <w:color w:val="auto"/>
          <w:szCs w:val="32"/>
          <w:highlight w:val="none"/>
        </w:rPr>
      </w:pPr>
    </w:p>
    <w:p w14:paraId="50C6615C">
      <w:pPr>
        <w:rPr>
          <w:rFonts w:hint="eastAsia" w:ascii="Arial" w:hAnsi="Arial" w:eastAsia="宋体" w:cs="Times New Roman"/>
          <w:b/>
          <w:bCs/>
          <w:color w:val="auto"/>
          <w:kern w:val="0"/>
          <w:sz w:val="32"/>
          <w:szCs w:val="32"/>
          <w:highlight w:val="none"/>
          <w:lang w:val="en-US" w:eastAsia="zh-CN" w:bidi="ar-SA"/>
        </w:rPr>
      </w:pPr>
      <w:bookmarkStart w:id="886" w:name="_Toc23990"/>
      <w:bookmarkStart w:id="887" w:name="_Toc4767"/>
      <w:bookmarkStart w:id="888" w:name="_Toc95223515"/>
      <w:r>
        <w:rPr>
          <w:rFonts w:hint="eastAsia" w:ascii="Arial" w:hAnsi="Arial" w:eastAsia="宋体" w:cs="Times New Roman"/>
          <w:b/>
          <w:bCs/>
          <w:color w:val="auto"/>
          <w:kern w:val="0"/>
          <w:sz w:val="32"/>
          <w:szCs w:val="32"/>
          <w:highlight w:val="none"/>
          <w:lang w:val="en-US" w:eastAsia="zh-CN" w:bidi="ar-SA"/>
        </w:rPr>
        <w:br w:type="page"/>
      </w:r>
    </w:p>
    <w:bookmarkEnd w:id="886"/>
    <w:bookmarkEnd w:id="887"/>
    <w:bookmarkEnd w:id="888"/>
    <w:p w14:paraId="6FA116AB">
      <w:pPr>
        <w:pStyle w:val="44"/>
        <w:numPr>
          <w:ilvl w:val="0"/>
          <w:numId w:val="0"/>
        </w:numPr>
        <w:spacing w:beforeLines="50" w:afterLines="50" w:line="440" w:lineRule="exact"/>
        <w:ind w:leftChars="0"/>
        <w:rPr>
          <w:rFonts w:hint="eastAsia" w:cs="Times New Roman"/>
          <w:bCs/>
          <w:color w:val="auto"/>
          <w:szCs w:val="32"/>
          <w:highlight w:val="none"/>
          <w:lang w:val="en-US" w:eastAsia="zh-CN"/>
        </w:rPr>
      </w:pPr>
      <w:r>
        <w:rPr>
          <w:rFonts w:hint="eastAsia" w:cs="Times New Roman"/>
          <w:bCs/>
          <w:color w:val="auto"/>
          <w:szCs w:val="32"/>
          <w:highlight w:val="none"/>
          <w:lang w:val="en-US" w:eastAsia="zh-CN"/>
        </w:rPr>
        <w:t>第五章 采购需求</w:t>
      </w:r>
    </w:p>
    <w:tbl>
      <w:tblPr>
        <w:tblStyle w:val="47"/>
        <w:tblW w:w="91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5"/>
        <w:gridCol w:w="1756"/>
        <w:gridCol w:w="1100"/>
        <w:gridCol w:w="931"/>
        <w:gridCol w:w="658"/>
        <w:gridCol w:w="658"/>
        <w:gridCol w:w="658"/>
        <w:gridCol w:w="2658"/>
      </w:tblGrid>
      <w:tr w14:paraId="0D868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55" w:type="dxa"/>
            <w:tcBorders>
              <w:top w:val="nil"/>
              <w:left w:val="nil"/>
              <w:bottom w:val="nil"/>
              <w:right w:val="nil"/>
            </w:tcBorders>
            <w:noWrap/>
            <w:vAlign w:val="center"/>
          </w:tcPr>
          <w:p w14:paraId="17174DE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8419" w:type="dxa"/>
            <w:gridSpan w:val="7"/>
            <w:tcBorders>
              <w:top w:val="nil"/>
              <w:left w:val="nil"/>
              <w:bottom w:val="nil"/>
              <w:right w:val="nil"/>
            </w:tcBorders>
            <w:noWrap/>
            <w:vAlign w:val="center"/>
          </w:tcPr>
          <w:p w14:paraId="1AA56F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城南厂房维修清单</w:t>
            </w:r>
          </w:p>
        </w:tc>
      </w:tr>
      <w:tr w14:paraId="07E52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5" w:type="dxa"/>
            <w:tcBorders>
              <w:top w:val="single" w:color="000000" w:sz="4" w:space="0"/>
              <w:left w:val="single" w:color="000000" w:sz="4" w:space="0"/>
              <w:bottom w:val="single" w:color="000000" w:sz="4" w:space="0"/>
              <w:right w:val="single" w:color="000000" w:sz="4" w:space="0"/>
            </w:tcBorders>
            <w:noWrap/>
            <w:vAlign w:val="center"/>
          </w:tcPr>
          <w:p w14:paraId="55A0F7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210A0F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材料名称</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79550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规格型号</w:t>
            </w:r>
          </w:p>
        </w:tc>
        <w:tc>
          <w:tcPr>
            <w:tcW w:w="931" w:type="dxa"/>
            <w:tcBorders>
              <w:top w:val="single" w:color="000000" w:sz="4" w:space="0"/>
              <w:left w:val="single" w:color="000000" w:sz="4" w:space="0"/>
              <w:bottom w:val="single" w:color="000000" w:sz="4" w:space="0"/>
              <w:right w:val="single" w:color="000000" w:sz="4" w:space="0"/>
            </w:tcBorders>
            <w:noWrap/>
            <w:vAlign w:val="center"/>
          </w:tcPr>
          <w:p w14:paraId="301292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0AC10D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品牌</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5D913C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单价</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7EC92B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金额</w:t>
            </w:r>
          </w:p>
        </w:tc>
        <w:tc>
          <w:tcPr>
            <w:tcW w:w="2658" w:type="dxa"/>
            <w:tcBorders>
              <w:top w:val="single" w:color="000000" w:sz="4" w:space="0"/>
              <w:left w:val="single" w:color="000000" w:sz="4" w:space="0"/>
              <w:bottom w:val="single" w:color="000000" w:sz="4" w:space="0"/>
              <w:right w:val="single" w:color="000000" w:sz="4" w:space="0"/>
            </w:tcBorders>
            <w:noWrap/>
            <w:vAlign w:val="center"/>
          </w:tcPr>
          <w:p w14:paraId="2C2A42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备注</w:t>
            </w:r>
          </w:p>
        </w:tc>
      </w:tr>
      <w:tr w14:paraId="63307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5" w:type="dxa"/>
            <w:tcBorders>
              <w:top w:val="single" w:color="000000" w:sz="4" w:space="0"/>
              <w:left w:val="single" w:color="000000" w:sz="4" w:space="0"/>
              <w:bottom w:val="single" w:color="000000" w:sz="4" w:space="0"/>
              <w:right w:val="single" w:color="000000" w:sz="4" w:space="0"/>
            </w:tcBorders>
            <w:noWrap/>
            <w:vAlign w:val="center"/>
          </w:tcPr>
          <w:p w14:paraId="2E1F5C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4C606E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820角驰瓦</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9E41B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0.5厚</w:t>
            </w:r>
          </w:p>
        </w:tc>
        <w:tc>
          <w:tcPr>
            <w:tcW w:w="931" w:type="dxa"/>
            <w:tcBorders>
              <w:top w:val="single" w:color="000000" w:sz="4" w:space="0"/>
              <w:left w:val="single" w:color="000000" w:sz="4" w:space="0"/>
              <w:bottom w:val="single" w:color="000000" w:sz="4" w:space="0"/>
              <w:right w:val="single" w:color="000000" w:sz="4" w:space="0"/>
            </w:tcBorders>
            <w:noWrap/>
            <w:vAlign w:val="center"/>
          </w:tcPr>
          <w:p w14:paraId="6248BF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Style w:val="217"/>
                <w:color w:val="auto"/>
                <w:highlight w:val="none"/>
                <w:lang w:val="en-US" w:eastAsia="zh-CN" w:bidi="ar"/>
              </w:rPr>
              <w:t>1920</w:t>
            </w:r>
            <w:r>
              <w:rPr>
                <w:rStyle w:val="218"/>
                <w:rFonts w:hint="default"/>
                <w:color w:val="auto"/>
                <w:highlight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2E5FDE6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268991E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1D4F5C7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658" w:type="dxa"/>
            <w:tcBorders>
              <w:top w:val="single" w:color="000000" w:sz="4" w:space="0"/>
              <w:left w:val="single" w:color="000000" w:sz="4" w:space="0"/>
              <w:bottom w:val="single" w:color="000000" w:sz="4" w:space="0"/>
              <w:right w:val="single" w:color="000000" w:sz="4" w:space="0"/>
            </w:tcBorders>
            <w:noWrap/>
            <w:vAlign w:val="center"/>
          </w:tcPr>
          <w:p w14:paraId="38BFDD5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30CA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5" w:type="dxa"/>
            <w:tcBorders>
              <w:top w:val="single" w:color="000000" w:sz="4" w:space="0"/>
              <w:left w:val="single" w:color="000000" w:sz="4" w:space="0"/>
              <w:bottom w:val="single" w:color="000000" w:sz="4" w:space="0"/>
              <w:right w:val="single" w:color="000000" w:sz="4" w:space="0"/>
            </w:tcBorders>
            <w:noWrap/>
            <w:vAlign w:val="center"/>
          </w:tcPr>
          <w:p w14:paraId="490381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w:t>
            </w: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4A13E1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不锈钢天沟</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43AC7D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1.0厚</w:t>
            </w:r>
          </w:p>
        </w:tc>
        <w:tc>
          <w:tcPr>
            <w:tcW w:w="931" w:type="dxa"/>
            <w:tcBorders>
              <w:top w:val="single" w:color="000000" w:sz="4" w:space="0"/>
              <w:left w:val="single" w:color="000000" w:sz="4" w:space="0"/>
              <w:bottom w:val="single" w:color="000000" w:sz="4" w:space="0"/>
              <w:right w:val="single" w:color="000000" w:sz="4" w:space="0"/>
            </w:tcBorders>
            <w:noWrap/>
            <w:vAlign w:val="center"/>
          </w:tcPr>
          <w:p w14:paraId="201503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122m</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01E8EF3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0901255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4EFC62B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658" w:type="dxa"/>
            <w:tcBorders>
              <w:top w:val="single" w:color="000000" w:sz="4" w:space="0"/>
              <w:left w:val="single" w:color="000000" w:sz="4" w:space="0"/>
              <w:bottom w:val="single" w:color="000000" w:sz="4" w:space="0"/>
              <w:right w:val="single" w:color="000000" w:sz="4" w:space="0"/>
            </w:tcBorders>
            <w:noWrap/>
            <w:vAlign w:val="center"/>
          </w:tcPr>
          <w:p w14:paraId="7853B67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6F20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5" w:type="dxa"/>
            <w:tcBorders>
              <w:top w:val="single" w:color="000000" w:sz="4" w:space="0"/>
              <w:left w:val="single" w:color="000000" w:sz="4" w:space="0"/>
              <w:bottom w:val="single" w:color="000000" w:sz="4" w:space="0"/>
              <w:right w:val="single" w:color="000000" w:sz="4" w:space="0"/>
            </w:tcBorders>
            <w:noWrap/>
            <w:vAlign w:val="center"/>
          </w:tcPr>
          <w:p w14:paraId="6B3F56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634283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彩钢瓦脊瓦</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A0A86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0.5厚</w:t>
            </w:r>
          </w:p>
        </w:tc>
        <w:tc>
          <w:tcPr>
            <w:tcW w:w="931" w:type="dxa"/>
            <w:tcBorders>
              <w:top w:val="single" w:color="000000" w:sz="4" w:space="0"/>
              <w:left w:val="single" w:color="000000" w:sz="4" w:space="0"/>
              <w:bottom w:val="single" w:color="000000" w:sz="4" w:space="0"/>
              <w:right w:val="single" w:color="000000" w:sz="4" w:space="0"/>
            </w:tcBorders>
            <w:noWrap/>
            <w:vAlign w:val="center"/>
          </w:tcPr>
          <w:p w14:paraId="597C86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85m</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4796C99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480D6D1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34A9D79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658" w:type="dxa"/>
            <w:tcBorders>
              <w:top w:val="single" w:color="000000" w:sz="4" w:space="0"/>
              <w:left w:val="single" w:color="000000" w:sz="4" w:space="0"/>
              <w:bottom w:val="single" w:color="000000" w:sz="4" w:space="0"/>
              <w:right w:val="single" w:color="000000" w:sz="4" w:space="0"/>
            </w:tcBorders>
            <w:noWrap/>
            <w:vAlign w:val="center"/>
          </w:tcPr>
          <w:p w14:paraId="7B9FAEB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AC8A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5" w:type="dxa"/>
            <w:tcBorders>
              <w:top w:val="single" w:color="000000" w:sz="4" w:space="0"/>
              <w:left w:val="single" w:color="000000" w:sz="4" w:space="0"/>
              <w:bottom w:val="single" w:color="000000" w:sz="4" w:space="0"/>
              <w:right w:val="single" w:color="000000" w:sz="4" w:space="0"/>
            </w:tcBorders>
            <w:noWrap/>
            <w:vAlign w:val="center"/>
          </w:tcPr>
          <w:p w14:paraId="5ABCD6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w:t>
            </w: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7CB2E4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采光透明瓦</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3AAB61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1.5厚</w:t>
            </w:r>
          </w:p>
        </w:tc>
        <w:tc>
          <w:tcPr>
            <w:tcW w:w="931" w:type="dxa"/>
            <w:tcBorders>
              <w:top w:val="single" w:color="000000" w:sz="4" w:space="0"/>
              <w:left w:val="single" w:color="000000" w:sz="4" w:space="0"/>
              <w:bottom w:val="single" w:color="000000" w:sz="4" w:space="0"/>
              <w:right w:val="single" w:color="000000" w:sz="4" w:space="0"/>
            </w:tcBorders>
            <w:noWrap/>
            <w:vAlign w:val="center"/>
          </w:tcPr>
          <w:p w14:paraId="167C04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80m</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4A97616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7B2DA36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602678A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658" w:type="dxa"/>
            <w:tcBorders>
              <w:top w:val="single" w:color="000000" w:sz="4" w:space="0"/>
              <w:left w:val="single" w:color="000000" w:sz="4" w:space="0"/>
              <w:bottom w:val="single" w:color="000000" w:sz="4" w:space="0"/>
              <w:right w:val="single" w:color="000000" w:sz="4" w:space="0"/>
            </w:tcBorders>
            <w:noWrap/>
            <w:vAlign w:val="center"/>
          </w:tcPr>
          <w:p w14:paraId="3E18F53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12B6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5" w:type="dxa"/>
            <w:tcBorders>
              <w:top w:val="single" w:color="000000" w:sz="4" w:space="0"/>
              <w:left w:val="single" w:color="000000" w:sz="4" w:space="0"/>
              <w:bottom w:val="single" w:color="000000" w:sz="4" w:space="0"/>
              <w:right w:val="single" w:color="000000" w:sz="4" w:space="0"/>
            </w:tcBorders>
            <w:noWrap/>
            <w:vAlign w:val="center"/>
          </w:tcPr>
          <w:p w14:paraId="62415B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w:t>
            </w: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6FBF05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女儿墙盖帽</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9E0E4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0.5厚</w:t>
            </w:r>
          </w:p>
        </w:tc>
        <w:tc>
          <w:tcPr>
            <w:tcW w:w="931" w:type="dxa"/>
            <w:tcBorders>
              <w:top w:val="single" w:color="000000" w:sz="4" w:space="0"/>
              <w:left w:val="single" w:color="000000" w:sz="4" w:space="0"/>
              <w:bottom w:val="single" w:color="000000" w:sz="4" w:space="0"/>
              <w:right w:val="single" w:color="000000" w:sz="4" w:space="0"/>
            </w:tcBorders>
            <w:noWrap/>
            <w:vAlign w:val="center"/>
          </w:tcPr>
          <w:p w14:paraId="5DE669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180m</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392C950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146444F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4F31E4A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658" w:type="dxa"/>
            <w:tcBorders>
              <w:top w:val="single" w:color="000000" w:sz="4" w:space="0"/>
              <w:left w:val="single" w:color="000000" w:sz="4" w:space="0"/>
              <w:bottom w:val="single" w:color="000000" w:sz="4" w:space="0"/>
              <w:right w:val="single" w:color="000000" w:sz="4" w:space="0"/>
            </w:tcBorders>
            <w:noWrap/>
            <w:vAlign w:val="center"/>
          </w:tcPr>
          <w:p w14:paraId="48FA63F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FC67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5" w:type="dxa"/>
            <w:tcBorders>
              <w:top w:val="single" w:color="000000" w:sz="4" w:space="0"/>
              <w:left w:val="single" w:color="000000" w:sz="4" w:space="0"/>
              <w:bottom w:val="single" w:color="000000" w:sz="4" w:space="0"/>
              <w:right w:val="single" w:color="000000" w:sz="4" w:space="0"/>
            </w:tcBorders>
            <w:noWrap/>
            <w:vAlign w:val="center"/>
          </w:tcPr>
          <w:p w14:paraId="6B79BC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6</w:t>
            </w: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1F22ED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女儿墙瓦</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73ED09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0.4厚</w:t>
            </w:r>
          </w:p>
        </w:tc>
        <w:tc>
          <w:tcPr>
            <w:tcW w:w="931" w:type="dxa"/>
            <w:tcBorders>
              <w:top w:val="single" w:color="000000" w:sz="4" w:space="0"/>
              <w:left w:val="single" w:color="000000" w:sz="4" w:space="0"/>
              <w:bottom w:val="single" w:color="000000" w:sz="4" w:space="0"/>
              <w:right w:val="single" w:color="000000" w:sz="4" w:space="0"/>
            </w:tcBorders>
            <w:noWrap/>
            <w:vAlign w:val="center"/>
          </w:tcPr>
          <w:p w14:paraId="3D5111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135m</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34EF326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5AC5F12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701CB54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658" w:type="dxa"/>
            <w:tcBorders>
              <w:top w:val="single" w:color="000000" w:sz="4" w:space="0"/>
              <w:left w:val="single" w:color="000000" w:sz="4" w:space="0"/>
              <w:bottom w:val="single" w:color="000000" w:sz="4" w:space="0"/>
              <w:right w:val="single" w:color="000000" w:sz="4" w:space="0"/>
            </w:tcBorders>
            <w:noWrap/>
            <w:vAlign w:val="center"/>
          </w:tcPr>
          <w:p w14:paraId="6688BF0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F4B4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5" w:type="dxa"/>
            <w:tcBorders>
              <w:top w:val="single" w:color="000000" w:sz="4" w:space="0"/>
              <w:left w:val="single" w:color="000000" w:sz="4" w:space="0"/>
              <w:bottom w:val="single" w:color="000000" w:sz="4" w:space="0"/>
              <w:right w:val="single" w:color="000000" w:sz="4" w:space="0"/>
            </w:tcBorders>
            <w:noWrap/>
            <w:vAlign w:val="center"/>
          </w:tcPr>
          <w:p w14:paraId="4CDAA3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7</w:t>
            </w: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2D7B1A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窗户漏水维修</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076EA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扇</w:t>
            </w:r>
          </w:p>
        </w:tc>
        <w:tc>
          <w:tcPr>
            <w:tcW w:w="931" w:type="dxa"/>
            <w:tcBorders>
              <w:top w:val="single" w:color="000000" w:sz="4" w:space="0"/>
              <w:left w:val="single" w:color="000000" w:sz="4" w:space="0"/>
              <w:bottom w:val="single" w:color="000000" w:sz="4" w:space="0"/>
              <w:right w:val="single" w:color="000000" w:sz="4" w:space="0"/>
            </w:tcBorders>
            <w:noWrap/>
            <w:vAlign w:val="center"/>
          </w:tcPr>
          <w:p w14:paraId="144DEC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74D5C28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579E015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267CA31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658" w:type="dxa"/>
            <w:tcBorders>
              <w:top w:val="single" w:color="000000" w:sz="4" w:space="0"/>
              <w:left w:val="single" w:color="000000" w:sz="4" w:space="0"/>
              <w:bottom w:val="single" w:color="000000" w:sz="4" w:space="0"/>
              <w:right w:val="single" w:color="000000" w:sz="4" w:space="0"/>
            </w:tcBorders>
            <w:noWrap/>
            <w:vAlign w:val="center"/>
          </w:tcPr>
          <w:p w14:paraId="1F8FD76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4BAD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5" w:type="dxa"/>
            <w:tcBorders>
              <w:top w:val="single" w:color="000000" w:sz="4" w:space="0"/>
              <w:left w:val="single" w:color="000000" w:sz="4" w:space="0"/>
              <w:bottom w:val="single" w:color="000000" w:sz="4" w:space="0"/>
              <w:right w:val="single" w:color="000000" w:sz="4" w:space="0"/>
            </w:tcBorders>
            <w:noWrap/>
            <w:vAlign w:val="center"/>
          </w:tcPr>
          <w:p w14:paraId="4E8A83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8</w:t>
            </w: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70CD89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人工</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281459B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931" w:type="dxa"/>
            <w:tcBorders>
              <w:top w:val="single" w:color="000000" w:sz="4" w:space="0"/>
              <w:left w:val="single" w:color="000000" w:sz="4" w:space="0"/>
              <w:bottom w:val="single" w:color="000000" w:sz="4" w:space="0"/>
              <w:right w:val="single" w:color="000000" w:sz="4" w:space="0"/>
            </w:tcBorders>
            <w:noWrap/>
            <w:vAlign w:val="center"/>
          </w:tcPr>
          <w:p w14:paraId="771E15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1920㎡</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182DCF5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4385D86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0DCA8D5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658" w:type="dxa"/>
            <w:tcBorders>
              <w:top w:val="single" w:color="000000" w:sz="4" w:space="0"/>
              <w:left w:val="single" w:color="000000" w:sz="4" w:space="0"/>
              <w:bottom w:val="single" w:color="000000" w:sz="4" w:space="0"/>
              <w:right w:val="single" w:color="000000" w:sz="4" w:space="0"/>
            </w:tcBorders>
            <w:noWrap/>
            <w:vAlign w:val="center"/>
          </w:tcPr>
          <w:p w14:paraId="5BAD321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4BCC7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5" w:type="dxa"/>
            <w:tcBorders>
              <w:top w:val="single" w:color="000000" w:sz="4" w:space="0"/>
              <w:left w:val="single" w:color="000000" w:sz="4" w:space="0"/>
              <w:bottom w:val="single" w:color="000000" w:sz="4" w:space="0"/>
              <w:right w:val="single" w:color="000000" w:sz="4" w:space="0"/>
            </w:tcBorders>
            <w:noWrap/>
            <w:vAlign w:val="center"/>
          </w:tcPr>
          <w:p w14:paraId="58F02C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9</w:t>
            </w: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0BEAEF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辅材</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2932C2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931" w:type="dxa"/>
            <w:tcBorders>
              <w:top w:val="single" w:color="000000" w:sz="4" w:space="0"/>
              <w:left w:val="single" w:color="000000" w:sz="4" w:space="0"/>
              <w:bottom w:val="single" w:color="000000" w:sz="4" w:space="0"/>
              <w:right w:val="single" w:color="000000" w:sz="4" w:space="0"/>
            </w:tcBorders>
            <w:noWrap/>
            <w:vAlign w:val="center"/>
          </w:tcPr>
          <w:p w14:paraId="12B5BA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1920㎡</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2746B0F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3ACE1EC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25219EB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658" w:type="dxa"/>
            <w:tcBorders>
              <w:top w:val="single" w:color="000000" w:sz="4" w:space="0"/>
              <w:left w:val="single" w:color="000000" w:sz="4" w:space="0"/>
              <w:bottom w:val="single" w:color="000000" w:sz="4" w:space="0"/>
              <w:right w:val="single" w:color="000000" w:sz="4" w:space="0"/>
            </w:tcBorders>
            <w:noWrap/>
            <w:vAlign w:val="center"/>
          </w:tcPr>
          <w:p w14:paraId="501986F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1AB5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5" w:type="dxa"/>
            <w:tcBorders>
              <w:top w:val="single" w:color="000000" w:sz="4" w:space="0"/>
              <w:left w:val="single" w:color="000000" w:sz="4" w:space="0"/>
              <w:bottom w:val="single" w:color="000000" w:sz="4" w:space="0"/>
              <w:right w:val="single" w:color="000000" w:sz="4" w:space="0"/>
            </w:tcBorders>
            <w:noWrap/>
            <w:vAlign w:val="center"/>
          </w:tcPr>
          <w:p w14:paraId="696FC7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22"/>
                <w:szCs w:val="22"/>
                <w:highlight w:val="none"/>
                <w:u w:val="none"/>
                <w:lang w:val="en-US"/>
              </w:rPr>
            </w:pPr>
            <w:r>
              <w:rPr>
                <w:rFonts w:hint="eastAsia" w:ascii="宋体" w:hAnsi="宋体" w:eastAsia="宋体" w:cs="宋体"/>
                <w:b/>
                <w:bCs/>
                <w:i w:val="0"/>
                <w:iCs w:val="0"/>
                <w:color w:val="auto"/>
                <w:kern w:val="0"/>
                <w:sz w:val="22"/>
                <w:szCs w:val="22"/>
                <w:highlight w:val="none"/>
                <w:u w:val="none"/>
                <w:lang w:val="en-US" w:eastAsia="zh-CN" w:bidi="ar"/>
              </w:rPr>
              <w:t>10</w:t>
            </w: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545FB5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吊车</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712BA0C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931" w:type="dxa"/>
            <w:tcBorders>
              <w:top w:val="single" w:color="000000" w:sz="4" w:space="0"/>
              <w:left w:val="single" w:color="000000" w:sz="4" w:space="0"/>
              <w:bottom w:val="single" w:color="000000" w:sz="4" w:space="0"/>
              <w:right w:val="single" w:color="000000" w:sz="4" w:space="0"/>
            </w:tcBorders>
            <w:noWrap/>
            <w:vAlign w:val="center"/>
          </w:tcPr>
          <w:p w14:paraId="35223E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1项</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097A728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5EDB5B8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5181FDC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2658" w:type="dxa"/>
            <w:tcBorders>
              <w:top w:val="single" w:color="000000" w:sz="4" w:space="0"/>
              <w:left w:val="single" w:color="000000" w:sz="4" w:space="0"/>
              <w:bottom w:val="single" w:color="000000" w:sz="4" w:space="0"/>
              <w:right w:val="single" w:color="000000" w:sz="4" w:space="0"/>
            </w:tcBorders>
            <w:noWrap/>
            <w:vAlign w:val="center"/>
          </w:tcPr>
          <w:p w14:paraId="267C23F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44C5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5" w:type="dxa"/>
            <w:tcBorders>
              <w:top w:val="single" w:color="000000" w:sz="4" w:space="0"/>
              <w:left w:val="single" w:color="000000" w:sz="4" w:space="0"/>
              <w:bottom w:val="single" w:color="000000" w:sz="4" w:space="0"/>
              <w:right w:val="single" w:color="000000" w:sz="4" w:space="0"/>
            </w:tcBorders>
            <w:noWrap/>
            <w:vAlign w:val="center"/>
          </w:tcPr>
          <w:p w14:paraId="6403646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8419" w:type="dxa"/>
            <w:gridSpan w:val="7"/>
            <w:tcBorders>
              <w:top w:val="single" w:color="000000" w:sz="4" w:space="0"/>
              <w:left w:val="single" w:color="000000" w:sz="4" w:space="0"/>
              <w:bottom w:val="single" w:color="000000" w:sz="4" w:space="0"/>
              <w:right w:val="single" w:color="000000" w:sz="4" w:space="0"/>
            </w:tcBorders>
            <w:noWrap/>
            <w:vAlign w:val="center"/>
          </w:tcPr>
          <w:p w14:paraId="6986D6B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2EC8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5" w:type="dxa"/>
            <w:tcBorders>
              <w:top w:val="single" w:color="000000" w:sz="4" w:space="0"/>
              <w:left w:val="single" w:color="000000" w:sz="4" w:space="0"/>
              <w:bottom w:val="single" w:color="000000" w:sz="4" w:space="0"/>
              <w:right w:val="single" w:color="000000" w:sz="4" w:space="0"/>
            </w:tcBorders>
            <w:noWrap/>
            <w:vAlign w:val="center"/>
          </w:tcPr>
          <w:p w14:paraId="12BAEC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32"/>
                <w:szCs w:val="32"/>
                <w:highlight w:val="none"/>
                <w:u w:val="no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11</w:t>
            </w: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2756BB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sz w:val="22"/>
                <w:szCs w:val="22"/>
                <w:highlight w:val="none"/>
                <w:u w:val="none"/>
                <w:lang w:val="en-US"/>
              </w:rPr>
            </w:pPr>
            <w:r>
              <w:rPr>
                <w:rFonts w:hint="eastAsia" w:ascii="宋体" w:hAnsi="宋体" w:eastAsia="宋体" w:cs="宋体"/>
                <w:b/>
                <w:bCs/>
                <w:i w:val="0"/>
                <w:iCs w:val="0"/>
                <w:color w:val="auto"/>
                <w:kern w:val="0"/>
                <w:sz w:val="22"/>
                <w:szCs w:val="22"/>
                <w:highlight w:val="none"/>
                <w:u w:val="none"/>
                <w:lang w:val="en-US" w:eastAsia="zh-CN" w:bidi="ar"/>
              </w:rPr>
              <w:t>原屋面拆除回收</w:t>
            </w:r>
            <w:r>
              <w:rPr>
                <w:rFonts w:hint="eastAsia" w:ascii="宋体" w:hAnsi="宋体" w:cs="宋体"/>
                <w:b/>
                <w:bCs/>
                <w:i w:val="0"/>
                <w:iCs w:val="0"/>
                <w:color w:val="auto"/>
                <w:kern w:val="0"/>
                <w:sz w:val="22"/>
                <w:szCs w:val="22"/>
                <w:highlight w:val="none"/>
                <w:u w:val="none"/>
                <w:lang w:val="en-US" w:eastAsia="zh-CN" w:bidi="ar"/>
              </w:rPr>
              <w:t>抵扣</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3A3D2A54">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32"/>
                <w:szCs w:val="32"/>
                <w:highlight w:val="none"/>
                <w:u w:val="none"/>
              </w:rPr>
            </w:pPr>
          </w:p>
        </w:tc>
        <w:tc>
          <w:tcPr>
            <w:tcW w:w="931" w:type="dxa"/>
            <w:tcBorders>
              <w:top w:val="single" w:color="000000" w:sz="4" w:space="0"/>
              <w:left w:val="single" w:color="000000" w:sz="4" w:space="0"/>
              <w:bottom w:val="single" w:color="000000" w:sz="4" w:space="0"/>
              <w:right w:val="single" w:color="000000" w:sz="4" w:space="0"/>
            </w:tcBorders>
            <w:noWrap/>
            <w:vAlign w:val="center"/>
          </w:tcPr>
          <w:p w14:paraId="7EF68E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1920㎡</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52D96684">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32"/>
                <w:szCs w:val="32"/>
                <w:highlight w:val="none"/>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0C4C286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32"/>
                <w:szCs w:val="32"/>
                <w:highlight w:val="none"/>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268AF7FA">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32"/>
                <w:szCs w:val="32"/>
                <w:highlight w:val="none"/>
                <w:u w:val="none"/>
              </w:rPr>
            </w:pPr>
          </w:p>
        </w:tc>
        <w:tc>
          <w:tcPr>
            <w:tcW w:w="2658" w:type="dxa"/>
            <w:tcBorders>
              <w:top w:val="single" w:color="000000" w:sz="4" w:space="0"/>
              <w:left w:val="single" w:color="000000" w:sz="4" w:space="0"/>
              <w:bottom w:val="single" w:color="000000" w:sz="4" w:space="0"/>
              <w:right w:val="single" w:color="000000" w:sz="4" w:space="0"/>
            </w:tcBorders>
            <w:noWrap/>
            <w:vAlign w:val="center"/>
          </w:tcPr>
          <w:p w14:paraId="7344BFD2">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auto"/>
                <w:sz w:val="32"/>
                <w:szCs w:val="32"/>
                <w:highlight w:val="none"/>
                <w:u w:val="no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原屋面拆除由各投标人自行报价回收，回收费用直接抵扣本次项目工程款。</w:t>
            </w:r>
          </w:p>
        </w:tc>
      </w:tr>
      <w:tr w14:paraId="19591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174" w:type="dxa"/>
            <w:gridSpan w:val="8"/>
            <w:tcBorders>
              <w:top w:val="nil"/>
              <w:left w:val="nil"/>
              <w:bottom w:val="nil"/>
              <w:right w:val="nil"/>
            </w:tcBorders>
            <w:noWrap/>
            <w:vAlign w:val="center"/>
          </w:tcPr>
          <w:p w14:paraId="7DE2EF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二公司检修沟平整清单</w:t>
            </w:r>
          </w:p>
        </w:tc>
      </w:tr>
      <w:tr w14:paraId="218E6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5" w:type="dxa"/>
            <w:tcBorders>
              <w:top w:val="single" w:color="000000" w:sz="4" w:space="0"/>
              <w:left w:val="single" w:color="000000" w:sz="4" w:space="0"/>
              <w:bottom w:val="single" w:color="000000" w:sz="4" w:space="0"/>
              <w:right w:val="single" w:color="000000" w:sz="4" w:space="0"/>
            </w:tcBorders>
            <w:noWrap/>
            <w:vAlign w:val="center"/>
          </w:tcPr>
          <w:p w14:paraId="1643B9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1723B7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材料名称</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7752AA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规格型号</w:t>
            </w:r>
          </w:p>
        </w:tc>
        <w:tc>
          <w:tcPr>
            <w:tcW w:w="931" w:type="dxa"/>
            <w:tcBorders>
              <w:top w:val="single" w:color="000000" w:sz="4" w:space="0"/>
              <w:left w:val="single" w:color="000000" w:sz="4" w:space="0"/>
              <w:bottom w:val="single" w:color="000000" w:sz="4" w:space="0"/>
              <w:right w:val="single" w:color="000000" w:sz="4" w:space="0"/>
            </w:tcBorders>
            <w:noWrap/>
            <w:vAlign w:val="center"/>
          </w:tcPr>
          <w:p w14:paraId="4B8107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76CBB3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品牌</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759427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单价</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6CA9E2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金额</w:t>
            </w:r>
          </w:p>
        </w:tc>
        <w:tc>
          <w:tcPr>
            <w:tcW w:w="2658" w:type="dxa"/>
            <w:tcBorders>
              <w:top w:val="single" w:color="000000" w:sz="4" w:space="0"/>
              <w:left w:val="single" w:color="000000" w:sz="4" w:space="0"/>
              <w:bottom w:val="single" w:color="000000" w:sz="4" w:space="0"/>
              <w:right w:val="single" w:color="000000" w:sz="4" w:space="0"/>
            </w:tcBorders>
            <w:noWrap/>
            <w:vAlign w:val="center"/>
          </w:tcPr>
          <w:p w14:paraId="7EE9AE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备注</w:t>
            </w:r>
          </w:p>
        </w:tc>
      </w:tr>
      <w:tr w14:paraId="501B6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55" w:type="dxa"/>
            <w:tcBorders>
              <w:top w:val="single" w:color="000000" w:sz="4" w:space="0"/>
              <w:left w:val="single" w:color="000000" w:sz="4" w:space="0"/>
              <w:bottom w:val="single" w:color="000000" w:sz="4" w:space="0"/>
              <w:right w:val="single" w:color="000000" w:sz="4" w:space="0"/>
            </w:tcBorders>
            <w:noWrap/>
            <w:vAlign w:val="center"/>
          </w:tcPr>
          <w:p w14:paraId="03EFEA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1A8CAA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检修沟地坪切割、挖渣清运、夯实；</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375CD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931" w:type="dxa"/>
            <w:tcBorders>
              <w:top w:val="single" w:color="000000" w:sz="4" w:space="0"/>
              <w:left w:val="single" w:color="000000" w:sz="4" w:space="0"/>
              <w:bottom w:val="single" w:color="000000" w:sz="4" w:space="0"/>
              <w:right w:val="single" w:color="000000" w:sz="4" w:space="0"/>
            </w:tcBorders>
            <w:noWrap/>
            <w:vAlign w:val="center"/>
          </w:tcPr>
          <w:p w14:paraId="1E96A5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见图纸</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689638EC">
            <w:pPr>
              <w:keepNext w:val="0"/>
              <w:keepLines w:val="0"/>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78BDCD0F">
            <w:pPr>
              <w:keepNext w:val="0"/>
              <w:keepLines w:val="0"/>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23ABE817">
            <w:pPr>
              <w:keepNext w:val="0"/>
              <w:keepLines w:val="0"/>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c>
          <w:tcPr>
            <w:tcW w:w="2658" w:type="dxa"/>
            <w:tcBorders>
              <w:top w:val="single" w:color="000000" w:sz="4" w:space="0"/>
              <w:left w:val="single" w:color="000000" w:sz="4" w:space="0"/>
              <w:bottom w:val="single" w:color="000000" w:sz="4" w:space="0"/>
              <w:right w:val="single" w:color="000000" w:sz="4" w:space="0"/>
            </w:tcBorders>
            <w:noWrap/>
            <w:vAlign w:val="center"/>
          </w:tcPr>
          <w:p w14:paraId="700DB6A0">
            <w:pPr>
              <w:keepNext w:val="0"/>
              <w:keepLines w:val="0"/>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r>
      <w:tr w14:paraId="5451F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5" w:type="dxa"/>
            <w:tcBorders>
              <w:top w:val="single" w:color="000000" w:sz="4" w:space="0"/>
              <w:left w:val="single" w:color="000000" w:sz="4" w:space="0"/>
              <w:bottom w:val="single" w:color="000000" w:sz="4" w:space="0"/>
              <w:right w:val="single" w:color="000000" w:sz="4" w:space="0"/>
            </w:tcBorders>
            <w:noWrap/>
            <w:vAlign w:val="center"/>
          </w:tcPr>
          <w:p w14:paraId="4E49BB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5720C7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回填15cm碎石，夯实；</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C2D4F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931" w:type="dxa"/>
            <w:tcBorders>
              <w:top w:val="single" w:color="000000" w:sz="4" w:space="0"/>
              <w:left w:val="single" w:color="000000" w:sz="4" w:space="0"/>
              <w:bottom w:val="single" w:color="000000" w:sz="4" w:space="0"/>
              <w:right w:val="single" w:color="000000" w:sz="4" w:space="0"/>
            </w:tcBorders>
            <w:noWrap/>
            <w:vAlign w:val="center"/>
          </w:tcPr>
          <w:p w14:paraId="3D70D8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见图纸</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718CBBE0">
            <w:pPr>
              <w:keepNext w:val="0"/>
              <w:keepLines w:val="0"/>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4467B9AE">
            <w:pPr>
              <w:keepNext w:val="0"/>
              <w:keepLines w:val="0"/>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1D427BC9">
            <w:pPr>
              <w:keepNext w:val="0"/>
              <w:keepLines w:val="0"/>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c>
          <w:tcPr>
            <w:tcW w:w="2658" w:type="dxa"/>
            <w:tcBorders>
              <w:top w:val="single" w:color="000000" w:sz="4" w:space="0"/>
              <w:left w:val="single" w:color="000000" w:sz="4" w:space="0"/>
              <w:bottom w:val="single" w:color="000000" w:sz="4" w:space="0"/>
              <w:right w:val="single" w:color="000000" w:sz="4" w:space="0"/>
            </w:tcBorders>
            <w:noWrap/>
            <w:vAlign w:val="center"/>
          </w:tcPr>
          <w:p w14:paraId="7ED9BD73">
            <w:pPr>
              <w:keepNext w:val="0"/>
              <w:keepLines w:val="0"/>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r>
      <w:tr w14:paraId="0087C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5" w:type="dxa"/>
            <w:tcBorders>
              <w:top w:val="single" w:color="000000" w:sz="4" w:space="0"/>
              <w:left w:val="single" w:color="000000" w:sz="4" w:space="0"/>
              <w:bottom w:val="single" w:color="000000" w:sz="4" w:space="0"/>
              <w:right w:val="single" w:color="000000" w:sz="4" w:space="0"/>
            </w:tcBorders>
            <w:noWrap/>
            <w:vAlign w:val="center"/>
          </w:tcPr>
          <w:p w14:paraId="1C6E77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1D1A5B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浇筑25cm厚C30混凝土。</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373CBC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t>
            </w:r>
          </w:p>
        </w:tc>
        <w:tc>
          <w:tcPr>
            <w:tcW w:w="931" w:type="dxa"/>
            <w:tcBorders>
              <w:top w:val="single" w:color="000000" w:sz="4" w:space="0"/>
              <w:left w:val="single" w:color="000000" w:sz="4" w:space="0"/>
              <w:bottom w:val="single" w:color="000000" w:sz="4" w:space="0"/>
              <w:right w:val="single" w:color="000000" w:sz="4" w:space="0"/>
            </w:tcBorders>
            <w:noWrap/>
            <w:vAlign w:val="center"/>
          </w:tcPr>
          <w:p w14:paraId="573295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见图纸</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352CE835">
            <w:pPr>
              <w:keepNext w:val="0"/>
              <w:keepLines w:val="0"/>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5F5D7788">
            <w:pPr>
              <w:keepNext w:val="0"/>
              <w:keepLines w:val="0"/>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2D8FFB2E">
            <w:pPr>
              <w:keepNext w:val="0"/>
              <w:keepLines w:val="0"/>
              <w:suppressLineNumbers w:val="0"/>
              <w:spacing w:before="0" w:beforeAutospacing="0" w:after="0" w:afterAutospacing="0"/>
              <w:ind w:left="0" w:right="0"/>
              <w:rPr>
                <w:rFonts w:hint="eastAsia" w:ascii="宋体" w:hAnsi="宋体" w:eastAsia="宋体" w:cs="宋体"/>
                <w:i w:val="0"/>
                <w:iCs w:val="0"/>
                <w:color w:val="auto"/>
                <w:sz w:val="22"/>
                <w:szCs w:val="22"/>
                <w:highlight w:val="none"/>
                <w:u w:val="none"/>
              </w:rPr>
            </w:pPr>
          </w:p>
        </w:tc>
        <w:tc>
          <w:tcPr>
            <w:tcW w:w="2658" w:type="dxa"/>
            <w:tcBorders>
              <w:top w:val="single" w:color="000000" w:sz="4" w:space="0"/>
              <w:left w:val="single" w:color="000000" w:sz="4" w:space="0"/>
              <w:bottom w:val="single" w:color="000000" w:sz="4" w:space="0"/>
              <w:right w:val="single" w:color="000000" w:sz="4" w:space="0"/>
            </w:tcBorders>
            <w:noWrap/>
            <w:vAlign w:val="center"/>
          </w:tcPr>
          <w:p w14:paraId="312BCD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含刻纹、养护等</w:t>
            </w:r>
          </w:p>
        </w:tc>
      </w:tr>
      <w:tr w14:paraId="56107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5" w:type="dxa"/>
            <w:tcBorders>
              <w:top w:val="single" w:color="000000" w:sz="4" w:space="0"/>
              <w:left w:val="single" w:color="000000" w:sz="4" w:space="0"/>
              <w:bottom w:val="single" w:color="000000" w:sz="4" w:space="0"/>
              <w:right w:val="single" w:color="000000" w:sz="4" w:space="0"/>
            </w:tcBorders>
            <w:noWrap/>
            <w:vAlign w:val="center"/>
          </w:tcPr>
          <w:p w14:paraId="74F980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8419" w:type="dxa"/>
            <w:gridSpan w:val="7"/>
            <w:tcBorders>
              <w:top w:val="single" w:color="000000" w:sz="4" w:space="0"/>
              <w:left w:val="single" w:color="000000" w:sz="4" w:space="0"/>
              <w:bottom w:val="single" w:color="000000" w:sz="4" w:space="0"/>
              <w:right w:val="single" w:color="000000" w:sz="4" w:space="0"/>
            </w:tcBorders>
            <w:noWrap/>
            <w:vAlign w:val="center"/>
          </w:tcPr>
          <w:p w14:paraId="5FE7EC9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bl>
    <w:p w14:paraId="1395B553">
      <w:pPr>
        <w:adjustRightInd w:val="0"/>
        <w:snapToGrid w:val="0"/>
        <w:spacing w:line="360" w:lineRule="auto"/>
        <w:rPr>
          <w:rFonts w:hint="eastAsia" w:ascii="宋体" w:hAnsi="宋体" w:eastAsia="宋体" w:cs="宋体"/>
          <w:b w:val="0"/>
          <w:bCs w:val="0"/>
          <w:color w:val="auto"/>
          <w:szCs w:val="21"/>
          <w:highlight w:val="none"/>
          <w:lang w:val="en-US" w:eastAsia="zh-CN"/>
        </w:rPr>
      </w:pPr>
    </w:p>
    <w:p w14:paraId="3B17F259">
      <w:pPr>
        <w:adjustRightInd w:val="0"/>
        <w:snapToGrid w:val="0"/>
        <w:spacing w:line="360" w:lineRule="auto"/>
        <w:ind w:firstLine="420" w:firstLineChars="200"/>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注：</w:t>
      </w:r>
      <w:r>
        <w:rPr>
          <w:rFonts w:hint="eastAsia" w:ascii="宋体" w:hAnsi="宋体" w:eastAsia="宋体" w:cs="宋体"/>
          <w:b w:val="0"/>
          <w:bCs w:val="0"/>
          <w:color w:val="auto"/>
          <w:szCs w:val="21"/>
          <w:highlight w:val="none"/>
          <w:lang w:val="en-US" w:eastAsia="zh-CN"/>
        </w:rPr>
        <w:t>1.清单中数量为预估量，具体由投标人结合结合图纸，自行踏勘现场，考虑报价，核对现场可能影响后期实施安装的全部因素，确保报价满足现场实际要求，费用包含在投标报价中；因未勘察现场而引起的一切责任由投标人自行承担。</w:t>
      </w:r>
    </w:p>
    <w:p w14:paraId="502FBDE9">
      <w:pPr>
        <w:adjustRightInd w:val="0"/>
        <w:snapToGrid w:val="0"/>
        <w:spacing w:line="360" w:lineRule="auto"/>
        <w:ind w:firstLine="420" w:firstLineChars="200"/>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w:t>
      </w:r>
      <w:r>
        <w:rPr>
          <w:rFonts w:hint="eastAsia" w:ascii="宋体" w:hAnsi="宋体" w:cs="宋体"/>
          <w:b w:val="0"/>
          <w:bCs w:val="0"/>
          <w:color w:val="auto"/>
          <w:szCs w:val="21"/>
          <w:highlight w:val="none"/>
          <w:lang w:val="en-US" w:eastAsia="zh-CN"/>
        </w:rPr>
        <w:t>本项目质量必须达到国家工程施工质量验收合格标准并通过验收。</w:t>
      </w:r>
    </w:p>
    <w:p w14:paraId="74AD759E">
      <w:pPr>
        <w:adjustRightInd w:val="0"/>
        <w:snapToGrid w:val="0"/>
        <w:spacing w:line="360" w:lineRule="auto"/>
        <w:ind w:firstLine="420" w:firstLineChars="200"/>
        <w:rPr>
          <w:rFonts w:hint="eastAsia" w:ascii="宋体" w:hAnsi="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w:t>
      </w:r>
      <w:r>
        <w:rPr>
          <w:rFonts w:hint="eastAsia" w:ascii="宋体" w:hAnsi="宋体" w:cs="宋体"/>
          <w:b w:val="0"/>
          <w:bCs w:val="0"/>
          <w:color w:val="auto"/>
          <w:szCs w:val="21"/>
          <w:highlight w:val="none"/>
          <w:lang w:val="en-US" w:eastAsia="zh-CN"/>
        </w:rPr>
        <w:t>.本项目所需设施设备等材料均由中标人自行采购，因材料质量引起的工程质量问题由中标人承担所造成的一切损失,并按合格标准更换、施工至合格。如招标人对某种或某些材料的质量有异议，有权提出停止使用的要求，中标人必须服从该要求。若该材料经权威检验部门鉴定确有质量问题，由此发生的一切费用由中标人自负，如果造成损失，承担全部赔偿责任。</w:t>
      </w:r>
    </w:p>
    <w:p w14:paraId="2BF8F82F">
      <w:pPr>
        <w:adjustRightInd w:val="0"/>
        <w:snapToGrid w:val="0"/>
        <w:spacing w:line="360" w:lineRule="auto"/>
        <w:ind w:firstLine="420" w:firstLineChars="200"/>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4.中标人应做到安全施工、文明施工，如造成安全事故由中标人承担全部法律负责和经济赔偿责任。</w:t>
      </w:r>
    </w:p>
    <w:p w14:paraId="68992AA1">
      <w:pPr>
        <w:adjustRightInd w:val="0"/>
        <w:snapToGrid w:val="0"/>
        <w:spacing w:line="360" w:lineRule="auto"/>
        <w:ind w:firstLine="420" w:firstLineChars="200"/>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5.中标人须设有维修服务电话和专人，负责解答用户在货物使用中遇到的问题，及时提出解决问题的建议和操作方法。</w:t>
      </w:r>
    </w:p>
    <w:p w14:paraId="2EB3BE0F">
      <w:pPr>
        <w:adjustRightInd w:val="0"/>
        <w:snapToGrid w:val="0"/>
        <w:spacing w:line="360" w:lineRule="auto"/>
        <w:ind w:firstLine="420" w:firstLineChars="200"/>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6.售后服务响应时间：如货物出现故障，电话响应无法解决，中标人必须在接报修电话12小时内到现场并解决问题。</w:t>
      </w:r>
    </w:p>
    <w:p w14:paraId="168D8F4E">
      <w:pPr>
        <w:adjustRightInd w:val="0"/>
        <w:snapToGrid w:val="0"/>
        <w:spacing w:line="360" w:lineRule="auto"/>
        <w:ind w:firstLine="420" w:firstLineChars="200"/>
        <w:rPr>
          <w:rFonts w:hint="eastAsia" w:ascii="Courier New" w:hAnsi="Courier New" w:eastAsia="宋体" w:cs="Times New Roman"/>
          <w:color w:val="auto"/>
          <w:kern w:val="2"/>
          <w:sz w:val="21"/>
          <w:szCs w:val="21"/>
          <w:highlight w:val="none"/>
          <w:lang w:val="en-US" w:eastAsia="zh-CN" w:bidi="ar-SA"/>
        </w:rPr>
      </w:pPr>
      <w:r>
        <w:rPr>
          <w:rFonts w:hint="eastAsia" w:ascii="宋体" w:hAnsi="宋体" w:cs="宋体"/>
          <w:b w:val="0"/>
          <w:bCs w:val="0"/>
          <w:color w:val="auto"/>
          <w:szCs w:val="21"/>
          <w:highlight w:val="none"/>
          <w:lang w:val="en-US" w:eastAsia="zh-CN"/>
        </w:rPr>
        <w:t>7.本项目采用</w:t>
      </w:r>
      <w:r>
        <w:rPr>
          <w:rFonts w:hint="eastAsia" w:ascii="Courier New" w:hAnsi="Courier New" w:eastAsia="宋体" w:cs="Times New Roman"/>
          <w:color w:val="auto"/>
          <w:kern w:val="2"/>
          <w:sz w:val="21"/>
          <w:szCs w:val="21"/>
          <w:highlight w:val="none"/>
          <w:lang w:val="en-US" w:eastAsia="zh-CN" w:bidi="ar-SA"/>
        </w:rPr>
        <w:t>综合</w:t>
      </w:r>
      <w:r>
        <w:rPr>
          <w:rFonts w:hint="eastAsia" w:ascii="Courier New" w:hAnsi="Courier New" w:cs="Times New Roman"/>
          <w:color w:val="auto"/>
          <w:kern w:val="2"/>
          <w:sz w:val="21"/>
          <w:szCs w:val="21"/>
          <w:highlight w:val="none"/>
          <w:lang w:val="en-US" w:eastAsia="zh-CN" w:bidi="ar-SA"/>
        </w:rPr>
        <w:t>单价</w:t>
      </w:r>
      <w:r>
        <w:rPr>
          <w:rFonts w:hint="eastAsia" w:ascii="Courier New" w:hAnsi="Courier New" w:eastAsia="宋体" w:cs="Times New Roman"/>
          <w:color w:val="auto"/>
          <w:kern w:val="2"/>
          <w:sz w:val="21"/>
          <w:szCs w:val="21"/>
          <w:highlight w:val="none"/>
          <w:lang w:val="en-US" w:eastAsia="zh-CN" w:bidi="ar-SA"/>
        </w:rPr>
        <w:t>报价，包含材料费、人工费、机械费、辅材费、运输费、安装调试费、安全文明施工费、税费、质保、现场清运等所有费用，报价人需自行踏勘现场，施工期间将不再额外支付任何费用，报价人须自行考虑投标风险。</w:t>
      </w:r>
    </w:p>
    <w:p w14:paraId="6F24DA9D">
      <w:pPr>
        <w:adjustRightInd w:val="0"/>
        <w:snapToGrid w:val="0"/>
        <w:spacing w:line="360" w:lineRule="auto"/>
        <w:ind w:firstLine="422" w:firstLineChars="200"/>
        <w:rPr>
          <w:rFonts w:hint="default" w:ascii="Courier New" w:hAnsi="Courier New" w:eastAsia="宋体" w:cs="Times New Roman"/>
          <w:color w:val="auto"/>
          <w:kern w:val="2"/>
          <w:sz w:val="21"/>
          <w:szCs w:val="21"/>
          <w:highlight w:val="none"/>
          <w:lang w:val="en-US" w:eastAsia="zh-CN" w:bidi="ar-SA"/>
        </w:rPr>
      </w:pPr>
      <w:r>
        <w:rPr>
          <w:rFonts w:hint="eastAsia" w:ascii="Courier New" w:hAnsi="Courier New" w:cs="Times New Roman"/>
          <w:b/>
          <w:bCs/>
          <w:color w:val="auto"/>
          <w:kern w:val="2"/>
          <w:sz w:val="21"/>
          <w:szCs w:val="21"/>
          <w:highlight w:val="none"/>
          <w:lang w:val="en-US" w:eastAsia="zh-CN" w:bidi="ar-SA"/>
        </w:rPr>
        <w:t>8.报价包含9%增值税专用发票，成交总价不作调整，后期不再另行增加费用。本次招标将原有屋面（厂房顶棚）拆除及回收纳入投标范围，由各投标人对屋面（厂房顶棚）回收事项自行报价，屋面（厂房顶棚）处置所得费用直接抵扣本次项目工程款。</w:t>
      </w:r>
    </w:p>
    <w:p w14:paraId="58701BED">
      <w:pPr>
        <w:rPr>
          <w:rFonts w:hint="eastAsia" w:ascii="Arial" w:hAnsi="Arial" w:eastAsia="宋体" w:cs="Times New Roman"/>
          <w:b/>
          <w:bCs/>
          <w:color w:val="auto"/>
          <w:kern w:val="0"/>
          <w:sz w:val="32"/>
          <w:szCs w:val="32"/>
          <w:highlight w:val="none"/>
          <w:lang w:val="en-US" w:eastAsia="zh-CN" w:bidi="ar-SA"/>
        </w:rPr>
      </w:pPr>
      <w:bookmarkStart w:id="889" w:name="_Toc20597"/>
      <w:bookmarkStart w:id="890" w:name="_Toc25013"/>
      <w:bookmarkStart w:id="891" w:name="_Toc10023"/>
      <w:r>
        <w:rPr>
          <w:rFonts w:hint="eastAsia" w:ascii="Arial" w:hAnsi="Arial" w:eastAsia="宋体" w:cs="Times New Roman"/>
          <w:b/>
          <w:bCs/>
          <w:color w:val="auto"/>
          <w:kern w:val="0"/>
          <w:sz w:val="32"/>
          <w:szCs w:val="32"/>
          <w:highlight w:val="none"/>
          <w:lang w:val="en-US" w:eastAsia="zh-CN" w:bidi="ar-SA"/>
        </w:rPr>
        <w:br w:type="page"/>
      </w:r>
    </w:p>
    <w:bookmarkEnd w:id="889"/>
    <w:bookmarkEnd w:id="890"/>
    <w:bookmarkEnd w:id="891"/>
    <w:p w14:paraId="32357EC1">
      <w:pPr>
        <w:pStyle w:val="44"/>
        <w:numPr>
          <w:ilvl w:val="0"/>
          <w:numId w:val="0"/>
        </w:numPr>
        <w:spacing w:beforeLines="50" w:afterLines="50" w:line="440" w:lineRule="exact"/>
        <w:rPr>
          <w:rFonts w:hint="eastAsia" w:ascii="Arial" w:hAnsi="Arial" w:eastAsia="宋体" w:cs="Times New Roman"/>
          <w:b/>
          <w:bCs/>
          <w:color w:val="auto"/>
          <w:kern w:val="0"/>
          <w:sz w:val="32"/>
          <w:szCs w:val="32"/>
          <w:highlight w:val="none"/>
          <w:lang w:val="en-US" w:eastAsia="zh-CN" w:bidi="ar-SA"/>
        </w:rPr>
      </w:pPr>
      <w:bookmarkStart w:id="892" w:name="_Toc10062"/>
      <w:bookmarkStart w:id="893" w:name="_Toc5279"/>
      <w:bookmarkStart w:id="894" w:name="_Toc8272"/>
      <w:r>
        <w:rPr>
          <w:rFonts w:hint="eastAsia" w:ascii="Arial" w:hAnsi="Arial" w:eastAsia="宋体" w:cs="Times New Roman"/>
          <w:b/>
          <w:bCs/>
          <w:color w:val="auto"/>
          <w:kern w:val="0"/>
          <w:sz w:val="32"/>
          <w:szCs w:val="32"/>
          <w:highlight w:val="none"/>
          <w:lang w:val="en-US" w:eastAsia="zh-CN" w:bidi="ar-SA"/>
        </w:rPr>
        <w:t>第六章  投标文件格式</w:t>
      </w:r>
      <w:bookmarkEnd w:id="868"/>
      <w:bookmarkEnd w:id="869"/>
      <w:bookmarkEnd w:id="870"/>
      <w:bookmarkEnd w:id="871"/>
      <w:bookmarkEnd w:id="872"/>
      <w:bookmarkEnd w:id="873"/>
      <w:bookmarkEnd w:id="874"/>
      <w:bookmarkEnd w:id="875"/>
      <w:bookmarkEnd w:id="876"/>
      <w:bookmarkEnd w:id="877"/>
      <w:bookmarkEnd w:id="878"/>
      <w:bookmarkEnd w:id="879"/>
      <w:bookmarkEnd w:id="880"/>
      <w:bookmarkEnd w:id="892"/>
      <w:bookmarkEnd w:id="893"/>
      <w:bookmarkEnd w:id="894"/>
    </w:p>
    <w:p w14:paraId="30E561DA">
      <w:pPr>
        <w:rPr>
          <w:color w:val="auto"/>
          <w:highlight w:val="none"/>
        </w:rPr>
      </w:pPr>
    </w:p>
    <w:p w14:paraId="3ADE262B">
      <w:pPr>
        <w:rPr>
          <w:color w:val="auto"/>
          <w:highlight w:val="none"/>
        </w:rPr>
      </w:pPr>
    </w:p>
    <w:p w14:paraId="2AA7DA25">
      <w:pPr>
        <w:rPr>
          <w:color w:val="auto"/>
          <w:highlight w:val="none"/>
        </w:rPr>
      </w:pPr>
    </w:p>
    <w:p w14:paraId="65BAC7DC">
      <w:pPr>
        <w:jc w:val="center"/>
        <w:rPr>
          <w:rFonts w:eastAsia="黑体"/>
          <w:color w:val="auto"/>
          <w:sz w:val="20"/>
          <w:szCs w:val="20"/>
          <w:highlight w:val="none"/>
        </w:rPr>
      </w:pPr>
      <w:r>
        <w:rPr>
          <w:rFonts w:eastAsia="黑体"/>
          <w:color w:val="auto"/>
          <w:sz w:val="28"/>
          <w:szCs w:val="28"/>
          <w:highlight w:val="none"/>
        </w:rPr>
        <w:t>（项目名称）</w:t>
      </w:r>
    </w:p>
    <w:p w14:paraId="41EA6429">
      <w:pPr>
        <w:jc w:val="center"/>
        <w:rPr>
          <w:rFonts w:eastAsia="黑体"/>
          <w:color w:val="auto"/>
          <w:sz w:val="20"/>
          <w:szCs w:val="20"/>
          <w:highlight w:val="none"/>
        </w:rPr>
      </w:pPr>
    </w:p>
    <w:p w14:paraId="184AA04A">
      <w:pPr>
        <w:jc w:val="center"/>
        <w:rPr>
          <w:rFonts w:eastAsia="黑体"/>
          <w:color w:val="auto"/>
          <w:sz w:val="20"/>
          <w:szCs w:val="20"/>
          <w:highlight w:val="none"/>
        </w:rPr>
      </w:pPr>
    </w:p>
    <w:p w14:paraId="313DF073">
      <w:pPr>
        <w:jc w:val="center"/>
        <w:rPr>
          <w:rFonts w:eastAsia="黑体"/>
          <w:color w:val="auto"/>
          <w:sz w:val="20"/>
          <w:szCs w:val="20"/>
          <w:highlight w:val="none"/>
        </w:rPr>
      </w:pPr>
    </w:p>
    <w:p w14:paraId="2070887A">
      <w:pPr>
        <w:rPr>
          <w:rFonts w:eastAsia="黑体"/>
          <w:color w:val="auto"/>
          <w:sz w:val="20"/>
          <w:szCs w:val="20"/>
          <w:highlight w:val="none"/>
        </w:rPr>
      </w:pPr>
    </w:p>
    <w:p w14:paraId="4F11BA88">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一</w:t>
      </w:r>
    </w:p>
    <w:p w14:paraId="0C10C1D2">
      <w:pPr>
        <w:jc w:val="center"/>
        <w:rPr>
          <w:rFonts w:eastAsia="黑体"/>
          <w:color w:val="auto"/>
          <w:sz w:val="44"/>
          <w:szCs w:val="44"/>
          <w:highlight w:val="none"/>
        </w:rPr>
      </w:pPr>
      <w:r>
        <w:rPr>
          <w:rFonts w:hint="eastAsia" w:eastAsia="黑体"/>
          <w:color w:val="auto"/>
          <w:sz w:val="44"/>
          <w:szCs w:val="44"/>
          <w:highlight w:val="none"/>
        </w:rPr>
        <w:t>（资信证明文件）</w:t>
      </w:r>
    </w:p>
    <w:p w14:paraId="7BF1B98E">
      <w:pPr>
        <w:rPr>
          <w:rFonts w:eastAsia="黑体"/>
          <w:color w:val="auto"/>
          <w:sz w:val="28"/>
          <w:szCs w:val="28"/>
          <w:highlight w:val="none"/>
        </w:rPr>
      </w:pPr>
    </w:p>
    <w:p w14:paraId="68699899">
      <w:pPr>
        <w:rPr>
          <w:rFonts w:eastAsia="黑体"/>
          <w:color w:val="auto"/>
          <w:sz w:val="28"/>
          <w:szCs w:val="28"/>
          <w:highlight w:val="none"/>
        </w:rPr>
      </w:pPr>
    </w:p>
    <w:p w14:paraId="718FD052">
      <w:pPr>
        <w:rPr>
          <w:rFonts w:eastAsia="黑体"/>
          <w:color w:val="auto"/>
          <w:sz w:val="28"/>
          <w:szCs w:val="28"/>
          <w:highlight w:val="none"/>
        </w:rPr>
      </w:pPr>
    </w:p>
    <w:p w14:paraId="27E2CA0B">
      <w:pPr>
        <w:jc w:val="center"/>
        <w:rPr>
          <w:rFonts w:hint="default" w:eastAsia="黑体"/>
          <w:color w:val="auto"/>
          <w:sz w:val="28"/>
          <w:szCs w:val="28"/>
          <w:highlight w:val="none"/>
          <w:lang w:val="en-US" w:eastAsia="zh-CN"/>
        </w:rPr>
      </w:pPr>
      <w:r>
        <w:rPr>
          <w:rFonts w:hint="eastAsia" w:eastAsia="黑体"/>
          <w:color w:val="auto"/>
          <w:sz w:val="28"/>
          <w:szCs w:val="28"/>
          <w:highlight w:val="none"/>
        </w:rPr>
        <w:t>项目编号：</w:t>
      </w:r>
      <w:r>
        <w:rPr>
          <w:rFonts w:hint="eastAsia" w:eastAsia="黑体"/>
          <w:color w:val="auto"/>
          <w:sz w:val="28"/>
          <w:szCs w:val="28"/>
          <w:highlight w:val="none"/>
          <w:u w:val="single"/>
          <w:lang w:val="en-US" w:eastAsia="zh-CN"/>
        </w:rPr>
        <w:t xml:space="preserve">    </w:t>
      </w:r>
    </w:p>
    <w:p w14:paraId="328B984C">
      <w:pPr>
        <w:pStyle w:val="14"/>
        <w:ind w:firstLine="420"/>
        <w:rPr>
          <w:rFonts w:ascii="Times New Roman"/>
          <w:color w:val="auto"/>
          <w:szCs w:val="24"/>
          <w:highlight w:val="none"/>
        </w:rPr>
      </w:pPr>
    </w:p>
    <w:p w14:paraId="52140B17">
      <w:pPr>
        <w:rPr>
          <w:rFonts w:ascii="Times New Roman"/>
          <w:color w:val="auto"/>
          <w:szCs w:val="24"/>
          <w:highlight w:val="none"/>
        </w:rPr>
      </w:pPr>
    </w:p>
    <w:p w14:paraId="37D7086B">
      <w:pPr>
        <w:pStyle w:val="14"/>
        <w:rPr>
          <w:rFonts w:ascii="Times New Roman"/>
          <w:color w:val="auto"/>
          <w:szCs w:val="24"/>
          <w:highlight w:val="none"/>
        </w:rPr>
      </w:pPr>
    </w:p>
    <w:p w14:paraId="0FBBAF9B">
      <w:pPr>
        <w:rPr>
          <w:rFonts w:ascii="Times New Roman"/>
          <w:color w:val="auto"/>
          <w:szCs w:val="24"/>
          <w:highlight w:val="none"/>
        </w:rPr>
      </w:pPr>
    </w:p>
    <w:p w14:paraId="267B9988">
      <w:pPr>
        <w:pStyle w:val="14"/>
        <w:rPr>
          <w:color w:val="auto"/>
          <w:highlight w:val="none"/>
        </w:rPr>
      </w:pPr>
    </w:p>
    <w:p w14:paraId="04BFC8C9">
      <w:pPr>
        <w:pStyle w:val="14"/>
        <w:ind w:firstLine="420"/>
        <w:rPr>
          <w:color w:val="auto"/>
          <w:highlight w:val="none"/>
        </w:rPr>
      </w:pPr>
    </w:p>
    <w:p w14:paraId="48A1BC3A">
      <w:pPr>
        <w:rPr>
          <w:rFonts w:eastAsia="黑体"/>
          <w:color w:val="auto"/>
          <w:sz w:val="28"/>
          <w:szCs w:val="28"/>
          <w:highlight w:val="none"/>
        </w:rPr>
      </w:pPr>
    </w:p>
    <w:p w14:paraId="4964A82C">
      <w:pPr>
        <w:rPr>
          <w:rFonts w:eastAsia="黑体"/>
          <w:color w:val="auto"/>
          <w:sz w:val="28"/>
          <w:szCs w:val="28"/>
          <w:highlight w:val="none"/>
        </w:rPr>
      </w:pPr>
    </w:p>
    <w:p w14:paraId="44178503">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1562099F">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030E3540">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4D454CD6">
      <w:pPr>
        <w:rPr>
          <w:color w:val="auto"/>
          <w:highlight w:val="none"/>
        </w:rPr>
      </w:pPr>
      <w:bookmarkStart w:id="895" w:name="_Toc35424971"/>
      <w:bookmarkStart w:id="896" w:name="_Toc12683"/>
      <w:bookmarkStart w:id="897" w:name="_Toc35425137"/>
    </w:p>
    <w:p w14:paraId="2301A984">
      <w:pPr>
        <w:spacing w:beforeLines="50" w:afterLines="50" w:line="440" w:lineRule="exact"/>
        <w:ind w:firstLine="643" w:firstLineChars="200"/>
        <w:jc w:val="left"/>
        <w:rPr>
          <w:rFonts w:ascii="宋体" w:hAnsi="宋体" w:cs="宋体"/>
          <w:b/>
          <w:color w:val="auto"/>
          <w:sz w:val="28"/>
          <w:szCs w:val="28"/>
          <w:highlight w:val="none"/>
        </w:rPr>
      </w:pPr>
      <w:bookmarkStart w:id="898" w:name="_Toc78803399"/>
      <w:r>
        <w:rPr>
          <w:rStyle w:val="66"/>
          <w:rFonts w:hint="eastAsia" w:ascii="宋体" w:hAnsi="宋体" w:cs="宋体"/>
          <w:color w:val="auto"/>
          <w:sz w:val="32"/>
          <w:highlight w:val="none"/>
        </w:rPr>
        <w:br w:type="page"/>
      </w:r>
      <w:bookmarkStart w:id="899" w:name="_Toc30830"/>
      <w:bookmarkStart w:id="900" w:name="_Toc32179"/>
      <w:bookmarkStart w:id="901" w:name="_Toc25912"/>
      <w:r>
        <w:rPr>
          <w:rStyle w:val="66"/>
          <w:rFonts w:hint="eastAsia" w:ascii="宋体" w:hAnsi="宋体" w:cs="宋体"/>
          <w:color w:val="auto"/>
          <w:sz w:val="32"/>
          <w:highlight w:val="none"/>
        </w:rPr>
        <w:t>投标文件一</w:t>
      </w:r>
      <w:bookmarkEnd w:id="895"/>
      <w:bookmarkEnd w:id="896"/>
      <w:bookmarkEnd w:id="897"/>
      <w:bookmarkEnd w:id="898"/>
      <w:bookmarkEnd w:id="899"/>
      <w:bookmarkEnd w:id="900"/>
      <w:bookmarkEnd w:id="901"/>
      <w:r>
        <w:rPr>
          <w:rFonts w:hint="eastAsia" w:ascii="宋体" w:hAnsi="宋体" w:cs="宋体"/>
          <w:b/>
          <w:color w:val="auto"/>
          <w:sz w:val="28"/>
          <w:szCs w:val="28"/>
          <w:highlight w:val="none"/>
        </w:rPr>
        <w:t>：资信证明文件目录</w:t>
      </w:r>
    </w:p>
    <w:p w14:paraId="4308EA4D">
      <w:pPr>
        <w:spacing w:line="440" w:lineRule="exact"/>
        <w:ind w:right="-168" w:rightChars="-8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14:paraId="17302F7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（2）诚信投标承诺书；</w:t>
      </w:r>
    </w:p>
    <w:p w14:paraId="22A0C39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（3）企业法人营业执照；</w:t>
      </w:r>
    </w:p>
    <w:p w14:paraId="0348C95A">
      <w:pPr>
        <w:spacing w:line="44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企业资质证书；</w:t>
      </w:r>
    </w:p>
    <w:p w14:paraId="5FDEDFC6">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企业安全生产许可证</w:t>
      </w:r>
      <w:r>
        <w:rPr>
          <w:rFonts w:hint="eastAsia" w:ascii="宋体" w:hAnsi="宋体" w:cs="宋体"/>
          <w:color w:val="auto"/>
          <w:szCs w:val="21"/>
          <w:highlight w:val="none"/>
          <w:lang w:eastAsia="zh-CN"/>
        </w:rPr>
        <w:t>；</w:t>
      </w:r>
    </w:p>
    <w:p w14:paraId="4EE5C1F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）项目经理（建造师）有效身份证、注册证书以及安全生产考核合格证书（B证）</w:t>
      </w:r>
      <w:r>
        <w:rPr>
          <w:rFonts w:hint="eastAsia" w:ascii="宋体" w:hAnsi="宋体" w:cs="宋体"/>
          <w:color w:val="auto"/>
          <w:szCs w:val="21"/>
          <w:highlight w:val="none"/>
        </w:rPr>
        <w:t>；</w:t>
      </w:r>
    </w:p>
    <w:p w14:paraId="74D791C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的法定代表人(或委托代理人)和拟任项目经理（建造师）须持有社保部门出具的本单位（或其不具备独立法人资格的分公司）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20A66887">
      <w:pPr>
        <w:spacing w:line="440" w:lineRule="exact"/>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资信评分评审所需材料；</w:t>
      </w:r>
    </w:p>
    <w:p w14:paraId="54F10C4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投标人认为需要的其它证明材料</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77364466">
      <w:pPr>
        <w:spacing w:line="360" w:lineRule="auto"/>
        <w:jc w:val="center"/>
        <w:rPr>
          <w:rFonts w:ascii="宋体"/>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（1）法定代表人身份证明或授权委托书</w:t>
      </w:r>
    </w:p>
    <w:p w14:paraId="29539D59">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b/>
          <w:color w:val="auto"/>
          <w:sz w:val="24"/>
          <w:szCs w:val="24"/>
          <w:highlight w:val="none"/>
        </w:rPr>
      </w:pPr>
      <w:bookmarkStart w:id="902" w:name="_Toc506107356"/>
      <w:bookmarkStart w:id="903" w:name="_Toc26598"/>
      <w:bookmarkStart w:id="904" w:name="_Toc503196197"/>
      <w:r>
        <w:rPr>
          <w:rFonts w:hint="eastAsia" w:ascii="宋体"/>
          <w:color w:val="auto"/>
          <w:sz w:val="24"/>
          <w:szCs w:val="24"/>
          <w:highlight w:val="none"/>
        </w:rPr>
        <w:t>1、法定代表人身份证明</w:t>
      </w:r>
    </w:p>
    <w:p w14:paraId="5B4CB34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p>
    <w:p w14:paraId="1F055C8B">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单位性质：</w:t>
      </w:r>
      <w:r>
        <w:rPr>
          <w:rFonts w:hint="eastAsia" w:ascii="宋体"/>
          <w:color w:val="auto"/>
          <w:sz w:val="24"/>
          <w:highlight w:val="none"/>
          <w:u w:val="single"/>
        </w:rPr>
        <w:t xml:space="preserve">                              </w:t>
      </w:r>
    </w:p>
    <w:p w14:paraId="23C52F3D">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p>
    <w:p w14:paraId="498E4EBE">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629022C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p>
    <w:p w14:paraId="071CAC8E">
      <w:pPr>
        <w:keepNext w:val="0"/>
        <w:keepLines w:val="0"/>
        <w:pageBreakBefore w:val="0"/>
        <w:kinsoku/>
        <w:wordWrap/>
        <w:overflowPunct/>
        <w:topLinePunct w:val="0"/>
        <w:autoSpaceDE/>
        <w:autoSpaceDN/>
        <w:bidi w:val="0"/>
        <w:adjustRightInd/>
        <w:snapToGrid/>
        <w:spacing w:line="440" w:lineRule="exact"/>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身份证号码：</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，系</w:t>
      </w:r>
      <w:r>
        <w:rPr>
          <w:rFonts w:hint="eastAsia" w:ascii="宋体"/>
          <w:color w:val="auto"/>
          <w:sz w:val="24"/>
          <w:highlight w:val="none"/>
          <w:u w:val="single"/>
        </w:rPr>
        <w:t xml:space="preserve">     （投标人名称）</w:t>
      </w:r>
      <w:r>
        <w:rPr>
          <w:rFonts w:hint="eastAsia" w:ascii="宋体"/>
          <w:color w:val="auto"/>
          <w:sz w:val="24"/>
          <w:highlight w:val="none"/>
        </w:rPr>
        <w:t>的法定代表人。</w:t>
      </w:r>
    </w:p>
    <w:p w14:paraId="1B2ACAC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特此证明。</w:t>
      </w:r>
    </w:p>
    <w:p w14:paraId="33827EAF">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签章</w:t>
      </w:r>
      <w:r>
        <w:rPr>
          <w:rFonts w:hint="eastAsia" w:ascii="宋体"/>
          <w:color w:val="auto"/>
          <w:sz w:val="24"/>
          <w:highlight w:val="none"/>
          <w:u w:val="single"/>
        </w:rPr>
        <w:t>）</w:t>
      </w:r>
    </w:p>
    <w:p w14:paraId="516F8066">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 xml:space="preserve">                                        年    月     日</w:t>
      </w:r>
    </w:p>
    <w:p w14:paraId="495C610B">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highlight w:val="none"/>
        </w:rPr>
      </w:pPr>
    </w:p>
    <w:p w14:paraId="6E3AE3E5">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color w:val="auto"/>
          <w:sz w:val="24"/>
          <w:szCs w:val="24"/>
          <w:highlight w:val="none"/>
        </w:rPr>
      </w:pPr>
      <w:r>
        <w:rPr>
          <w:rFonts w:hint="eastAsia" w:ascii="宋体"/>
          <w:color w:val="auto"/>
          <w:sz w:val="24"/>
          <w:szCs w:val="24"/>
          <w:highlight w:val="none"/>
        </w:rPr>
        <w:t>或1、授权委托书</w:t>
      </w:r>
    </w:p>
    <w:p w14:paraId="746C71D1">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（投标人）</w:t>
      </w:r>
      <w:r>
        <w:rPr>
          <w:rFonts w:hint="eastAsia" w:ascii="宋体"/>
          <w:color w:val="auto"/>
          <w:sz w:val="24"/>
          <w:highlight w:val="none"/>
        </w:rPr>
        <w:t>的法定代表人，现委托</w:t>
      </w:r>
      <w:r>
        <w:rPr>
          <w:rFonts w:hint="eastAsia" w:ascii="宋体"/>
          <w:color w:val="auto"/>
          <w:sz w:val="24"/>
          <w:highlight w:val="none"/>
          <w:u w:val="single"/>
        </w:rPr>
        <w:t>（姓名）</w:t>
      </w:r>
      <w:r>
        <w:rPr>
          <w:rFonts w:hint="eastAsia" w:ascii="宋体"/>
          <w:color w:val="auto"/>
          <w:sz w:val="24"/>
          <w:highlight w:val="none"/>
        </w:rPr>
        <w:t>为我方代理人。代理人根据授权，以我方名义签署、澄清、说明、补正、递交、撤回、修改</w:t>
      </w:r>
      <w:r>
        <w:rPr>
          <w:rFonts w:hint="eastAsia" w:ascii="宋体"/>
          <w:color w:val="auto"/>
          <w:sz w:val="24"/>
          <w:highlight w:val="none"/>
          <w:u w:val="single"/>
        </w:rPr>
        <w:t xml:space="preserve"> “   ”(项目名称</w:t>
      </w:r>
      <w:r>
        <w:rPr>
          <w:rFonts w:hint="eastAsia" w:ascii="宋体"/>
          <w:color w:val="auto"/>
          <w:sz w:val="24"/>
          <w:highlight w:val="none"/>
          <w:u w:val="single"/>
          <w:lang w:eastAsia="zh-CN"/>
        </w:rPr>
        <w:t>、</w:t>
      </w:r>
      <w:r>
        <w:rPr>
          <w:rFonts w:hint="eastAsia" w:ascii="宋体"/>
          <w:color w:val="auto"/>
          <w:sz w:val="24"/>
          <w:highlight w:val="none"/>
          <w:u w:val="single"/>
          <w:lang w:val="en-US" w:eastAsia="zh-CN"/>
        </w:rPr>
        <w:t>编号</w:t>
      </w:r>
      <w:r>
        <w:rPr>
          <w:rFonts w:hint="eastAsia" w:ascii="宋体"/>
          <w:color w:val="auto"/>
          <w:sz w:val="24"/>
          <w:highlight w:val="none"/>
          <w:u w:val="single"/>
        </w:rPr>
        <w:t>）</w:t>
      </w:r>
      <w:r>
        <w:rPr>
          <w:rFonts w:hint="eastAsia" w:ascii="宋体"/>
          <w:color w:val="auto"/>
          <w:sz w:val="24"/>
          <w:highlight w:val="none"/>
        </w:rPr>
        <w:t>投标文件，全权处理与该项目投标、评审答疑、签订合同以及与合同执行有关的一切事务，其法律后果由我方承担。</w:t>
      </w:r>
    </w:p>
    <w:p w14:paraId="3D024535">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lang w:val="en-US" w:eastAsia="zh-CN"/>
        </w:rPr>
        <w:t xml:space="preserve">              </w:t>
      </w:r>
      <w:r>
        <w:rPr>
          <w:rFonts w:hint="eastAsia" w:ascii="宋体" w:cs="宋体"/>
          <w:color w:val="auto"/>
          <w:sz w:val="24"/>
          <w:highlight w:val="none"/>
        </w:rPr>
        <w:t>。</w:t>
      </w:r>
    </w:p>
    <w:p w14:paraId="48F2B58D">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7B27CFD2">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委托代理人有效身份证扫描件</w:t>
      </w:r>
    </w:p>
    <w:p w14:paraId="63E97D39">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color w:val="auto"/>
          <w:sz w:val="24"/>
          <w:highlight w:val="none"/>
        </w:rPr>
      </w:pPr>
      <w:r>
        <w:rPr>
          <w:rFonts w:hint="eastAsia" w:ascii="宋体"/>
          <w:b/>
          <w:color w:val="auto"/>
          <w:sz w:val="24"/>
          <w:highlight w:val="none"/>
        </w:rPr>
        <w:t>法定代表人有效身份证扫描件</w:t>
      </w:r>
    </w:p>
    <w:p w14:paraId="49F300FA">
      <w:pPr>
        <w:keepNext w:val="0"/>
        <w:keepLines w:val="0"/>
        <w:pageBreakBefore w:val="0"/>
        <w:kinsoku/>
        <w:wordWrap/>
        <w:overflowPunct/>
        <w:topLinePunct w:val="0"/>
        <w:autoSpaceDE/>
        <w:autoSpaceDN/>
        <w:bidi w:val="0"/>
        <w:adjustRightInd/>
        <w:snapToGrid/>
        <w:spacing w:line="440" w:lineRule="exact"/>
        <w:ind w:firstLine="833" w:firstLineChars="397"/>
        <w:rPr>
          <w:color w:val="auto"/>
          <w:highlight w:val="none"/>
        </w:rPr>
      </w:pPr>
    </w:p>
    <w:p w14:paraId="0A0F0529">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投标人（签章）：</w:t>
      </w:r>
    </w:p>
    <w:p w14:paraId="529F7847">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（签章）</w:t>
      </w:r>
    </w:p>
    <w:p w14:paraId="746C8EAD">
      <w:pPr>
        <w:keepNext w:val="0"/>
        <w:keepLines w:val="0"/>
        <w:pageBreakBefore w:val="0"/>
        <w:kinsoku/>
        <w:wordWrap/>
        <w:overflowPunct/>
        <w:topLinePunct w:val="0"/>
        <w:autoSpaceDE/>
        <w:autoSpaceDN/>
        <w:bidi w:val="0"/>
        <w:adjustRightInd/>
        <w:snapToGrid/>
        <w:spacing w:line="440" w:lineRule="exact"/>
        <w:ind w:firstLine="5640" w:firstLineChars="23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联系电话：</w:t>
      </w:r>
    </w:p>
    <w:p w14:paraId="2F3A48B6">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委托代理人（身份证号码）：    </w:t>
      </w:r>
    </w:p>
    <w:p w14:paraId="10F0CCF9">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 xml:space="preserve"> 联系电话：</w:t>
      </w:r>
    </w:p>
    <w:p w14:paraId="03404D0F">
      <w:pPr>
        <w:keepNext w:val="0"/>
        <w:keepLines w:val="0"/>
        <w:pageBreakBefore w:val="0"/>
        <w:kinsoku/>
        <w:wordWrap/>
        <w:overflowPunct/>
        <w:topLinePunct w:val="0"/>
        <w:autoSpaceDE/>
        <w:autoSpaceDN/>
        <w:bidi w:val="0"/>
        <w:adjustRightInd/>
        <w:snapToGrid/>
        <w:spacing w:line="440" w:lineRule="exact"/>
        <w:ind w:firstLine="5700" w:firstLineChars="2375"/>
        <w:rPr>
          <w:rFonts w:hint="eastAsia"/>
          <w:b/>
          <w:color w:val="auto"/>
          <w:sz w:val="28"/>
          <w:szCs w:val="28"/>
          <w:highlight w:val="none"/>
        </w:rPr>
      </w:pPr>
      <w:r>
        <w:rPr>
          <w:rFonts w:hint="eastAsia" w:ascii="宋体"/>
          <w:color w:val="auto"/>
          <w:sz w:val="24"/>
          <w:highlight w:val="none"/>
        </w:rPr>
        <w:t>年    月    日</w:t>
      </w:r>
    </w:p>
    <w:p w14:paraId="73A9B913">
      <w:pPr>
        <w:rPr>
          <w:rFonts w:hint="eastAsia"/>
          <w:b/>
          <w:color w:val="auto"/>
          <w:sz w:val="28"/>
          <w:szCs w:val="28"/>
          <w:highlight w:val="none"/>
        </w:rPr>
      </w:pPr>
      <w:r>
        <w:rPr>
          <w:rFonts w:hint="eastAsia"/>
          <w:b/>
          <w:color w:val="auto"/>
          <w:sz w:val="28"/>
          <w:szCs w:val="28"/>
          <w:highlight w:val="none"/>
        </w:rPr>
        <w:br w:type="page"/>
      </w:r>
    </w:p>
    <w:p w14:paraId="0B4168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color w:val="auto"/>
          <w:sz w:val="28"/>
          <w:szCs w:val="28"/>
          <w:highlight w:val="none"/>
        </w:rPr>
      </w:pPr>
      <w:r>
        <w:rPr>
          <w:rFonts w:hint="eastAsia"/>
          <w:b/>
          <w:color w:val="auto"/>
          <w:sz w:val="28"/>
          <w:szCs w:val="28"/>
          <w:highlight w:val="none"/>
        </w:rPr>
        <w:t>（2）诚信投标承诺书</w:t>
      </w:r>
      <w:bookmarkEnd w:id="902"/>
      <w:bookmarkEnd w:id="903"/>
      <w:bookmarkEnd w:id="904"/>
    </w:p>
    <w:p w14:paraId="0FB6971A">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5097DAE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项目的投标；</w:t>
      </w:r>
    </w:p>
    <w:p w14:paraId="6869B6C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二、所提供的一切材料都是真实、有效、合法的；</w:t>
      </w:r>
    </w:p>
    <w:p w14:paraId="684EEE7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62FE943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45DD65B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19AA2FF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lang w:val="en-US" w:eastAsia="zh-CN"/>
        </w:rPr>
        <w:t>我公司</w:t>
      </w:r>
      <w:r>
        <w:rPr>
          <w:rFonts w:hint="eastAsia" w:ascii="宋体" w:hAnsi="宋体"/>
          <w:color w:val="auto"/>
          <w:szCs w:val="21"/>
          <w:highlight w:val="none"/>
        </w:rPr>
        <w:t>没有下列情形： 1、被人民法院列入失信被执行人的；2、我公司及其法定代表人、拟任项目经理（</w:t>
      </w:r>
      <w:r>
        <w:rPr>
          <w:rFonts w:hint="eastAsia" w:ascii="宋体" w:hAnsi="宋体"/>
          <w:color w:val="auto"/>
          <w:szCs w:val="21"/>
          <w:highlight w:val="none"/>
          <w:lang w:val="en-US" w:eastAsia="zh-CN"/>
        </w:rPr>
        <w:t>建造师</w:t>
      </w:r>
      <w:r>
        <w:rPr>
          <w:rFonts w:hint="eastAsia" w:ascii="宋体" w:hAnsi="宋体"/>
          <w:color w:val="auto"/>
          <w:szCs w:val="21"/>
          <w:highlight w:val="none"/>
        </w:rPr>
        <w:t>）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人力资源社会保障主管部门列入拖欠农民工工资‘黑名单’或因拖欠农民工工资被县级及以上有关行政主管部门限制投标资格且在限制期限内的；</w:t>
      </w:r>
      <w:r>
        <w:rPr>
          <w:rFonts w:hint="eastAsia" w:ascii="宋体" w:hAnsi="宋体"/>
          <w:color w:val="auto"/>
          <w:szCs w:val="21"/>
          <w:highlight w:val="none"/>
          <w:lang w:val="en-US" w:eastAsia="zh-CN"/>
        </w:rPr>
        <w:t>8</w:t>
      </w:r>
      <w:r>
        <w:rPr>
          <w:rFonts w:hint="eastAsia" w:ascii="宋体" w:hAnsi="宋体"/>
          <w:color w:val="auto"/>
          <w:szCs w:val="21"/>
          <w:highlight w:val="none"/>
        </w:rPr>
        <w:t>、</w:t>
      </w:r>
      <w:r>
        <w:rPr>
          <w:rFonts w:hint="eastAsia"/>
          <w:color w:val="auto"/>
          <w:szCs w:val="21"/>
          <w:highlight w:val="none"/>
        </w:rPr>
        <w:t>被列入省级、市级农民工工资支付异常名录的施工企业，限制其参加全市范围内房建和市政工程建设项目投标；列入县级异常名录的施工企业，限制其参加本行政区域内房建和市政建设项目投标。</w:t>
      </w:r>
    </w:p>
    <w:p w14:paraId="5FC565A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14:paraId="025E650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3D03160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4C3998B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6EC6BFE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141B599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二</w:t>
      </w:r>
      <w:r>
        <w:rPr>
          <w:rFonts w:hint="eastAsia" w:ascii="宋体" w:hAnsi="宋体"/>
          <w:color w:val="auto"/>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33B4B94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w:t>
      </w:r>
      <w:r>
        <w:rPr>
          <w:rFonts w:hint="eastAsia" w:ascii="宋体" w:hAnsi="宋体"/>
          <w:color w:val="auto"/>
          <w:szCs w:val="21"/>
          <w:highlight w:val="none"/>
          <w:lang w:val="en-US" w:eastAsia="zh-CN"/>
        </w:rPr>
        <w:t>中标无效、</w:t>
      </w:r>
      <w:r>
        <w:rPr>
          <w:rFonts w:hint="eastAsia" w:ascii="宋体" w:hAnsi="宋体"/>
          <w:color w:val="auto"/>
          <w:szCs w:val="21"/>
          <w:highlight w:val="none"/>
        </w:rPr>
        <w:t>记入不良行为记录等有关处理，愿意承担法律责任，给招标人造成损失的，依法承担赔偿责任。</w:t>
      </w:r>
    </w:p>
    <w:p w14:paraId="0510075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p>
    <w:p w14:paraId="36A89FC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                          基本账户：</w:t>
      </w:r>
    </w:p>
    <w:p w14:paraId="766F85C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投标人（签章）：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法定代表人（签章）：</w:t>
      </w:r>
    </w:p>
    <w:p w14:paraId="3B433894">
      <w:pPr>
        <w:keepNext w:val="0"/>
        <w:keepLines w:val="0"/>
        <w:pageBreakBefore w:val="0"/>
        <w:widowControl w:val="0"/>
        <w:kinsoku/>
        <w:wordWrap/>
        <w:overflowPunct/>
        <w:topLinePunct w:val="0"/>
        <w:autoSpaceDE/>
        <w:autoSpaceDN/>
        <w:bidi w:val="0"/>
        <w:adjustRightInd/>
        <w:snapToGrid/>
        <w:spacing w:line="560" w:lineRule="exact"/>
        <w:ind w:firstLine="5250" w:firstLineChars="2500"/>
        <w:textAlignment w:val="auto"/>
        <w:rPr>
          <w:rFonts w:hint="eastAsia" w:ascii="宋体" w:hAnsi="宋体"/>
          <w:color w:val="auto"/>
          <w:szCs w:val="21"/>
          <w:highlight w:val="none"/>
        </w:rPr>
      </w:pPr>
      <w:r>
        <w:rPr>
          <w:rFonts w:hint="eastAsia" w:ascii="宋体" w:hAnsi="宋体"/>
          <w:color w:val="auto"/>
          <w:szCs w:val="21"/>
          <w:highlight w:val="none"/>
        </w:rPr>
        <w:t>日期：    年   月   日</w:t>
      </w:r>
    </w:p>
    <w:p w14:paraId="7A29ED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olor w:val="auto"/>
          <w:szCs w:val="21"/>
          <w:highlight w:val="none"/>
          <w:lang w:eastAsia="zh-CN"/>
        </w:rPr>
      </w:pPr>
    </w:p>
    <w:p w14:paraId="10F89D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olor w:val="auto"/>
          <w:highlight w:val="none"/>
          <w:lang w:eastAsia="zh-CN"/>
        </w:rPr>
      </w:pPr>
    </w:p>
    <w:p w14:paraId="795F94DB">
      <w:pPr>
        <w:rPr>
          <w:color w:val="auto"/>
          <w:highlight w:val="none"/>
        </w:rPr>
      </w:pPr>
      <w:r>
        <w:rPr>
          <w:color w:val="auto"/>
          <w:highlight w:val="none"/>
        </w:rPr>
        <w:br w:type="page"/>
      </w:r>
    </w:p>
    <w:p w14:paraId="2AB368F8">
      <w:pPr>
        <w:pStyle w:val="14"/>
        <w:rPr>
          <w:color w:val="auto"/>
          <w:highlight w:val="none"/>
        </w:rPr>
      </w:pPr>
    </w:p>
    <w:p w14:paraId="564C96EF">
      <w:pPr>
        <w:jc w:val="center"/>
        <w:rPr>
          <w:rFonts w:eastAsia="黑体"/>
          <w:color w:val="auto"/>
          <w:sz w:val="20"/>
          <w:szCs w:val="20"/>
          <w:highlight w:val="none"/>
        </w:rPr>
      </w:pPr>
      <w:r>
        <w:rPr>
          <w:rFonts w:eastAsia="黑体"/>
          <w:color w:val="auto"/>
          <w:sz w:val="28"/>
          <w:szCs w:val="28"/>
          <w:highlight w:val="none"/>
        </w:rPr>
        <w:t>（项目名称）</w:t>
      </w:r>
    </w:p>
    <w:p w14:paraId="22EC766D">
      <w:pPr>
        <w:jc w:val="center"/>
        <w:rPr>
          <w:rFonts w:eastAsia="黑体"/>
          <w:color w:val="auto"/>
          <w:sz w:val="20"/>
          <w:szCs w:val="20"/>
          <w:highlight w:val="none"/>
        </w:rPr>
      </w:pPr>
    </w:p>
    <w:p w14:paraId="57900F6E">
      <w:pPr>
        <w:rPr>
          <w:rFonts w:eastAsia="黑体"/>
          <w:color w:val="auto"/>
          <w:sz w:val="20"/>
          <w:szCs w:val="20"/>
          <w:highlight w:val="none"/>
        </w:rPr>
      </w:pPr>
    </w:p>
    <w:p w14:paraId="149665AF">
      <w:pPr>
        <w:jc w:val="center"/>
        <w:rPr>
          <w:rFonts w:hint="eastAsia" w:eastAsia="黑体"/>
          <w:color w:val="auto"/>
          <w:sz w:val="44"/>
          <w:szCs w:val="44"/>
          <w:highlight w:val="none"/>
          <w:lang w:eastAsia="zh-CN"/>
        </w:rPr>
      </w:pPr>
      <w:r>
        <w:rPr>
          <w:rFonts w:eastAsia="黑体"/>
          <w:color w:val="auto"/>
          <w:sz w:val="44"/>
          <w:szCs w:val="44"/>
          <w:highlight w:val="none"/>
        </w:rPr>
        <w:t>投  标  文  件</w:t>
      </w:r>
      <w:r>
        <w:rPr>
          <w:rFonts w:hint="eastAsia" w:eastAsia="黑体"/>
          <w:color w:val="auto"/>
          <w:sz w:val="44"/>
          <w:szCs w:val="44"/>
          <w:highlight w:val="none"/>
        </w:rPr>
        <w:t xml:space="preserve">  </w:t>
      </w:r>
      <w:r>
        <w:rPr>
          <w:rFonts w:hint="eastAsia" w:eastAsia="黑体"/>
          <w:color w:val="auto"/>
          <w:sz w:val="44"/>
          <w:szCs w:val="44"/>
          <w:highlight w:val="none"/>
          <w:lang w:val="en-US" w:eastAsia="zh-CN"/>
        </w:rPr>
        <w:t>二</w:t>
      </w:r>
    </w:p>
    <w:p w14:paraId="445D8028">
      <w:pPr>
        <w:jc w:val="center"/>
        <w:rPr>
          <w:rFonts w:eastAsia="黑体"/>
          <w:color w:val="auto"/>
          <w:sz w:val="44"/>
          <w:szCs w:val="44"/>
          <w:highlight w:val="none"/>
        </w:rPr>
      </w:pPr>
      <w:r>
        <w:rPr>
          <w:rFonts w:hint="eastAsia" w:eastAsia="黑体"/>
          <w:color w:val="auto"/>
          <w:sz w:val="44"/>
          <w:szCs w:val="44"/>
          <w:highlight w:val="none"/>
        </w:rPr>
        <w:t>（商务标文件）</w:t>
      </w:r>
    </w:p>
    <w:p w14:paraId="30CBC1F1">
      <w:pPr>
        <w:rPr>
          <w:rFonts w:eastAsia="黑体"/>
          <w:color w:val="auto"/>
          <w:sz w:val="28"/>
          <w:szCs w:val="28"/>
          <w:highlight w:val="none"/>
        </w:rPr>
      </w:pPr>
    </w:p>
    <w:p w14:paraId="35F52FCF">
      <w:pPr>
        <w:rPr>
          <w:rFonts w:eastAsia="黑体"/>
          <w:color w:val="auto"/>
          <w:sz w:val="28"/>
          <w:szCs w:val="28"/>
          <w:highlight w:val="none"/>
        </w:rPr>
      </w:pPr>
    </w:p>
    <w:p w14:paraId="47AF6FD3">
      <w:pPr>
        <w:rPr>
          <w:rFonts w:eastAsia="黑体"/>
          <w:color w:val="auto"/>
          <w:sz w:val="28"/>
          <w:szCs w:val="28"/>
          <w:highlight w:val="none"/>
        </w:rPr>
      </w:pPr>
    </w:p>
    <w:p w14:paraId="70523D80">
      <w:pPr>
        <w:rPr>
          <w:rFonts w:eastAsia="黑体"/>
          <w:color w:val="auto"/>
          <w:sz w:val="28"/>
          <w:szCs w:val="28"/>
          <w:highlight w:val="none"/>
        </w:rPr>
      </w:pPr>
    </w:p>
    <w:p w14:paraId="585952F6">
      <w:pPr>
        <w:jc w:val="center"/>
        <w:rPr>
          <w:rFonts w:hint="default" w:eastAsia="黑体"/>
          <w:color w:val="auto"/>
          <w:sz w:val="28"/>
          <w:szCs w:val="28"/>
          <w:highlight w:val="none"/>
          <w:u w:val="single"/>
          <w:lang w:val="en-US" w:eastAsia="zh-CN"/>
        </w:rPr>
      </w:pPr>
      <w:r>
        <w:rPr>
          <w:rFonts w:hint="eastAsia" w:eastAsia="黑体"/>
          <w:color w:val="auto"/>
          <w:sz w:val="28"/>
          <w:szCs w:val="28"/>
          <w:highlight w:val="none"/>
        </w:rPr>
        <w:t>项目编号：</w:t>
      </w:r>
      <w:r>
        <w:rPr>
          <w:rFonts w:hint="eastAsia" w:eastAsia="黑体"/>
          <w:color w:val="auto"/>
          <w:sz w:val="28"/>
          <w:szCs w:val="28"/>
          <w:highlight w:val="none"/>
          <w:u w:val="single"/>
          <w:lang w:val="en-US" w:eastAsia="zh-CN"/>
        </w:rPr>
        <w:t xml:space="preserve">    </w:t>
      </w:r>
    </w:p>
    <w:p w14:paraId="6A527257">
      <w:pPr>
        <w:rPr>
          <w:rFonts w:eastAsia="黑体"/>
          <w:color w:val="auto"/>
          <w:sz w:val="28"/>
          <w:szCs w:val="28"/>
          <w:highlight w:val="none"/>
        </w:rPr>
      </w:pPr>
    </w:p>
    <w:p w14:paraId="39902399">
      <w:pPr>
        <w:rPr>
          <w:rFonts w:eastAsia="黑体"/>
          <w:color w:val="auto"/>
          <w:sz w:val="28"/>
          <w:szCs w:val="28"/>
          <w:highlight w:val="none"/>
        </w:rPr>
      </w:pPr>
    </w:p>
    <w:p w14:paraId="69BE83A3">
      <w:pPr>
        <w:rPr>
          <w:rFonts w:eastAsia="黑体"/>
          <w:color w:val="auto"/>
          <w:sz w:val="28"/>
          <w:szCs w:val="28"/>
          <w:highlight w:val="none"/>
        </w:rPr>
      </w:pPr>
    </w:p>
    <w:p w14:paraId="5616E6F9">
      <w:pPr>
        <w:rPr>
          <w:rFonts w:eastAsia="黑体"/>
          <w:color w:val="auto"/>
          <w:sz w:val="28"/>
          <w:szCs w:val="28"/>
          <w:highlight w:val="none"/>
        </w:rPr>
      </w:pPr>
    </w:p>
    <w:p w14:paraId="343F2D06">
      <w:pPr>
        <w:rPr>
          <w:rFonts w:eastAsia="黑体"/>
          <w:color w:val="auto"/>
          <w:sz w:val="28"/>
          <w:szCs w:val="28"/>
          <w:highlight w:val="none"/>
        </w:rPr>
      </w:pPr>
    </w:p>
    <w:p w14:paraId="3E07C68D">
      <w:pPr>
        <w:rPr>
          <w:rFonts w:eastAsia="黑体"/>
          <w:color w:val="auto"/>
          <w:sz w:val="28"/>
          <w:szCs w:val="28"/>
          <w:highlight w:val="none"/>
        </w:rPr>
      </w:pPr>
    </w:p>
    <w:p w14:paraId="44D66E16">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2663CD77">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63A08AA1">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73943EF2">
      <w:pPr>
        <w:rPr>
          <w:color w:val="auto"/>
          <w:highlight w:val="none"/>
        </w:rPr>
      </w:pPr>
    </w:p>
    <w:p w14:paraId="06E7811B">
      <w:pPr>
        <w:pStyle w:val="14"/>
        <w:ind w:firstLine="420"/>
        <w:rPr>
          <w:color w:val="auto"/>
          <w:highlight w:val="none"/>
        </w:rPr>
      </w:pPr>
    </w:p>
    <w:p w14:paraId="1E7679BC">
      <w:pPr>
        <w:rPr>
          <w:color w:val="auto"/>
          <w:highlight w:val="none"/>
        </w:rPr>
      </w:pPr>
    </w:p>
    <w:p w14:paraId="772CCC6C">
      <w:pPr>
        <w:spacing w:beforeLines="50" w:afterLines="50" w:line="440" w:lineRule="exact"/>
        <w:ind w:firstLine="643" w:firstLineChars="200"/>
        <w:jc w:val="left"/>
        <w:rPr>
          <w:rStyle w:val="66"/>
          <w:rFonts w:ascii="宋体" w:hAnsi="宋体" w:cs="宋体"/>
          <w:color w:val="auto"/>
          <w:sz w:val="32"/>
          <w:highlight w:val="none"/>
        </w:rPr>
      </w:pPr>
      <w:bookmarkStart w:id="905" w:name="_Toc35424973"/>
      <w:bookmarkStart w:id="906" w:name="_Toc35425139"/>
      <w:bookmarkStart w:id="907" w:name="_Toc19174"/>
      <w:bookmarkStart w:id="908" w:name="_Toc78803401"/>
      <w:r>
        <w:rPr>
          <w:rStyle w:val="66"/>
          <w:rFonts w:hint="eastAsia" w:ascii="宋体" w:hAnsi="宋体" w:cs="宋体"/>
          <w:color w:val="auto"/>
          <w:sz w:val="32"/>
          <w:highlight w:val="none"/>
        </w:rPr>
        <w:br w:type="page"/>
      </w:r>
      <w:bookmarkStart w:id="909" w:name="_Toc19057"/>
      <w:bookmarkStart w:id="910" w:name="_Toc27877"/>
      <w:bookmarkStart w:id="911" w:name="_Toc26670"/>
      <w:r>
        <w:rPr>
          <w:rStyle w:val="66"/>
          <w:rFonts w:hint="eastAsia" w:ascii="宋体" w:hAnsi="宋体" w:cs="宋体"/>
          <w:color w:val="auto"/>
          <w:sz w:val="32"/>
          <w:highlight w:val="none"/>
        </w:rPr>
        <w:t>投标文件</w:t>
      </w:r>
      <w:bookmarkEnd w:id="905"/>
      <w:bookmarkEnd w:id="906"/>
      <w:bookmarkEnd w:id="907"/>
      <w:r>
        <w:rPr>
          <w:rStyle w:val="66"/>
          <w:rFonts w:hint="eastAsia" w:ascii="宋体" w:hAnsi="宋体" w:cs="宋体"/>
          <w:color w:val="auto"/>
          <w:sz w:val="32"/>
          <w:highlight w:val="none"/>
          <w:lang w:val="en-US"/>
        </w:rPr>
        <w:t>二</w:t>
      </w:r>
      <w:r>
        <w:rPr>
          <w:rStyle w:val="66"/>
          <w:rFonts w:hint="eastAsia" w:ascii="宋体" w:hAnsi="宋体" w:cs="宋体"/>
          <w:color w:val="auto"/>
          <w:sz w:val="32"/>
          <w:highlight w:val="none"/>
        </w:rPr>
        <w:t>：商务标目录</w:t>
      </w:r>
      <w:bookmarkEnd w:id="908"/>
    </w:p>
    <w:bookmarkEnd w:id="909"/>
    <w:bookmarkEnd w:id="910"/>
    <w:bookmarkEnd w:id="911"/>
    <w:p w14:paraId="2DA8B332">
      <w:pPr>
        <w:spacing w:line="440" w:lineRule="exact"/>
        <w:ind w:firstLine="420" w:firstLineChars="200"/>
        <w:jc w:val="left"/>
        <w:rPr>
          <w:rFonts w:hint="eastAsia" w:ascii="宋体" w:hAnsi="宋体" w:cs="宋体"/>
          <w:i/>
          <w:iCs/>
          <w:color w:val="auto"/>
          <w:szCs w:val="21"/>
          <w:highlight w:val="none"/>
        </w:rPr>
      </w:pPr>
      <w:r>
        <w:rPr>
          <w:rFonts w:hint="eastAsia" w:ascii="宋体" w:hAnsi="宋体" w:cs="宋体"/>
          <w:color w:val="auto"/>
          <w:szCs w:val="21"/>
          <w:highlight w:val="none"/>
        </w:rPr>
        <w:t>（1）投标函；</w:t>
      </w:r>
    </w:p>
    <w:p w14:paraId="723FF1B4">
      <w:pPr>
        <w:spacing w:line="44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2）分项报价清单；</w:t>
      </w:r>
    </w:p>
    <w:p w14:paraId="3C6BDAB7">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）招标人推荐的材料品牌响应表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p>
    <w:p w14:paraId="0956BA6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商务评审需要及</w:t>
      </w:r>
      <w:r>
        <w:rPr>
          <w:rFonts w:hint="eastAsia" w:ascii="宋体" w:hAnsi="宋体" w:cs="宋体"/>
          <w:color w:val="auto"/>
          <w:szCs w:val="21"/>
          <w:highlight w:val="none"/>
        </w:rPr>
        <w:t>投标人认为需要提供的其他材料。</w:t>
      </w:r>
    </w:p>
    <w:p w14:paraId="57215258">
      <w:pPr>
        <w:spacing w:line="540" w:lineRule="exact"/>
        <w:rPr>
          <w:rFonts w:eastAsia="黑体"/>
          <w:color w:val="auto"/>
          <w:sz w:val="20"/>
          <w:szCs w:val="20"/>
          <w:highlight w:val="none"/>
        </w:rPr>
      </w:pPr>
    </w:p>
    <w:p w14:paraId="45D4DCEE">
      <w:pPr>
        <w:spacing w:line="540" w:lineRule="exact"/>
        <w:rPr>
          <w:rFonts w:eastAsia="黑体"/>
          <w:color w:val="auto"/>
          <w:sz w:val="20"/>
          <w:szCs w:val="20"/>
          <w:highlight w:val="none"/>
        </w:rPr>
      </w:pPr>
    </w:p>
    <w:p w14:paraId="6A7BFB0E">
      <w:pPr>
        <w:spacing w:line="540" w:lineRule="exact"/>
        <w:rPr>
          <w:rFonts w:eastAsia="黑体"/>
          <w:color w:val="auto"/>
          <w:sz w:val="20"/>
          <w:szCs w:val="20"/>
          <w:highlight w:val="none"/>
        </w:rPr>
      </w:pPr>
    </w:p>
    <w:p w14:paraId="244F7969">
      <w:pPr>
        <w:spacing w:line="360" w:lineRule="auto"/>
        <w:ind w:firstLine="420" w:firstLineChars="200"/>
        <w:jc w:val="right"/>
        <w:rPr>
          <w:color w:val="auto"/>
          <w:szCs w:val="21"/>
          <w:highlight w:val="none"/>
          <w:u w:val="single"/>
        </w:rPr>
      </w:pPr>
    </w:p>
    <w:p w14:paraId="66667EC5">
      <w:pPr>
        <w:spacing w:line="360" w:lineRule="auto"/>
        <w:ind w:firstLine="420" w:firstLineChars="200"/>
        <w:jc w:val="right"/>
        <w:rPr>
          <w:color w:val="auto"/>
          <w:szCs w:val="21"/>
          <w:highlight w:val="none"/>
          <w:u w:val="single"/>
        </w:rPr>
      </w:pPr>
    </w:p>
    <w:p w14:paraId="1761B5FB">
      <w:pPr>
        <w:spacing w:line="360" w:lineRule="auto"/>
        <w:ind w:firstLine="420" w:firstLineChars="200"/>
        <w:jc w:val="right"/>
        <w:rPr>
          <w:color w:val="auto"/>
          <w:szCs w:val="21"/>
          <w:highlight w:val="none"/>
          <w:u w:val="single"/>
        </w:rPr>
      </w:pPr>
    </w:p>
    <w:p w14:paraId="4BBA9CFF">
      <w:pPr>
        <w:spacing w:line="360" w:lineRule="auto"/>
        <w:ind w:firstLine="420" w:firstLineChars="200"/>
        <w:jc w:val="right"/>
        <w:rPr>
          <w:color w:val="auto"/>
          <w:szCs w:val="21"/>
          <w:highlight w:val="none"/>
          <w:u w:val="single"/>
        </w:rPr>
      </w:pPr>
    </w:p>
    <w:p w14:paraId="1B352D4C">
      <w:pPr>
        <w:spacing w:line="360" w:lineRule="auto"/>
        <w:ind w:firstLine="420" w:firstLineChars="200"/>
        <w:jc w:val="right"/>
        <w:rPr>
          <w:color w:val="auto"/>
          <w:szCs w:val="21"/>
          <w:highlight w:val="none"/>
          <w:u w:val="single"/>
        </w:rPr>
      </w:pPr>
    </w:p>
    <w:p w14:paraId="646241FB">
      <w:pPr>
        <w:spacing w:line="360" w:lineRule="auto"/>
        <w:ind w:firstLine="420" w:firstLineChars="200"/>
        <w:jc w:val="right"/>
        <w:rPr>
          <w:color w:val="auto"/>
          <w:szCs w:val="21"/>
          <w:highlight w:val="none"/>
          <w:u w:val="single"/>
        </w:rPr>
      </w:pPr>
    </w:p>
    <w:p w14:paraId="321B8345">
      <w:pPr>
        <w:spacing w:line="360" w:lineRule="auto"/>
        <w:ind w:firstLine="420" w:firstLineChars="200"/>
        <w:jc w:val="right"/>
        <w:rPr>
          <w:color w:val="auto"/>
          <w:szCs w:val="21"/>
          <w:highlight w:val="none"/>
          <w:u w:val="single"/>
        </w:rPr>
      </w:pPr>
    </w:p>
    <w:p w14:paraId="415E36EA">
      <w:pPr>
        <w:spacing w:line="360" w:lineRule="auto"/>
        <w:ind w:firstLine="420" w:firstLineChars="200"/>
        <w:jc w:val="right"/>
        <w:rPr>
          <w:color w:val="auto"/>
          <w:szCs w:val="21"/>
          <w:highlight w:val="none"/>
          <w:u w:val="single"/>
        </w:rPr>
      </w:pPr>
    </w:p>
    <w:p w14:paraId="7411DAC2">
      <w:pPr>
        <w:jc w:val="center"/>
        <w:rPr>
          <w:b/>
          <w:color w:val="auto"/>
          <w:sz w:val="32"/>
          <w:szCs w:val="32"/>
          <w:highlight w:val="none"/>
        </w:rPr>
      </w:pPr>
    </w:p>
    <w:p w14:paraId="3603BAAB">
      <w:pPr>
        <w:jc w:val="center"/>
        <w:rPr>
          <w:b/>
          <w:color w:val="auto"/>
          <w:sz w:val="32"/>
          <w:szCs w:val="32"/>
          <w:highlight w:val="none"/>
        </w:rPr>
      </w:pPr>
    </w:p>
    <w:p w14:paraId="2A178D71">
      <w:pPr>
        <w:jc w:val="center"/>
        <w:rPr>
          <w:b/>
          <w:color w:val="auto"/>
          <w:sz w:val="32"/>
          <w:szCs w:val="32"/>
          <w:highlight w:val="none"/>
        </w:rPr>
      </w:pPr>
    </w:p>
    <w:p w14:paraId="135B4C78">
      <w:pPr>
        <w:jc w:val="center"/>
        <w:rPr>
          <w:b/>
          <w:color w:val="auto"/>
          <w:sz w:val="32"/>
          <w:szCs w:val="32"/>
          <w:highlight w:val="none"/>
        </w:rPr>
      </w:pPr>
    </w:p>
    <w:p w14:paraId="03E14D7E">
      <w:pPr>
        <w:jc w:val="center"/>
        <w:rPr>
          <w:b/>
          <w:color w:val="auto"/>
          <w:sz w:val="32"/>
          <w:szCs w:val="32"/>
          <w:highlight w:val="none"/>
        </w:rPr>
      </w:pPr>
    </w:p>
    <w:p w14:paraId="60BCBB70">
      <w:pPr>
        <w:jc w:val="center"/>
        <w:rPr>
          <w:b/>
          <w:color w:val="auto"/>
          <w:sz w:val="32"/>
          <w:szCs w:val="32"/>
          <w:highlight w:val="none"/>
        </w:rPr>
      </w:pPr>
    </w:p>
    <w:p w14:paraId="0841936B">
      <w:pPr>
        <w:jc w:val="center"/>
        <w:rPr>
          <w:b/>
          <w:color w:val="auto"/>
          <w:sz w:val="32"/>
          <w:szCs w:val="32"/>
          <w:highlight w:val="none"/>
        </w:rPr>
      </w:pPr>
    </w:p>
    <w:p w14:paraId="1C19EE91">
      <w:pPr>
        <w:spacing w:line="360" w:lineRule="auto"/>
        <w:rPr>
          <w:b/>
          <w:bCs/>
          <w:color w:val="auto"/>
          <w:sz w:val="32"/>
          <w:szCs w:val="32"/>
          <w:highlight w:val="none"/>
        </w:rPr>
      </w:pPr>
    </w:p>
    <w:p w14:paraId="485C1F31">
      <w:pPr>
        <w:jc w:val="center"/>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（1）投 标 函</w:t>
      </w:r>
    </w:p>
    <w:p w14:paraId="77B9915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highlight w:val="none"/>
        </w:rPr>
      </w:pPr>
      <w:bookmarkStart w:id="912" w:name="_Toc35424974"/>
      <w:bookmarkStart w:id="913" w:name="_Toc15058950"/>
      <w:bookmarkStart w:id="914" w:name="_Toc506107366"/>
      <w:bookmarkStart w:id="915" w:name="_Toc35425140"/>
      <w:r>
        <w:rPr>
          <w:rFonts w:hint="eastAsia" w:ascii="宋体" w:hAnsi="宋体" w:eastAsia="宋体" w:cs="宋体"/>
          <w:b/>
          <w:bCs/>
          <w:color w:val="auto"/>
          <w:highlight w:val="none"/>
        </w:rPr>
        <w:t>致 ：</w:t>
      </w:r>
      <w:r>
        <w:rPr>
          <w:rFonts w:hint="eastAsia" w:ascii="宋体" w:hAnsi="宋体" w:eastAsia="宋体" w:cs="宋体"/>
          <w:b/>
          <w:bCs/>
          <w:color w:val="auto"/>
          <w:highlight w:val="none"/>
          <w:u w:val="single"/>
          <w:lang w:val="en-US" w:eastAsia="zh-CN"/>
        </w:rPr>
        <w:t xml:space="preserve">     </w:t>
      </w:r>
      <w:r>
        <w:rPr>
          <w:rFonts w:hint="eastAsia" w:ascii="宋体" w:hAnsi="宋体" w:cs="宋体"/>
          <w:b/>
          <w:bCs/>
          <w:color w:val="auto"/>
          <w:highlight w:val="none"/>
          <w:u w:val="single"/>
          <w:lang w:val="en-US" w:eastAsia="zh-CN"/>
        </w:rPr>
        <w:t xml:space="preserve">       </w:t>
      </w:r>
      <w:r>
        <w:rPr>
          <w:rFonts w:hint="eastAsia" w:ascii="宋体" w:hAnsi="宋体" w:eastAsia="宋体" w:cs="宋体"/>
          <w:b/>
          <w:bCs/>
          <w:color w:val="auto"/>
          <w:highlight w:val="none"/>
          <w:u w:val="single"/>
          <w:lang w:val="en-US" w:eastAsia="zh-CN"/>
        </w:rPr>
        <w:t xml:space="preserve">  （招标人） </w:t>
      </w:r>
      <w:r>
        <w:rPr>
          <w:rFonts w:hint="eastAsia" w:ascii="宋体" w:hAnsi="宋体" w:eastAsia="宋体" w:cs="宋体"/>
          <w:color w:val="auto"/>
          <w:highlight w:val="none"/>
        </w:rPr>
        <w:t xml:space="preserve">  </w:t>
      </w:r>
    </w:p>
    <w:p w14:paraId="185304FD">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1、根据你方招标项目编号为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的</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招标文件，遵照《中华人民共和国招标投标法》等有关规定，经踏勘项目现场和研究上述招标文件的投标须知、合同条件、技术规范、图纸、工程量清单和其他有关文件后，我方愿以</w:t>
      </w:r>
      <w:r>
        <w:rPr>
          <w:rFonts w:hint="eastAsia" w:ascii="宋体" w:hAnsi="宋体"/>
          <w:color w:val="auto"/>
          <w:szCs w:val="21"/>
          <w:highlight w:val="none"/>
          <w:u w:val="single"/>
          <w:lang w:val="en-US" w:eastAsia="zh-CN"/>
        </w:rPr>
        <w:t xml:space="preserve"> （币种、金额、单位）人民币（大写）        （小写）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元</w:t>
      </w:r>
      <w:r>
        <w:rPr>
          <w:rFonts w:hint="eastAsia" w:ascii="宋体" w:hAnsi="宋体"/>
          <w:color w:val="auto"/>
          <w:szCs w:val="21"/>
          <w:highlight w:val="none"/>
        </w:rPr>
        <w:t>的投标报价承包上述项目，并承担任何质量缺陷保修责任。</w:t>
      </w:r>
    </w:p>
    <w:p w14:paraId="3C73638A">
      <w:pPr>
        <w:numPr>
          <w:ilvl w:val="0"/>
          <w:numId w:val="3"/>
        </w:numPr>
        <w:spacing w:line="440" w:lineRule="exact"/>
        <w:ind w:left="0" w:firstLine="404" w:firstLineChars="200"/>
        <w:jc w:val="left"/>
        <w:rPr>
          <w:rFonts w:ascii="宋体" w:hAnsi="宋体"/>
          <w:color w:val="auto"/>
          <w:spacing w:val="-4"/>
          <w:szCs w:val="21"/>
          <w:highlight w:val="none"/>
        </w:rPr>
      </w:pPr>
      <w:r>
        <w:rPr>
          <w:rFonts w:hint="eastAsia" w:ascii="宋体" w:hAnsi="宋体"/>
          <w:color w:val="auto"/>
          <w:spacing w:val="-4"/>
          <w:szCs w:val="21"/>
          <w:highlight w:val="none"/>
        </w:rPr>
        <w:t>我方已详细审核全部招标文件及有关附件，承诺招标文件及有关附件中所有条款。</w:t>
      </w:r>
    </w:p>
    <w:p w14:paraId="437A755A">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3、一旦我方中标，我方将派出</w:t>
      </w:r>
      <w:r>
        <w:rPr>
          <w:rFonts w:hint="eastAsia" w:ascii="宋体" w:hAnsi="宋体"/>
          <w:color w:val="auto"/>
          <w:szCs w:val="21"/>
          <w:highlight w:val="none"/>
          <w:u w:val="single"/>
        </w:rPr>
        <w:t xml:space="preserve">      </w:t>
      </w:r>
      <w:r>
        <w:rPr>
          <w:rFonts w:hint="eastAsia" w:ascii="宋体" w:hAnsi="宋体"/>
          <w:color w:val="auto"/>
          <w:szCs w:val="21"/>
          <w:highlight w:val="none"/>
        </w:rPr>
        <w:t>建造师为本项目的项目</w:t>
      </w:r>
      <w:r>
        <w:rPr>
          <w:rFonts w:hint="eastAsia" w:ascii="宋体" w:hAnsi="宋体"/>
          <w:color w:val="auto"/>
          <w:szCs w:val="21"/>
          <w:highlight w:val="none"/>
          <w:lang w:val="en-US" w:eastAsia="zh-CN"/>
        </w:rPr>
        <w:t>经理</w:t>
      </w:r>
      <w:r>
        <w:rPr>
          <w:rFonts w:hint="eastAsia" w:ascii="宋体" w:hAnsi="宋体"/>
          <w:color w:val="auto"/>
          <w:szCs w:val="21"/>
          <w:highlight w:val="none"/>
        </w:rPr>
        <w:t>，保证按照招标人要求开始实施本项目，并在</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个日历天（工期）内完成本合同的施工，并移交整个项目，项目质量达到</w:t>
      </w:r>
      <w:r>
        <w:rPr>
          <w:rFonts w:hint="eastAsia" w:ascii="宋体" w:hAnsi="宋体"/>
          <w:color w:val="auto"/>
          <w:szCs w:val="21"/>
          <w:highlight w:val="none"/>
          <w:u w:val="single"/>
          <w:lang w:val="en-US" w:eastAsia="zh-CN"/>
        </w:rPr>
        <w:t>招标文件要求的</w:t>
      </w:r>
      <w:r>
        <w:rPr>
          <w:rFonts w:hint="eastAsia" w:ascii="宋体" w:hAnsi="宋体"/>
          <w:color w:val="auto"/>
          <w:szCs w:val="21"/>
          <w:highlight w:val="none"/>
        </w:rPr>
        <w:t>标准。</w:t>
      </w:r>
    </w:p>
    <w:p w14:paraId="73111601">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4、随本投标书，我方同时按照招标文件的要求提交投标保证金。如果我方在本投标书有效期内撤回投标书，或在中标通知书下达后</w:t>
      </w:r>
      <w:r>
        <w:rPr>
          <w:rFonts w:ascii="宋体" w:hAnsi="宋体"/>
          <w:color w:val="auto"/>
          <w:szCs w:val="21"/>
          <w:highlight w:val="none"/>
          <w:u w:val="single"/>
        </w:rPr>
        <w:t xml:space="preserve">  </w:t>
      </w:r>
      <w:r>
        <w:rPr>
          <w:rFonts w:hint="eastAsia" w:ascii="宋体" w:hAnsi="宋体"/>
          <w:color w:val="auto"/>
          <w:szCs w:val="21"/>
          <w:highlight w:val="none"/>
          <w:u w:val="single"/>
        </w:rPr>
        <w:t>30</w:t>
      </w:r>
      <w:r>
        <w:rPr>
          <w:rFonts w:ascii="宋体" w:hAnsi="宋体"/>
          <w:color w:val="auto"/>
          <w:szCs w:val="21"/>
          <w:highlight w:val="none"/>
          <w:u w:val="single"/>
        </w:rPr>
        <w:t xml:space="preserve"> </w:t>
      </w:r>
      <w:r>
        <w:rPr>
          <w:rFonts w:hint="eastAsia" w:ascii="宋体" w:hAnsi="宋体"/>
          <w:color w:val="auto"/>
          <w:szCs w:val="21"/>
          <w:highlight w:val="none"/>
        </w:rPr>
        <w:t>天内未能或拒绝签订合同书，或自行转标，贵单位有权没收投标保证金，并另选中标单位。</w:t>
      </w:r>
    </w:p>
    <w:p w14:paraId="4FE3D8A8">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5、如果我方中标我方将按照招标文件的规定提交履约担保。项目验收合格后，方可退还。</w:t>
      </w:r>
    </w:p>
    <w:p w14:paraId="3ADCEB84">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6、投标有效期为</w:t>
      </w:r>
      <w:r>
        <w:rPr>
          <w:rFonts w:hint="eastAsia" w:ascii="宋体" w:hAnsi="宋体"/>
          <w:color w:val="auto"/>
          <w:szCs w:val="21"/>
          <w:highlight w:val="none"/>
          <w:u w:val="single"/>
        </w:rPr>
        <w:t xml:space="preserve"> 90</w:t>
      </w:r>
      <w:r>
        <w:rPr>
          <w:rFonts w:hint="eastAsia" w:ascii="宋体" w:hAnsi="宋体"/>
          <w:color w:val="auto"/>
          <w:szCs w:val="21"/>
          <w:highlight w:val="none"/>
        </w:rPr>
        <w:t>日历天（从投标截止之日算起）。</w:t>
      </w:r>
    </w:p>
    <w:p w14:paraId="515F61EA">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7、我单位提供如下通讯地址：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电子邮箱（地址），确认本项目相关法律文书均通过提供的以上地址送达，相关文书只要发送至以上电子邮箱（地址）即视为送达，投标人愿意承担一切法律后果。</w:t>
      </w:r>
    </w:p>
    <w:p w14:paraId="34DEE729">
      <w:pPr>
        <w:spacing w:line="600" w:lineRule="exact"/>
        <w:ind w:firstLine="420" w:firstLineChars="200"/>
        <w:jc w:val="left"/>
        <w:rPr>
          <w:rFonts w:hint="eastAsia" w:ascii="宋体" w:hAnsi="宋体"/>
          <w:color w:val="auto"/>
          <w:szCs w:val="21"/>
          <w:highlight w:val="none"/>
        </w:rPr>
      </w:pPr>
    </w:p>
    <w:p w14:paraId="6CDE313A">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2EB6904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盖</w:t>
      </w:r>
      <w:r>
        <w:rPr>
          <w:rFonts w:hint="eastAsia" w:ascii="宋体" w:hAnsi="宋体" w:eastAsia="宋体" w:cs="宋体"/>
          <w:color w:val="auto"/>
          <w:szCs w:val="21"/>
          <w:highlight w:val="none"/>
          <w:u w:val="single"/>
        </w:rPr>
        <w:t xml:space="preserve">章）   </w:t>
      </w:r>
    </w:p>
    <w:p w14:paraId="2E7655CB">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（签</w:t>
      </w:r>
      <w:r>
        <w:rPr>
          <w:rFonts w:hint="eastAsia" w:ascii="宋体" w:hAnsi="宋体" w:cs="宋体"/>
          <w:color w:val="auto"/>
          <w:szCs w:val="21"/>
          <w:highlight w:val="none"/>
          <w:u w:val="single"/>
          <w:lang w:val="en-US" w:eastAsia="zh-CN"/>
        </w:rPr>
        <w:t>字或盖</w:t>
      </w:r>
      <w:r>
        <w:rPr>
          <w:rFonts w:hint="eastAsia" w:ascii="宋体" w:hAnsi="宋体" w:eastAsia="宋体" w:cs="宋体"/>
          <w:color w:val="auto"/>
          <w:szCs w:val="21"/>
          <w:highlight w:val="none"/>
          <w:u w:val="single"/>
        </w:rPr>
        <w:t>章）</w:t>
      </w:r>
    </w:p>
    <w:p w14:paraId="1D3B533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1BF3A471">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360B1957">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E9E3BBC">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23211DAA">
      <w:pPr>
        <w:pStyle w:val="2"/>
        <w:widowControl/>
        <w:adjustRightInd w:val="0"/>
        <w:snapToGrid w:val="0"/>
        <w:spacing w:before="0" w:beforeAutospacing="0" w:after="0" w:afterAutospacing="0" w:line="560" w:lineRule="exact"/>
        <w:jc w:val="center"/>
        <w:rPr>
          <w:rFonts w:hint="eastAsia" w:ascii="宋体" w:hAnsi="宋体" w:eastAsia="宋体" w:cs="宋体"/>
          <w:b/>
          <w:bCs/>
          <w:color w:val="auto"/>
          <w:kern w:val="0"/>
          <w:sz w:val="32"/>
          <w:szCs w:val="32"/>
          <w:highlight w:val="none"/>
        </w:rPr>
      </w:pPr>
    </w:p>
    <w:p w14:paraId="336EFBAC">
      <w:pPr>
        <w:rPr>
          <w:rFonts w:hint="eastAsia"/>
          <w:color w:val="auto"/>
          <w:highlight w:val="none"/>
        </w:rPr>
      </w:pPr>
    </w:p>
    <w:p w14:paraId="357E335B">
      <w:pPr>
        <w:pStyle w:val="2"/>
        <w:widowControl/>
        <w:adjustRightInd w:val="0"/>
        <w:snapToGrid w:val="0"/>
        <w:spacing w:before="0" w:beforeAutospacing="0" w:after="0" w:afterAutospacing="0" w:line="560" w:lineRule="exact"/>
        <w:jc w:val="both"/>
        <w:rPr>
          <w:rFonts w:hint="eastAsia" w:ascii="宋体" w:hAnsi="宋体" w:eastAsia="宋体" w:cs="宋体"/>
          <w:b/>
          <w:bCs/>
          <w:color w:val="auto"/>
          <w:kern w:val="0"/>
          <w:sz w:val="32"/>
          <w:szCs w:val="32"/>
          <w:highlight w:val="none"/>
        </w:rPr>
      </w:pPr>
    </w:p>
    <w:p w14:paraId="63B95021">
      <w:pPr>
        <w:pStyle w:val="2"/>
        <w:widowControl/>
        <w:adjustRightInd w:val="0"/>
        <w:snapToGrid w:val="0"/>
        <w:spacing w:before="0" w:beforeAutospacing="0" w:after="0" w:afterAutospacing="0" w:line="560" w:lineRule="exact"/>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w:t>
      </w:r>
      <w:r>
        <w:rPr>
          <w:rFonts w:hint="default" w:ascii="Times New Roman" w:hAnsi="Times New Roman" w:eastAsia="宋体" w:cs="Times New Roman"/>
          <w:b/>
          <w:bCs/>
          <w:color w:val="auto"/>
          <w:kern w:val="0"/>
          <w:sz w:val="32"/>
          <w:szCs w:val="32"/>
          <w:highlight w:val="none"/>
        </w:rPr>
        <w:t>2</w:t>
      </w:r>
      <w:r>
        <w:rPr>
          <w:rFonts w:hint="eastAsia" w:ascii="宋体" w:hAnsi="宋体" w:eastAsia="宋体" w:cs="宋体"/>
          <w:b/>
          <w:bCs/>
          <w:color w:val="auto"/>
          <w:kern w:val="0"/>
          <w:sz w:val="32"/>
          <w:szCs w:val="32"/>
          <w:highlight w:val="none"/>
        </w:rPr>
        <w:t>）分项报价清单</w:t>
      </w:r>
    </w:p>
    <w:tbl>
      <w:tblPr>
        <w:tblStyle w:val="47"/>
        <w:tblW w:w="89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5"/>
        <w:gridCol w:w="1066"/>
        <w:gridCol w:w="1151"/>
        <w:gridCol w:w="1168"/>
        <w:gridCol w:w="1795"/>
        <w:gridCol w:w="1750"/>
        <w:gridCol w:w="1256"/>
      </w:tblGrid>
      <w:tr w14:paraId="740CD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2E93755B">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序号</w:t>
            </w:r>
          </w:p>
        </w:tc>
        <w:tc>
          <w:tcPr>
            <w:tcW w:w="1066" w:type="dxa"/>
            <w:tcBorders>
              <w:top w:val="single" w:color="auto" w:sz="4" w:space="0"/>
              <w:left w:val="nil"/>
              <w:bottom w:val="single" w:color="auto" w:sz="4" w:space="0"/>
              <w:right w:val="single" w:color="auto" w:sz="4" w:space="0"/>
            </w:tcBorders>
            <w:shd w:val="clear" w:color="auto" w:fill="auto"/>
            <w:vAlign w:val="center"/>
          </w:tcPr>
          <w:p w14:paraId="66B56884">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材料名称</w:t>
            </w:r>
          </w:p>
        </w:tc>
        <w:tc>
          <w:tcPr>
            <w:tcW w:w="1151" w:type="dxa"/>
            <w:tcBorders>
              <w:top w:val="single" w:color="auto" w:sz="4" w:space="0"/>
              <w:left w:val="nil"/>
              <w:bottom w:val="single" w:color="auto" w:sz="4" w:space="0"/>
              <w:right w:val="single" w:color="auto" w:sz="4" w:space="0"/>
            </w:tcBorders>
            <w:shd w:val="clear" w:color="auto" w:fill="auto"/>
            <w:vAlign w:val="center"/>
          </w:tcPr>
          <w:p w14:paraId="6DED14D3">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规格型号</w:t>
            </w:r>
          </w:p>
        </w:tc>
        <w:tc>
          <w:tcPr>
            <w:tcW w:w="1168" w:type="dxa"/>
            <w:tcBorders>
              <w:top w:val="single" w:color="auto" w:sz="4" w:space="0"/>
              <w:left w:val="nil"/>
              <w:bottom w:val="single" w:color="auto" w:sz="4" w:space="0"/>
              <w:right w:val="single" w:color="auto" w:sz="4" w:space="0"/>
            </w:tcBorders>
            <w:shd w:val="clear" w:color="auto" w:fill="auto"/>
            <w:vAlign w:val="center"/>
          </w:tcPr>
          <w:p w14:paraId="378C5B97">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数量</w:t>
            </w:r>
          </w:p>
        </w:tc>
        <w:tc>
          <w:tcPr>
            <w:tcW w:w="1795" w:type="dxa"/>
            <w:tcBorders>
              <w:top w:val="single" w:color="auto" w:sz="4" w:space="0"/>
              <w:left w:val="nil"/>
              <w:bottom w:val="single" w:color="auto" w:sz="4" w:space="0"/>
              <w:right w:val="single" w:color="auto" w:sz="4" w:space="0"/>
            </w:tcBorders>
            <w:shd w:val="clear" w:color="auto" w:fill="auto"/>
            <w:vAlign w:val="center"/>
          </w:tcPr>
          <w:p w14:paraId="03105D6B">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综合单价（元）</w:t>
            </w:r>
          </w:p>
        </w:tc>
        <w:tc>
          <w:tcPr>
            <w:tcW w:w="1750" w:type="dxa"/>
            <w:tcBorders>
              <w:top w:val="single" w:color="auto" w:sz="4" w:space="0"/>
              <w:left w:val="nil"/>
              <w:bottom w:val="single" w:color="auto" w:sz="4" w:space="0"/>
              <w:right w:val="single" w:color="auto" w:sz="4" w:space="0"/>
            </w:tcBorders>
            <w:shd w:val="clear" w:color="auto" w:fill="auto"/>
            <w:vAlign w:val="center"/>
          </w:tcPr>
          <w:p w14:paraId="42A7D17E">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合价（元）</w:t>
            </w:r>
          </w:p>
        </w:tc>
        <w:tc>
          <w:tcPr>
            <w:tcW w:w="1256" w:type="dxa"/>
            <w:tcBorders>
              <w:top w:val="single" w:color="auto" w:sz="4" w:space="0"/>
              <w:left w:val="nil"/>
              <w:bottom w:val="single" w:color="auto" w:sz="4" w:space="0"/>
              <w:right w:val="single" w:color="auto" w:sz="4" w:space="0"/>
            </w:tcBorders>
            <w:shd w:val="clear" w:color="auto" w:fill="auto"/>
            <w:vAlign w:val="center"/>
          </w:tcPr>
          <w:p w14:paraId="72EC39D9">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备注</w:t>
            </w:r>
          </w:p>
        </w:tc>
      </w:tr>
      <w:tr w14:paraId="3EEE3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715" w:type="dxa"/>
            <w:tcBorders>
              <w:top w:val="nil"/>
              <w:left w:val="single" w:color="auto" w:sz="4" w:space="0"/>
              <w:bottom w:val="single" w:color="auto" w:sz="4" w:space="0"/>
              <w:right w:val="single" w:color="auto" w:sz="4" w:space="0"/>
            </w:tcBorders>
            <w:shd w:val="clear" w:color="auto" w:fill="auto"/>
            <w:vAlign w:val="center"/>
          </w:tcPr>
          <w:p w14:paraId="1848BAD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bCs/>
                <w:color w:val="auto"/>
                <w:kern w:val="2"/>
                <w:sz w:val="21"/>
                <w:szCs w:val="21"/>
                <w:highlight w:val="none"/>
                <w:lang w:val="en-US" w:eastAsia="zh-CN" w:bidi="ar"/>
              </w:rPr>
              <w:t>1</w:t>
            </w:r>
          </w:p>
        </w:tc>
        <w:tc>
          <w:tcPr>
            <w:tcW w:w="1066" w:type="dxa"/>
            <w:tcBorders>
              <w:top w:val="nil"/>
              <w:left w:val="nil"/>
              <w:bottom w:val="single" w:color="auto" w:sz="4" w:space="0"/>
              <w:right w:val="single" w:color="auto" w:sz="4" w:space="0"/>
            </w:tcBorders>
            <w:shd w:val="clear" w:color="auto" w:fill="auto"/>
            <w:vAlign w:val="center"/>
          </w:tcPr>
          <w:p w14:paraId="655FB2F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1"/>
                <w:szCs w:val="21"/>
                <w:highlight w:val="none"/>
              </w:rPr>
            </w:pPr>
          </w:p>
        </w:tc>
        <w:tc>
          <w:tcPr>
            <w:tcW w:w="1151" w:type="dxa"/>
            <w:tcBorders>
              <w:top w:val="nil"/>
              <w:left w:val="nil"/>
              <w:bottom w:val="single" w:color="auto" w:sz="4" w:space="0"/>
              <w:right w:val="single" w:color="auto" w:sz="4" w:space="0"/>
            </w:tcBorders>
            <w:shd w:val="clear" w:color="auto" w:fill="auto"/>
            <w:vAlign w:val="center"/>
          </w:tcPr>
          <w:p w14:paraId="7814BB2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1"/>
                <w:szCs w:val="21"/>
                <w:highlight w:val="none"/>
              </w:rPr>
            </w:pPr>
          </w:p>
        </w:tc>
        <w:tc>
          <w:tcPr>
            <w:tcW w:w="1168" w:type="dxa"/>
            <w:tcBorders>
              <w:top w:val="nil"/>
              <w:left w:val="nil"/>
              <w:bottom w:val="single" w:color="auto" w:sz="4" w:space="0"/>
              <w:right w:val="single" w:color="auto" w:sz="4" w:space="0"/>
            </w:tcBorders>
            <w:shd w:val="clear" w:color="auto" w:fill="auto"/>
            <w:vAlign w:val="center"/>
          </w:tcPr>
          <w:p w14:paraId="04E9DBF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95" w:type="dxa"/>
            <w:tcBorders>
              <w:top w:val="single" w:color="auto" w:sz="4" w:space="0"/>
              <w:left w:val="nil"/>
              <w:bottom w:val="single" w:color="auto" w:sz="4" w:space="0"/>
              <w:right w:val="single" w:color="auto" w:sz="4" w:space="0"/>
            </w:tcBorders>
            <w:shd w:val="clear" w:color="auto" w:fill="auto"/>
            <w:vAlign w:val="center"/>
          </w:tcPr>
          <w:p w14:paraId="56A5D3AF">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rPr>
            </w:pPr>
          </w:p>
        </w:tc>
        <w:tc>
          <w:tcPr>
            <w:tcW w:w="1750" w:type="dxa"/>
            <w:tcBorders>
              <w:top w:val="single" w:color="auto" w:sz="4" w:space="0"/>
              <w:left w:val="nil"/>
              <w:bottom w:val="single" w:color="auto" w:sz="4" w:space="0"/>
              <w:right w:val="single" w:color="auto" w:sz="4" w:space="0"/>
            </w:tcBorders>
            <w:shd w:val="clear" w:color="auto" w:fill="auto"/>
            <w:vAlign w:val="center"/>
          </w:tcPr>
          <w:p w14:paraId="4CE3D25E">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rPr>
            </w:pPr>
          </w:p>
        </w:tc>
        <w:tc>
          <w:tcPr>
            <w:tcW w:w="1256" w:type="dxa"/>
            <w:tcBorders>
              <w:top w:val="nil"/>
              <w:left w:val="nil"/>
              <w:bottom w:val="single" w:color="auto" w:sz="4" w:space="0"/>
              <w:right w:val="single" w:color="auto" w:sz="4" w:space="0"/>
            </w:tcBorders>
            <w:shd w:val="clear" w:color="auto" w:fill="auto"/>
            <w:vAlign w:val="center"/>
          </w:tcPr>
          <w:p w14:paraId="66CFE8A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6F839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715" w:type="dxa"/>
            <w:tcBorders>
              <w:top w:val="nil"/>
              <w:left w:val="single" w:color="auto" w:sz="4" w:space="0"/>
              <w:bottom w:val="single" w:color="auto" w:sz="4" w:space="0"/>
              <w:right w:val="single" w:color="auto" w:sz="4" w:space="0"/>
            </w:tcBorders>
            <w:shd w:val="clear" w:color="auto" w:fill="auto"/>
            <w:vAlign w:val="center"/>
          </w:tcPr>
          <w:p w14:paraId="4792758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w:t>
            </w:r>
          </w:p>
        </w:tc>
        <w:tc>
          <w:tcPr>
            <w:tcW w:w="1066" w:type="dxa"/>
            <w:tcBorders>
              <w:top w:val="nil"/>
              <w:left w:val="nil"/>
              <w:bottom w:val="single" w:color="auto" w:sz="4" w:space="0"/>
              <w:right w:val="single" w:color="auto" w:sz="4" w:space="0"/>
            </w:tcBorders>
            <w:shd w:val="clear" w:color="auto" w:fill="auto"/>
            <w:vAlign w:val="center"/>
          </w:tcPr>
          <w:p w14:paraId="5C54538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51" w:type="dxa"/>
            <w:tcBorders>
              <w:top w:val="nil"/>
              <w:left w:val="nil"/>
              <w:bottom w:val="single" w:color="auto" w:sz="4" w:space="0"/>
              <w:right w:val="single" w:color="auto" w:sz="4" w:space="0"/>
            </w:tcBorders>
            <w:shd w:val="clear" w:color="auto" w:fill="auto"/>
            <w:vAlign w:val="center"/>
          </w:tcPr>
          <w:p w14:paraId="0B8B453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68" w:type="dxa"/>
            <w:tcBorders>
              <w:top w:val="nil"/>
              <w:left w:val="nil"/>
              <w:bottom w:val="single" w:color="auto" w:sz="4" w:space="0"/>
              <w:right w:val="single" w:color="auto" w:sz="4" w:space="0"/>
            </w:tcBorders>
            <w:shd w:val="clear" w:color="auto" w:fill="auto"/>
            <w:vAlign w:val="center"/>
          </w:tcPr>
          <w:p w14:paraId="10965F6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95" w:type="dxa"/>
            <w:tcBorders>
              <w:top w:val="single" w:color="auto" w:sz="4" w:space="0"/>
              <w:left w:val="nil"/>
              <w:bottom w:val="single" w:color="auto" w:sz="4" w:space="0"/>
              <w:right w:val="single" w:color="auto" w:sz="4" w:space="0"/>
            </w:tcBorders>
            <w:shd w:val="clear" w:color="auto" w:fill="auto"/>
            <w:vAlign w:val="center"/>
          </w:tcPr>
          <w:p w14:paraId="68708F36">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rPr>
            </w:pPr>
          </w:p>
        </w:tc>
        <w:tc>
          <w:tcPr>
            <w:tcW w:w="1750" w:type="dxa"/>
            <w:tcBorders>
              <w:top w:val="single" w:color="auto" w:sz="4" w:space="0"/>
              <w:left w:val="nil"/>
              <w:bottom w:val="single" w:color="auto" w:sz="4" w:space="0"/>
              <w:right w:val="single" w:color="auto" w:sz="4" w:space="0"/>
            </w:tcBorders>
            <w:shd w:val="clear" w:color="auto" w:fill="auto"/>
            <w:vAlign w:val="center"/>
          </w:tcPr>
          <w:p w14:paraId="1AB94F8E">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rPr>
            </w:pPr>
          </w:p>
        </w:tc>
        <w:tc>
          <w:tcPr>
            <w:tcW w:w="1256" w:type="dxa"/>
            <w:tcBorders>
              <w:top w:val="nil"/>
              <w:left w:val="nil"/>
              <w:bottom w:val="single" w:color="auto" w:sz="4" w:space="0"/>
              <w:right w:val="single" w:color="auto" w:sz="4" w:space="0"/>
            </w:tcBorders>
            <w:shd w:val="clear" w:color="auto" w:fill="auto"/>
            <w:vAlign w:val="center"/>
          </w:tcPr>
          <w:p w14:paraId="0B84DDC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3AB2A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6A13B9A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w:t>
            </w:r>
          </w:p>
        </w:tc>
        <w:tc>
          <w:tcPr>
            <w:tcW w:w="1066" w:type="dxa"/>
            <w:tcBorders>
              <w:top w:val="single" w:color="auto" w:sz="4" w:space="0"/>
              <w:left w:val="nil"/>
              <w:bottom w:val="single" w:color="auto" w:sz="4" w:space="0"/>
              <w:right w:val="single" w:color="auto" w:sz="4" w:space="0"/>
            </w:tcBorders>
            <w:shd w:val="clear" w:color="auto" w:fill="auto"/>
            <w:vAlign w:val="center"/>
          </w:tcPr>
          <w:p w14:paraId="20A5E90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51" w:type="dxa"/>
            <w:tcBorders>
              <w:top w:val="single" w:color="auto" w:sz="4" w:space="0"/>
              <w:left w:val="nil"/>
              <w:bottom w:val="single" w:color="auto" w:sz="4" w:space="0"/>
              <w:right w:val="single" w:color="auto" w:sz="4" w:space="0"/>
            </w:tcBorders>
            <w:shd w:val="clear" w:color="auto" w:fill="auto"/>
            <w:vAlign w:val="center"/>
          </w:tcPr>
          <w:p w14:paraId="21DD59A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68" w:type="dxa"/>
            <w:tcBorders>
              <w:top w:val="single" w:color="auto" w:sz="4" w:space="0"/>
              <w:left w:val="nil"/>
              <w:bottom w:val="single" w:color="auto" w:sz="4" w:space="0"/>
              <w:right w:val="single" w:color="auto" w:sz="4" w:space="0"/>
            </w:tcBorders>
            <w:shd w:val="clear" w:color="auto" w:fill="auto"/>
            <w:vAlign w:val="center"/>
          </w:tcPr>
          <w:p w14:paraId="170BDBF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95" w:type="dxa"/>
            <w:tcBorders>
              <w:top w:val="single" w:color="auto" w:sz="4" w:space="0"/>
              <w:left w:val="nil"/>
              <w:bottom w:val="single" w:color="auto" w:sz="4" w:space="0"/>
              <w:right w:val="single" w:color="auto" w:sz="4" w:space="0"/>
            </w:tcBorders>
            <w:shd w:val="clear" w:color="auto" w:fill="auto"/>
            <w:vAlign w:val="center"/>
          </w:tcPr>
          <w:p w14:paraId="783CCF01">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rPr>
            </w:pPr>
          </w:p>
        </w:tc>
        <w:tc>
          <w:tcPr>
            <w:tcW w:w="1750" w:type="dxa"/>
            <w:tcBorders>
              <w:top w:val="single" w:color="auto" w:sz="4" w:space="0"/>
              <w:left w:val="nil"/>
              <w:bottom w:val="single" w:color="auto" w:sz="4" w:space="0"/>
              <w:right w:val="single" w:color="auto" w:sz="4" w:space="0"/>
            </w:tcBorders>
            <w:shd w:val="clear" w:color="auto" w:fill="auto"/>
            <w:vAlign w:val="center"/>
          </w:tcPr>
          <w:p w14:paraId="52CFF027">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rPr>
            </w:pPr>
          </w:p>
        </w:tc>
        <w:tc>
          <w:tcPr>
            <w:tcW w:w="1256" w:type="dxa"/>
            <w:tcBorders>
              <w:top w:val="single" w:color="auto" w:sz="4" w:space="0"/>
              <w:left w:val="nil"/>
              <w:bottom w:val="single" w:color="auto" w:sz="4" w:space="0"/>
              <w:right w:val="single" w:color="auto" w:sz="4" w:space="0"/>
            </w:tcBorders>
            <w:shd w:val="clear" w:color="auto" w:fill="auto"/>
            <w:vAlign w:val="center"/>
          </w:tcPr>
          <w:p w14:paraId="7B36581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57399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000000" w:sz="8" w:space="0"/>
              <w:bottom w:val="single" w:color="auto" w:sz="4" w:space="0"/>
              <w:right w:val="single" w:color="000000" w:sz="8" w:space="0"/>
            </w:tcBorders>
            <w:shd w:val="clear" w:color="auto" w:fill="auto"/>
            <w:vAlign w:val="center"/>
          </w:tcPr>
          <w:p w14:paraId="5AC0701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w:t>
            </w:r>
          </w:p>
        </w:tc>
        <w:tc>
          <w:tcPr>
            <w:tcW w:w="1066" w:type="dxa"/>
            <w:tcBorders>
              <w:top w:val="single" w:color="auto" w:sz="4" w:space="0"/>
              <w:left w:val="nil"/>
              <w:bottom w:val="single" w:color="auto" w:sz="4" w:space="0"/>
              <w:right w:val="single" w:color="auto" w:sz="4" w:space="0"/>
            </w:tcBorders>
            <w:shd w:val="clear" w:color="auto" w:fill="auto"/>
            <w:vAlign w:val="center"/>
          </w:tcPr>
          <w:p w14:paraId="031DC29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51" w:type="dxa"/>
            <w:tcBorders>
              <w:top w:val="single" w:color="auto" w:sz="4" w:space="0"/>
              <w:left w:val="nil"/>
              <w:bottom w:val="single" w:color="auto" w:sz="4" w:space="0"/>
              <w:right w:val="single" w:color="auto" w:sz="4" w:space="0"/>
            </w:tcBorders>
            <w:shd w:val="clear" w:color="auto" w:fill="auto"/>
            <w:vAlign w:val="center"/>
          </w:tcPr>
          <w:p w14:paraId="54C3A16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68" w:type="dxa"/>
            <w:tcBorders>
              <w:top w:val="single" w:color="auto" w:sz="4" w:space="0"/>
              <w:left w:val="nil"/>
              <w:bottom w:val="single" w:color="auto" w:sz="4" w:space="0"/>
              <w:right w:val="single" w:color="auto" w:sz="4" w:space="0"/>
            </w:tcBorders>
            <w:shd w:val="clear" w:color="auto" w:fill="auto"/>
            <w:vAlign w:val="center"/>
          </w:tcPr>
          <w:p w14:paraId="4AF7138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95" w:type="dxa"/>
            <w:tcBorders>
              <w:top w:val="single" w:color="auto" w:sz="4" w:space="0"/>
              <w:left w:val="nil"/>
              <w:bottom w:val="single" w:color="auto" w:sz="4" w:space="0"/>
              <w:right w:val="single" w:color="auto" w:sz="4" w:space="0"/>
            </w:tcBorders>
            <w:shd w:val="clear" w:color="auto" w:fill="auto"/>
            <w:vAlign w:val="center"/>
          </w:tcPr>
          <w:p w14:paraId="6DE93530">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rPr>
            </w:pPr>
          </w:p>
        </w:tc>
        <w:tc>
          <w:tcPr>
            <w:tcW w:w="1750" w:type="dxa"/>
            <w:tcBorders>
              <w:top w:val="single" w:color="auto" w:sz="4" w:space="0"/>
              <w:left w:val="nil"/>
              <w:bottom w:val="single" w:color="auto" w:sz="4" w:space="0"/>
              <w:right w:val="single" w:color="auto" w:sz="4" w:space="0"/>
            </w:tcBorders>
            <w:shd w:val="clear" w:color="auto" w:fill="auto"/>
            <w:vAlign w:val="center"/>
          </w:tcPr>
          <w:p w14:paraId="1C665DC3">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rPr>
            </w:pPr>
          </w:p>
        </w:tc>
        <w:tc>
          <w:tcPr>
            <w:tcW w:w="1256" w:type="dxa"/>
            <w:tcBorders>
              <w:top w:val="single" w:color="auto" w:sz="4" w:space="0"/>
              <w:left w:val="nil"/>
              <w:bottom w:val="single" w:color="auto" w:sz="4" w:space="0"/>
              <w:right w:val="single" w:color="auto" w:sz="4" w:space="0"/>
            </w:tcBorders>
            <w:shd w:val="clear" w:color="auto" w:fill="auto"/>
            <w:vAlign w:val="center"/>
          </w:tcPr>
          <w:p w14:paraId="77E9EAD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52B62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000000" w:sz="8" w:space="0"/>
              <w:bottom w:val="single" w:color="auto" w:sz="4" w:space="0"/>
              <w:right w:val="single" w:color="000000" w:sz="8" w:space="0"/>
            </w:tcBorders>
            <w:shd w:val="clear" w:color="auto" w:fill="auto"/>
            <w:vAlign w:val="center"/>
          </w:tcPr>
          <w:p w14:paraId="7C34A75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w:t>
            </w:r>
          </w:p>
        </w:tc>
        <w:tc>
          <w:tcPr>
            <w:tcW w:w="1066" w:type="dxa"/>
            <w:tcBorders>
              <w:top w:val="single" w:color="auto" w:sz="4" w:space="0"/>
              <w:left w:val="nil"/>
              <w:bottom w:val="single" w:color="auto" w:sz="4" w:space="0"/>
              <w:right w:val="single" w:color="auto" w:sz="4" w:space="0"/>
            </w:tcBorders>
            <w:shd w:val="clear" w:color="auto" w:fill="auto"/>
            <w:vAlign w:val="center"/>
          </w:tcPr>
          <w:p w14:paraId="622FD87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51" w:type="dxa"/>
            <w:tcBorders>
              <w:top w:val="single" w:color="auto" w:sz="4" w:space="0"/>
              <w:left w:val="nil"/>
              <w:bottom w:val="single" w:color="auto" w:sz="4" w:space="0"/>
              <w:right w:val="single" w:color="auto" w:sz="4" w:space="0"/>
            </w:tcBorders>
            <w:shd w:val="clear" w:color="auto" w:fill="auto"/>
            <w:vAlign w:val="center"/>
          </w:tcPr>
          <w:p w14:paraId="1CFF0B2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68" w:type="dxa"/>
            <w:tcBorders>
              <w:top w:val="single" w:color="auto" w:sz="4" w:space="0"/>
              <w:left w:val="nil"/>
              <w:bottom w:val="single" w:color="auto" w:sz="4" w:space="0"/>
              <w:right w:val="single" w:color="auto" w:sz="4" w:space="0"/>
            </w:tcBorders>
            <w:shd w:val="clear" w:color="auto" w:fill="auto"/>
            <w:vAlign w:val="center"/>
          </w:tcPr>
          <w:p w14:paraId="017C843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95" w:type="dxa"/>
            <w:tcBorders>
              <w:top w:val="single" w:color="auto" w:sz="4" w:space="0"/>
              <w:left w:val="nil"/>
              <w:bottom w:val="single" w:color="auto" w:sz="4" w:space="0"/>
              <w:right w:val="single" w:color="auto" w:sz="4" w:space="0"/>
            </w:tcBorders>
            <w:shd w:val="clear" w:color="auto" w:fill="auto"/>
            <w:vAlign w:val="center"/>
          </w:tcPr>
          <w:p w14:paraId="256EEF37">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rPr>
            </w:pPr>
          </w:p>
        </w:tc>
        <w:tc>
          <w:tcPr>
            <w:tcW w:w="1750" w:type="dxa"/>
            <w:tcBorders>
              <w:top w:val="single" w:color="auto" w:sz="4" w:space="0"/>
              <w:left w:val="nil"/>
              <w:bottom w:val="single" w:color="auto" w:sz="4" w:space="0"/>
              <w:right w:val="single" w:color="auto" w:sz="4" w:space="0"/>
            </w:tcBorders>
            <w:shd w:val="clear" w:color="auto" w:fill="auto"/>
            <w:vAlign w:val="center"/>
          </w:tcPr>
          <w:p w14:paraId="6F963340">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rPr>
            </w:pPr>
          </w:p>
        </w:tc>
        <w:tc>
          <w:tcPr>
            <w:tcW w:w="1256" w:type="dxa"/>
            <w:tcBorders>
              <w:top w:val="single" w:color="auto" w:sz="4" w:space="0"/>
              <w:left w:val="nil"/>
              <w:bottom w:val="single" w:color="auto" w:sz="4" w:space="0"/>
              <w:right w:val="single" w:color="auto" w:sz="4" w:space="0"/>
            </w:tcBorders>
            <w:shd w:val="clear" w:color="auto" w:fill="auto"/>
            <w:vAlign w:val="center"/>
          </w:tcPr>
          <w:p w14:paraId="545C13C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0C99D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000000" w:sz="8" w:space="0"/>
              <w:bottom w:val="single" w:color="auto" w:sz="4" w:space="0"/>
              <w:right w:val="single" w:color="000000" w:sz="8" w:space="0"/>
            </w:tcBorders>
            <w:shd w:val="clear" w:color="auto" w:fill="auto"/>
            <w:vAlign w:val="center"/>
          </w:tcPr>
          <w:p w14:paraId="4E7EF7D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6</w:t>
            </w:r>
          </w:p>
        </w:tc>
        <w:tc>
          <w:tcPr>
            <w:tcW w:w="1066" w:type="dxa"/>
            <w:tcBorders>
              <w:top w:val="single" w:color="auto" w:sz="4" w:space="0"/>
              <w:left w:val="nil"/>
              <w:bottom w:val="single" w:color="auto" w:sz="4" w:space="0"/>
              <w:right w:val="single" w:color="auto" w:sz="4" w:space="0"/>
            </w:tcBorders>
            <w:shd w:val="clear" w:color="auto" w:fill="auto"/>
            <w:vAlign w:val="center"/>
          </w:tcPr>
          <w:p w14:paraId="6FD5D43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51" w:type="dxa"/>
            <w:tcBorders>
              <w:top w:val="single" w:color="auto" w:sz="4" w:space="0"/>
              <w:left w:val="nil"/>
              <w:bottom w:val="single" w:color="auto" w:sz="4" w:space="0"/>
              <w:right w:val="single" w:color="auto" w:sz="4" w:space="0"/>
            </w:tcBorders>
            <w:shd w:val="clear" w:color="auto" w:fill="auto"/>
            <w:vAlign w:val="center"/>
          </w:tcPr>
          <w:p w14:paraId="6696896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68" w:type="dxa"/>
            <w:tcBorders>
              <w:top w:val="single" w:color="auto" w:sz="4" w:space="0"/>
              <w:left w:val="nil"/>
              <w:bottom w:val="single" w:color="auto" w:sz="4" w:space="0"/>
              <w:right w:val="single" w:color="auto" w:sz="4" w:space="0"/>
            </w:tcBorders>
            <w:shd w:val="clear" w:color="auto" w:fill="auto"/>
            <w:vAlign w:val="center"/>
          </w:tcPr>
          <w:p w14:paraId="44EAF51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95" w:type="dxa"/>
            <w:tcBorders>
              <w:top w:val="single" w:color="auto" w:sz="4" w:space="0"/>
              <w:left w:val="nil"/>
              <w:bottom w:val="single" w:color="auto" w:sz="4" w:space="0"/>
              <w:right w:val="single" w:color="auto" w:sz="4" w:space="0"/>
            </w:tcBorders>
            <w:shd w:val="clear" w:color="auto" w:fill="auto"/>
            <w:vAlign w:val="center"/>
          </w:tcPr>
          <w:p w14:paraId="786A256D">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rPr>
            </w:pPr>
          </w:p>
        </w:tc>
        <w:tc>
          <w:tcPr>
            <w:tcW w:w="1750" w:type="dxa"/>
            <w:tcBorders>
              <w:top w:val="single" w:color="auto" w:sz="4" w:space="0"/>
              <w:left w:val="nil"/>
              <w:bottom w:val="single" w:color="auto" w:sz="4" w:space="0"/>
              <w:right w:val="single" w:color="auto" w:sz="4" w:space="0"/>
            </w:tcBorders>
            <w:shd w:val="clear" w:color="auto" w:fill="auto"/>
            <w:vAlign w:val="center"/>
          </w:tcPr>
          <w:p w14:paraId="59783984">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rPr>
            </w:pPr>
          </w:p>
        </w:tc>
        <w:tc>
          <w:tcPr>
            <w:tcW w:w="1256" w:type="dxa"/>
            <w:tcBorders>
              <w:top w:val="single" w:color="auto" w:sz="4" w:space="0"/>
              <w:left w:val="nil"/>
              <w:bottom w:val="single" w:color="auto" w:sz="4" w:space="0"/>
              <w:right w:val="single" w:color="auto" w:sz="4" w:space="0"/>
            </w:tcBorders>
            <w:shd w:val="clear" w:color="auto" w:fill="auto"/>
            <w:vAlign w:val="center"/>
          </w:tcPr>
          <w:p w14:paraId="368BAA5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486AE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000000" w:sz="8" w:space="0"/>
              <w:bottom w:val="single" w:color="auto" w:sz="4" w:space="0"/>
              <w:right w:val="single" w:color="000000" w:sz="8" w:space="0"/>
            </w:tcBorders>
            <w:shd w:val="clear" w:color="auto" w:fill="auto"/>
            <w:vAlign w:val="center"/>
          </w:tcPr>
          <w:p w14:paraId="30FDA49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1066" w:type="dxa"/>
            <w:tcBorders>
              <w:top w:val="single" w:color="auto" w:sz="4" w:space="0"/>
              <w:left w:val="nil"/>
              <w:bottom w:val="single" w:color="auto" w:sz="4" w:space="0"/>
              <w:right w:val="single" w:color="auto" w:sz="4" w:space="0"/>
            </w:tcBorders>
            <w:shd w:val="clear" w:color="auto" w:fill="auto"/>
            <w:vAlign w:val="center"/>
          </w:tcPr>
          <w:p w14:paraId="7D50DF2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51" w:type="dxa"/>
            <w:tcBorders>
              <w:top w:val="single" w:color="auto" w:sz="4" w:space="0"/>
              <w:left w:val="nil"/>
              <w:bottom w:val="single" w:color="auto" w:sz="4" w:space="0"/>
              <w:right w:val="single" w:color="auto" w:sz="4" w:space="0"/>
            </w:tcBorders>
            <w:shd w:val="clear" w:color="auto" w:fill="auto"/>
            <w:vAlign w:val="center"/>
          </w:tcPr>
          <w:p w14:paraId="33C257A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68" w:type="dxa"/>
            <w:tcBorders>
              <w:top w:val="single" w:color="auto" w:sz="4" w:space="0"/>
              <w:left w:val="nil"/>
              <w:bottom w:val="single" w:color="auto" w:sz="4" w:space="0"/>
              <w:right w:val="single" w:color="auto" w:sz="4" w:space="0"/>
            </w:tcBorders>
            <w:shd w:val="clear" w:color="auto" w:fill="auto"/>
            <w:vAlign w:val="center"/>
          </w:tcPr>
          <w:p w14:paraId="2372B50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95" w:type="dxa"/>
            <w:tcBorders>
              <w:top w:val="single" w:color="auto" w:sz="4" w:space="0"/>
              <w:left w:val="nil"/>
              <w:bottom w:val="single" w:color="auto" w:sz="4" w:space="0"/>
              <w:right w:val="single" w:color="auto" w:sz="4" w:space="0"/>
            </w:tcBorders>
            <w:shd w:val="clear" w:color="auto" w:fill="auto"/>
            <w:vAlign w:val="center"/>
          </w:tcPr>
          <w:p w14:paraId="5F62917B">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rPr>
            </w:pPr>
          </w:p>
        </w:tc>
        <w:tc>
          <w:tcPr>
            <w:tcW w:w="1750" w:type="dxa"/>
            <w:tcBorders>
              <w:top w:val="single" w:color="auto" w:sz="4" w:space="0"/>
              <w:left w:val="nil"/>
              <w:bottom w:val="single" w:color="auto" w:sz="4" w:space="0"/>
              <w:right w:val="single" w:color="auto" w:sz="4" w:space="0"/>
            </w:tcBorders>
            <w:shd w:val="clear" w:color="auto" w:fill="auto"/>
            <w:vAlign w:val="center"/>
          </w:tcPr>
          <w:p w14:paraId="4F90475B">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rPr>
            </w:pPr>
          </w:p>
        </w:tc>
        <w:tc>
          <w:tcPr>
            <w:tcW w:w="1256" w:type="dxa"/>
            <w:tcBorders>
              <w:top w:val="single" w:color="auto" w:sz="4" w:space="0"/>
              <w:left w:val="nil"/>
              <w:bottom w:val="single" w:color="auto" w:sz="4" w:space="0"/>
              <w:right w:val="single" w:color="auto" w:sz="4" w:space="0"/>
            </w:tcBorders>
            <w:shd w:val="clear" w:color="auto" w:fill="auto"/>
            <w:vAlign w:val="center"/>
          </w:tcPr>
          <w:p w14:paraId="6EF67CB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66054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000000" w:sz="8" w:space="0"/>
              <w:bottom w:val="single" w:color="auto" w:sz="4" w:space="0"/>
              <w:right w:val="single" w:color="000000" w:sz="8" w:space="0"/>
            </w:tcBorders>
            <w:shd w:val="clear" w:color="auto" w:fill="auto"/>
            <w:vAlign w:val="center"/>
          </w:tcPr>
          <w:p w14:paraId="1CB0807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66" w:type="dxa"/>
            <w:tcBorders>
              <w:top w:val="single" w:color="auto" w:sz="4" w:space="0"/>
              <w:left w:val="nil"/>
              <w:bottom w:val="single" w:color="auto" w:sz="4" w:space="0"/>
              <w:right w:val="single" w:color="auto" w:sz="4" w:space="0"/>
            </w:tcBorders>
            <w:shd w:val="clear" w:color="auto" w:fill="auto"/>
            <w:vAlign w:val="center"/>
          </w:tcPr>
          <w:p w14:paraId="5FAA502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51" w:type="dxa"/>
            <w:tcBorders>
              <w:top w:val="single" w:color="auto" w:sz="4" w:space="0"/>
              <w:left w:val="nil"/>
              <w:bottom w:val="single" w:color="auto" w:sz="4" w:space="0"/>
              <w:right w:val="single" w:color="auto" w:sz="4" w:space="0"/>
            </w:tcBorders>
            <w:shd w:val="clear" w:color="auto" w:fill="auto"/>
            <w:vAlign w:val="center"/>
          </w:tcPr>
          <w:p w14:paraId="30A9284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68" w:type="dxa"/>
            <w:tcBorders>
              <w:top w:val="single" w:color="auto" w:sz="4" w:space="0"/>
              <w:left w:val="nil"/>
              <w:bottom w:val="single" w:color="auto" w:sz="4" w:space="0"/>
              <w:right w:val="single" w:color="auto" w:sz="4" w:space="0"/>
            </w:tcBorders>
            <w:shd w:val="clear" w:color="auto" w:fill="auto"/>
            <w:vAlign w:val="center"/>
          </w:tcPr>
          <w:p w14:paraId="279624E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95" w:type="dxa"/>
            <w:tcBorders>
              <w:top w:val="single" w:color="auto" w:sz="4" w:space="0"/>
              <w:left w:val="nil"/>
              <w:bottom w:val="single" w:color="auto" w:sz="4" w:space="0"/>
              <w:right w:val="single" w:color="auto" w:sz="4" w:space="0"/>
            </w:tcBorders>
            <w:shd w:val="clear" w:color="auto" w:fill="auto"/>
            <w:vAlign w:val="center"/>
          </w:tcPr>
          <w:p w14:paraId="120341D4">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rPr>
            </w:pPr>
          </w:p>
        </w:tc>
        <w:tc>
          <w:tcPr>
            <w:tcW w:w="1750" w:type="dxa"/>
            <w:tcBorders>
              <w:top w:val="single" w:color="auto" w:sz="4" w:space="0"/>
              <w:left w:val="nil"/>
              <w:bottom w:val="single" w:color="auto" w:sz="4" w:space="0"/>
              <w:right w:val="single" w:color="auto" w:sz="4" w:space="0"/>
            </w:tcBorders>
            <w:shd w:val="clear" w:color="auto" w:fill="auto"/>
            <w:vAlign w:val="center"/>
          </w:tcPr>
          <w:p w14:paraId="53DA59F0">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rPr>
            </w:pPr>
          </w:p>
        </w:tc>
        <w:tc>
          <w:tcPr>
            <w:tcW w:w="1256" w:type="dxa"/>
            <w:tcBorders>
              <w:top w:val="single" w:color="auto" w:sz="4" w:space="0"/>
              <w:left w:val="nil"/>
              <w:bottom w:val="single" w:color="auto" w:sz="4" w:space="0"/>
              <w:right w:val="single" w:color="auto" w:sz="4" w:space="0"/>
            </w:tcBorders>
            <w:shd w:val="clear" w:color="auto" w:fill="auto"/>
            <w:vAlign w:val="center"/>
          </w:tcPr>
          <w:p w14:paraId="52B0AFA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2B979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000000" w:sz="8" w:space="0"/>
              <w:bottom w:val="single" w:color="auto" w:sz="4" w:space="0"/>
              <w:right w:val="single" w:color="000000" w:sz="8" w:space="0"/>
            </w:tcBorders>
            <w:shd w:val="clear" w:color="auto" w:fill="auto"/>
            <w:vAlign w:val="center"/>
          </w:tcPr>
          <w:p w14:paraId="1ED84BA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66" w:type="dxa"/>
            <w:tcBorders>
              <w:top w:val="single" w:color="auto" w:sz="4" w:space="0"/>
              <w:left w:val="nil"/>
              <w:bottom w:val="single" w:color="auto" w:sz="4" w:space="0"/>
              <w:right w:val="single" w:color="auto" w:sz="4" w:space="0"/>
            </w:tcBorders>
            <w:shd w:val="clear" w:color="auto" w:fill="auto"/>
            <w:vAlign w:val="center"/>
          </w:tcPr>
          <w:p w14:paraId="247AAB2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51" w:type="dxa"/>
            <w:tcBorders>
              <w:top w:val="single" w:color="auto" w:sz="4" w:space="0"/>
              <w:left w:val="nil"/>
              <w:bottom w:val="single" w:color="auto" w:sz="4" w:space="0"/>
              <w:right w:val="single" w:color="auto" w:sz="4" w:space="0"/>
            </w:tcBorders>
            <w:shd w:val="clear" w:color="auto" w:fill="auto"/>
            <w:vAlign w:val="center"/>
          </w:tcPr>
          <w:p w14:paraId="625599C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68" w:type="dxa"/>
            <w:tcBorders>
              <w:top w:val="single" w:color="auto" w:sz="4" w:space="0"/>
              <w:left w:val="nil"/>
              <w:bottom w:val="single" w:color="auto" w:sz="4" w:space="0"/>
              <w:right w:val="single" w:color="auto" w:sz="4" w:space="0"/>
            </w:tcBorders>
            <w:shd w:val="clear" w:color="auto" w:fill="auto"/>
            <w:vAlign w:val="center"/>
          </w:tcPr>
          <w:p w14:paraId="2ED897C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95" w:type="dxa"/>
            <w:tcBorders>
              <w:top w:val="single" w:color="auto" w:sz="4" w:space="0"/>
              <w:left w:val="nil"/>
              <w:bottom w:val="single" w:color="auto" w:sz="4" w:space="0"/>
              <w:right w:val="single" w:color="auto" w:sz="4" w:space="0"/>
            </w:tcBorders>
            <w:shd w:val="clear" w:color="auto" w:fill="auto"/>
            <w:vAlign w:val="center"/>
          </w:tcPr>
          <w:p w14:paraId="3E746120">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rPr>
            </w:pPr>
          </w:p>
        </w:tc>
        <w:tc>
          <w:tcPr>
            <w:tcW w:w="1750" w:type="dxa"/>
            <w:tcBorders>
              <w:top w:val="single" w:color="auto" w:sz="4" w:space="0"/>
              <w:left w:val="nil"/>
              <w:bottom w:val="single" w:color="auto" w:sz="4" w:space="0"/>
              <w:right w:val="single" w:color="auto" w:sz="4" w:space="0"/>
            </w:tcBorders>
            <w:shd w:val="clear" w:color="auto" w:fill="auto"/>
            <w:vAlign w:val="center"/>
          </w:tcPr>
          <w:p w14:paraId="0BD48130">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rPr>
            </w:pPr>
          </w:p>
        </w:tc>
        <w:tc>
          <w:tcPr>
            <w:tcW w:w="1256" w:type="dxa"/>
            <w:tcBorders>
              <w:top w:val="single" w:color="auto" w:sz="4" w:space="0"/>
              <w:left w:val="nil"/>
              <w:bottom w:val="single" w:color="auto" w:sz="4" w:space="0"/>
              <w:right w:val="single" w:color="auto" w:sz="4" w:space="0"/>
            </w:tcBorders>
            <w:shd w:val="clear" w:color="auto" w:fill="auto"/>
            <w:vAlign w:val="center"/>
          </w:tcPr>
          <w:p w14:paraId="16E2E1C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3F093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000000" w:sz="8" w:space="0"/>
              <w:bottom w:val="single" w:color="auto" w:sz="4" w:space="0"/>
              <w:right w:val="single" w:color="000000" w:sz="8" w:space="0"/>
            </w:tcBorders>
            <w:shd w:val="clear" w:color="auto" w:fill="auto"/>
            <w:vAlign w:val="center"/>
          </w:tcPr>
          <w:p w14:paraId="502E1DF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66" w:type="dxa"/>
            <w:tcBorders>
              <w:top w:val="single" w:color="auto" w:sz="4" w:space="0"/>
              <w:left w:val="nil"/>
              <w:bottom w:val="single" w:color="auto" w:sz="4" w:space="0"/>
              <w:right w:val="single" w:color="auto" w:sz="4" w:space="0"/>
            </w:tcBorders>
            <w:shd w:val="clear" w:color="auto" w:fill="auto"/>
            <w:vAlign w:val="center"/>
          </w:tcPr>
          <w:p w14:paraId="5F29388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51" w:type="dxa"/>
            <w:tcBorders>
              <w:top w:val="single" w:color="auto" w:sz="4" w:space="0"/>
              <w:left w:val="nil"/>
              <w:bottom w:val="single" w:color="auto" w:sz="4" w:space="0"/>
              <w:right w:val="single" w:color="auto" w:sz="4" w:space="0"/>
            </w:tcBorders>
            <w:shd w:val="clear" w:color="auto" w:fill="auto"/>
            <w:vAlign w:val="center"/>
          </w:tcPr>
          <w:p w14:paraId="260789A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68" w:type="dxa"/>
            <w:tcBorders>
              <w:top w:val="single" w:color="auto" w:sz="4" w:space="0"/>
              <w:left w:val="nil"/>
              <w:bottom w:val="single" w:color="auto" w:sz="4" w:space="0"/>
              <w:right w:val="single" w:color="auto" w:sz="4" w:space="0"/>
            </w:tcBorders>
            <w:shd w:val="clear" w:color="auto" w:fill="auto"/>
            <w:vAlign w:val="center"/>
          </w:tcPr>
          <w:p w14:paraId="6B0179A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95" w:type="dxa"/>
            <w:tcBorders>
              <w:top w:val="single" w:color="auto" w:sz="4" w:space="0"/>
              <w:left w:val="nil"/>
              <w:bottom w:val="single" w:color="auto" w:sz="4" w:space="0"/>
              <w:right w:val="single" w:color="auto" w:sz="4" w:space="0"/>
            </w:tcBorders>
            <w:shd w:val="clear" w:color="auto" w:fill="auto"/>
            <w:vAlign w:val="center"/>
          </w:tcPr>
          <w:p w14:paraId="5A8AE8E2">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rPr>
            </w:pPr>
          </w:p>
        </w:tc>
        <w:tc>
          <w:tcPr>
            <w:tcW w:w="1750" w:type="dxa"/>
            <w:tcBorders>
              <w:top w:val="single" w:color="auto" w:sz="4" w:space="0"/>
              <w:left w:val="nil"/>
              <w:bottom w:val="single" w:color="auto" w:sz="4" w:space="0"/>
              <w:right w:val="single" w:color="auto" w:sz="4" w:space="0"/>
            </w:tcBorders>
            <w:shd w:val="clear" w:color="auto" w:fill="auto"/>
            <w:vAlign w:val="center"/>
          </w:tcPr>
          <w:p w14:paraId="7FF72EC7">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rPr>
            </w:pPr>
          </w:p>
        </w:tc>
        <w:tc>
          <w:tcPr>
            <w:tcW w:w="1256" w:type="dxa"/>
            <w:tcBorders>
              <w:top w:val="single" w:color="auto" w:sz="4" w:space="0"/>
              <w:left w:val="nil"/>
              <w:bottom w:val="single" w:color="auto" w:sz="4" w:space="0"/>
              <w:right w:val="single" w:color="auto" w:sz="4" w:space="0"/>
            </w:tcBorders>
            <w:shd w:val="clear" w:color="auto" w:fill="auto"/>
            <w:vAlign w:val="center"/>
          </w:tcPr>
          <w:p w14:paraId="264725A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5E5AB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000000" w:sz="8" w:space="0"/>
              <w:bottom w:val="single" w:color="auto" w:sz="4" w:space="0"/>
              <w:right w:val="single" w:color="000000" w:sz="8" w:space="0"/>
            </w:tcBorders>
            <w:shd w:val="clear" w:color="auto" w:fill="auto"/>
            <w:vAlign w:val="center"/>
          </w:tcPr>
          <w:p w14:paraId="02A0021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66" w:type="dxa"/>
            <w:tcBorders>
              <w:top w:val="single" w:color="auto" w:sz="4" w:space="0"/>
              <w:left w:val="nil"/>
              <w:bottom w:val="single" w:color="auto" w:sz="4" w:space="0"/>
              <w:right w:val="single" w:color="auto" w:sz="4" w:space="0"/>
            </w:tcBorders>
            <w:shd w:val="clear" w:color="auto" w:fill="auto"/>
            <w:vAlign w:val="center"/>
          </w:tcPr>
          <w:p w14:paraId="55A0834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51" w:type="dxa"/>
            <w:tcBorders>
              <w:top w:val="single" w:color="auto" w:sz="4" w:space="0"/>
              <w:left w:val="nil"/>
              <w:bottom w:val="single" w:color="auto" w:sz="4" w:space="0"/>
              <w:right w:val="single" w:color="auto" w:sz="4" w:space="0"/>
            </w:tcBorders>
            <w:shd w:val="clear" w:color="auto" w:fill="auto"/>
            <w:vAlign w:val="center"/>
          </w:tcPr>
          <w:p w14:paraId="552898D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68" w:type="dxa"/>
            <w:tcBorders>
              <w:top w:val="single" w:color="auto" w:sz="4" w:space="0"/>
              <w:left w:val="nil"/>
              <w:bottom w:val="single" w:color="auto" w:sz="4" w:space="0"/>
              <w:right w:val="single" w:color="auto" w:sz="4" w:space="0"/>
            </w:tcBorders>
            <w:shd w:val="clear" w:color="auto" w:fill="auto"/>
            <w:vAlign w:val="center"/>
          </w:tcPr>
          <w:p w14:paraId="26CBD63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95" w:type="dxa"/>
            <w:tcBorders>
              <w:top w:val="single" w:color="auto" w:sz="4" w:space="0"/>
              <w:left w:val="nil"/>
              <w:bottom w:val="single" w:color="auto" w:sz="4" w:space="0"/>
              <w:right w:val="single" w:color="auto" w:sz="4" w:space="0"/>
            </w:tcBorders>
            <w:shd w:val="clear" w:color="auto" w:fill="auto"/>
            <w:vAlign w:val="center"/>
          </w:tcPr>
          <w:p w14:paraId="5EC2698A">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rPr>
            </w:pPr>
          </w:p>
        </w:tc>
        <w:tc>
          <w:tcPr>
            <w:tcW w:w="1750" w:type="dxa"/>
            <w:tcBorders>
              <w:top w:val="single" w:color="auto" w:sz="4" w:space="0"/>
              <w:left w:val="nil"/>
              <w:bottom w:val="single" w:color="auto" w:sz="4" w:space="0"/>
              <w:right w:val="single" w:color="auto" w:sz="4" w:space="0"/>
            </w:tcBorders>
            <w:shd w:val="clear" w:color="auto" w:fill="auto"/>
            <w:vAlign w:val="center"/>
          </w:tcPr>
          <w:p w14:paraId="5CBE35A7">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rPr>
            </w:pPr>
          </w:p>
        </w:tc>
        <w:tc>
          <w:tcPr>
            <w:tcW w:w="1256" w:type="dxa"/>
            <w:tcBorders>
              <w:top w:val="single" w:color="auto" w:sz="4" w:space="0"/>
              <w:left w:val="nil"/>
              <w:bottom w:val="single" w:color="auto" w:sz="4" w:space="0"/>
              <w:right w:val="single" w:color="auto" w:sz="4" w:space="0"/>
            </w:tcBorders>
            <w:shd w:val="clear" w:color="auto" w:fill="auto"/>
            <w:vAlign w:val="center"/>
          </w:tcPr>
          <w:p w14:paraId="7939C59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38541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715" w:type="dxa"/>
            <w:tcBorders>
              <w:top w:val="single" w:color="auto" w:sz="4" w:space="0"/>
              <w:left w:val="single" w:color="000000" w:sz="8" w:space="0"/>
              <w:bottom w:val="single" w:color="auto" w:sz="4" w:space="0"/>
              <w:right w:val="single" w:color="000000" w:sz="8" w:space="0"/>
            </w:tcBorders>
            <w:shd w:val="clear" w:color="auto" w:fill="auto"/>
            <w:vAlign w:val="center"/>
          </w:tcPr>
          <w:p w14:paraId="0EB17A1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66" w:type="dxa"/>
            <w:tcBorders>
              <w:top w:val="single" w:color="auto" w:sz="4" w:space="0"/>
              <w:left w:val="nil"/>
              <w:bottom w:val="single" w:color="auto" w:sz="4" w:space="0"/>
              <w:right w:val="single" w:color="auto" w:sz="4" w:space="0"/>
            </w:tcBorders>
            <w:shd w:val="clear" w:color="auto" w:fill="auto"/>
            <w:vAlign w:val="center"/>
          </w:tcPr>
          <w:p w14:paraId="7A07819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51" w:type="dxa"/>
            <w:tcBorders>
              <w:top w:val="single" w:color="auto" w:sz="4" w:space="0"/>
              <w:left w:val="nil"/>
              <w:bottom w:val="single" w:color="auto" w:sz="4" w:space="0"/>
              <w:right w:val="single" w:color="auto" w:sz="4" w:space="0"/>
            </w:tcBorders>
            <w:shd w:val="clear" w:color="auto" w:fill="auto"/>
            <w:vAlign w:val="center"/>
          </w:tcPr>
          <w:p w14:paraId="5BF3C70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68" w:type="dxa"/>
            <w:tcBorders>
              <w:top w:val="single" w:color="auto" w:sz="4" w:space="0"/>
              <w:left w:val="nil"/>
              <w:bottom w:val="single" w:color="auto" w:sz="4" w:space="0"/>
              <w:right w:val="single" w:color="auto" w:sz="4" w:space="0"/>
            </w:tcBorders>
            <w:shd w:val="clear" w:color="auto" w:fill="auto"/>
            <w:vAlign w:val="center"/>
          </w:tcPr>
          <w:p w14:paraId="17674AD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795" w:type="dxa"/>
            <w:tcBorders>
              <w:top w:val="single" w:color="auto" w:sz="4" w:space="0"/>
              <w:left w:val="nil"/>
              <w:bottom w:val="single" w:color="auto" w:sz="4" w:space="0"/>
              <w:right w:val="single" w:color="auto" w:sz="4" w:space="0"/>
            </w:tcBorders>
            <w:shd w:val="clear" w:color="auto" w:fill="auto"/>
            <w:vAlign w:val="center"/>
          </w:tcPr>
          <w:p w14:paraId="4B22A0D8">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rPr>
            </w:pPr>
          </w:p>
        </w:tc>
        <w:tc>
          <w:tcPr>
            <w:tcW w:w="1750" w:type="dxa"/>
            <w:tcBorders>
              <w:top w:val="single" w:color="auto" w:sz="4" w:space="0"/>
              <w:left w:val="nil"/>
              <w:bottom w:val="single" w:color="auto" w:sz="4" w:space="0"/>
              <w:right w:val="single" w:color="auto" w:sz="4" w:space="0"/>
            </w:tcBorders>
            <w:shd w:val="clear" w:color="auto" w:fill="auto"/>
            <w:vAlign w:val="center"/>
          </w:tcPr>
          <w:p w14:paraId="48C33F60">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highlight w:val="none"/>
              </w:rPr>
            </w:pPr>
          </w:p>
        </w:tc>
        <w:tc>
          <w:tcPr>
            <w:tcW w:w="1256" w:type="dxa"/>
            <w:tcBorders>
              <w:top w:val="single" w:color="auto" w:sz="4" w:space="0"/>
              <w:left w:val="nil"/>
              <w:bottom w:val="single" w:color="auto" w:sz="4" w:space="0"/>
              <w:right w:val="single" w:color="auto" w:sz="4" w:space="0"/>
            </w:tcBorders>
            <w:shd w:val="clear" w:color="auto" w:fill="auto"/>
            <w:vAlign w:val="center"/>
          </w:tcPr>
          <w:p w14:paraId="322B4AE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69A6E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jc w:val="center"/>
        </w:trPr>
        <w:tc>
          <w:tcPr>
            <w:tcW w:w="890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0EEEA4D">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投标总报价：大写：</w:t>
            </w:r>
            <w:r>
              <w:rPr>
                <w:rFonts w:hint="eastAsia" w:ascii="宋体" w:hAnsi="宋体" w:eastAsia="宋体" w:cs="宋体"/>
                <w:b/>
                <w:bCs/>
                <w:color w:val="auto"/>
                <w:kern w:val="2"/>
                <w:sz w:val="21"/>
                <w:szCs w:val="21"/>
                <w:highlight w:val="none"/>
                <w:u w:val="single"/>
                <w:lang w:val="en-US" w:eastAsia="zh-CN" w:bidi="ar"/>
              </w:rPr>
              <w:t xml:space="preserve">                             </w:t>
            </w:r>
            <w:r>
              <w:rPr>
                <w:rFonts w:hint="eastAsia" w:ascii="宋体" w:hAnsi="宋体" w:eastAsia="宋体" w:cs="宋体"/>
                <w:b/>
                <w:bCs/>
                <w:color w:val="auto"/>
                <w:kern w:val="2"/>
                <w:sz w:val="21"/>
                <w:szCs w:val="21"/>
                <w:highlight w:val="none"/>
                <w:lang w:val="en-US" w:eastAsia="zh-CN" w:bidi="ar"/>
              </w:rPr>
              <w:t xml:space="preserve"> ；小写：</w:t>
            </w:r>
            <w:r>
              <w:rPr>
                <w:rFonts w:hint="eastAsia" w:ascii="宋体" w:hAnsi="宋体" w:eastAsia="宋体" w:cs="宋体"/>
                <w:b/>
                <w:bCs/>
                <w:color w:val="auto"/>
                <w:kern w:val="2"/>
                <w:sz w:val="21"/>
                <w:szCs w:val="21"/>
                <w:highlight w:val="none"/>
                <w:u w:val="single"/>
                <w:lang w:val="en-US" w:eastAsia="zh-CN" w:bidi="ar"/>
              </w:rPr>
              <w:t xml:space="preserve">       </w:t>
            </w:r>
            <w:r>
              <w:rPr>
                <w:rFonts w:hint="eastAsia" w:ascii="宋体" w:hAnsi="宋体" w:eastAsia="宋体" w:cs="宋体"/>
                <w:b/>
                <w:bCs/>
                <w:color w:val="auto"/>
                <w:kern w:val="2"/>
                <w:sz w:val="21"/>
                <w:szCs w:val="21"/>
                <w:highlight w:val="none"/>
                <w:lang w:val="en-US" w:eastAsia="zh-CN" w:bidi="ar"/>
              </w:rPr>
              <w:t>元。</w:t>
            </w:r>
          </w:p>
        </w:tc>
      </w:tr>
    </w:tbl>
    <w:p w14:paraId="2E9429C3">
      <w:pPr>
        <w:keepNext w:val="0"/>
        <w:keepLines w:val="0"/>
        <w:widowControl w:val="0"/>
        <w:suppressLineNumbers w:val="0"/>
        <w:autoSpaceDE w:val="0"/>
        <w:autoSpaceDN/>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注：1、所有投标只能选择一种方案，单价和合价的报价只能是唯一，且须列出详细的分项报价，否则为无效标。</w:t>
      </w:r>
    </w:p>
    <w:p w14:paraId="5902CEC4">
      <w:pPr>
        <w:keepNext w:val="0"/>
        <w:keepLines w:val="0"/>
        <w:widowControl w:val="0"/>
        <w:suppressLineNumbers w:val="0"/>
        <w:autoSpaceDE w:val="0"/>
        <w:autoSpaceDN/>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2、综合单价今后将不作任何调整。</w:t>
      </w:r>
    </w:p>
    <w:p w14:paraId="31053F6E">
      <w:pPr>
        <w:keepNext w:val="0"/>
        <w:keepLines w:val="0"/>
        <w:widowControl w:val="0"/>
        <w:suppressLineNumbers w:val="0"/>
        <w:autoSpaceDE w:val="0"/>
        <w:autoSpaceDN/>
        <w:spacing w:before="0" w:beforeAutospacing="0" w:after="0" w:afterAutospacing="0" w:line="400" w:lineRule="exact"/>
        <w:ind w:left="0" w:right="0" w:firstLine="2730" w:firstLineChars="13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41962FEE">
      <w:pPr>
        <w:keepNext w:val="0"/>
        <w:keepLines w:val="0"/>
        <w:widowControl w:val="0"/>
        <w:suppressLineNumbers w:val="0"/>
        <w:autoSpaceDE w:val="0"/>
        <w:autoSpaceDN/>
        <w:spacing w:before="0" w:beforeAutospacing="0" w:after="0" w:afterAutospacing="0" w:line="400" w:lineRule="exact"/>
        <w:ind w:left="0" w:right="0" w:firstLine="2730" w:firstLineChars="13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023C643C">
      <w:pPr>
        <w:keepNext w:val="0"/>
        <w:keepLines w:val="0"/>
        <w:widowControl w:val="0"/>
        <w:suppressLineNumbers w:val="0"/>
        <w:autoSpaceDE w:val="0"/>
        <w:autoSpaceDN/>
        <w:spacing w:before="0" w:beforeAutospacing="0" w:after="0" w:afterAutospacing="0" w:line="400" w:lineRule="exact"/>
        <w:ind w:left="0" w:right="0" w:firstLine="2730" w:firstLineChars="1300"/>
        <w:jc w:val="both"/>
        <w:rPr>
          <w:rFonts w:hint="eastAsia" w:ascii="宋体"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投标人名称（签章）：</w:t>
      </w:r>
      <w:r>
        <w:rPr>
          <w:rFonts w:hint="eastAsia" w:ascii="宋体" w:hAnsi="Times New Roman" w:eastAsia="宋体" w:cs="Times New Roman"/>
          <w:color w:val="auto"/>
          <w:kern w:val="2"/>
          <w:sz w:val="21"/>
          <w:szCs w:val="21"/>
          <w:highlight w:val="none"/>
          <w:u w:val="single"/>
          <w:lang w:val="en-US" w:eastAsia="zh-CN" w:bidi="ar"/>
        </w:rPr>
        <w:t xml:space="preserve">                                 </w:t>
      </w:r>
    </w:p>
    <w:p w14:paraId="3C5AE1F3">
      <w:pPr>
        <w:keepNext w:val="0"/>
        <w:keepLines w:val="0"/>
        <w:widowControl w:val="0"/>
        <w:suppressLineNumbers w:val="0"/>
        <w:autoSpaceDE w:val="0"/>
        <w:autoSpaceDN/>
        <w:spacing w:before="0" w:beforeAutospacing="0" w:after="0" w:afterAutospacing="0" w:line="400" w:lineRule="exact"/>
        <w:ind w:left="0" w:right="0" w:firstLine="2730" w:firstLineChars="1300"/>
        <w:jc w:val="both"/>
        <w:rPr>
          <w:rFonts w:hint="eastAsia" w:ascii="宋体" w:hAnsi="Times New Roman" w:eastAsia="宋体" w:cs="Times New Roman"/>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法定代表人(签章)：</w:t>
      </w:r>
      <w:r>
        <w:rPr>
          <w:rFonts w:hint="eastAsia" w:ascii="宋体" w:hAnsi="Times New Roman" w:eastAsia="宋体" w:cs="Times New Roman"/>
          <w:color w:val="auto"/>
          <w:kern w:val="2"/>
          <w:sz w:val="21"/>
          <w:szCs w:val="21"/>
          <w:highlight w:val="none"/>
          <w:u w:val="single"/>
          <w:lang w:val="en-US" w:eastAsia="zh-CN" w:bidi="ar"/>
        </w:rPr>
        <w:t xml:space="preserve">                          </w:t>
      </w:r>
    </w:p>
    <w:p w14:paraId="6A5535EE">
      <w:pPr>
        <w:keepNext w:val="0"/>
        <w:keepLines w:val="0"/>
        <w:widowControl w:val="0"/>
        <w:suppressLineNumbers w:val="0"/>
        <w:autoSpaceDE w:val="0"/>
        <w:autoSpaceDN/>
        <w:spacing w:before="0" w:beforeAutospacing="0" w:after="0" w:afterAutospacing="0" w:line="400" w:lineRule="exact"/>
        <w:ind w:left="0" w:right="0" w:firstLine="2730" w:firstLineChars="1300"/>
        <w:jc w:val="both"/>
        <w:rPr>
          <w:rFonts w:hint="default" w:ascii="Times New Roman" w:hAnsi="Times New Roman" w:cs="Times New Roman"/>
          <w:color w:val="auto"/>
          <w:highlight w:val="none"/>
        </w:rPr>
      </w:pPr>
      <w:r>
        <w:rPr>
          <w:rFonts w:hint="eastAsia" w:ascii="宋体" w:hAnsi="宋体" w:eastAsia="宋体" w:cs="宋体"/>
          <w:color w:val="auto"/>
          <w:kern w:val="2"/>
          <w:sz w:val="21"/>
          <w:szCs w:val="21"/>
          <w:highlight w:val="none"/>
          <w:lang w:val="en-US" w:eastAsia="zh-CN" w:bidi="ar"/>
        </w:rPr>
        <w:t>日</w:t>
      </w:r>
      <w:r>
        <w:rPr>
          <w:rFonts w:hint="eastAsia" w:ascii="宋体"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期：</w:t>
      </w:r>
      <w:r>
        <w:rPr>
          <w:rFonts w:hint="eastAsia" w:ascii="宋体"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eastAsia" w:ascii="宋体"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w:t>
      </w:r>
    </w:p>
    <w:p w14:paraId="6806AA2D">
      <w:pPr>
        <w:rPr>
          <w:rFonts w:hint="eastAsia" w:ascii="宋体" w:hAnsi="宋体" w:eastAsia="宋体" w:cs="宋体"/>
          <w:b/>
          <w:bCs/>
          <w:color w:val="auto"/>
          <w:kern w:val="0"/>
          <w:sz w:val="32"/>
          <w:szCs w:val="32"/>
          <w:highlight w:val="none"/>
        </w:rPr>
      </w:pPr>
    </w:p>
    <w:p w14:paraId="3DEA0988">
      <w:pPr>
        <w:pStyle w:val="2"/>
        <w:widowControl/>
        <w:adjustRightInd w:val="0"/>
        <w:snapToGrid w:val="0"/>
        <w:spacing w:before="0" w:beforeAutospacing="0" w:after="0" w:afterAutospacing="0" w:line="560" w:lineRule="exact"/>
        <w:jc w:val="center"/>
        <w:rPr>
          <w:rFonts w:hint="eastAsia" w:ascii="宋体" w:hAnsi="宋体" w:eastAsia="宋体" w:cs="宋体"/>
          <w:b/>
          <w:bCs/>
          <w:color w:val="auto"/>
          <w:kern w:val="0"/>
          <w:sz w:val="32"/>
          <w:szCs w:val="32"/>
          <w:highlight w:val="none"/>
        </w:rPr>
      </w:pPr>
    </w:p>
    <w:p w14:paraId="545CC467">
      <w:pPr>
        <w:pStyle w:val="2"/>
        <w:widowControl/>
        <w:adjustRightInd w:val="0"/>
        <w:snapToGrid w:val="0"/>
        <w:spacing w:before="0" w:beforeAutospacing="0" w:after="0" w:afterAutospacing="0" w:line="560" w:lineRule="exact"/>
        <w:jc w:val="center"/>
        <w:rPr>
          <w:rFonts w:hint="eastAsia" w:ascii="宋体" w:hAnsi="宋体" w:eastAsia="宋体" w:cs="宋体"/>
          <w:color w:val="auto"/>
          <w:szCs w:val="21"/>
          <w:highlight w:val="none"/>
          <w:lang w:eastAsia="zh-CN"/>
        </w:rPr>
      </w:pPr>
      <w:r>
        <w:rPr>
          <w:rFonts w:hint="eastAsia" w:ascii="宋体" w:hAnsi="宋体" w:cs="宋体"/>
          <w:b/>
          <w:bCs/>
          <w:color w:val="auto"/>
          <w:kern w:val="0"/>
          <w:sz w:val="32"/>
          <w:szCs w:val="32"/>
          <w:highlight w:val="none"/>
          <w:lang w:eastAsia="zh-CN"/>
        </w:rPr>
        <w:t>（</w:t>
      </w:r>
      <w:r>
        <w:rPr>
          <w:rFonts w:hint="eastAsia" w:ascii="宋体" w:hAnsi="宋体" w:cs="宋体"/>
          <w:b/>
          <w:bCs/>
          <w:color w:val="auto"/>
          <w:kern w:val="0"/>
          <w:sz w:val="32"/>
          <w:szCs w:val="32"/>
          <w:highlight w:val="none"/>
          <w:lang w:val="en-US" w:eastAsia="zh-CN"/>
        </w:rPr>
        <w:t>3</w:t>
      </w:r>
      <w:r>
        <w:rPr>
          <w:rFonts w:hint="eastAsia" w:ascii="宋体" w:hAnsi="宋体" w:cs="宋体"/>
          <w:b/>
          <w:bCs/>
          <w:color w:val="auto"/>
          <w:kern w:val="0"/>
          <w:sz w:val="32"/>
          <w:szCs w:val="32"/>
          <w:highlight w:val="none"/>
          <w:lang w:eastAsia="zh-CN"/>
        </w:rPr>
        <w:t>）</w:t>
      </w:r>
      <w:r>
        <w:rPr>
          <w:rFonts w:hint="eastAsia" w:ascii="宋体" w:hAnsi="宋体" w:eastAsia="宋体" w:cs="宋体"/>
          <w:b/>
          <w:bCs/>
          <w:color w:val="auto"/>
          <w:kern w:val="0"/>
          <w:sz w:val="32"/>
          <w:szCs w:val="32"/>
          <w:highlight w:val="none"/>
        </w:rPr>
        <w:t>详细评审所需其他材料（如有）</w:t>
      </w:r>
    </w:p>
    <w:p w14:paraId="5A98529D">
      <w:pPr>
        <w:pStyle w:val="44"/>
        <w:spacing w:beforeLines="50" w:afterLines="50" w:line="440" w:lineRule="exact"/>
        <w:rPr>
          <w:rFonts w:hint="eastAsia" w:ascii="仿宋_GB2312" w:hAnsi="宋体" w:eastAsia="仿宋_GB2312"/>
          <w:b/>
          <w:color w:val="auto"/>
          <w:sz w:val="32"/>
          <w:szCs w:val="32"/>
          <w:highlight w:val="none"/>
        </w:rPr>
      </w:pPr>
      <w:r>
        <w:rPr>
          <w:rFonts w:hint="eastAsia"/>
          <w:color w:val="auto"/>
          <w:sz w:val="32"/>
          <w:szCs w:val="32"/>
          <w:highlight w:val="none"/>
        </w:rPr>
        <w:br w:type="page"/>
      </w:r>
      <w:bookmarkEnd w:id="7"/>
      <w:bookmarkEnd w:id="8"/>
      <w:bookmarkEnd w:id="9"/>
      <w:bookmarkEnd w:id="10"/>
      <w:bookmarkEnd w:id="11"/>
      <w:bookmarkEnd w:id="912"/>
      <w:bookmarkEnd w:id="913"/>
      <w:bookmarkEnd w:id="914"/>
      <w:bookmarkEnd w:id="915"/>
      <w:bookmarkStart w:id="916" w:name="_Toc78803402"/>
    </w:p>
    <w:p w14:paraId="489D056E">
      <w:pPr>
        <w:pStyle w:val="44"/>
        <w:numPr>
          <w:ilvl w:val="0"/>
          <w:numId w:val="4"/>
        </w:numPr>
        <w:spacing w:beforeLines="50" w:afterLines="50" w:line="440" w:lineRule="exact"/>
        <w:rPr>
          <w:rFonts w:hint="eastAsia"/>
          <w:bCs/>
          <w:color w:val="auto"/>
          <w:szCs w:val="32"/>
          <w:highlight w:val="none"/>
        </w:rPr>
      </w:pPr>
      <w:bookmarkStart w:id="917" w:name="_Toc29114"/>
      <w:bookmarkStart w:id="918" w:name="_Toc15593"/>
      <w:bookmarkStart w:id="919" w:name="_Toc8955"/>
      <w:r>
        <w:rPr>
          <w:rFonts w:hint="eastAsia"/>
          <w:bCs/>
          <w:color w:val="auto"/>
          <w:szCs w:val="32"/>
          <w:highlight w:val="none"/>
        </w:rPr>
        <w:t xml:space="preserve"> 招标单位、招标代理机构对本招标文件的确认</w:t>
      </w:r>
      <w:bookmarkEnd w:id="916"/>
      <w:bookmarkEnd w:id="917"/>
      <w:bookmarkEnd w:id="918"/>
      <w:bookmarkEnd w:id="919"/>
    </w:p>
    <w:tbl>
      <w:tblPr>
        <w:tblStyle w:val="47"/>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2C6E5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2036DDD4">
            <w:pPr>
              <w:keepNext w:val="0"/>
              <w:keepLines w:val="0"/>
              <w:suppressLineNumbers w:val="0"/>
              <w:wordWrap w:val="0"/>
              <w:adjustRightInd w:val="0"/>
              <w:snapToGrid w:val="0"/>
              <w:spacing w:before="0" w:beforeAutospacing="0" w:after="0" w:afterAutospacing="0" w:line="560" w:lineRule="exact"/>
              <w:ind w:left="0" w:right="0"/>
              <w:rPr>
                <w:rFonts w:hint="default"/>
                <w:color w:val="auto"/>
                <w:sz w:val="30"/>
                <w:highlight w:val="none"/>
              </w:rPr>
            </w:pPr>
          </w:p>
          <w:p w14:paraId="7B5D47E8">
            <w:pPr>
              <w:keepNext w:val="0"/>
              <w:keepLines w:val="0"/>
              <w:suppressLineNumbers w:val="0"/>
              <w:spacing w:before="0" w:beforeAutospacing="0" w:after="0" w:afterAutospacing="0" w:line="560" w:lineRule="exact"/>
              <w:ind w:left="0" w:right="0" w:firstLine="560" w:firstLineChars="200"/>
              <w:rPr>
                <w:rFonts w:hint="default"/>
                <w:color w:val="auto"/>
                <w:sz w:val="28"/>
                <w:szCs w:val="28"/>
                <w:highlight w:val="none"/>
              </w:rPr>
            </w:pPr>
            <w:r>
              <w:rPr>
                <w:rFonts w:hint="eastAsia"/>
                <w:color w:val="auto"/>
                <w:sz w:val="28"/>
                <w:szCs w:val="28"/>
                <w:highlight w:val="none"/>
              </w:rPr>
              <w:t>我单位对</w:t>
            </w:r>
            <w:r>
              <w:rPr>
                <w:rFonts w:hint="eastAsia"/>
                <w:color w:val="auto"/>
                <w:sz w:val="28"/>
                <w:szCs w:val="28"/>
                <w:highlight w:val="none"/>
                <w:u w:val="single"/>
              </w:rPr>
              <w:t xml:space="preserve"> </w:t>
            </w:r>
            <w:r>
              <w:rPr>
                <w:rFonts w:hint="eastAsia"/>
                <w:color w:val="auto"/>
                <w:sz w:val="28"/>
                <w:szCs w:val="28"/>
                <w:highlight w:val="none"/>
                <w:u w:val="single"/>
                <w:lang w:eastAsia="zh-CN"/>
              </w:rPr>
              <w:t>城南停保场保养车间及二公司厂房地沟改造项目</w:t>
            </w:r>
            <w:r>
              <w:rPr>
                <w:rFonts w:hint="eastAsia"/>
                <w:color w:val="auto"/>
                <w:sz w:val="28"/>
                <w:szCs w:val="28"/>
                <w:highlight w:val="none"/>
                <w:u w:val="single"/>
              </w:rPr>
              <w:t xml:space="preserve"> </w:t>
            </w:r>
            <w:r>
              <w:rPr>
                <w:rFonts w:hint="eastAsia"/>
                <w:color w:val="auto"/>
                <w:sz w:val="28"/>
                <w:szCs w:val="28"/>
                <w:highlight w:val="none"/>
              </w:rPr>
              <w:t>的招标文件进行确认。</w:t>
            </w:r>
          </w:p>
          <w:p w14:paraId="501A43F2">
            <w:pPr>
              <w:keepNext w:val="0"/>
              <w:keepLines w:val="0"/>
              <w:suppressLineNumbers w:val="0"/>
              <w:spacing w:before="0" w:beforeAutospacing="0" w:after="0" w:afterAutospacing="0" w:line="560" w:lineRule="exact"/>
              <w:ind w:left="0" w:right="0" w:firstLine="560" w:firstLineChars="200"/>
              <w:rPr>
                <w:rFonts w:hint="default" w:ascii="宋体" w:hAnsi="宋体"/>
                <w:color w:val="auto"/>
                <w:sz w:val="28"/>
                <w:szCs w:val="28"/>
                <w:highlight w:val="none"/>
              </w:rPr>
            </w:pPr>
            <w:r>
              <w:rPr>
                <w:rFonts w:hint="eastAsia" w:ascii="宋体" w:hAnsi="宋体"/>
                <w:color w:val="auto"/>
                <w:sz w:val="28"/>
                <w:szCs w:val="28"/>
                <w:highlight w:val="none"/>
              </w:rPr>
              <w:t>招标人：</w:t>
            </w:r>
            <w:r>
              <w:rPr>
                <w:rFonts w:hint="eastAsia" w:ascii="宋体" w:hAnsi="宋体"/>
                <w:color w:val="auto"/>
                <w:sz w:val="28"/>
                <w:szCs w:val="28"/>
                <w:highlight w:val="none"/>
                <w:lang w:eastAsia="zh-CN"/>
              </w:rPr>
              <w:t>滁州市公共交通有限公司</w:t>
            </w:r>
            <w:r>
              <w:rPr>
                <w:rFonts w:hint="eastAsia" w:ascii="宋体" w:hAnsi="宋体"/>
                <w:color w:val="auto"/>
                <w:sz w:val="28"/>
                <w:szCs w:val="28"/>
                <w:highlight w:val="none"/>
              </w:rPr>
              <w:t xml:space="preserve"> </w:t>
            </w:r>
          </w:p>
          <w:p w14:paraId="0BFCAFB2">
            <w:pPr>
              <w:keepNext w:val="0"/>
              <w:keepLines w:val="0"/>
              <w:suppressLineNumbers w:val="0"/>
              <w:spacing w:before="0" w:beforeAutospacing="0" w:after="0" w:afterAutospacing="0" w:line="560" w:lineRule="exact"/>
              <w:ind w:left="0" w:right="0" w:firstLine="560" w:firstLineChars="200"/>
              <w:rPr>
                <w:rFonts w:hint="default" w:ascii="宋体" w:hAnsi="宋体"/>
                <w:color w:val="auto"/>
                <w:sz w:val="28"/>
                <w:szCs w:val="28"/>
                <w:highlight w:val="none"/>
              </w:rPr>
            </w:pPr>
            <w:r>
              <w:rPr>
                <w:rFonts w:hint="eastAsia" w:ascii="宋体" w:hAnsi="宋体"/>
                <w:color w:val="auto"/>
                <w:sz w:val="28"/>
                <w:szCs w:val="28"/>
                <w:highlight w:val="none"/>
              </w:rPr>
              <w:t>联 系 人：</w:t>
            </w:r>
            <w:r>
              <w:rPr>
                <w:rFonts w:hint="eastAsia" w:ascii="宋体" w:hAnsi="宋体"/>
                <w:color w:val="auto"/>
                <w:sz w:val="28"/>
                <w:szCs w:val="28"/>
                <w:highlight w:val="none"/>
                <w:lang w:eastAsia="zh-CN"/>
              </w:rPr>
              <w:t>安孝武</w:t>
            </w:r>
            <w:r>
              <w:rPr>
                <w:rFonts w:hint="eastAsia" w:ascii="宋体" w:hAnsi="宋体" w:cs="宋体"/>
                <w:color w:val="auto"/>
                <w:sz w:val="28"/>
                <w:szCs w:val="28"/>
                <w:highlight w:val="none"/>
              </w:rPr>
              <w:t xml:space="preserve"> </w:t>
            </w:r>
          </w:p>
          <w:p w14:paraId="212E41F0">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rPr>
            </w:pPr>
            <w:r>
              <w:rPr>
                <w:rFonts w:hint="eastAsia" w:ascii="宋体" w:hAnsi="宋体"/>
                <w:color w:val="auto"/>
                <w:sz w:val="28"/>
                <w:szCs w:val="28"/>
                <w:highlight w:val="none"/>
              </w:rPr>
              <w:t>联系电话：</w:t>
            </w:r>
            <w:r>
              <w:rPr>
                <w:rFonts w:hint="eastAsia" w:ascii="宋体" w:hAnsi="宋体"/>
                <w:color w:val="auto"/>
                <w:sz w:val="28"/>
                <w:szCs w:val="28"/>
                <w:highlight w:val="none"/>
                <w:lang w:eastAsia="zh-CN"/>
              </w:rPr>
              <w:t>18365290581</w:t>
            </w:r>
            <w:r>
              <w:rPr>
                <w:rFonts w:hint="eastAsia" w:ascii="宋体" w:hAnsi="宋体" w:cs="宋体"/>
                <w:color w:val="auto"/>
                <w:sz w:val="28"/>
                <w:szCs w:val="28"/>
                <w:highlight w:val="none"/>
              </w:rPr>
              <w:t xml:space="preserve"> </w:t>
            </w:r>
          </w:p>
          <w:p w14:paraId="609C78C4">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r>
              <w:rPr>
                <w:rFonts w:hint="eastAsia" w:ascii="宋体" w:hAnsi="宋体"/>
                <w:color w:val="auto"/>
                <w:sz w:val="28"/>
                <w:szCs w:val="28"/>
                <w:highlight w:val="none"/>
              </w:rPr>
              <w:t xml:space="preserve">        </w:t>
            </w:r>
          </w:p>
          <w:p w14:paraId="38B4244E">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6BF4E4A9">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0227BD5B">
            <w:pPr>
              <w:keepNext w:val="0"/>
              <w:keepLines w:val="0"/>
              <w:suppressLineNumbers w:val="0"/>
              <w:wordWrap w:val="0"/>
              <w:spacing w:before="0" w:beforeAutospacing="0" w:after="0" w:afterAutospacing="0" w:line="560" w:lineRule="exact"/>
              <w:ind w:left="0" w:right="0" w:firstLine="5740" w:firstLineChars="2050"/>
              <w:rPr>
                <w:rFonts w:hint="default" w:ascii="宋体" w:hAnsi="宋体"/>
                <w:color w:val="auto"/>
                <w:sz w:val="28"/>
                <w:szCs w:val="28"/>
                <w:highlight w:val="none"/>
              </w:rPr>
            </w:pPr>
            <w:r>
              <w:rPr>
                <w:rFonts w:hint="eastAsia" w:ascii="宋体" w:hAnsi="宋体"/>
                <w:color w:val="auto"/>
                <w:sz w:val="28"/>
                <w:szCs w:val="28"/>
                <w:highlight w:val="none"/>
              </w:rPr>
              <w:t>（单位盖章）</w:t>
            </w:r>
          </w:p>
          <w:p w14:paraId="4ACBD9D4">
            <w:pPr>
              <w:keepNext w:val="0"/>
              <w:keepLines w:val="0"/>
              <w:suppressLineNumbers w:val="0"/>
              <w:spacing w:before="0" w:beforeAutospacing="0" w:after="0" w:afterAutospacing="0" w:line="560" w:lineRule="exact"/>
              <w:ind w:left="0" w:right="0" w:firstLine="5880" w:firstLineChars="2100"/>
              <w:rPr>
                <w:rFonts w:hint="default"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月</w:t>
            </w:r>
          </w:p>
          <w:p w14:paraId="67D0A47A">
            <w:pPr>
              <w:pStyle w:val="14"/>
              <w:keepNext w:val="0"/>
              <w:keepLines w:val="0"/>
              <w:suppressLineNumbers w:val="0"/>
              <w:spacing w:before="0" w:beforeAutospacing="0" w:after="0" w:afterAutospacing="0"/>
              <w:ind w:right="0" w:firstLine="420"/>
              <w:rPr>
                <w:rFonts w:hint="default"/>
                <w:color w:val="auto"/>
                <w:highlight w:val="none"/>
              </w:rPr>
            </w:pPr>
          </w:p>
        </w:tc>
      </w:tr>
      <w:tr w14:paraId="01DC3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199F5E64">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rPr>
            </w:pPr>
          </w:p>
          <w:p w14:paraId="5E9B7037">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2BE91BF6">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联 系 人：</w:t>
            </w:r>
            <w:r>
              <w:rPr>
                <w:rFonts w:hint="eastAsia" w:ascii="宋体" w:hAnsi="宋体" w:cs="宋体"/>
                <w:color w:val="auto"/>
                <w:sz w:val="28"/>
                <w:szCs w:val="28"/>
                <w:highlight w:val="none"/>
                <w:lang w:eastAsia="zh-CN"/>
              </w:rPr>
              <w:t>周晓培</w:t>
            </w:r>
          </w:p>
          <w:p w14:paraId="18819B70">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联系方式：</w:t>
            </w:r>
            <w:r>
              <w:rPr>
                <w:rFonts w:hint="eastAsia" w:ascii="宋体" w:hAnsi="宋体" w:cs="宋体"/>
                <w:color w:val="auto"/>
                <w:sz w:val="28"/>
                <w:szCs w:val="28"/>
                <w:highlight w:val="none"/>
                <w:lang w:eastAsia="zh-CN"/>
              </w:rPr>
              <w:t>0550-3519512</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18255055896</w:t>
            </w:r>
          </w:p>
          <w:p w14:paraId="1855F930">
            <w:pPr>
              <w:keepNext w:val="0"/>
              <w:keepLines w:val="0"/>
              <w:suppressLineNumbers w:val="0"/>
              <w:spacing w:before="0" w:beforeAutospacing="0" w:after="0" w:afterAutospacing="0" w:line="560" w:lineRule="exact"/>
              <w:ind w:left="0" w:right="0" w:firstLine="5040" w:firstLineChars="1800"/>
              <w:rPr>
                <w:rFonts w:hint="default" w:ascii="宋体" w:hAnsi="宋体" w:cs="宋体"/>
                <w:color w:val="auto"/>
                <w:sz w:val="28"/>
                <w:szCs w:val="28"/>
                <w:highlight w:val="none"/>
              </w:rPr>
            </w:pPr>
          </w:p>
          <w:p w14:paraId="3185935B">
            <w:pPr>
              <w:keepNext w:val="0"/>
              <w:keepLines w:val="0"/>
              <w:suppressLineNumbers w:val="0"/>
              <w:spacing w:before="0" w:beforeAutospacing="0" w:after="0" w:afterAutospacing="0" w:line="560" w:lineRule="exact"/>
              <w:ind w:left="0" w:right="0" w:firstLine="5460" w:firstLineChars="1950"/>
              <w:rPr>
                <w:rFonts w:hint="default" w:ascii="宋体" w:hAnsi="宋体" w:cs="宋体"/>
                <w:color w:val="auto"/>
                <w:sz w:val="28"/>
                <w:szCs w:val="28"/>
                <w:highlight w:val="none"/>
              </w:rPr>
            </w:pPr>
          </w:p>
          <w:p w14:paraId="5E0262E6">
            <w:pPr>
              <w:keepNext w:val="0"/>
              <w:keepLines w:val="0"/>
              <w:suppressLineNumbers w:val="0"/>
              <w:spacing w:before="0" w:beforeAutospacing="0" w:after="0" w:afterAutospacing="0" w:line="560" w:lineRule="exact"/>
              <w:ind w:left="0" w:right="0" w:firstLine="5880" w:firstLineChars="2100"/>
              <w:rPr>
                <w:rFonts w:hint="default" w:ascii="宋体" w:hAnsi="宋体" w:cs="宋体"/>
                <w:color w:val="auto"/>
                <w:sz w:val="28"/>
                <w:szCs w:val="28"/>
                <w:highlight w:val="none"/>
              </w:rPr>
            </w:pPr>
            <w:r>
              <w:rPr>
                <w:rFonts w:hint="eastAsia" w:ascii="宋体" w:hAnsi="宋体" w:cs="宋体"/>
                <w:color w:val="auto"/>
                <w:sz w:val="28"/>
                <w:szCs w:val="28"/>
                <w:highlight w:val="none"/>
              </w:rPr>
              <w:t>（单位盖章）</w:t>
            </w:r>
          </w:p>
          <w:p w14:paraId="66D82031">
            <w:pPr>
              <w:keepNext w:val="0"/>
              <w:keepLines w:val="0"/>
              <w:suppressLineNumbers w:val="0"/>
              <w:spacing w:before="0" w:beforeAutospacing="0" w:after="0" w:afterAutospacing="0" w:line="560" w:lineRule="exact"/>
              <w:ind w:left="0" w:right="0" w:firstLine="6020" w:firstLineChars="2150"/>
              <w:rPr>
                <w:rFonts w:hint="default"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月</w:t>
            </w:r>
          </w:p>
          <w:p w14:paraId="2EC94C8C">
            <w:pPr>
              <w:pStyle w:val="14"/>
              <w:keepNext w:val="0"/>
              <w:keepLines w:val="0"/>
              <w:suppressLineNumbers w:val="0"/>
              <w:spacing w:before="0" w:beforeAutospacing="0" w:after="0" w:afterAutospacing="0"/>
              <w:ind w:right="0" w:firstLine="420"/>
              <w:rPr>
                <w:rFonts w:hint="default"/>
                <w:color w:val="auto"/>
                <w:highlight w:val="none"/>
              </w:rPr>
            </w:pPr>
          </w:p>
        </w:tc>
      </w:tr>
    </w:tbl>
    <w:p w14:paraId="363EC42D">
      <w:pPr>
        <w:pStyle w:val="44"/>
        <w:numPr>
          <w:ilvl w:val="0"/>
          <w:numId w:val="0"/>
        </w:numPr>
        <w:spacing w:beforeLines="50" w:afterLines="50" w:line="440" w:lineRule="exact"/>
        <w:jc w:val="both"/>
        <w:rPr>
          <w:rFonts w:hint="eastAsia"/>
          <w:bCs/>
          <w:color w:val="auto"/>
          <w:szCs w:val="32"/>
          <w:highlight w:val="none"/>
        </w:rPr>
      </w:pPr>
    </w:p>
    <w:p w14:paraId="62B128CB">
      <w:pPr>
        <w:pStyle w:val="20"/>
        <w:rPr>
          <w:color w:val="auto"/>
          <w:highlight w:val="none"/>
        </w:rPr>
      </w:pPr>
    </w:p>
    <w:p w14:paraId="330A1917">
      <w:pPr>
        <w:rPr>
          <w:color w:val="auto"/>
          <w:highlight w:val="none"/>
        </w:rPr>
      </w:pPr>
    </w:p>
    <w:sectPr>
      <w:headerReference r:id="rId6" w:type="default"/>
      <w:footerReference r:id="rId7"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7BA16">
    <w:pPr>
      <w:pStyle w:val="30"/>
      <w:rPr>
        <w:rStyle w:val="51"/>
      </w:rPr>
    </w:pPr>
  </w:p>
  <w:p w14:paraId="1189A1CD">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B569B">
    <w:pPr>
      <w:snapToGrid w:val="0"/>
      <w:jc w:val="left"/>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970CF0">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970CF0">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53A14">
    <w:pPr>
      <w:pStyle w:val="30"/>
      <w:rPr>
        <w:rStyle w:val="5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8DE16A">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D8DE16A">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2A8F1A23">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43C81">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45526">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0D545"/>
    <w:multiLevelType w:val="singleLevel"/>
    <w:tmpl w:val="BFD0D545"/>
    <w:lvl w:ilvl="0" w:tentative="0">
      <w:start w:val="3"/>
      <w:numFmt w:val="decimal"/>
      <w:suff w:val="nothing"/>
      <w:lvlText w:val="（%1）"/>
      <w:lvlJc w:val="left"/>
    </w:lvl>
  </w:abstractNum>
  <w:abstractNum w:abstractNumId="1">
    <w:nsid w:val="00000005"/>
    <w:multiLevelType w:val="multilevel"/>
    <w:tmpl w:val="00000005"/>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1E80E6C8"/>
    <w:multiLevelType w:val="singleLevel"/>
    <w:tmpl w:val="1E80E6C8"/>
    <w:lvl w:ilvl="0" w:tentative="0">
      <w:start w:val="3"/>
      <w:numFmt w:val="chineseCounting"/>
      <w:suff w:val="space"/>
      <w:lvlText w:val="第%1章"/>
      <w:lvlJc w:val="left"/>
      <w:rPr>
        <w:rFonts w:hint="eastAsia"/>
      </w:rPr>
    </w:lvl>
  </w:abstractNum>
  <w:abstractNum w:abstractNumId="3">
    <w:nsid w:val="322F4540"/>
    <w:multiLevelType w:val="singleLevel"/>
    <w:tmpl w:val="322F4540"/>
    <w:lvl w:ilvl="0" w:tentative="0">
      <w:start w:val="7"/>
      <w:numFmt w:val="chineseCounting"/>
      <w:suff w:val="space"/>
      <w:lvlText w:val="第%1章"/>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DY5ZDNjMmE2ZDcxYTFkMDY0Zjg5Mjg3YTE0YTg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3700"/>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479E5"/>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C7854"/>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5C68"/>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66A48"/>
    <w:rsid w:val="01086012"/>
    <w:rsid w:val="01182C38"/>
    <w:rsid w:val="012F23D2"/>
    <w:rsid w:val="01353E46"/>
    <w:rsid w:val="013D20EF"/>
    <w:rsid w:val="013D4C8F"/>
    <w:rsid w:val="0141555F"/>
    <w:rsid w:val="01542AFA"/>
    <w:rsid w:val="015460A2"/>
    <w:rsid w:val="015E6630"/>
    <w:rsid w:val="016453D0"/>
    <w:rsid w:val="016C75C7"/>
    <w:rsid w:val="018D524F"/>
    <w:rsid w:val="019036D8"/>
    <w:rsid w:val="01A01767"/>
    <w:rsid w:val="01A66FAC"/>
    <w:rsid w:val="01BD4FDC"/>
    <w:rsid w:val="01C42B8B"/>
    <w:rsid w:val="01CE3A0A"/>
    <w:rsid w:val="01CF7782"/>
    <w:rsid w:val="01E941AE"/>
    <w:rsid w:val="01ED256A"/>
    <w:rsid w:val="01FE504C"/>
    <w:rsid w:val="021A6C4F"/>
    <w:rsid w:val="02201D8C"/>
    <w:rsid w:val="0221105C"/>
    <w:rsid w:val="02240E71"/>
    <w:rsid w:val="022F6268"/>
    <w:rsid w:val="0230144B"/>
    <w:rsid w:val="023E2A8F"/>
    <w:rsid w:val="023F01AC"/>
    <w:rsid w:val="02497F02"/>
    <w:rsid w:val="025C7268"/>
    <w:rsid w:val="025D37A6"/>
    <w:rsid w:val="02630A21"/>
    <w:rsid w:val="027520D7"/>
    <w:rsid w:val="028265A2"/>
    <w:rsid w:val="02910656"/>
    <w:rsid w:val="029452C8"/>
    <w:rsid w:val="0299330C"/>
    <w:rsid w:val="029C2053"/>
    <w:rsid w:val="029E3E12"/>
    <w:rsid w:val="02AE2F1E"/>
    <w:rsid w:val="02B07476"/>
    <w:rsid w:val="02B12263"/>
    <w:rsid w:val="02B34262"/>
    <w:rsid w:val="02BA6D6B"/>
    <w:rsid w:val="02BC6761"/>
    <w:rsid w:val="02C30781"/>
    <w:rsid w:val="02C32A89"/>
    <w:rsid w:val="02EB23C8"/>
    <w:rsid w:val="02ED4254"/>
    <w:rsid w:val="02F54A67"/>
    <w:rsid w:val="02FB586B"/>
    <w:rsid w:val="032764F6"/>
    <w:rsid w:val="032C124E"/>
    <w:rsid w:val="03355FAD"/>
    <w:rsid w:val="03357A15"/>
    <w:rsid w:val="033F6615"/>
    <w:rsid w:val="034A4B76"/>
    <w:rsid w:val="03604B36"/>
    <w:rsid w:val="03646BB0"/>
    <w:rsid w:val="036A455B"/>
    <w:rsid w:val="03700AD7"/>
    <w:rsid w:val="03881BEB"/>
    <w:rsid w:val="038B058F"/>
    <w:rsid w:val="03936A9A"/>
    <w:rsid w:val="03B07722"/>
    <w:rsid w:val="03B94246"/>
    <w:rsid w:val="03C9092D"/>
    <w:rsid w:val="03C947DD"/>
    <w:rsid w:val="03CD0376"/>
    <w:rsid w:val="03E07A24"/>
    <w:rsid w:val="03E73921"/>
    <w:rsid w:val="03E868D9"/>
    <w:rsid w:val="03EB0F95"/>
    <w:rsid w:val="03F1290E"/>
    <w:rsid w:val="04002E0B"/>
    <w:rsid w:val="04003A4C"/>
    <w:rsid w:val="040F03FA"/>
    <w:rsid w:val="0412438A"/>
    <w:rsid w:val="04136717"/>
    <w:rsid w:val="041D2A27"/>
    <w:rsid w:val="04332546"/>
    <w:rsid w:val="04533461"/>
    <w:rsid w:val="045E0D7F"/>
    <w:rsid w:val="046A00A7"/>
    <w:rsid w:val="046E6DDE"/>
    <w:rsid w:val="047015B8"/>
    <w:rsid w:val="048D54DF"/>
    <w:rsid w:val="04B51F1A"/>
    <w:rsid w:val="04BD0338"/>
    <w:rsid w:val="04C56D31"/>
    <w:rsid w:val="04CD0D24"/>
    <w:rsid w:val="04CF0F22"/>
    <w:rsid w:val="04D71637"/>
    <w:rsid w:val="04D7542D"/>
    <w:rsid w:val="04DD163F"/>
    <w:rsid w:val="04E452F2"/>
    <w:rsid w:val="04E82F5F"/>
    <w:rsid w:val="05084E1A"/>
    <w:rsid w:val="0536624A"/>
    <w:rsid w:val="05476ED2"/>
    <w:rsid w:val="05507187"/>
    <w:rsid w:val="05547F50"/>
    <w:rsid w:val="05586D81"/>
    <w:rsid w:val="055909BC"/>
    <w:rsid w:val="056326BB"/>
    <w:rsid w:val="056775E0"/>
    <w:rsid w:val="05812096"/>
    <w:rsid w:val="05962A91"/>
    <w:rsid w:val="05A174D0"/>
    <w:rsid w:val="05A31C11"/>
    <w:rsid w:val="05A54A82"/>
    <w:rsid w:val="05AA5F48"/>
    <w:rsid w:val="05B15E1B"/>
    <w:rsid w:val="05B6570E"/>
    <w:rsid w:val="05B719DB"/>
    <w:rsid w:val="05C018BB"/>
    <w:rsid w:val="05C8568A"/>
    <w:rsid w:val="05D411B5"/>
    <w:rsid w:val="05DC03BC"/>
    <w:rsid w:val="05E03755"/>
    <w:rsid w:val="05E05D39"/>
    <w:rsid w:val="05EE025B"/>
    <w:rsid w:val="05F81055"/>
    <w:rsid w:val="05FB2E46"/>
    <w:rsid w:val="06274DE9"/>
    <w:rsid w:val="0643158D"/>
    <w:rsid w:val="0652465D"/>
    <w:rsid w:val="06563FCE"/>
    <w:rsid w:val="06606ACF"/>
    <w:rsid w:val="06632C8A"/>
    <w:rsid w:val="066C44D0"/>
    <w:rsid w:val="066F0F20"/>
    <w:rsid w:val="06780BE4"/>
    <w:rsid w:val="067D77AC"/>
    <w:rsid w:val="0688298E"/>
    <w:rsid w:val="069F5975"/>
    <w:rsid w:val="06A10BE8"/>
    <w:rsid w:val="06A978A6"/>
    <w:rsid w:val="06B2435B"/>
    <w:rsid w:val="06B55198"/>
    <w:rsid w:val="06BA577F"/>
    <w:rsid w:val="06C373A0"/>
    <w:rsid w:val="06C4362D"/>
    <w:rsid w:val="06CA61EA"/>
    <w:rsid w:val="06CE3AAD"/>
    <w:rsid w:val="06D3256B"/>
    <w:rsid w:val="06E93094"/>
    <w:rsid w:val="070E2AFA"/>
    <w:rsid w:val="07142FC9"/>
    <w:rsid w:val="0716354A"/>
    <w:rsid w:val="071A113A"/>
    <w:rsid w:val="071A5532"/>
    <w:rsid w:val="07391925"/>
    <w:rsid w:val="073F7F68"/>
    <w:rsid w:val="07433326"/>
    <w:rsid w:val="074D1200"/>
    <w:rsid w:val="075410AD"/>
    <w:rsid w:val="07701435"/>
    <w:rsid w:val="078057A6"/>
    <w:rsid w:val="0791006E"/>
    <w:rsid w:val="07A93817"/>
    <w:rsid w:val="07AA51F7"/>
    <w:rsid w:val="07C16E32"/>
    <w:rsid w:val="07C956F1"/>
    <w:rsid w:val="07DE071F"/>
    <w:rsid w:val="07E724F1"/>
    <w:rsid w:val="07F54B10"/>
    <w:rsid w:val="080D2DB2"/>
    <w:rsid w:val="08236132"/>
    <w:rsid w:val="0824157E"/>
    <w:rsid w:val="082A5712"/>
    <w:rsid w:val="08365D8B"/>
    <w:rsid w:val="083932FD"/>
    <w:rsid w:val="083C1D74"/>
    <w:rsid w:val="08442529"/>
    <w:rsid w:val="08664D5B"/>
    <w:rsid w:val="087338E5"/>
    <w:rsid w:val="087E552F"/>
    <w:rsid w:val="08935065"/>
    <w:rsid w:val="08994E2C"/>
    <w:rsid w:val="089E0248"/>
    <w:rsid w:val="08AA7F40"/>
    <w:rsid w:val="08AC09F8"/>
    <w:rsid w:val="08AF1C74"/>
    <w:rsid w:val="08B76FB8"/>
    <w:rsid w:val="08BB3B09"/>
    <w:rsid w:val="08E21B49"/>
    <w:rsid w:val="08EC3C9C"/>
    <w:rsid w:val="08EF4818"/>
    <w:rsid w:val="08F26284"/>
    <w:rsid w:val="08F57B11"/>
    <w:rsid w:val="08F617F2"/>
    <w:rsid w:val="08F64252"/>
    <w:rsid w:val="08F94C8C"/>
    <w:rsid w:val="08FD0C7A"/>
    <w:rsid w:val="09027DBF"/>
    <w:rsid w:val="090F109A"/>
    <w:rsid w:val="09151314"/>
    <w:rsid w:val="09263609"/>
    <w:rsid w:val="09271C52"/>
    <w:rsid w:val="092E2FE0"/>
    <w:rsid w:val="093E5BC8"/>
    <w:rsid w:val="0953633D"/>
    <w:rsid w:val="095867F9"/>
    <w:rsid w:val="096659B3"/>
    <w:rsid w:val="09697733"/>
    <w:rsid w:val="097D56DC"/>
    <w:rsid w:val="09953804"/>
    <w:rsid w:val="099A0675"/>
    <w:rsid w:val="099C034D"/>
    <w:rsid w:val="09A71810"/>
    <w:rsid w:val="09AF52BC"/>
    <w:rsid w:val="09C556F2"/>
    <w:rsid w:val="09C9680A"/>
    <w:rsid w:val="09DA5625"/>
    <w:rsid w:val="09E33DCA"/>
    <w:rsid w:val="09EA33AB"/>
    <w:rsid w:val="09EA6668"/>
    <w:rsid w:val="0A0501E5"/>
    <w:rsid w:val="0A075D0B"/>
    <w:rsid w:val="0A0A57FB"/>
    <w:rsid w:val="0A193C90"/>
    <w:rsid w:val="0A1A77A1"/>
    <w:rsid w:val="0A371065"/>
    <w:rsid w:val="0A3E3D26"/>
    <w:rsid w:val="0A4834F8"/>
    <w:rsid w:val="0A6173D2"/>
    <w:rsid w:val="0A682231"/>
    <w:rsid w:val="0A6825A9"/>
    <w:rsid w:val="0A781198"/>
    <w:rsid w:val="0AAC10E4"/>
    <w:rsid w:val="0AB07E4A"/>
    <w:rsid w:val="0AC93B72"/>
    <w:rsid w:val="0ACA6D38"/>
    <w:rsid w:val="0AD53C26"/>
    <w:rsid w:val="0ADD3B4A"/>
    <w:rsid w:val="0AEE775A"/>
    <w:rsid w:val="0AFF5154"/>
    <w:rsid w:val="0B0260FA"/>
    <w:rsid w:val="0B127FA5"/>
    <w:rsid w:val="0B187C06"/>
    <w:rsid w:val="0B462863"/>
    <w:rsid w:val="0B4B3360"/>
    <w:rsid w:val="0B6153F6"/>
    <w:rsid w:val="0B6C4BE2"/>
    <w:rsid w:val="0B745622"/>
    <w:rsid w:val="0B832C7E"/>
    <w:rsid w:val="0B895D1E"/>
    <w:rsid w:val="0B903157"/>
    <w:rsid w:val="0B9335CE"/>
    <w:rsid w:val="0BA653BF"/>
    <w:rsid w:val="0BAC6F99"/>
    <w:rsid w:val="0BCD1EAC"/>
    <w:rsid w:val="0BCF142C"/>
    <w:rsid w:val="0BD525C9"/>
    <w:rsid w:val="0BDC319A"/>
    <w:rsid w:val="0BE669AA"/>
    <w:rsid w:val="0BFB783E"/>
    <w:rsid w:val="0BFD5373"/>
    <w:rsid w:val="0BFD6481"/>
    <w:rsid w:val="0BFE68ED"/>
    <w:rsid w:val="0C0F0CD9"/>
    <w:rsid w:val="0C230DF6"/>
    <w:rsid w:val="0C3B7EEE"/>
    <w:rsid w:val="0C631998"/>
    <w:rsid w:val="0C6821F6"/>
    <w:rsid w:val="0C757885"/>
    <w:rsid w:val="0C990787"/>
    <w:rsid w:val="0C992D4F"/>
    <w:rsid w:val="0CAE3A50"/>
    <w:rsid w:val="0CBF15FF"/>
    <w:rsid w:val="0CC20F4F"/>
    <w:rsid w:val="0CCC4FEA"/>
    <w:rsid w:val="0CD90540"/>
    <w:rsid w:val="0CD91857"/>
    <w:rsid w:val="0CDA4E4E"/>
    <w:rsid w:val="0CF258A4"/>
    <w:rsid w:val="0CF35E35"/>
    <w:rsid w:val="0D212A41"/>
    <w:rsid w:val="0D214045"/>
    <w:rsid w:val="0D215F2C"/>
    <w:rsid w:val="0D314FE6"/>
    <w:rsid w:val="0D330BC5"/>
    <w:rsid w:val="0D540C02"/>
    <w:rsid w:val="0D571C0F"/>
    <w:rsid w:val="0D5F19BA"/>
    <w:rsid w:val="0D637F0E"/>
    <w:rsid w:val="0D645222"/>
    <w:rsid w:val="0D6A5410"/>
    <w:rsid w:val="0D726CA6"/>
    <w:rsid w:val="0D794CB6"/>
    <w:rsid w:val="0D8324ED"/>
    <w:rsid w:val="0D8F059D"/>
    <w:rsid w:val="0D8F5855"/>
    <w:rsid w:val="0D936D15"/>
    <w:rsid w:val="0D9827E5"/>
    <w:rsid w:val="0DAF3D29"/>
    <w:rsid w:val="0DBC0BBA"/>
    <w:rsid w:val="0DC466B9"/>
    <w:rsid w:val="0DC54945"/>
    <w:rsid w:val="0DF25BA4"/>
    <w:rsid w:val="0DFD573A"/>
    <w:rsid w:val="0DFE1012"/>
    <w:rsid w:val="0E0B029F"/>
    <w:rsid w:val="0E230373"/>
    <w:rsid w:val="0E236E8B"/>
    <w:rsid w:val="0E252C04"/>
    <w:rsid w:val="0E2A41ED"/>
    <w:rsid w:val="0E30302E"/>
    <w:rsid w:val="0E351EED"/>
    <w:rsid w:val="0E397874"/>
    <w:rsid w:val="0E43752E"/>
    <w:rsid w:val="0E461B92"/>
    <w:rsid w:val="0E5B4877"/>
    <w:rsid w:val="0E6059EA"/>
    <w:rsid w:val="0E632208"/>
    <w:rsid w:val="0E6574A4"/>
    <w:rsid w:val="0E844468"/>
    <w:rsid w:val="0E910299"/>
    <w:rsid w:val="0E9E135B"/>
    <w:rsid w:val="0EA44F43"/>
    <w:rsid w:val="0EA62844"/>
    <w:rsid w:val="0EAC50D3"/>
    <w:rsid w:val="0EC2669E"/>
    <w:rsid w:val="0ED75315"/>
    <w:rsid w:val="0ED756CF"/>
    <w:rsid w:val="0EE34A0A"/>
    <w:rsid w:val="0EEF23A4"/>
    <w:rsid w:val="0F101AE8"/>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81855"/>
    <w:rsid w:val="0FBF1392"/>
    <w:rsid w:val="0FC41BDA"/>
    <w:rsid w:val="0FD84D52"/>
    <w:rsid w:val="0FD93801"/>
    <w:rsid w:val="0FDC41E3"/>
    <w:rsid w:val="0FE95EB3"/>
    <w:rsid w:val="100C40A0"/>
    <w:rsid w:val="10131FB5"/>
    <w:rsid w:val="10176676"/>
    <w:rsid w:val="1031732E"/>
    <w:rsid w:val="10327E3A"/>
    <w:rsid w:val="103356D2"/>
    <w:rsid w:val="10340BFA"/>
    <w:rsid w:val="10374301"/>
    <w:rsid w:val="10394E9C"/>
    <w:rsid w:val="103A764D"/>
    <w:rsid w:val="103B6EC4"/>
    <w:rsid w:val="10457DEF"/>
    <w:rsid w:val="10482BD9"/>
    <w:rsid w:val="104A6951"/>
    <w:rsid w:val="104E6CE4"/>
    <w:rsid w:val="105628E7"/>
    <w:rsid w:val="105A27E6"/>
    <w:rsid w:val="105C0FEB"/>
    <w:rsid w:val="108120DC"/>
    <w:rsid w:val="1089408D"/>
    <w:rsid w:val="108950E7"/>
    <w:rsid w:val="109135C4"/>
    <w:rsid w:val="10A4426E"/>
    <w:rsid w:val="10B656D8"/>
    <w:rsid w:val="10BB6F68"/>
    <w:rsid w:val="10C37A22"/>
    <w:rsid w:val="10C556C7"/>
    <w:rsid w:val="10C55FD8"/>
    <w:rsid w:val="10CF4C25"/>
    <w:rsid w:val="10E541CD"/>
    <w:rsid w:val="10F772EF"/>
    <w:rsid w:val="11017A58"/>
    <w:rsid w:val="11023D17"/>
    <w:rsid w:val="110F34C8"/>
    <w:rsid w:val="111016B8"/>
    <w:rsid w:val="114415F3"/>
    <w:rsid w:val="11491151"/>
    <w:rsid w:val="1159543F"/>
    <w:rsid w:val="116230D1"/>
    <w:rsid w:val="116A7E05"/>
    <w:rsid w:val="11722460"/>
    <w:rsid w:val="117A4F14"/>
    <w:rsid w:val="119D6F55"/>
    <w:rsid w:val="11CB1987"/>
    <w:rsid w:val="11D529F0"/>
    <w:rsid w:val="11DC5FC8"/>
    <w:rsid w:val="11E71072"/>
    <w:rsid w:val="11F55D84"/>
    <w:rsid w:val="11F95233"/>
    <w:rsid w:val="11FE73E1"/>
    <w:rsid w:val="1206271C"/>
    <w:rsid w:val="120E39AF"/>
    <w:rsid w:val="12114BE2"/>
    <w:rsid w:val="121911ED"/>
    <w:rsid w:val="12261816"/>
    <w:rsid w:val="122816CA"/>
    <w:rsid w:val="1231523F"/>
    <w:rsid w:val="12392AE3"/>
    <w:rsid w:val="12404237"/>
    <w:rsid w:val="12421044"/>
    <w:rsid w:val="124C39CE"/>
    <w:rsid w:val="127A5380"/>
    <w:rsid w:val="12957C2C"/>
    <w:rsid w:val="1298079E"/>
    <w:rsid w:val="1299424E"/>
    <w:rsid w:val="12AD5EBA"/>
    <w:rsid w:val="12AE0032"/>
    <w:rsid w:val="12B10442"/>
    <w:rsid w:val="12C25555"/>
    <w:rsid w:val="12C319F0"/>
    <w:rsid w:val="12CB7F7B"/>
    <w:rsid w:val="12D57B5A"/>
    <w:rsid w:val="12D60970"/>
    <w:rsid w:val="12DA74FD"/>
    <w:rsid w:val="12EE12AA"/>
    <w:rsid w:val="130354DD"/>
    <w:rsid w:val="13160E95"/>
    <w:rsid w:val="131D4A08"/>
    <w:rsid w:val="132A077A"/>
    <w:rsid w:val="132B4874"/>
    <w:rsid w:val="13365D96"/>
    <w:rsid w:val="133833D9"/>
    <w:rsid w:val="13401CF4"/>
    <w:rsid w:val="13474541"/>
    <w:rsid w:val="13477178"/>
    <w:rsid w:val="13597FDE"/>
    <w:rsid w:val="135C5234"/>
    <w:rsid w:val="13610A7C"/>
    <w:rsid w:val="1370511E"/>
    <w:rsid w:val="138959E3"/>
    <w:rsid w:val="138A2CF3"/>
    <w:rsid w:val="139600FA"/>
    <w:rsid w:val="139B1B3C"/>
    <w:rsid w:val="13AC7923"/>
    <w:rsid w:val="13BB36C2"/>
    <w:rsid w:val="13BC5DB8"/>
    <w:rsid w:val="13C163E4"/>
    <w:rsid w:val="13C24A51"/>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64CEB"/>
    <w:rsid w:val="145908CD"/>
    <w:rsid w:val="1461426A"/>
    <w:rsid w:val="146975C2"/>
    <w:rsid w:val="14782FA6"/>
    <w:rsid w:val="148617D9"/>
    <w:rsid w:val="149258A7"/>
    <w:rsid w:val="149321EC"/>
    <w:rsid w:val="14A979BF"/>
    <w:rsid w:val="14AA6C47"/>
    <w:rsid w:val="14AD74AF"/>
    <w:rsid w:val="14B81325"/>
    <w:rsid w:val="14BB5770"/>
    <w:rsid w:val="14CA4494"/>
    <w:rsid w:val="14D40957"/>
    <w:rsid w:val="14DD13B5"/>
    <w:rsid w:val="14DF1102"/>
    <w:rsid w:val="14DF1632"/>
    <w:rsid w:val="14E74E80"/>
    <w:rsid w:val="14F30E2B"/>
    <w:rsid w:val="14FB05D3"/>
    <w:rsid w:val="14FB1DB1"/>
    <w:rsid w:val="1507775C"/>
    <w:rsid w:val="15082EFA"/>
    <w:rsid w:val="15107A3E"/>
    <w:rsid w:val="15214D63"/>
    <w:rsid w:val="153E6FE7"/>
    <w:rsid w:val="154843B8"/>
    <w:rsid w:val="15535F3F"/>
    <w:rsid w:val="155C3CBE"/>
    <w:rsid w:val="15697093"/>
    <w:rsid w:val="15760076"/>
    <w:rsid w:val="157E5DA4"/>
    <w:rsid w:val="159F6FD6"/>
    <w:rsid w:val="15A5462A"/>
    <w:rsid w:val="15B01BBF"/>
    <w:rsid w:val="15BF393E"/>
    <w:rsid w:val="15EC3B3E"/>
    <w:rsid w:val="15F1786F"/>
    <w:rsid w:val="15F24B15"/>
    <w:rsid w:val="15F46C2A"/>
    <w:rsid w:val="160202FE"/>
    <w:rsid w:val="16121567"/>
    <w:rsid w:val="16175528"/>
    <w:rsid w:val="16236B8C"/>
    <w:rsid w:val="16257519"/>
    <w:rsid w:val="162D4D4B"/>
    <w:rsid w:val="16321CA0"/>
    <w:rsid w:val="16343F81"/>
    <w:rsid w:val="163634D4"/>
    <w:rsid w:val="163948ED"/>
    <w:rsid w:val="164275F4"/>
    <w:rsid w:val="164717FA"/>
    <w:rsid w:val="1654148B"/>
    <w:rsid w:val="165710DF"/>
    <w:rsid w:val="16573B76"/>
    <w:rsid w:val="165B71D5"/>
    <w:rsid w:val="166869FF"/>
    <w:rsid w:val="166D535E"/>
    <w:rsid w:val="16700A7A"/>
    <w:rsid w:val="16734728"/>
    <w:rsid w:val="167D1103"/>
    <w:rsid w:val="1683572D"/>
    <w:rsid w:val="169E0BEA"/>
    <w:rsid w:val="16A3744A"/>
    <w:rsid w:val="16AF7EFC"/>
    <w:rsid w:val="16D00899"/>
    <w:rsid w:val="16DD2BAC"/>
    <w:rsid w:val="16F70EB5"/>
    <w:rsid w:val="17197085"/>
    <w:rsid w:val="172460AC"/>
    <w:rsid w:val="172B1987"/>
    <w:rsid w:val="173054B2"/>
    <w:rsid w:val="17424EAD"/>
    <w:rsid w:val="174C1699"/>
    <w:rsid w:val="17544559"/>
    <w:rsid w:val="175E7E76"/>
    <w:rsid w:val="1763479D"/>
    <w:rsid w:val="178667F0"/>
    <w:rsid w:val="178A4C4F"/>
    <w:rsid w:val="17942AA9"/>
    <w:rsid w:val="1796247C"/>
    <w:rsid w:val="17987255"/>
    <w:rsid w:val="179928AA"/>
    <w:rsid w:val="17A739C7"/>
    <w:rsid w:val="17C212EB"/>
    <w:rsid w:val="17C42121"/>
    <w:rsid w:val="17D66D1D"/>
    <w:rsid w:val="17D82A95"/>
    <w:rsid w:val="17D86805"/>
    <w:rsid w:val="17DD00AB"/>
    <w:rsid w:val="17FA13F3"/>
    <w:rsid w:val="17FB6C91"/>
    <w:rsid w:val="18053F1E"/>
    <w:rsid w:val="18085749"/>
    <w:rsid w:val="180B6D06"/>
    <w:rsid w:val="181A3262"/>
    <w:rsid w:val="181C3FF8"/>
    <w:rsid w:val="18365CFA"/>
    <w:rsid w:val="184114A1"/>
    <w:rsid w:val="18425C49"/>
    <w:rsid w:val="18550EF6"/>
    <w:rsid w:val="18600088"/>
    <w:rsid w:val="186969E3"/>
    <w:rsid w:val="18702CCD"/>
    <w:rsid w:val="18883A30"/>
    <w:rsid w:val="188C7694"/>
    <w:rsid w:val="18AE37F5"/>
    <w:rsid w:val="18BE3F0D"/>
    <w:rsid w:val="18C140E3"/>
    <w:rsid w:val="18CD6371"/>
    <w:rsid w:val="18DA0A8E"/>
    <w:rsid w:val="18DA68F2"/>
    <w:rsid w:val="18DC03A2"/>
    <w:rsid w:val="18E11EA5"/>
    <w:rsid w:val="18ED07C2"/>
    <w:rsid w:val="18FA4C8D"/>
    <w:rsid w:val="19054750"/>
    <w:rsid w:val="19083037"/>
    <w:rsid w:val="19092828"/>
    <w:rsid w:val="19103908"/>
    <w:rsid w:val="192A5572"/>
    <w:rsid w:val="1933462F"/>
    <w:rsid w:val="19390D64"/>
    <w:rsid w:val="19554C37"/>
    <w:rsid w:val="19566DB3"/>
    <w:rsid w:val="196279A1"/>
    <w:rsid w:val="198040A4"/>
    <w:rsid w:val="198C37FE"/>
    <w:rsid w:val="199649B5"/>
    <w:rsid w:val="19A941C1"/>
    <w:rsid w:val="19AE5ACF"/>
    <w:rsid w:val="19AF5A77"/>
    <w:rsid w:val="19B3071D"/>
    <w:rsid w:val="19B675DA"/>
    <w:rsid w:val="19C57049"/>
    <w:rsid w:val="19C637E5"/>
    <w:rsid w:val="19C721FB"/>
    <w:rsid w:val="19CE5CD8"/>
    <w:rsid w:val="19F02EFF"/>
    <w:rsid w:val="1A0152BD"/>
    <w:rsid w:val="1A052165"/>
    <w:rsid w:val="1A063EF5"/>
    <w:rsid w:val="1A0F3AD5"/>
    <w:rsid w:val="1A0F6516"/>
    <w:rsid w:val="1A0F7374"/>
    <w:rsid w:val="1A142D27"/>
    <w:rsid w:val="1A1816AF"/>
    <w:rsid w:val="1A302494"/>
    <w:rsid w:val="1A330E88"/>
    <w:rsid w:val="1A407304"/>
    <w:rsid w:val="1A60672B"/>
    <w:rsid w:val="1A630F50"/>
    <w:rsid w:val="1A6732FB"/>
    <w:rsid w:val="1A7871D0"/>
    <w:rsid w:val="1A7929A3"/>
    <w:rsid w:val="1A796D0D"/>
    <w:rsid w:val="1A7B4669"/>
    <w:rsid w:val="1A870B38"/>
    <w:rsid w:val="1A8C5DB8"/>
    <w:rsid w:val="1A8C6CF6"/>
    <w:rsid w:val="1A9417D9"/>
    <w:rsid w:val="1AA572B8"/>
    <w:rsid w:val="1AA70EB7"/>
    <w:rsid w:val="1AAA4949"/>
    <w:rsid w:val="1AB31D2F"/>
    <w:rsid w:val="1AC00AAF"/>
    <w:rsid w:val="1ACE55DA"/>
    <w:rsid w:val="1ACE6054"/>
    <w:rsid w:val="1ACE6D27"/>
    <w:rsid w:val="1AD734D7"/>
    <w:rsid w:val="1AE0038B"/>
    <w:rsid w:val="1AE34AB0"/>
    <w:rsid w:val="1AEF625F"/>
    <w:rsid w:val="1B403FA5"/>
    <w:rsid w:val="1B450A9E"/>
    <w:rsid w:val="1B481CDF"/>
    <w:rsid w:val="1B4B17D0"/>
    <w:rsid w:val="1B524326"/>
    <w:rsid w:val="1B55168B"/>
    <w:rsid w:val="1B561283"/>
    <w:rsid w:val="1B63458F"/>
    <w:rsid w:val="1B645069"/>
    <w:rsid w:val="1B7D1BE7"/>
    <w:rsid w:val="1B7D1D15"/>
    <w:rsid w:val="1B8076CB"/>
    <w:rsid w:val="1B8637EA"/>
    <w:rsid w:val="1B966EEF"/>
    <w:rsid w:val="1BDD1B28"/>
    <w:rsid w:val="1BE57F51"/>
    <w:rsid w:val="1C022610"/>
    <w:rsid w:val="1C037CCC"/>
    <w:rsid w:val="1C085913"/>
    <w:rsid w:val="1C0876C1"/>
    <w:rsid w:val="1C2F4A48"/>
    <w:rsid w:val="1C37598E"/>
    <w:rsid w:val="1C400DCC"/>
    <w:rsid w:val="1C4A3D51"/>
    <w:rsid w:val="1C511068"/>
    <w:rsid w:val="1C550B58"/>
    <w:rsid w:val="1C6062B5"/>
    <w:rsid w:val="1C656B00"/>
    <w:rsid w:val="1C657709"/>
    <w:rsid w:val="1C6D522B"/>
    <w:rsid w:val="1C703A01"/>
    <w:rsid w:val="1C762201"/>
    <w:rsid w:val="1C87757C"/>
    <w:rsid w:val="1C911F05"/>
    <w:rsid w:val="1C9232F2"/>
    <w:rsid w:val="1C943E77"/>
    <w:rsid w:val="1C993860"/>
    <w:rsid w:val="1CA06DAD"/>
    <w:rsid w:val="1CB517E1"/>
    <w:rsid w:val="1CBF5FD1"/>
    <w:rsid w:val="1CC07FCD"/>
    <w:rsid w:val="1CCD060E"/>
    <w:rsid w:val="1CD4109A"/>
    <w:rsid w:val="1CDE3631"/>
    <w:rsid w:val="1CE814D1"/>
    <w:rsid w:val="1CFE11B3"/>
    <w:rsid w:val="1D00167E"/>
    <w:rsid w:val="1D01132A"/>
    <w:rsid w:val="1D022EEB"/>
    <w:rsid w:val="1D18202F"/>
    <w:rsid w:val="1D2C5B34"/>
    <w:rsid w:val="1D320E99"/>
    <w:rsid w:val="1D3444B7"/>
    <w:rsid w:val="1D3A1AFC"/>
    <w:rsid w:val="1D3F2887"/>
    <w:rsid w:val="1D413DD6"/>
    <w:rsid w:val="1D442082"/>
    <w:rsid w:val="1D494085"/>
    <w:rsid w:val="1D6104E9"/>
    <w:rsid w:val="1D6C4EE1"/>
    <w:rsid w:val="1D6D5E73"/>
    <w:rsid w:val="1D6E2EA0"/>
    <w:rsid w:val="1D7B65A1"/>
    <w:rsid w:val="1D7C0366"/>
    <w:rsid w:val="1D8316F5"/>
    <w:rsid w:val="1D8C44DA"/>
    <w:rsid w:val="1D90430C"/>
    <w:rsid w:val="1DA228F6"/>
    <w:rsid w:val="1DA26C67"/>
    <w:rsid w:val="1DB571C9"/>
    <w:rsid w:val="1DB624A5"/>
    <w:rsid w:val="1DBE08D2"/>
    <w:rsid w:val="1DBF6F58"/>
    <w:rsid w:val="1DD26459"/>
    <w:rsid w:val="1DEF0B38"/>
    <w:rsid w:val="1DFB74DD"/>
    <w:rsid w:val="1DFC5003"/>
    <w:rsid w:val="1E2527AC"/>
    <w:rsid w:val="1E2A3F9F"/>
    <w:rsid w:val="1E5E781A"/>
    <w:rsid w:val="1E65546D"/>
    <w:rsid w:val="1E731769"/>
    <w:rsid w:val="1E7B6900"/>
    <w:rsid w:val="1E933E22"/>
    <w:rsid w:val="1EB44C7D"/>
    <w:rsid w:val="1EB60A31"/>
    <w:rsid w:val="1EC6457D"/>
    <w:rsid w:val="1EC7170B"/>
    <w:rsid w:val="1EC7534C"/>
    <w:rsid w:val="1ECD7160"/>
    <w:rsid w:val="1ED11BB0"/>
    <w:rsid w:val="1ED34F83"/>
    <w:rsid w:val="1ED641E3"/>
    <w:rsid w:val="1EED4935"/>
    <w:rsid w:val="1EF15FC6"/>
    <w:rsid w:val="1F196F16"/>
    <w:rsid w:val="1F1F544D"/>
    <w:rsid w:val="1F294330"/>
    <w:rsid w:val="1F2A3EE6"/>
    <w:rsid w:val="1F322AC8"/>
    <w:rsid w:val="1F5164BE"/>
    <w:rsid w:val="1F530AFF"/>
    <w:rsid w:val="1F550636"/>
    <w:rsid w:val="1F5642FC"/>
    <w:rsid w:val="1F6725BD"/>
    <w:rsid w:val="1F6F0182"/>
    <w:rsid w:val="1F751014"/>
    <w:rsid w:val="1F7A16FF"/>
    <w:rsid w:val="1F841E94"/>
    <w:rsid w:val="1F86410F"/>
    <w:rsid w:val="1F88077C"/>
    <w:rsid w:val="1F987D78"/>
    <w:rsid w:val="1F9A5C92"/>
    <w:rsid w:val="1FA81AC7"/>
    <w:rsid w:val="1FAD0B55"/>
    <w:rsid w:val="1FB57B5F"/>
    <w:rsid w:val="1FBA786C"/>
    <w:rsid w:val="1FC55FF4"/>
    <w:rsid w:val="1FDF7221"/>
    <w:rsid w:val="1FE07DD2"/>
    <w:rsid w:val="1FF72B1D"/>
    <w:rsid w:val="1FFC753C"/>
    <w:rsid w:val="2000702C"/>
    <w:rsid w:val="201952D2"/>
    <w:rsid w:val="2020109E"/>
    <w:rsid w:val="20220096"/>
    <w:rsid w:val="202816B6"/>
    <w:rsid w:val="20352DB6"/>
    <w:rsid w:val="204E725A"/>
    <w:rsid w:val="205050F3"/>
    <w:rsid w:val="20586818"/>
    <w:rsid w:val="206003D6"/>
    <w:rsid w:val="20665891"/>
    <w:rsid w:val="206F77AA"/>
    <w:rsid w:val="20823312"/>
    <w:rsid w:val="208241B4"/>
    <w:rsid w:val="208F5999"/>
    <w:rsid w:val="20A025BE"/>
    <w:rsid w:val="20AA6F98"/>
    <w:rsid w:val="20AF45AF"/>
    <w:rsid w:val="20B05494"/>
    <w:rsid w:val="20B41BC5"/>
    <w:rsid w:val="20BD4F1E"/>
    <w:rsid w:val="20D109C9"/>
    <w:rsid w:val="20EE5770"/>
    <w:rsid w:val="20FD17BE"/>
    <w:rsid w:val="2107261C"/>
    <w:rsid w:val="210B52D2"/>
    <w:rsid w:val="21147FEE"/>
    <w:rsid w:val="2132760F"/>
    <w:rsid w:val="213F7E47"/>
    <w:rsid w:val="21592FEC"/>
    <w:rsid w:val="215B2DFE"/>
    <w:rsid w:val="215C5CD9"/>
    <w:rsid w:val="215F2E6D"/>
    <w:rsid w:val="217811B2"/>
    <w:rsid w:val="21787096"/>
    <w:rsid w:val="218B2E3C"/>
    <w:rsid w:val="21902632"/>
    <w:rsid w:val="21955962"/>
    <w:rsid w:val="219E13DD"/>
    <w:rsid w:val="21B5456C"/>
    <w:rsid w:val="21C0289A"/>
    <w:rsid w:val="21C314C7"/>
    <w:rsid w:val="21CB366A"/>
    <w:rsid w:val="21E53DD4"/>
    <w:rsid w:val="21F91F85"/>
    <w:rsid w:val="21FE67C3"/>
    <w:rsid w:val="21FF567A"/>
    <w:rsid w:val="220019CB"/>
    <w:rsid w:val="22080E1D"/>
    <w:rsid w:val="220A29B1"/>
    <w:rsid w:val="222D7E81"/>
    <w:rsid w:val="222E4A4B"/>
    <w:rsid w:val="224564ED"/>
    <w:rsid w:val="225B1C1A"/>
    <w:rsid w:val="22655D1C"/>
    <w:rsid w:val="227A5579"/>
    <w:rsid w:val="227B3EC3"/>
    <w:rsid w:val="22AC6E9D"/>
    <w:rsid w:val="22AF6B28"/>
    <w:rsid w:val="22BF1959"/>
    <w:rsid w:val="22D078AB"/>
    <w:rsid w:val="22FB7ADB"/>
    <w:rsid w:val="22FE3A70"/>
    <w:rsid w:val="23007343"/>
    <w:rsid w:val="230A1D1E"/>
    <w:rsid w:val="230F3D0A"/>
    <w:rsid w:val="231C5EB2"/>
    <w:rsid w:val="232E3EB1"/>
    <w:rsid w:val="23341448"/>
    <w:rsid w:val="23385650"/>
    <w:rsid w:val="23425BAE"/>
    <w:rsid w:val="23517B9F"/>
    <w:rsid w:val="23531B69"/>
    <w:rsid w:val="235C6C70"/>
    <w:rsid w:val="237F04EF"/>
    <w:rsid w:val="23841437"/>
    <w:rsid w:val="238A3CA3"/>
    <w:rsid w:val="23971C0F"/>
    <w:rsid w:val="23AA4BFB"/>
    <w:rsid w:val="23AF4708"/>
    <w:rsid w:val="23C16A9A"/>
    <w:rsid w:val="23C465C3"/>
    <w:rsid w:val="23CF22D0"/>
    <w:rsid w:val="23D04F68"/>
    <w:rsid w:val="23D8556C"/>
    <w:rsid w:val="23E66003"/>
    <w:rsid w:val="23F80076"/>
    <w:rsid w:val="23FC534D"/>
    <w:rsid w:val="23FE2FB7"/>
    <w:rsid w:val="23FE3AF7"/>
    <w:rsid w:val="24150BCD"/>
    <w:rsid w:val="241B7142"/>
    <w:rsid w:val="24452007"/>
    <w:rsid w:val="244802C7"/>
    <w:rsid w:val="244C0B39"/>
    <w:rsid w:val="245A32E7"/>
    <w:rsid w:val="246102B6"/>
    <w:rsid w:val="24635935"/>
    <w:rsid w:val="24660E6A"/>
    <w:rsid w:val="24665559"/>
    <w:rsid w:val="24691825"/>
    <w:rsid w:val="248D2E59"/>
    <w:rsid w:val="248E0BEE"/>
    <w:rsid w:val="249222CA"/>
    <w:rsid w:val="249B49DE"/>
    <w:rsid w:val="24B056E4"/>
    <w:rsid w:val="24BE3012"/>
    <w:rsid w:val="24CC572F"/>
    <w:rsid w:val="24CF65FC"/>
    <w:rsid w:val="24D258A5"/>
    <w:rsid w:val="24DA6A74"/>
    <w:rsid w:val="24DB4BCD"/>
    <w:rsid w:val="24F602A0"/>
    <w:rsid w:val="24FD7FDE"/>
    <w:rsid w:val="250025A0"/>
    <w:rsid w:val="252966D9"/>
    <w:rsid w:val="25296C9F"/>
    <w:rsid w:val="25401D76"/>
    <w:rsid w:val="2544236B"/>
    <w:rsid w:val="25453733"/>
    <w:rsid w:val="255249D2"/>
    <w:rsid w:val="256C2A6E"/>
    <w:rsid w:val="256C3562"/>
    <w:rsid w:val="257F6C45"/>
    <w:rsid w:val="25882662"/>
    <w:rsid w:val="258C736F"/>
    <w:rsid w:val="25977271"/>
    <w:rsid w:val="259B2D68"/>
    <w:rsid w:val="259E7D45"/>
    <w:rsid w:val="25A6077B"/>
    <w:rsid w:val="25A941CC"/>
    <w:rsid w:val="25A97E1E"/>
    <w:rsid w:val="25B40CD0"/>
    <w:rsid w:val="25BC160E"/>
    <w:rsid w:val="25BF4424"/>
    <w:rsid w:val="25BF4AE2"/>
    <w:rsid w:val="25C17AFA"/>
    <w:rsid w:val="25C251DB"/>
    <w:rsid w:val="25E00E0C"/>
    <w:rsid w:val="25EF379B"/>
    <w:rsid w:val="25FC2044"/>
    <w:rsid w:val="260C11C1"/>
    <w:rsid w:val="261049C1"/>
    <w:rsid w:val="261E645E"/>
    <w:rsid w:val="26215F4F"/>
    <w:rsid w:val="26383109"/>
    <w:rsid w:val="264043A1"/>
    <w:rsid w:val="2641214D"/>
    <w:rsid w:val="264E7E9A"/>
    <w:rsid w:val="26597FFC"/>
    <w:rsid w:val="26697AAB"/>
    <w:rsid w:val="266D2F42"/>
    <w:rsid w:val="2673065B"/>
    <w:rsid w:val="26746071"/>
    <w:rsid w:val="267839D3"/>
    <w:rsid w:val="26802C75"/>
    <w:rsid w:val="268423E1"/>
    <w:rsid w:val="26890627"/>
    <w:rsid w:val="26937CAB"/>
    <w:rsid w:val="26A43060"/>
    <w:rsid w:val="26BB1EFF"/>
    <w:rsid w:val="26BB2001"/>
    <w:rsid w:val="26C467F8"/>
    <w:rsid w:val="26CE72FC"/>
    <w:rsid w:val="26DD103B"/>
    <w:rsid w:val="26E35358"/>
    <w:rsid w:val="270E00FE"/>
    <w:rsid w:val="270E298C"/>
    <w:rsid w:val="270E29F5"/>
    <w:rsid w:val="271512D2"/>
    <w:rsid w:val="272A0E33"/>
    <w:rsid w:val="272A2D2F"/>
    <w:rsid w:val="27320533"/>
    <w:rsid w:val="274020AE"/>
    <w:rsid w:val="27446B6F"/>
    <w:rsid w:val="274859EE"/>
    <w:rsid w:val="274F752C"/>
    <w:rsid w:val="27520933"/>
    <w:rsid w:val="27584657"/>
    <w:rsid w:val="275E5A93"/>
    <w:rsid w:val="275F53B8"/>
    <w:rsid w:val="27736226"/>
    <w:rsid w:val="27755DA7"/>
    <w:rsid w:val="277C7F9A"/>
    <w:rsid w:val="279D2924"/>
    <w:rsid w:val="27A52E1A"/>
    <w:rsid w:val="27AC7A9A"/>
    <w:rsid w:val="27BF60E1"/>
    <w:rsid w:val="27C53958"/>
    <w:rsid w:val="27D36D37"/>
    <w:rsid w:val="27DA4B73"/>
    <w:rsid w:val="27E61F25"/>
    <w:rsid w:val="27EC31BB"/>
    <w:rsid w:val="27ED2CBD"/>
    <w:rsid w:val="27F63DA6"/>
    <w:rsid w:val="27FA5CB6"/>
    <w:rsid w:val="27FF406E"/>
    <w:rsid w:val="280D34EA"/>
    <w:rsid w:val="281466B1"/>
    <w:rsid w:val="281713B7"/>
    <w:rsid w:val="281824A7"/>
    <w:rsid w:val="28312BBF"/>
    <w:rsid w:val="283B7736"/>
    <w:rsid w:val="284C64E6"/>
    <w:rsid w:val="2852403A"/>
    <w:rsid w:val="285F673E"/>
    <w:rsid w:val="28644CCA"/>
    <w:rsid w:val="28687E65"/>
    <w:rsid w:val="28732D83"/>
    <w:rsid w:val="288051AE"/>
    <w:rsid w:val="288F6949"/>
    <w:rsid w:val="28911AF2"/>
    <w:rsid w:val="289151CA"/>
    <w:rsid w:val="28A10C81"/>
    <w:rsid w:val="28A2680F"/>
    <w:rsid w:val="28AB1AFF"/>
    <w:rsid w:val="28B63487"/>
    <w:rsid w:val="28DF17A9"/>
    <w:rsid w:val="28E92551"/>
    <w:rsid w:val="28EB31BC"/>
    <w:rsid w:val="28EB583C"/>
    <w:rsid w:val="28EC2844"/>
    <w:rsid w:val="28F402DA"/>
    <w:rsid w:val="28FC78BE"/>
    <w:rsid w:val="29000A40"/>
    <w:rsid w:val="290F29AF"/>
    <w:rsid w:val="292D0766"/>
    <w:rsid w:val="293634F4"/>
    <w:rsid w:val="29600B3C"/>
    <w:rsid w:val="29606D8E"/>
    <w:rsid w:val="29671ECA"/>
    <w:rsid w:val="29770361"/>
    <w:rsid w:val="2985201E"/>
    <w:rsid w:val="29A273A6"/>
    <w:rsid w:val="29C55899"/>
    <w:rsid w:val="29D3130E"/>
    <w:rsid w:val="29F2147C"/>
    <w:rsid w:val="2A0C4A40"/>
    <w:rsid w:val="2A0D3DED"/>
    <w:rsid w:val="2A104310"/>
    <w:rsid w:val="2A133E0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9E13F0"/>
    <w:rsid w:val="2AA9206F"/>
    <w:rsid w:val="2AB209DF"/>
    <w:rsid w:val="2AD81233"/>
    <w:rsid w:val="2AE63EFE"/>
    <w:rsid w:val="2AFE060C"/>
    <w:rsid w:val="2B053749"/>
    <w:rsid w:val="2B195446"/>
    <w:rsid w:val="2B2E227F"/>
    <w:rsid w:val="2B2F07C6"/>
    <w:rsid w:val="2B3404E2"/>
    <w:rsid w:val="2B363CF4"/>
    <w:rsid w:val="2B3A7305"/>
    <w:rsid w:val="2B425FD0"/>
    <w:rsid w:val="2B4268A6"/>
    <w:rsid w:val="2B536BAA"/>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1D0F66"/>
    <w:rsid w:val="2C3447BE"/>
    <w:rsid w:val="2C3B1B1B"/>
    <w:rsid w:val="2C3C07B5"/>
    <w:rsid w:val="2C3C1CCE"/>
    <w:rsid w:val="2C3D3C75"/>
    <w:rsid w:val="2C4B420E"/>
    <w:rsid w:val="2C56006A"/>
    <w:rsid w:val="2C5F50DB"/>
    <w:rsid w:val="2C660165"/>
    <w:rsid w:val="2C6619D7"/>
    <w:rsid w:val="2C6A0BA3"/>
    <w:rsid w:val="2C6E17C2"/>
    <w:rsid w:val="2C8A76F4"/>
    <w:rsid w:val="2C931BC6"/>
    <w:rsid w:val="2CA45E14"/>
    <w:rsid w:val="2CB43679"/>
    <w:rsid w:val="2CB62CA6"/>
    <w:rsid w:val="2CD40261"/>
    <w:rsid w:val="2CEE34EF"/>
    <w:rsid w:val="2CF605F7"/>
    <w:rsid w:val="2D016FE9"/>
    <w:rsid w:val="2D14362B"/>
    <w:rsid w:val="2D2E304F"/>
    <w:rsid w:val="2D3C07FE"/>
    <w:rsid w:val="2D3C540A"/>
    <w:rsid w:val="2D5756FC"/>
    <w:rsid w:val="2D5D5591"/>
    <w:rsid w:val="2D74743A"/>
    <w:rsid w:val="2D7C11D4"/>
    <w:rsid w:val="2D7F4766"/>
    <w:rsid w:val="2D8D3A62"/>
    <w:rsid w:val="2DAF3E40"/>
    <w:rsid w:val="2DBE7F60"/>
    <w:rsid w:val="2DDF3360"/>
    <w:rsid w:val="2DE81100"/>
    <w:rsid w:val="2DF6381D"/>
    <w:rsid w:val="2DF6788C"/>
    <w:rsid w:val="2DFB0019"/>
    <w:rsid w:val="2E0D1588"/>
    <w:rsid w:val="2E2948CC"/>
    <w:rsid w:val="2E3944B7"/>
    <w:rsid w:val="2E4749F8"/>
    <w:rsid w:val="2E4C1B78"/>
    <w:rsid w:val="2E73313B"/>
    <w:rsid w:val="2E81720F"/>
    <w:rsid w:val="2E840E29"/>
    <w:rsid w:val="2E866E5E"/>
    <w:rsid w:val="2E9077CD"/>
    <w:rsid w:val="2EA916B2"/>
    <w:rsid w:val="2EB46A04"/>
    <w:rsid w:val="2EB84F76"/>
    <w:rsid w:val="2EC62DA5"/>
    <w:rsid w:val="2ECB7077"/>
    <w:rsid w:val="2EED318E"/>
    <w:rsid w:val="2EFE3F3B"/>
    <w:rsid w:val="2F0C331C"/>
    <w:rsid w:val="2F0F1794"/>
    <w:rsid w:val="2F176141"/>
    <w:rsid w:val="2F1A0856"/>
    <w:rsid w:val="2F2443BA"/>
    <w:rsid w:val="2F2B5B05"/>
    <w:rsid w:val="2F464330"/>
    <w:rsid w:val="2F475C7E"/>
    <w:rsid w:val="2F486024"/>
    <w:rsid w:val="2F522CD5"/>
    <w:rsid w:val="2F523B34"/>
    <w:rsid w:val="2F5E78CC"/>
    <w:rsid w:val="2F681310"/>
    <w:rsid w:val="2F6C283B"/>
    <w:rsid w:val="2F743B89"/>
    <w:rsid w:val="2F7E2877"/>
    <w:rsid w:val="2F8567D8"/>
    <w:rsid w:val="2F8B5040"/>
    <w:rsid w:val="2F9107C4"/>
    <w:rsid w:val="2F961B57"/>
    <w:rsid w:val="2FDC6A42"/>
    <w:rsid w:val="2FE65B09"/>
    <w:rsid w:val="2FFF53A8"/>
    <w:rsid w:val="30047098"/>
    <w:rsid w:val="30077F63"/>
    <w:rsid w:val="30115CE5"/>
    <w:rsid w:val="30135C1F"/>
    <w:rsid w:val="30191760"/>
    <w:rsid w:val="3028092A"/>
    <w:rsid w:val="302F54E7"/>
    <w:rsid w:val="304863A9"/>
    <w:rsid w:val="306C4DF1"/>
    <w:rsid w:val="30726790"/>
    <w:rsid w:val="30801AC4"/>
    <w:rsid w:val="30823D65"/>
    <w:rsid w:val="30831C53"/>
    <w:rsid w:val="308E438B"/>
    <w:rsid w:val="30A43A04"/>
    <w:rsid w:val="30C23E8A"/>
    <w:rsid w:val="30C87FB8"/>
    <w:rsid w:val="30CB1DAF"/>
    <w:rsid w:val="30D36097"/>
    <w:rsid w:val="30E90E2B"/>
    <w:rsid w:val="30ED02EA"/>
    <w:rsid w:val="30FF267A"/>
    <w:rsid w:val="30FF594C"/>
    <w:rsid w:val="3102072B"/>
    <w:rsid w:val="310A2A14"/>
    <w:rsid w:val="310F59F0"/>
    <w:rsid w:val="311D200F"/>
    <w:rsid w:val="31395BA8"/>
    <w:rsid w:val="3141666D"/>
    <w:rsid w:val="31422C6A"/>
    <w:rsid w:val="3143321D"/>
    <w:rsid w:val="31480833"/>
    <w:rsid w:val="314B14BF"/>
    <w:rsid w:val="3158219E"/>
    <w:rsid w:val="315C5564"/>
    <w:rsid w:val="31684A32"/>
    <w:rsid w:val="316D537E"/>
    <w:rsid w:val="31716348"/>
    <w:rsid w:val="317355F2"/>
    <w:rsid w:val="3185517F"/>
    <w:rsid w:val="3185793C"/>
    <w:rsid w:val="318D26EA"/>
    <w:rsid w:val="31927602"/>
    <w:rsid w:val="319475D5"/>
    <w:rsid w:val="31975317"/>
    <w:rsid w:val="31A041CB"/>
    <w:rsid w:val="31A87524"/>
    <w:rsid w:val="31B06C89"/>
    <w:rsid w:val="31B91778"/>
    <w:rsid w:val="31C2569E"/>
    <w:rsid w:val="31C96BD0"/>
    <w:rsid w:val="31D04385"/>
    <w:rsid w:val="31D9377A"/>
    <w:rsid w:val="31E15891"/>
    <w:rsid w:val="31F043F4"/>
    <w:rsid w:val="3203475A"/>
    <w:rsid w:val="32170EE1"/>
    <w:rsid w:val="32463124"/>
    <w:rsid w:val="325066A8"/>
    <w:rsid w:val="32563FE3"/>
    <w:rsid w:val="325C6E21"/>
    <w:rsid w:val="325D3410"/>
    <w:rsid w:val="325F0A17"/>
    <w:rsid w:val="3260226B"/>
    <w:rsid w:val="327652E9"/>
    <w:rsid w:val="327A5FF1"/>
    <w:rsid w:val="32810B80"/>
    <w:rsid w:val="32A55CC0"/>
    <w:rsid w:val="32A937D2"/>
    <w:rsid w:val="32C95971"/>
    <w:rsid w:val="32CF5928"/>
    <w:rsid w:val="32D97115"/>
    <w:rsid w:val="32E41009"/>
    <w:rsid w:val="32E9078F"/>
    <w:rsid w:val="32ED34FF"/>
    <w:rsid w:val="330856D0"/>
    <w:rsid w:val="33092244"/>
    <w:rsid w:val="332B3F69"/>
    <w:rsid w:val="33316646"/>
    <w:rsid w:val="333A06E2"/>
    <w:rsid w:val="33462B8C"/>
    <w:rsid w:val="33491C13"/>
    <w:rsid w:val="335E45B2"/>
    <w:rsid w:val="33680D19"/>
    <w:rsid w:val="33691E57"/>
    <w:rsid w:val="336E025D"/>
    <w:rsid w:val="336F654B"/>
    <w:rsid w:val="336F744F"/>
    <w:rsid w:val="33735D99"/>
    <w:rsid w:val="33736E76"/>
    <w:rsid w:val="337570A4"/>
    <w:rsid w:val="33833CFC"/>
    <w:rsid w:val="33900270"/>
    <w:rsid w:val="33A269EC"/>
    <w:rsid w:val="33A856B1"/>
    <w:rsid w:val="33A930DF"/>
    <w:rsid w:val="33AB2922"/>
    <w:rsid w:val="33AE6B10"/>
    <w:rsid w:val="33B73314"/>
    <w:rsid w:val="33C50B9E"/>
    <w:rsid w:val="33D04B10"/>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65015"/>
    <w:rsid w:val="345873A9"/>
    <w:rsid w:val="347C5D20"/>
    <w:rsid w:val="348C4EDB"/>
    <w:rsid w:val="34997F68"/>
    <w:rsid w:val="349D6F1D"/>
    <w:rsid w:val="349E076A"/>
    <w:rsid w:val="34AF7CC9"/>
    <w:rsid w:val="34B14942"/>
    <w:rsid w:val="34C87463"/>
    <w:rsid w:val="34DB376C"/>
    <w:rsid w:val="34E526B4"/>
    <w:rsid w:val="34F03DC0"/>
    <w:rsid w:val="34FE7262"/>
    <w:rsid w:val="350D34CC"/>
    <w:rsid w:val="352407FC"/>
    <w:rsid w:val="352612DF"/>
    <w:rsid w:val="35284201"/>
    <w:rsid w:val="35322B1F"/>
    <w:rsid w:val="3535498A"/>
    <w:rsid w:val="35471E10"/>
    <w:rsid w:val="354F3660"/>
    <w:rsid w:val="355004C3"/>
    <w:rsid w:val="35531BEF"/>
    <w:rsid w:val="35551771"/>
    <w:rsid w:val="3556146D"/>
    <w:rsid w:val="355724F0"/>
    <w:rsid w:val="35584DBD"/>
    <w:rsid w:val="356B5D07"/>
    <w:rsid w:val="357240D1"/>
    <w:rsid w:val="357A4D33"/>
    <w:rsid w:val="35810326"/>
    <w:rsid w:val="358C5E8C"/>
    <w:rsid w:val="358D7C9B"/>
    <w:rsid w:val="358E2186"/>
    <w:rsid w:val="35AA4C6A"/>
    <w:rsid w:val="35B90B5D"/>
    <w:rsid w:val="35C81F43"/>
    <w:rsid w:val="35CC1726"/>
    <w:rsid w:val="35DE239E"/>
    <w:rsid w:val="35E06512"/>
    <w:rsid w:val="35E33F92"/>
    <w:rsid w:val="36010FB1"/>
    <w:rsid w:val="360212D1"/>
    <w:rsid w:val="36054F45"/>
    <w:rsid w:val="360C7B72"/>
    <w:rsid w:val="360E2480"/>
    <w:rsid w:val="361327DB"/>
    <w:rsid w:val="361E1B63"/>
    <w:rsid w:val="361F1CFE"/>
    <w:rsid w:val="362F026F"/>
    <w:rsid w:val="36371201"/>
    <w:rsid w:val="363720E3"/>
    <w:rsid w:val="3639711B"/>
    <w:rsid w:val="363E765D"/>
    <w:rsid w:val="364611F8"/>
    <w:rsid w:val="36581710"/>
    <w:rsid w:val="36592830"/>
    <w:rsid w:val="36632356"/>
    <w:rsid w:val="367409D2"/>
    <w:rsid w:val="36794FEB"/>
    <w:rsid w:val="367B56C5"/>
    <w:rsid w:val="367C5173"/>
    <w:rsid w:val="36915D46"/>
    <w:rsid w:val="36B81FB7"/>
    <w:rsid w:val="36CA31B0"/>
    <w:rsid w:val="36D20797"/>
    <w:rsid w:val="36E65B3A"/>
    <w:rsid w:val="36FF3742"/>
    <w:rsid w:val="370346A6"/>
    <w:rsid w:val="37113475"/>
    <w:rsid w:val="37252E94"/>
    <w:rsid w:val="37296474"/>
    <w:rsid w:val="37300B8D"/>
    <w:rsid w:val="373227C5"/>
    <w:rsid w:val="37405833"/>
    <w:rsid w:val="374101FF"/>
    <w:rsid w:val="375869AC"/>
    <w:rsid w:val="375B253A"/>
    <w:rsid w:val="37666B6B"/>
    <w:rsid w:val="37675674"/>
    <w:rsid w:val="376B1978"/>
    <w:rsid w:val="37940CA8"/>
    <w:rsid w:val="37A16410"/>
    <w:rsid w:val="37AE5168"/>
    <w:rsid w:val="37C0746E"/>
    <w:rsid w:val="37D848CF"/>
    <w:rsid w:val="37DA41AF"/>
    <w:rsid w:val="37DB157C"/>
    <w:rsid w:val="37DB3C7D"/>
    <w:rsid w:val="37E24032"/>
    <w:rsid w:val="37EE7D30"/>
    <w:rsid w:val="37F62976"/>
    <w:rsid w:val="37F77F19"/>
    <w:rsid w:val="38034F62"/>
    <w:rsid w:val="38042FDA"/>
    <w:rsid w:val="381C3F20"/>
    <w:rsid w:val="381F0AD4"/>
    <w:rsid w:val="3822692C"/>
    <w:rsid w:val="38343F2A"/>
    <w:rsid w:val="38490F9C"/>
    <w:rsid w:val="384C1631"/>
    <w:rsid w:val="38542754"/>
    <w:rsid w:val="386121DB"/>
    <w:rsid w:val="386C03A0"/>
    <w:rsid w:val="386D6DD1"/>
    <w:rsid w:val="38807796"/>
    <w:rsid w:val="38850AD8"/>
    <w:rsid w:val="38B10FD7"/>
    <w:rsid w:val="38B2326B"/>
    <w:rsid w:val="38BD498D"/>
    <w:rsid w:val="38D81B11"/>
    <w:rsid w:val="38ED2653"/>
    <w:rsid w:val="38FC71A8"/>
    <w:rsid w:val="38FD1F03"/>
    <w:rsid w:val="39020983"/>
    <w:rsid w:val="39037F6C"/>
    <w:rsid w:val="39214610"/>
    <w:rsid w:val="39317DFF"/>
    <w:rsid w:val="39335925"/>
    <w:rsid w:val="39464964"/>
    <w:rsid w:val="395224D9"/>
    <w:rsid w:val="39535FC7"/>
    <w:rsid w:val="395601FC"/>
    <w:rsid w:val="397B4E62"/>
    <w:rsid w:val="39972B1A"/>
    <w:rsid w:val="399A1410"/>
    <w:rsid w:val="39C47D94"/>
    <w:rsid w:val="39CD1539"/>
    <w:rsid w:val="39CD5D32"/>
    <w:rsid w:val="39DA1DFA"/>
    <w:rsid w:val="39DC71EB"/>
    <w:rsid w:val="39DD5D2E"/>
    <w:rsid w:val="39E01A69"/>
    <w:rsid w:val="39E02D57"/>
    <w:rsid w:val="39FD79FE"/>
    <w:rsid w:val="3A045F91"/>
    <w:rsid w:val="3A064DE8"/>
    <w:rsid w:val="3A076679"/>
    <w:rsid w:val="3A0A0953"/>
    <w:rsid w:val="3A211C22"/>
    <w:rsid w:val="3A2C1FC5"/>
    <w:rsid w:val="3A2C4127"/>
    <w:rsid w:val="3A3C7179"/>
    <w:rsid w:val="3A4F0AA8"/>
    <w:rsid w:val="3A543DA5"/>
    <w:rsid w:val="3A5576B6"/>
    <w:rsid w:val="3A682780"/>
    <w:rsid w:val="3A687850"/>
    <w:rsid w:val="3A697EB7"/>
    <w:rsid w:val="3A701E17"/>
    <w:rsid w:val="3A764E67"/>
    <w:rsid w:val="3A7F0311"/>
    <w:rsid w:val="3A825A8A"/>
    <w:rsid w:val="3A845141"/>
    <w:rsid w:val="3A8538B6"/>
    <w:rsid w:val="3A881CA1"/>
    <w:rsid w:val="3A884EF1"/>
    <w:rsid w:val="3A8C5141"/>
    <w:rsid w:val="3AA52853"/>
    <w:rsid w:val="3AA648FE"/>
    <w:rsid w:val="3AAA7D3D"/>
    <w:rsid w:val="3AD117FB"/>
    <w:rsid w:val="3AD4138A"/>
    <w:rsid w:val="3AD72904"/>
    <w:rsid w:val="3AD75A09"/>
    <w:rsid w:val="3ADC5AFD"/>
    <w:rsid w:val="3AE17BBC"/>
    <w:rsid w:val="3B007A89"/>
    <w:rsid w:val="3B0E664A"/>
    <w:rsid w:val="3B0F5ABD"/>
    <w:rsid w:val="3B2F4F75"/>
    <w:rsid w:val="3B31477D"/>
    <w:rsid w:val="3B315914"/>
    <w:rsid w:val="3B422101"/>
    <w:rsid w:val="3B467602"/>
    <w:rsid w:val="3B4715CB"/>
    <w:rsid w:val="3B5008D7"/>
    <w:rsid w:val="3B7346FF"/>
    <w:rsid w:val="3B7D5180"/>
    <w:rsid w:val="3B7F15E2"/>
    <w:rsid w:val="3B8536A6"/>
    <w:rsid w:val="3B9F0C51"/>
    <w:rsid w:val="3BA00572"/>
    <w:rsid w:val="3BB1021B"/>
    <w:rsid w:val="3BE15B0C"/>
    <w:rsid w:val="3BF27D19"/>
    <w:rsid w:val="3BF72A83"/>
    <w:rsid w:val="3C135790"/>
    <w:rsid w:val="3C1752F7"/>
    <w:rsid w:val="3C193171"/>
    <w:rsid w:val="3C1E3214"/>
    <w:rsid w:val="3C2528C6"/>
    <w:rsid w:val="3C371BD0"/>
    <w:rsid w:val="3C4F1FEA"/>
    <w:rsid w:val="3C5A58BF"/>
    <w:rsid w:val="3C5B6745"/>
    <w:rsid w:val="3C5E3DBD"/>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2362EC"/>
    <w:rsid w:val="3D245A63"/>
    <w:rsid w:val="3D254E4B"/>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05142"/>
    <w:rsid w:val="3DD122A2"/>
    <w:rsid w:val="3DD64752"/>
    <w:rsid w:val="3DD80DF7"/>
    <w:rsid w:val="3DE17E96"/>
    <w:rsid w:val="3DE26317"/>
    <w:rsid w:val="3DEB1B40"/>
    <w:rsid w:val="3DFC4E7F"/>
    <w:rsid w:val="3E097D00"/>
    <w:rsid w:val="3E0D0E3B"/>
    <w:rsid w:val="3E2D1C0D"/>
    <w:rsid w:val="3E352B5B"/>
    <w:rsid w:val="3E3942CD"/>
    <w:rsid w:val="3E3A2755"/>
    <w:rsid w:val="3E463101"/>
    <w:rsid w:val="3E5315CE"/>
    <w:rsid w:val="3E5717D0"/>
    <w:rsid w:val="3E5E04B0"/>
    <w:rsid w:val="3E5F4189"/>
    <w:rsid w:val="3E6B5B61"/>
    <w:rsid w:val="3E6C1A3F"/>
    <w:rsid w:val="3E734A16"/>
    <w:rsid w:val="3E752133"/>
    <w:rsid w:val="3E7A5DA4"/>
    <w:rsid w:val="3E953235"/>
    <w:rsid w:val="3EAA3B18"/>
    <w:rsid w:val="3EAA555F"/>
    <w:rsid w:val="3EBD0BAE"/>
    <w:rsid w:val="3EC3774B"/>
    <w:rsid w:val="3ECC3927"/>
    <w:rsid w:val="3ECD2095"/>
    <w:rsid w:val="3EE4497A"/>
    <w:rsid w:val="3EEF22EE"/>
    <w:rsid w:val="3EF02AD3"/>
    <w:rsid w:val="3F024C1A"/>
    <w:rsid w:val="3F0D0FA0"/>
    <w:rsid w:val="3F21052E"/>
    <w:rsid w:val="3F330C34"/>
    <w:rsid w:val="3F3917F4"/>
    <w:rsid w:val="3F397A0D"/>
    <w:rsid w:val="3F4A39C9"/>
    <w:rsid w:val="3F625E8E"/>
    <w:rsid w:val="3F6454D3"/>
    <w:rsid w:val="3F6A673B"/>
    <w:rsid w:val="3F716AD8"/>
    <w:rsid w:val="3F757858"/>
    <w:rsid w:val="3F8C2A74"/>
    <w:rsid w:val="3FA70307"/>
    <w:rsid w:val="3FA7458E"/>
    <w:rsid w:val="3FB22390"/>
    <w:rsid w:val="3FCF1529"/>
    <w:rsid w:val="3FDD2A57"/>
    <w:rsid w:val="3FE37E33"/>
    <w:rsid w:val="3FF027C2"/>
    <w:rsid w:val="3FF55C7D"/>
    <w:rsid w:val="3FF676AC"/>
    <w:rsid w:val="3FF87828"/>
    <w:rsid w:val="400E03CE"/>
    <w:rsid w:val="401171AD"/>
    <w:rsid w:val="401C4A76"/>
    <w:rsid w:val="40225AF1"/>
    <w:rsid w:val="4024421A"/>
    <w:rsid w:val="403677C3"/>
    <w:rsid w:val="403D5148"/>
    <w:rsid w:val="403D6B94"/>
    <w:rsid w:val="40507C98"/>
    <w:rsid w:val="40580367"/>
    <w:rsid w:val="4061657E"/>
    <w:rsid w:val="40642B5B"/>
    <w:rsid w:val="40767673"/>
    <w:rsid w:val="407707ED"/>
    <w:rsid w:val="40892318"/>
    <w:rsid w:val="408E0789"/>
    <w:rsid w:val="40A76FA9"/>
    <w:rsid w:val="40AC084A"/>
    <w:rsid w:val="40B557B9"/>
    <w:rsid w:val="40CD170F"/>
    <w:rsid w:val="40D05FDB"/>
    <w:rsid w:val="40DB515E"/>
    <w:rsid w:val="40E30197"/>
    <w:rsid w:val="40E63D94"/>
    <w:rsid w:val="40EA1367"/>
    <w:rsid w:val="40EB151F"/>
    <w:rsid w:val="40ED4F53"/>
    <w:rsid w:val="40F25A91"/>
    <w:rsid w:val="411C387B"/>
    <w:rsid w:val="411D00F5"/>
    <w:rsid w:val="41292B74"/>
    <w:rsid w:val="41406E31"/>
    <w:rsid w:val="414E3836"/>
    <w:rsid w:val="41592854"/>
    <w:rsid w:val="416E516B"/>
    <w:rsid w:val="418812BB"/>
    <w:rsid w:val="418D4040"/>
    <w:rsid w:val="419E7FFC"/>
    <w:rsid w:val="419F3079"/>
    <w:rsid w:val="41AE3A67"/>
    <w:rsid w:val="41C04416"/>
    <w:rsid w:val="41C95125"/>
    <w:rsid w:val="41CF4659"/>
    <w:rsid w:val="41EA02ED"/>
    <w:rsid w:val="42075BA1"/>
    <w:rsid w:val="4215282E"/>
    <w:rsid w:val="42166627"/>
    <w:rsid w:val="42225E0B"/>
    <w:rsid w:val="42383FB6"/>
    <w:rsid w:val="423D7815"/>
    <w:rsid w:val="4246491B"/>
    <w:rsid w:val="424F30C2"/>
    <w:rsid w:val="425E14DB"/>
    <w:rsid w:val="42621029"/>
    <w:rsid w:val="426B4382"/>
    <w:rsid w:val="426E3E72"/>
    <w:rsid w:val="42725710"/>
    <w:rsid w:val="427358D4"/>
    <w:rsid w:val="42736D87"/>
    <w:rsid w:val="427E086F"/>
    <w:rsid w:val="42826F4F"/>
    <w:rsid w:val="428B0580"/>
    <w:rsid w:val="429A4E70"/>
    <w:rsid w:val="429E14C4"/>
    <w:rsid w:val="42A26186"/>
    <w:rsid w:val="42A94EAA"/>
    <w:rsid w:val="42BA0E65"/>
    <w:rsid w:val="42C13D5C"/>
    <w:rsid w:val="42C6780A"/>
    <w:rsid w:val="42DD74CF"/>
    <w:rsid w:val="42DF3579"/>
    <w:rsid w:val="42E264C2"/>
    <w:rsid w:val="42E85CD3"/>
    <w:rsid w:val="42F54D63"/>
    <w:rsid w:val="430052BF"/>
    <w:rsid w:val="43011E27"/>
    <w:rsid w:val="430D368B"/>
    <w:rsid w:val="430F20A0"/>
    <w:rsid w:val="43135F0F"/>
    <w:rsid w:val="431B6CC7"/>
    <w:rsid w:val="43225F65"/>
    <w:rsid w:val="433A3C4A"/>
    <w:rsid w:val="435720D9"/>
    <w:rsid w:val="435D7A57"/>
    <w:rsid w:val="43615785"/>
    <w:rsid w:val="43732880"/>
    <w:rsid w:val="43865952"/>
    <w:rsid w:val="438F0BB0"/>
    <w:rsid w:val="43993170"/>
    <w:rsid w:val="43BF04EA"/>
    <w:rsid w:val="43C05A1E"/>
    <w:rsid w:val="43CF4932"/>
    <w:rsid w:val="43D22CDA"/>
    <w:rsid w:val="43D354DC"/>
    <w:rsid w:val="43E3106F"/>
    <w:rsid w:val="4405353A"/>
    <w:rsid w:val="44063CF3"/>
    <w:rsid w:val="44072973"/>
    <w:rsid w:val="44095C00"/>
    <w:rsid w:val="44117E2D"/>
    <w:rsid w:val="441822E7"/>
    <w:rsid w:val="442F13DF"/>
    <w:rsid w:val="44426345"/>
    <w:rsid w:val="444B2816"/>
    <w:rsid w:val="445279AA"/>
    <w:rsid w:val="4453331F"/>
    <w:rsid w:val="445F3A86"/>
    <w:rsid w:val="4478636B"/>
    <w:rsid w:val="447A0DB3"/>
    <w:rsid w:val="447B4624"/>
    <w:rsid w:val="447D2B53"/>
    <w:rsid w:val="4481712B"/>
    <w:rsid w:val="44901E7E"/>
    <w:rsid w:val="449F54A7"/>
    <w:rsid w:val="44A1052F"/>
    <w:rsid w:val="44B429B0"/>
    <w:rsid w:val="44C93406"/>
    <w:rsid w:val="44D74994"/>
    <w:rsid w:val="44DD0E3B"/>
    <w:rsid w:val="44E67CEF"/>
    <w:rsid w:val="44EB3558"/>
    <w:rsid w:val="44F62875"/>
    <w:rsid w:val="44FB02DC"/>
    <w:rsid w:val="450A0C5F"/>
    <w:rsid w:val="45111EFE"/>
    <w:rsid w:val="451730A2"/>
    <w:rsid w:val="451955A3"/>
    <w:rsid w:val="45205199"/>
    <w:rsid w:val="45260B70"/>
    <w:rsid w:val="45286072"/>
    <w:rsid w:val="45357C2D"/>
    <w:rsid w:val="453A003B"/>
    <w:rsid w:val="45467C1A"/>
    <w:rsid w:val="45523E0A"/>
    <w:rsid w:val="45603F46"/>
    <w:rsid w:val="45784EE5"/>
    <w:rsid w:val="45790587"/>
    <w:rsid w:val="457C33A8"/>
    <w:rsid w:val="45800144"/>
    <w:rsid w:val="458804FE"/>
    <w:rsid w:val="458D57CB"/>
    <w:rsid w:val="4595726A"/>
    <w:rsid w:val="45A047F3"/>
    <w:rsid w:val="45C67177"/>
    <w:rsid w:val="45D048BE"/>
    <w:rsid w:val="45DE626C"/>
    <w:rsid w:val="45EB660D"/>
    <w:rsid w:val="45F13477"/>
    <w:rsid w:val="45FD7B3D"/>
    <w:rsid w:val="460A10C2"/>
    <w:rsid w:val="46220C85"/>
    <w:rsid w:val="46230254"/>
    <w:rsid w:val="46244F73"/>
    <w:rsid w:val="46287B26"/>
    <w:rsid w:val="462A00B0"/>
    <w:rsid w:val="462D24EF"/>
    <w:rsid w:val="46377A12"/>
    <w:rsid w:val="4650139E"/>
    <w:rsid w:val="46534E0B"/>
    <w:rsid w:val="46692DA8"/>
    <w:rsid w:val="4670640B"/>
    <w:rsid w:val="46753897"/>
    <w:rsid w:val="467A71EB"/>
    <w:rsid w:val="46867477"/>
    <w:rsid w:val="468A02AD"/>
    <w:rsid w:val="468B3DD1"/>
    <w:rsid w:val="469043B7"/>
    <w:rsid w:val="46BF4C9C"/>
    <w:rsid w:val="46C71DA3"/>
    <w:rsid w:val="46C936C8"/>
    <w:rsid w:val="46CB1893"/>
    <w:rsid w:val="46D87DE5"/>
    <w:rsid w:val="46E556A4"/>
    <w:rsid w:val="46E97F6B"/>
    <w:rsid w:val="46EA25E1"/>
    <w:rsid w:val="46EB1077"/>
    <w:rsid w:val="470C2558"/>
    <w:rsid w:val="472127B7"/>
    <w:rsid w:val="472165B7"/>
    <w:rsid w:val="47277064"/>
    <w:rsid w:val="47323C17"/>
    <w:rsid w:val="4743767B"/>
    <w:rsid w:val="474C305D"/>
    <w:rsid w:val="474E29C1"/>
    <w:rsid w:val="475569C5"/>
    <w:rsid w:val="475A49C5"/>
    <w:rsid w:val="475E44B5"/>
    <w:rsid w:val="476121D8"/>
    <w:rsid w:val="476A063C"/>
    <w:rsid w:val="477C748E"/>
    <w:rsid w:val="478A7058"/>
    <w:rsid w:val="47941208"/>
    <w:rsid w:val="47A101B2"/>
    <w:rsid w:val="47AB5220"/>
    <w:rsid w:val="47BF2852"/>
    <w:rsid w:val="47BF386C"/>
    <w:rsid w:val="47C02A7A"/>
    <w:rsid w:val="47C3256A"/>
    <w:rsid w:val="47C95C6C"/>
    <w:rsid w:val="47EC7022"/>
    <w:rsid w:val="47FC7940"/>
    <w:rsid w:val="48030B33"/>
    <w:rsid w:val="48046015"/>
    <w:rsid w:val="4819316F"/>
    <w:rsid w:val="482F5E51"/>
    <w:rsid w:val="483F125D"/>
    <w:rsid w:val="484243EB"/>
    <w:rsid w:val="48580B32"/>
    <w:rsid w:val="485B43A9"/>
    <w:rsid w:val="48635024"/>
    <w:rsid w:val="486C0E54"/>
    <w:rsid w:val="487B675C"/>
    <w:rsid w:val="48954DA6"/>
    <w:rsid w:val="48A95C04"/>
    <w:rsid w:val="48B22238"/>
    <w:rsid w:val="48B33076"/>
    <w:rsid w:val="48C4330A"/>
    <w:rsid w:val="48D55EB3"/>
    <w:rsid w:val="48DA0701"/>
    <w:rsid w:val="48DF324A"/>
    <w:rsid w:val="48E052EC"/>
    <w:rsid w:val="48E65AEE"/>
    <w:rsid w:val="48F50E49"/>
    <w:rsid w:val="48F80CE7"/>
    <w:rsid w:val="48FA020D"/>
    <w:rsid w:val="49096FCD"/>
    <w:rsid w:val="491B0811"/>
    <w:rsid w:val="491D7C08"/>
    <w:rsid w:val="494625B6"/>
    <w:rsid w:val="49492F43"/>
    <w:rsid w:val="49507E2D"/>
    <w:rsid w:val="49512BB1"/>
    <w:rsid w:val="495E0009"/>
    <w:rsid w:val="49641F5D"/>
    <w:rsid w:val="49666B6B"/>
    <w:rsid w:val="496F2CCC"/>
    <w:rsid w:val="498F64FC"/>
    <w:rsid w:val="49AD1724"/>
    <w:rsid w:val="49BE7E39"/>
    <w:rsid w:val="49C40005"/>
    <w:rsid w:val="49C65419"/>
    <w:rsid w:val="49CF2EC2"/>
    <w:rsid w:val="49D04BAB"/>
    <w:rsid w:val="49EA0282"/>
    <w:rsid w:val="49EA17C4"/>
    <w:rsid w:val="49EF440A"/>
    <w:rsid w:val="4A1A2F12"/>
    <w:rsid w:val="4A2B55B2"/>
    <w:rsid w:val="4A2C7C77"/>
    <w:rsid w:val="4A321C6F"/>
    <w:rsid w:val="4A366D8C"/>
    <w:rsid w:val="4A375709"/>
    <w:rsid w:val="4A475BFC"/>
    <w:rsid w:val="4A484FA8"/>
    <w:rsid w:val="4A4E1094"/>
    <w:rsid w:val="4A561717"/>
    <w:rsid w:val="4A5971B6"/>
    <w:rsid w:val="4A5D3269"/>
    <w:rsid w:val="4A606796"/>
    <w:rsid w:val="4A6209BE"/>
    <w:rsid w:val="4A717D8F"/>
    <w:rsid w:val="4A7D0F83"/>
    <w:rsid w:val="4A834A22"/>
    <w:rsid w:val="4A8815D3"/>
    <w:rsid w:val="4A9454F9"/>
    <w:rsid w:val="4A972DF7"/>
    <w:rsid w:val="4A992274"/>
    <w:rsid w:val="4AA77F21"/>
    <w:rsid w:val="4AAA2276"/>
    <w:rsid w:val="4AB12CDE"/>
    <w:rsid w:val="4AB64534"/>
    <w:rsid w:val="4ABD14F2"/>
    <w:rsid w:val="4AC66642"/>
    <w:rsid w:val="4AC87549"/>
    <w:rsid w:val="4AD37353"/>
    <w:rsid w:val="4ADB5E1D"/>
    <w:rsid w:val="4ADC6651"/>
    <w:rsid w:val="4AE2340C"/>
    <w:rsid w:val="4AE50CD0"/>
    <w:rsid w:val="4AE72A13"/>
    <w:rsid w:val="4AFF6999"/>
    <w:rsid w:val="4B0E61F2"/>
    <w:rsid w:val="4B21257E"/>
    <w:rsid w:val="4B290FE3"/>
    <w:rsid w:val="4B322207"/>
    <w:rsid w:val="4B3B5793"/>
    <w:rsid w:val="4B58050B"/>
    <w:rsid w:val="4B5A25F7"/>
    <w:rsid w:val="4B6A0768"/>
    <w:rsid w:val="4B6B0CBD"/>
    <w:rsid w:val="4B705719"/>
    <w:rsid w:val="4B7B47F9"/>
    <w:rsid w:val="4B8D7117"/>
    <w:rsid w:val="4BA563FE"/>
    <w:rsid w:val="4BB77663"/>
    <w:rsid w:val="4BBF1EF3"/>
    <w:rsid w:val="4BC54DE5"/>
    <w:rsid w:val="4BCB7306"/>
    <w:rsid w:val="4BD52968"/>
    <w:rsid w:val="4BD91D02"/>
    <w:rsid w:val="4BE2600E"/>
    <w:rsid w:val="4BE34975"/>
    <w:rsid w:val="4BE57820"/>
    <w:rsid w:val="4BF657A1"/>
    <w:rsid w:val="4BFB7B74"/>
    <w:rsid w:val="4C0457A1"/>
    <w:rsid w:val="4C2070A8"/>
    <w:rsid w:val="4C276BC0"/>
    <w:rsid w:val="4C3A6D52"/>
    <w:rsid w:val="4C3F2C78"/>
    <w:rsid w:val="4C42244E"/>
    <w:rsid w:val="4C437DCE"/>
    <w:rsid w:val="4C6D3DA8"/>
    <w:rsid w:val="4C727CFA"/>
    <w:rsid w:val="4C800A2A"/>
    <w:rsid w:val="4C88081B"/>
    <w:rsid w:val="4C8872A2"/>
    <w:rsid w:val="4C9C19F3"/>
    <w:rsid w:val="4CA47183"/>
    <w:rsid w:val="4CB7606E"/>
    <w:rsid w:val="4CDA2830"/>
    <w:rsid w:val="4CDE1861"/>
    <w:rsid w:val="4CF745DE"/>
    <w:rsid w:val="4CFC57E0"/>
    <w:rsid w:val="4D087B01"/>
    <w:rsid w:val="4D0B58BC"/>
    <w:rsid w:val="4D0C050F"/>
    <w:rsid w:val="4D0C2AD5"/>
    <w:rsid w:val="4D176FE7"/>
    <w:rsid w:val="4D1F46E6"/>
    <w:rsid w:val="4D2059FA"/>
    <w:rsid w:val="4D227D33"/>
    <w:rsid w:val="4D2E3574"/>
    <w:rsid w:val="4D432919"/>
    <w:rsid w:val="4D451B18"/>
    <w:rsid w:val="4D4D5AFE"/>
    <w:rsid w:val="4D502AF2"/>
    <w:rsid w:val="4D5C07F9"/>
    <w:rsid w:val="4D755736"/>
    <w:rsid w:val="4DAC0A3B"/>
    <w:rsid w:val="4DB92102"/>
    <w:rsid w:val="4DBA3E20"/>
    <w:rsid w:val="4DBC5B64"/>
    <w:rsid w:val="4DC679DB"/>
    <w:rsid w:val="4DE61D12"/>
    <w:rsid w:val="4DF1146E"/>
    <w:rsid w:val="4DF45F14"/>
    <w:rsid w:val="4DF53699"/>
    <w:rsid w:val="4DF82017"/>
    <w:rsid w:val="4DFF4A01"/>
    <w:rsid w:val="4E0E661C"/>
    <w:rsid w:val="4E1E3790"/>
    <w:rsid w:val="4E2E44B5"/>
    <w:rsid w:val="4E4C57ED"/>
    <w:rsid w:val="4E5505A6"/>
    <w:rsid w:val="4E5D7E48"/>
    <w:rsid w:val="4E820BD8"/>
    <w:rsid w:val="4E874C8C"/>
    <w:rsid w:val="4E8D729C"/>
    <w:rsid w:val="4E8E1C0C"/>
    <w:rsid w:val="4E9609D8"/>
    <w:rsid w:val="4E9764FE"/>
    <w:rsid w:val="4E98004C"/>
    <w:rsid w:val="4EA5208F"/>
    <w:rsid w:val="4EAC01FC"/>
    <w:rsid w:val="4EAE617F"/>
    <w:rsid w:val="4EBB663A"/>
    <w:rsid w:val="4EBD702F"/>
    <w:rsid w:val="4EC310A1"/>
    <w:rsid w:val="4EC818B0"/>
    <w:rsid w:val="4ECA088B"/>
    <w:rsid w:val="4ECB59F9"/>
    <w:rsid w:val="4ECC45E5"/>
    <w:rsid w:val="4ECE1CAC"/>
    <w:rsid w:val="4EE414BB"/>
    <w:rsid w:val="4EE87B84"/>
    <w:rsid w:val="4EFE0DEE"/>
    <w:rsid w:val="4EFF65C5"/>
    <w:rsid w:val="4F0052D1"/>
    <w:rsid w:val="4F014784"/>
    <w:rsid w:val="4F0431E6"/>
    <w:rsid w:val="4F1B712F"/>
    <w:rsid w:val="4F1C605F"/>
    <w:rsid w:val="4F254824"/>
    <w:rsid w:val="4F2658BE"/>
    <w:rsid w:val="4F42646A"/>
    <w:rsid w:val="4F4736A7"/>
    <w:rsid w:val="4F585C8E"/>
    <w:rsid w:val="4F7914EF"/>
    <w:rsid w:val="4F7E60F0"/>
    <w:rsid w:val="4F9174FD"/>
    <w:rsid w:val="4F9402D2"/>
    <w:rsid w:val="4FB10142"/>
    <w:rsid w:val="4FB569B7"/>
    <w:rsid w:val="4FB82BD0"/>
    <w:rsid w:val="4FC643B6"/>
    <w:rsid w:val="4FD1578E"/>
    <w:rsid w:val="4FE10E76"/>
    <w:rsid w:val="4FEE2189"/>
    <w:rsid w:val="4FF71C3D"/>
    <w:rsid w:val="50016856"/>
    <w:rsid w:val="5008518B"/>
    <w:rsid w:val="500B32A2"/>
    <w:rsid w:val="501A4DE6"/>
    <w:rsid w:val="502B6647"/>
    <w:rsid w:val="502B6EFE"/>
    <w:rsid w:val="50324E90"/>
    <w:rsid w:val="504C1B11"/>
    <w:rsid w:val="504E68CB"/>
    <w:rsid w:val="505F48A5"/>
    <w:rsid w:val="50616DC4"/>
    <w:rsid w:val="506472D4"/>
    <w:rsid w:val="50664FFD"/>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300BE"/>
    <w:rsid w:val="511F2007"/>
    <w:rsid w:val="51271E2F"/>
    <w:rsid w:val="51324BC3"/>
    <w:rsid w:val="51342CAA"/>
    <w:rsid w:val="51366F32"/>
    <w:rsid w:val="51406A38"/>
    <w:rsid w:val="514B4E4E"/>
    <w:rsid w:val="516578E1"/>
    <w:rsid w:val="517174DB"/>
    <w:rsid w:val="518049FF"/>
    <w:rsid w:val="51932FAD"/>
    <w:rsid w:val="51A06E66"/>
    <w:rsid w:val="51AF590D"/>
    <w:rsid w:val="51B475E9"/>
    <w:rsid w:val="51B947F0"/>
    <w:rsid w:val="51BA020E"/>
    <w:rsid w:val="51C05FF6"/>
    <w:rsid w:val="51D135DE"/>
    <w:rsid w:val="51DF4444"/>
    <w:rsid w:val="51ED6B61"/>
    <w:rsid w:val="51F65295"/>
    <w:rsid w:val="51F872B4"/>
    <w:rsid w:val="51FD3DB6"/>
    <w:rsid w:val="52097713"/>
    <w:rsid w:val="520C3BB6"/>
    <w:rsid w:val="521F680F"/>
    <w:rsid w:val="52252174"/>
    <w:rsid w:val="52295AE6"/>
    <w:rsid w:val="522D0E7F"/>
    <w:rsid w:val="523636A7"/>
    <w:rsid w:val="523E4D62"/>
    <w:rsid w:val="5243507E"/>
    <w:rsid w:val="525402A0"/>
    <w:rsid w:val="52554706"/>
    <w:rsid w:val="525F5585"/>
    <w:rsid w:val="528D41E4"/>
    <w:rsid w:val="52A35472"/>
    <w:rsid w:val="52BF5C92"/>
    <w:rsid w:val="52C2167A"/>
    <w:rsid w:val="52C7794C"/>
    <w:rsid w:val="52D279CD"/>
    <w:rsid w:val="52D32ADF"/>
    <w:rsid w:val="52E45ACB"/>
    <w:rsid w:val="52E71802"/>
    <w:rsid w:val="52F47AFB"/>
    <w:rsid w:val="53071B37"/>
    <w:rsid w:val="530A5973"/>
    <w:rsid w:val="531169F3"/>
    <w:rsid w:val="531348FB"/>
    <w:rsid w:val="53275D3D"/>
    <w:rsid w:val="532760A3"/>
    <w:rsid w:val="533354CF"/>
    <w:rsid w:val="533407C0"/>
    <w:rsid w:val="53346A12"/>
    <w:rsid w:val="53346B96"/>
    <w:rsid w:val="535D5DC8"/>
    <w:rsid w:val="537961D3"/>
    <w:rsid w:val="537A3167"/>
    <w:rsid w:val="537C3CCE"/>
    <w:rsid w:val="537D2360"/>
    <w:rsid w:val="53811E50"/>
    <w:rsid w:val="5393482C"/>
    <w:rsid w:val="53B22465"/>
    <w:rsid w:val="53B45F49"/>
    <w:rsid w:val="53B72F65"/>
    <w:rsid w:val="53BE3989"/>
    <w:rsid w:val="53CF3054"/>
    <w:rsid w:val="53D83751"/>
    <w:rsid w:val="53D85151"/>
    <w:rsid w:val="53E844A9"/>
    <w:rsid w:val="53FD2AC2"/>
    <w:rsid w:val="5409404E"/>
    <w:rsid w:val="54134B75"/>
    <w:rsid w:val="54164746"/>
    <w:rsid w:val="541F238F"/>
    <w:rsid w:val="542E2ADC"/>
    <w:rsid w:val="543341B9"/>
    <w:rsid w:val="543415ED"/>
    <w:rsid w:val="5438608E"/>
    <w:rsid w:val="544607AB"/>
    <w:rsid w:val="544B7F7E"/>
    <w:rsid w:val="54501D22"/>
    <w:rsid w:val="54592AA9"/>
    <w:rsid w:val="546146EB"/>
    <w:rsid w:val="54680D66"/>
    <w:rsid w:val="54685AA1"/>
    <w:rsid w:val="547D06FB"/>
    <w:rsid w:val="547D14B1"/>
    <w:rsid w:val="54857DDB"/>
    <w:rsid w:val="548C678B"/>
    <w:rsid w:val="54905199"/>
    <w:rsid w:val="54914216"/>
    <w:rsid w:val="549273A9"/>
    <w:rsid w:val="549405C7"/>
    <w:rsid w:val="54996B2C"/>
    <w:rsid w:val="549D6C55"/>
    <w:rsid w:val="54CA07F6"/>
    <w:rsid w:val="54E979F3"/>
    <w:rsid w:val="54EF0774"/>
    <w:rsid w:val="54F2448F"/>
    <w:rsid w:val="54FE2E33"/>
    <w:rsid w:val="550470C2"/>
    <w:rsid w:val="550B2DC8"/>
    <w:rsid w:val="550D6F22"/>
    <w:rsid w:val="551E1403"/>
    <w:rsid w:val="552038EC"/>
    <w:rsid w:val="5520724E"/>
    <w:rsid w:val="5540169E"/>
    <w:rsid w:val="55466588"/>
    <w:rsid w:val="5547793A"/>
    <w:rsid w:val="554C32B2"/>
    <w:rsid w:val="55501E76"/>
    <w:rsid w:val="55701D69"/>
    <w:rsid w:val="55731E3E"/>
    <w:rsid w:val="557A0272"/>
    <w:rsid w:val="557E29D7"/>
    <w:rsid w:val="558F2195"/>
    <w:rsid w:val="55900035"/>
    <w:rsid w:val="559455FC"/>
    <w:rsid w:val="55AF798B"/>
    <w:rsid w:val="55CA70E8"/>
    <w:rsid w:val="55ED4967"/>
    <w:rsid w:val="55F350C4"/>
    <w:rsid w:val="55FD2F0B"/>
    <w:rsid w:val="561B14C6"/>
    <w:rsid w:val="561B7A15"/>
    <w:rsid w:val="56247722"/>
    <w:rsid w:val="56342FDD"/>
    <w:rsid w:val="56467B64"/>
    <w:rsid w:val="565626F9"/>
    <w:rsid w:val="565671A2"/>
    <w:rsid w:val="56685CA8"/>
    <w:rsid w:val="56694C24"/>
    <w:rsid w:val="566E223B"/>
    <w:rsid w:val="56740DC7"/>
    <w:rsid w:val="56753961"/>
    <w:rsid w:val="5677558B"/>
    <w:rsid w:val="569C2904"/>
    <w:rsid w:val="56AA3219"/>
    <w:rsid w:val="56B7174F"/>
    <w:rsid w:val="56CF2574"/>
    <w:rsid w:val="56CF424D"/>
    <w:rsid w:val="56D77628"/>
    <w:rsid w:val="56DE4C00"/>
    <w:rsid w:val="570847EE"/>
    <w:rsid w:val="57212E09"/>
    <w:rsid w:val="57297951"/>
    <w:rsid w:val="573270B5"/>
    <w:rsid w:val="57331689"/>
    <w:rsid w:val="57443B56"/>
    <w:rsid w:val="575360F3"/>
    <w:rsid w:val="57614844"/>
    <w:rsid w:val="57664CC0"/>
    <w:rsid w:val="576A00D2"/>
    <w:rsid w:val="576A530D"/>
    <w:rsid w:val="57971A40"/>
    <w:rsid w:val="579E4D2D"/>
    <w:rsid w:val="57A24175"/>
    <w:rsid w:val="57B75717"/>
    <w:rsid w:val="57C470D2"/>
    <w:rsid w:val="57C77E19"/>
    <w:rsid w:val="57CA488B"/>
    <w:rsid w:val="57DA0118"/>
    <w:rsid w:val="57DB3900"/>
    <w:rsid w:val="57DB47FB"/>
    <w:rsid w:val="57FB18AC"/>
    <w:rsid w:val="580846BB"/>
    <w:rsid w:val="5816050F"/>
    <w:rsid w:val="581D5CC6"/>
    <w:rsid w:val="58205F1A"/>
    <w:rsid w:val="582468CD"/>
    <w:rsid w:val="582840C5"/>
    <w:rsid w:val="583074F9"/>
    <w:rsid w:val="583515AC"/>
    <w:rsid w:val="58403763"/>
    <w:rsid w:val="584B45E2"/>
    <w:rsid w:val="584C2587"/>
    <w:rsid w:val="585127AA"/>
    <w:rsid w:val="585D5314"/>
    <w:rsid w:val="58603D47"/>
    <w:rsid w:val="58660CE3"/>
    <w:rsid w:val="58743A0C"/>
    <w:rsid w:val="58795D80"/>
    <w:rsid w:val="589A10C5"/>
    <w:rsid w:val="58AB5080"/>
    <w:rsid w:val="58BB3CCE"/>
    <w:rsid w:val="58C97BB5"/>
    <w:rsid w:val="58CD3249"/>
    <w:rsid w:val="58D42829"/>
    <w:rsid w:val="58DE0E81"/>
    <w:rsid w:val="59125866"/>
    <w:rsid w:val="5915352F"/>
    <w:rsid w:val="59183E6F"/>
    <w:rsid w:val="591B0458"/>
    <w:rsid w:val="59232E69"/>
    <w:rsid w:val="59304651"/>
    <w:rsid w:val="593E2965"/>
    <w:rsid w:val="593F3A1A"/>
    <w:rsid w:val="594856C1"/>
    <w:rsid w:val="59486EBB"/>
    <w:rsid w:val="59493AFE"/>
    <w:rsid w:val="594C38F9"/>
    <w:rsid w:val="594C4A1E"/>
    <w:rsid w:val="59567838"/>
    <w:rsid w:val="596040BD"/>
    <w:rsid w:val="59700D18"/>
    <w:rsid w:val="5970491E"/>
    <w:rsid w:val="597304CA"/>
    <w:rsid w:val="59794C92"/>
    <w:rsid w:val="5979517E"/>
    <w:rsid w:val="597A0373"/>
    <w:rsid w:val="598803B1"/>
    <w:rsid w:val="59A5117A"/>
    <w:rsid w:val="59A55F73"/>
    <w:rsid w:val="59A71538"/>
    <w:rsid w:val="59A937D5"/>
    <w:rsid w:val="59BA6CB3"/>
    <w:rsid w:val="59BA6CC4"/>
    <w:rsid w:val="59BF6EE5"/>
    <w:rsid w:val="59DB746A"/>
    <w:rsid w:val="59F2154E"/>
    <w:rsid w:val="59F9691A"/>
    <w:rsid w:val="5A012975"/>
    <w:rsid w:val="5A0233C6"/>
    <w:rsid w:val="5A097A39"/>
    <w:rsid w:val="5A112448"/>
    <w:rsid w:val="5A117165"/>
    <w:rsid w:val="5A1E417A"/>
    <w:rsid w:val="5A266C4C"/>
    <w:rsid w:val="5A2D3B53"/>
    <w:rsid w:val="5A3B2434"/>
    <w:rsid w:val="5A5A0B0C"/>
    <w:rsid w:val="5A6457FD"/>
    <w:rsid w:val="5A645A7F"/>
    <w:rsid w:val="5A653116"/>
    <w:rsid w:val="5A7035CD"/>
    <w:rsid w:val="5A7E3799"/>
    <w:rsid w:val="5A81253D"/>
    <w:rsid w:val="5A873ECB"/>
    <w:rsid w:val="5A934A0F"/>
    <w:rsid w:val="5A957C98"/>
    <w:rsid w:val="5A9E6D6F"/>
    <w:rsid w:val="5AAC50E0"/>
    <w:rsid w:val="5AAD60EA"/>
    <w:rsid w:val="5AB61DE0"/>
    <w:rsid w:val="5ACB527F"/>
    <w:rsid w:val="5AD7761B"/>
    <w:rsid w:val="5AE66844"/>
    <w:rsid w:val="5AE8436A"/>
    <w:rsid w:val="5AFE3E43"/>
    <w:rsid w:val="5B072DB6"/>
    <w:rsid w:val="5B19492B"/>
    <w:rsid w:val="5B233465"/>
    <w:rsid w:val="5B2630E4"/>
    <w:rsid w:val="5B2B06FA"/>
    <w:rsid w:val="5B506B61"/>
    <w:rsid w:val="5B5F0F2E"/>
    <w:rsid w:val="5B667984"/>
    <w:rsid w:val="5B6A1602"/>
    <w:rsid w:val="5B6B796C"/>
    <w:rsid w:val="5B7C0F56"/>
    <w:rsid w:val="5B9808C1"/>
    <w:rsid w:val="5BA32ED4"/>
    <w:rsid w:val="5BB10CB2"/>
    <w:rsid w:val="5BC16A09"/>
    <w:rsid w:val="5BC86C25"/>
    <w:rsid w:val="5BE10621"/>
    <w:rsid w:val="5C012CC6"/>
    <w:rsid w:val="5C3B496D"/>
    <w:rsid w:val="5C503DE0"/>
    <w:rsid w:val="5C5435D1"/>
    <w:rsid w:val="5C5C5BA5"/>
    <w:rsid w:val="5C6C0FCA"/>
    <w:rsid w:val="5C7543D7"/>
    <w:rsid w:val="5C8005D2"/>
    <w:rsid w:val="5C8C4702"/>
    <w:rsid w:val="5C936557"/>
    <w:rsid w:val="5C943DBC"/>
    <w:rsid w:val="5C997625"/>
    <w:rsid w:val="5CA57080"/>
    <w:rsid w:val="5CA77E21"/>
    <w:rsid w:val="5CAF0BE0"/>
    <w:rsid w:val="5CB458BA"/>
    <w:rsid w:val="5CDC782C"/>
    <w:rsid w:val="5CDF3569"/>
    <w:rsid w:val="5CE23DAC"/>
    <w:rsid w:val="5CE73917"/>
    <w:rsid w:val="5D0A73AF"/>
    <w:rsid w:val="5D120F26"/>
    <w:rsid w:val="5D1F603D"/>
    <w:rsid w:val="5D376039"/>
    <w:rsid w:val="5D3E31E9"/>
    <w:rsid w:val="5D436E42"/>
    <w:rsid w:val="5D5E6B65"/>
    <w:rsid w:val="5D63667B"/>
    <w:rsid w:val="5D6F2EDA"/>
    <w:rsid w:val="5D783847"/>
    <w:rsid w:val="5D83037A"/>
    <w:rsid w:val="5D9941C1"/>
    <w:rsid w:val="5DA570B1"/>
    <w:rsid w:val="5DA92832"/>
    <w:rsid w:val="5DAE502B"/>
    <w:rsid w:val="5DB466F3"/>
    <w:rsid w:val="5DB915F2"/>
    <w:rsid w:val="5DBB3FB7"/>
    <w:rsid w:val="5DBC60F3"/>
    <w:rsid w:val="5DCB1D21"/>
    <w:rsid w:val="5DCD5A99"/>
    <w:rsid w:val="5DCE0087"/>
    <w:rsid w:val="5DDA5440"/>
    <w:rsid w:val="5DDB01B6"/>
    <w:rsid w:val="5DDD5947"/>
    <w:rsid w:val="5DDF393D"/>
    <w:rsid w:val="5DDF6E4E"/>
    <w:rsid w:val="5DFA49E0"/>
    <w:rsid w:val="5E1D0F80"/>
    <w:rsid w:val="5E1F3B6D"/>
    <w:rsid w:val="5E224037"/>
    <w:rsid w:val="5E352C38"/>
    <w:rsid w:val="5E3E40FF"/>
    <w:rsid w:val="5E40706E"/>
    <w:rsid w:val="5E4C1080"/>
    <w:rsid w:val="5E4E1C8A"/>
    <w:rsid w:val="5E4F4071"/>
    <w:rsid w:val="5E5D7A78"/>
    <w:rsid w:val="5E6006BB"/>
    <w:rsid w:val="5E7833A1"/>
    <w:rsid w:val="5E8274BA"/>
    <w:rsid w:val="5E8343A9"/>
    <w:rsid w:val="5E8530EF"/>
    <w:rsid w:val="5EA06D09"/>
    <w:rsid w:val="5EA53C9A"/>
    <w:rsid w:val="5EB822A5"/>
    <w:rsid w:val="5EBC7F37"/>
    <w:rsid w:val="5ECC3FA2"/>
    <w:rsid w:val="5ECE7D1A"/>
    <w:rsid w:val="5ED36C86"/>
    <w:rsid w:val="5EDA60B0"/>
    <w:rsid w:val="5EE35A57"/>
    <w:rsid w:val="5EF63C06"/>
    <w:rsid w:val="5F1645A7"/>
    <w:rsid w:val="5F3062DF"/>
    <w:rsid w:val="5F49114F"/>
    <w:rsid w:val="5F6A335E"/>
    <w:rsid w:val="5F6A54DD"/>
    <w:rsid w:val="5F815969"/>
    <w:rsid w:val="5F8B4FA7"/>
    <w:rsid w:val="5F9B72D1"/>
    <w:rsid w:val="5FAB0A44"/>
    <w:rsid w:val="5FB17C29"/>
    <w:rsid w:val="5FB34738"/>
    <w:rsid w:val="5FB95E1C"/>
    <w:rsid w:val="5FC353A5"/>
    <w:rsid w:val="5FC85F82"/>
    <w:rsid w:val="5FCB3FE5"/>
    <w:rsid w:val="5FDC5EDE"/>
    <w:rsid w:val="5FEB2206"/>
    <w:rsid w:val="5FED772C"/>
    <w:rsid w:val="5FF97EAE"/>
    <w:rsid w:val="5FFA117E"/>
    <w:rsid w:val="60155C27"/>
    <w:rsid w:val="60162D11"/>
    <w:rsid w:val="601A6070"/>
    <w:rsid w:val="60226F8B"/>
    <w:rsid w:val="603B4F3C"/>
    <w:rsid w:val="60477ABF"/>
    <w:rsid w:val="604B06AE"/>
    <w:rsid w:val="60526566"/>
    <w:rsid w:val="605B738C"/>
    <w:rsid w:val="607F756F"/>
    <w:rsid w:val="60917251"/>
    <w:rsid w:val="60982996"/>
    <w:rsid w:val="60A96E90"/>
    <w:rsid w:val="60C53D01"/>
    <w:rsid w:val="60C9018D"/>
    <w:rsid w:val="60D26F19"/>
    <w:rsid w:val="60DA12FD"/>
    <w:rsid w:val="61012C93"/>
    <w:rsid w:val="61053FC5"/>
    <w:rsid w:val="610C088E"/>
    <w:rsid w:val="610C1F3F"/>
    <w:rsid w:val="613B1DA1"/>
    <w:rsid w:val="614610F4"/>
    <w:rsid w:val="614A03E6"/>
    <w:rsid w:val="61531A50"/>
    <w:rsid w:val="61532201"/>
    <w:rsid w:val="61651210"/>
    <w:rsid w:val="61666018"/>
    <w:rsid w:val="616B46BB"/>
    <w:rsid w:val="616E1CFF"/>
    <w:rsid w:val="616E5EB6"/>
    <w:rsid w:val="617526CF"/>
    <w:rsid w:val="618560EB"/>
    <w:rsid w:val="618E3791"/>
    <w:rsid w:val="619743F4"/>
    <w:rsid w:val="619B5D77"/>
    <w:rsid w:val="61B10243"/>
    <w:rsid w:val="61BB2DD9"/>
    <w:rsid w:val="61C00B2F"/>
    <w:rsid w:val="61C3411F"/>
    <w:rsid w:val="61DD1B9A"/>
    <w:rsid w:val="61E136F6"/>
    <w:rsid w:val="61F4426B"/>
    <w:rsid w:val="61F83805"/>
    <w:rsid w:val="62022776"/>
    <w:rsid w:val="6205764C"/>
    <w:rsid w:val="62065A1D"/>
    <w:rsid w:val="6214325B"/>
    <w:rsid w:val="621F13DC"/>
    <w:rsid w:val="62256C85"/>
    <w:rsid w:val="623600B0"/>
    <w:rsid w:val="62562501"/>
    <w:rsid w:val="6256299E"/>
    <w:rsid w:val="62574D95"/>
    <w:rsid w:val="62583769"/>
    <w:rsid w:val="62586747"/>
    <w:rsid w:val="626C60B7"/>
    <w:rsid w:val="62746498"/>
    <w:rsid w:val="627A6223"/>
    <w:rsid w:val="62922E0D"/>
    <w:rsid w:val="62982A5C"/>
    <w:rsid w:val="62A058A0"/>
    <w:rsid w:val="62CB6D60"/>
    <w:rsid w:val="62E358B2"/>
    <w:rsid w:val="62EA49F7"/>
    <w:rsid w:val="62F154C5"/>
    <w:rsid w:val="62FD0A5D"/>
    <w:rsid w:val="63162338"/>
    <w:rsid w:val="632036E4"/>
    <w:rsid w:val="63232EB3"/>
    <w:rsid w:val="63267478"/>
    <w:rsid w:val="633D315E"/>
    <w:rsid w:val="63504ABF"/>
    <w:rsid w:val="63517786"/>
    <w:rsid w:val="636447A9"/>
    <w:rsid w:val="637052D7"/>
    <w:rsid w:val="638438AF"/>
    <w:rsid w:val="6388739F"/>
    <w:rsid w:val="6389099E"/>
    <w:rsid w:val="63954DAA"/>
    <w:rsid w:val="63C74AA3"/>
    <w:rsid w:val="63D87748"/>
    <w:rsid w:val="63DE2EEF"/>
    <w:rsid w:val="63E8362C"/>
    <w:rsid w:val="63F16145"/>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D5D6D"/>
    <w:rsid w:val="64A9391A"/>
    <w:rsid w:val="64AF7CA6"/>
    <w:rsid w:val="64CD637E"/>
    <w:rsid w:val="64D77B16"/>
    <w:rsid w:val="64F55A2C"/>
    <w:rsid w:val="64F953C5"/>
    <w:rsid w:val="651B533C"/>
    <w:rsid w:val="651E27DC"/>
    <w:rsid w:val="65206DF6"/>
    <w:rsid w:val="65291D8F"/>
    <w:rsid w:val="65570D94"/>
    <w:rsid w:val="655774EE"/>
    <w:rsid w:val="656C64A8"/>
    <w:rsid w:val="65795592"/>
    <w:rsid w:val="65A10F4D"/>
    <w:rsid w:val="65A93335"/>
    <w:rsid w:val="65B51681"/>
    <w:rsid w:val="65B765E2"/>
    <w:rsid w:val="65BC5BDE"/>
    <w:rsid w:val="65CB4FB4"/>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820F47"/>
    <w:rsid w:val="668A782A"/>
    <w:rsid w:val="66AF1795"/>
    <w:rsid w:val="66B07CC1"/>
    <w:rsid w:val="66B14B24"/>
    <w:rsid w:val="66B27D18"/>
    <w:rsid w:val="66BA3EC8"/>
    <w:rsid w:val="66D1442C"/>
    <w:rsid w:val="66D47E7F"/>
    <w:rsid w:val="66D64E5B"/>
    <w:rsid w:val="66DD089D"/>
    <w:rsid w:val="66DD4F9F"/>
    <w:rsid w:val="66DE592A"/>
    <w:rsid w:val="66F0016C"/>
    <w:rsid w:val="66FA0812"/>
    <w:rsid w:val="66FB2BD0"/>
    <w:rsid w:val="66FC2971"/>
    <w:rsid w:val="670008EB"/>
    <w:rsid w:val="67103ED9"/>
    <w:rsid w:val="67262B05"/>
    <w:rsid w:val="672C7CD4"/>
    <w:rsid w:val="674E513F"/>
    <w:rsid w:val="674E6BDA"/>
    <w:rsid w:val="67610E75"/>
    <w:rsid w:val="676F0F89"/>
    <w:rsid w:val="677178CC"/>
    <w:rsid w:val="677977BA"/>
    <w:rsid w:val="67797A29"/>
    <w:rsid w:val="678952B2"/>
    <w:rsid w:val="679D31F9"/>
    <w:rsid w:val="679D3BF4"/>
    <w:rsid w:val="679D472E"/>
    <w:rsid w:val="67A41618"/>
    <w:rsid w:val="67AE4749"/>
    <w:rsid w:val="67C43A69"/>
    <w:rsid w:val="67C56A11"/>
    <w:rsid w:val="67DC3A63"/>
    <w:rsid w:val="67E071EA"/>
    <w:rsid w:val="67E33E17"/>
    <w:rsid w:val="67FC4971"/>
    <w:rsid w:val="680C2DD0"/>
    <w:rsid w:val="68152516"/>
    <w:rsid w:val="68221BAF"/>
    <w:rsid w:val="682D62D9"/>
    <w:rsid w:val="684C3086"/>
    <w:rsid w:val="685143BC"/>
    <w:rsid w:val="68542A0A"/>
    <w:rsid w:val="68555296"/>
    <w:rsid w:val="685A68BE"/>
    <w:rsid w:val="686C1E80"/>
    <w:rsid w:val="687E455F"/>
    <w:rsid w:val="68816836"/>
    <w:rsid w:val="689079C3"/>
    <w:rsid w:val="689A2A1B"/>
    <w:rsid w:val="68B95597"/>
    <w:rsid w:val="68C379E0"/>
    <w:rsid w:val="68D46A71"/>
    <w:rsid w:val="68D56910"/>
    <w:rsid w:val="68EF70C5"/>
    <w:rsid w:val="68F22D9F"/>
    <w:rsid w:val="69162C86"/>
    <w:rsid w:val="69180AD7"/>
    <w:rsid w:val="69214083"/>
    <w:rsid w:val="693E3CEF"/>
    <w:rsid w:val="69456B9A"/>
    <w:rsid w:val="69481344"/>
    <w:rsid w:val="695124AF"/>
    <w:rsid w:val="695700E3"/>
    <w:rsid w:val="6980516E"/>
    <w:rsid w:val="698B51FD"/>
    <w:rsid w:val="699024A8"/>
    <w:rsid w:val="69960468"/>
    <w:rsid w:val="69A109AD"/>
    <w:rsid w:val="69B875FD"/>
    <w:rsid w:val="69BA15C7"/>
    <w:rsid w:val="69D5796F"/>
    <w:rsid w:val="69E00AE8"/>
    <w:rsid w:val="69E2467A"/>
    <w:rsid w:val="69F101EA"/>
    <w:rsid w:val="69F448E4"/>
    <w:rsid w:val="6A0606AA"/>
    <w:rsid w:val="6A090874"/>
    <w:rsid w:val="6A0F6D29"/>
    <w:rsid w:val="6A1231B1"/>
    <w:rsid w:val="6A1B780C"/>
    <w:rsid w:val="6A206086"/>
    <w:rsid w:val="6A2F7112"/>
    <w:rsid w:val="6A3F0B90"/>
    <w:rsid w:val="6A3F71AB"/>
    <w:rsid w:val="6A407F9F"/>
    <w:rsid w:val="6A425119"/>
    <w:rsid w:val="6A4620BF"/>
    <w:rsid w:val="6A4D5F32"/>
    <w:rsid w:val="6A4F12CD"/>
    <w:rsid w:val="6A5D65D9"/>
    <w:rsid w:val="6A653139"/>
    <w:rsid w:val="6A6908F7"/>
    <w:rsid w:val="6A722F0B"/>
    <w:rsid w:val="6A7A4D5B"/>
    <w:rsid w:val="6A7E7518"/>
    <w:rsid w:val="6A825953"/>
    <w:rsid w:val="6A881C38"/>
    <w:rsid w:val="6A8A11E6"/>
    <w:rsid w:val="6A8B2F63"/>
    <w:rsid w:val="6A955B90"/>
    <w:rsid w:val="6A9C6F1F"/>
    <w:rsid w:val="6AC034F3"/>
    <w:rsid w:val="6AC96987"/>
    <w:rsid w:val="6AD24017"/>
    <w:rsid w:val="6AD42C61"/>
    <w:rsid w:val="6AE14092"/>
    <w:rsid w:val="6AEA323D"/>
    <w:rsid w:val="6AF07997"/>
    <w:rsid w:val="6AF5032D"/>
    <w:rsid w:val="6AF705F9"/>
    <w:rsid w:val="6AF76306"/>
    <w:rsid w:val="6AFB2812"/>
    <w:rsid w:val="6AFF182D"/>
    <w:rsid w:val="6B032C8C"/>
    <w:rsid w:val="6B0F64B4"/>
    <w:rsid w:val="6B243303"/>
    <w:rsid w:val="6B351D0A"/>
    <w:rsid w:val="6B3569BE"/>
    <w:rsid w:val="6B3A1CE8"/>
    <w:rsid w:val="6B3E4E41"/>
    <w:rsid w:val="6B4D49EF"/>
    <w:rsid w:val="6B556078"/>
    <w:rsid w:val="6B565CD0"/>
    <w:rsid w:val="6B68013D"/>
    <w:rsid w:val="6B7022D0"/>
    <w:rsid w:val="6B7B5422"/>
    <w:rsid w:val="6B852192"/>
    <w:rsid w:val="6B925A32"/>
    <w:rsid w:val="6B9C4F5E"/>
    <w:rsid w:val="6B9D2F4E"/>
    <w:rsid w:val="6BA92B5A"/>
    <w:rsid w:val="6BB42760"/>
    <w:rsid w:val="6BD37065"/>
    <w:rsid w:val="6BDB3A77"/>
    <w:rsid w:val="6BDC75E6"/>
    <w:rsid w:val="6BE13B5E"/>
    <w:rsid w:val="6BE31674"/>
    <w:rsid w:val="6BE95EA9"/>
    <w:rsid w:val="6BEA6094"/>
    <w:rsid w:val="6C114575"/>
    <w:rsid w:val="6C1D408F"/>
    <w:rsid w:val="6C2A7712"/>
    <w:rsid w:val="6C3E2214"/>
    <w:rsid w:val="6C427652"/>
    <w:rsid w:val="6C4952B3"/>
    <w:rsid w:val="6C4D48CD"/>
    <w:rsid w:val="6C5F6456"/>
    <w:rsid w:val="6C643A6C"/>
    <w:rsid w:val="6C661592"/>
    <w:rsid w:val="6C8202CD"/>
    <w:rsid w:val="6C8639E2"/>
    <w:rsid w:val="6C961621"/>
    <w:rsid w:val="6C9D5038"/>
    <w:rsid w:val="6CBB7DE1"/>
    <w:rsid w:val="6CC445CB"/>
    <w:rsid w:val="6CD042ED"/>
    <w:rsid w:val="6CDA2357"/>
    <w:rsid w:val="6CE8212C"/>
    <w:rsid w:val="6CED6224"/>
    <w:rsid w:val="6CF01775"/>
    <w:rsid w:val="6CFB62C0"/>
    <w:rsid w:val="6CFD7CAA"/>
    <w:rsid w:val="6D026DE8"/>
    <w:rsid w:val="6D0316B2"/>
    <w:rsid w:val="6D087337"/>
    <w:rsid w:val="6D0E1321"/>
    <w:rsid w:val="6D104BE0"/>
    <w:rsid w:val="6D132371"/>
    <w:rsid w:val="6D1338DD"/>
    <w:rsid w:val="6D153789"/>
    <w:rsid w:val="6D206DC5"/>
    <w:rsid w:val="6D3B4D97"/>
    <w:rsid w:val="6D487B73"/>
    <w:rsid w:val="6D4A2408"/>
    <w:rsid w:val="6D4B1E5A"/>
    <w:rsid w:val="6D54588F"/>
    <w:rsid w:val="6D5E70E9"/>
    <w:rsid w:val="6D6729D8"/>
    <w:rsid w:val="6D6E09F2"/>
    <w:rsid w:val="6D852386"/>
    <w:rsid w:val="6DBD67AE"/>
    <w:rsid w:val="6DCF3167"/>
    <w:rsid w:val="6DD54C21"/>
    <w:rsid w:val="6DD8026E"/>
    <w:rsid w:val="6DF453C2"/>
    <w:rsid w:val="6DFC1EB9"/>
    <w:rsid w:val="6E0C170B"/>
    <w:rsid w:val="6E166FE8"/>
    <w:rsid w:val="6E25722B"/>
    <w:rsid w:val="6E3363CE"/>
    <w:rsid w:val="6E3C316F"/>
    <w:rsid w:val="6E453429"/>
    <w:rsid w:val="6E456275"/>
    <w:rsid w:val="6E4E36BD"/>
    <w:rsid w:val="6E5161B1"/>
    <w:rsid w:val="6E6127F4"/>
    <w:rsid w:val="6E631ECC"/>
    <w:rsid w:val="6E64510D"/>
    <w:rsid w:val="6E860D5E"/>
    <w:rsid w:val="6E880670"/>
    <w:rsid w:val="6E9028F6"/>
    <w:rsid w:val="6EA81F5F"/>
    <w:rsid w:val="6EB7522E"/>
    <w:rsid w:val="6EC002E5"/>
    <w:rsid w:val="6EC64ECD"/>
    <w:rsid w:val="6EC71F62"/>
    <w:rsid w:val="6ECD2CED"/>
    <w:rsid w:val="6EE1422E"/>
    <w:rsid w:val="6EE449F0"/>
    <w:rsid w:val="6EF14DB2"/>
    <w:rsid w:val="6EFA06B8"/>
    <w:rsid w:val="6F046E40"/>
    <w:rsid w:val="6F1743AC"/>
    <w:rsid w:val="6F3E2352"/>
    <w:rsid w:val="6F4656AB"/>
    <w:rsid w:val="6F5C1867"/>
    <w:rsid w:val="6F5C3F48"/>
    <w:rsid w:val="6F61462B"/>
    <w:rsid w:val="6F6D6714"/>
    <w:rsid w:val="6F8561D3"/>
    <w:rsid w:val="6F92269E"/>
    <w:rsid w:val="6F926B42"/>
    <w:rsid w:val="6F9C2017"/>
    <w:rsid w:val="6FB37BE5"/>
    <w:rsid w:val="6FC2450B"/>
    <w:rsid w:val="6FC7059A"/>
    <w:rsid w:val="6FCA64CD"/>
    <w:rsid w:val="6FE112C4"/>
    <w:rsid w:val="6FEA201E"/>
    <w:rsid w:val="6FF069FB"/>
    <w:rsid w:val="6FF36A80"/>
    <w:rsid w:val="6FFB0619"/>
    <w:rsid w:val="6FFD7D02"/>
    <w:rsid w:val="6FFE5F86"/>
    <w:rsid w:val="70020E6A"/>
    <w:rsid w:val="700D7F77"/>
    <w:rsid w:val="701A60AC"/>
    <w:rsid w:val="702149D3"/>
    <w:rsid w:val="7021684B"/>
    <w:rsid w:val="70217D0F"/>
    <w:rsid w:val="7045295A"/>
    <w:rsid w:val="7047527A"/>
    <w:rsid w:val="704E0CBB"/>
    <w:rsid w:val="7056241A"/>
    <w:rsid w:val="705F0BE3"/>
    <w:rsid w:val="707B2CB1"/>
    <w:rsid w:val="70924B19"/>
    <w:rsid w:val="70952588"/>
    <w:rsid w:val="709A0B83"/>
    <w:rsid w:val="70A34833"/>
    <w:rsid w:val="70B75478"/>
    <w:rsid w:val="70BA7DE6"/>
    <w:rsid w:val="70BF74C3"/>
    <w:rsid w:val="70D56048"/>
    <w:rsid w:val="70D80585"/>
    <w:rsid w:val="70DA3248"/>
    <w:rsid w:val="70DB6936"/>
    <w:rsid w:val="71027F8C"/>
    <w:rsid w:val="710A0DE2"/>
    <w:rsid w:val="71290DE0"/>
    <w:rsid w:val="712A4901"/>
    <w:rsid w:val="7134264D"/>
    <w:rsid w:val="71391F94"/>
    <w:rsid w:val="7148395C"/>
    <w:rsid w:val="715D7335"/>
    <w:rsid w:val="717159EA"/>
    <w:rsid w:val="71777F8A"/>
    <w:rsid w:val="719340CC"/>
    <w:rsid w:val="71946BA2"/>
    <w:rsid w:val="71A412EF"/>
    <w:rsid w:val="71B106B0"/>
    <w:rsid w:val="71B61A42"/>
    <w:rsid w:val="71BB267E"/>
    <w:rsid w:val="71BE59CD"/>
    <w:rsid w:val="71C32243"/>
    <w:rsid w:val="71D40D4C"/>
    <w:rsid w:val="71D94178"/>
    <w:rsid w:val="71E258E0"/>
    <w:rsid w:val="71E371E1"/>
    <w:rsid w:val="71E450CA"/>
    <w:rsid w:val="71EA7F5E"/>
    <w:rsid w:val="71EE0EE5"/>
    <w:rsid w:val="71F773F9"/>
    <w:rsid w:val="71FB452B"/>
    <w:rsid w:val="72025ED5"/>
    <w:rsid w:val="720A7322"/>
    <w:rsid w:val="72137E38"/>
    <w:rsid w:val="721C41A5"/>
    <w:rsid w:val="721E571E"/>
    <w:rsid w:val="721F7D69"/>
    <w:rsid w:val="7225336C"/>
    <w:rsid w:val="722E3E35"/>
    <w:rsid w:val="724A7260"/>
    <w:rsid w:val="724B68D9"/>
    <w:rsid w:val="72541E8D"/>
    <w:rsid w:val="725E62FA"/>
    <w:rsid w:val="72860473"/>
    <w:rsid w:val="7299364D"/>
    <w:rsid w:val="72BA00C5"/>
    <w:rsid w:val="72C16C93"/>
    <w:rsid w:val="72D66A82"/>
    <w:rsid w:val="72D67597"/>
    <w:rsid w:val="72E43D31"/>
    <w:rsid w:val="72FF6E9B"/>
    <w:rsid w:val="73027148"/>
    <w:rsid w:val="7305147C"/>
    <w:rsid w:val="731A30F8"/>
    <w:rsid w:val="733A7EE8"/>
    <w:rsid w:val="734D11ED"/>
    <w:rsid w:val="735A55D3"/>
    <w:rsid w:val="73621B80"/>
    <w:rsid w:val="73740A39"/>
    <w:rsid w:val="7375174D"/>
    <w:rsid w:val="73795D83"/>
    <w:rsid w:val="737B6EF7"/>
    <w:rsid w:val="73850D73"/>
    <w:rsid w:val="738B56FD"/>
    <w:rsid w:val="738B5D82"/>
    <w:rsid w:val="738D38A8"/>
    <w:rsid w:val="73911760"/>
    <w:rsid w:val="73993FFB"/>
    <w:rsid w:val="739F2E93"/>
    <w:rsid w:val="73A60FE9"/>
    <w:rsid w:val="73B21B10"/>
    <w:rsid w:val="73B8143C"/>
    <w:rsid w:val="73C06788"/>
    <w:rsid w:val="73CD639B"/>
    <w:rsid w:val="73D813D5"/>
    <w:rsid w:val="73DB1F8F"/>
    <w:rsid w:val="73DE1B70"/>
    <w:rsid w:val="73E6120B"/>
    <w:rsid w:val="741378E4"/>
    <w:rsid w:val="74213FF1"/>
    <w:rsid w:val="743138C9"/>
    <w:rsid w:val="74346455"/>
    <w:rsid w:val="74497E8D"/>
    <w:rsid w:val="744F70D5"/>
    <w:rsid w:val="74542618"/>
    <w:rsid w:val="746B1062"/>
    <w:rsid w:val="74836A59"/>
    <w:rsid w:val="74890514"/>
    <w:rsid w:val="74957A1D"/>
    <w:rsid w:val="74976F8C"/>
    <w:rsid w:val="749C28D6"/>
    <w:rsid w:val="74A569D0"/>
    <w:rsid w:val="74AC2DBE"/>
    <w:rsid w:val="74B03CF2"/>
    <w:rsid w:val="74B4279D"/>
    <w:rsid w:val="74C959EF"/>
    <w:rsid w:val="74D13C69"/>
    <w:rsid w:val="74D226D8"/>
    <w:rsid w:val="74D42A08"/>
    <w:rsid w:val="74D951DD"/>
    <w:rsid w:val="74DD7D03"/>
    <w:rsid w:val="74E36253"/>
    <w:rsid w:val="74F273DA"/>
    <w:rsid w:val="74F55BA9"/>
    <w:rsid w:val="74F600B5"/>
    <w:rsid w:val="750C6A4F"/>
    <w:rsid w:val="75102AF5"/>
    <w:rsid w:val="751C1B98"/>
    <w:rsid w:val="751C3CCD"/>
    <w:rsid w:val="752E2E69"/>
    <w:rsid w:val="753F1C14"/>
    <w:rsid w:val="75404D65"/>
    <w:rsid w:val="75410DEE"/>
    <w:rsid w:val="754B45FC"/>
    <w:rsid w:val="754C4FE3"/>
    <w:rsid w:val="755F1AD2"/>
    <w:rsid w:val="75780005"/>
    <w:rsid w:val="75846F2D"/>
    <w:rsid w:val="758E56B6"/>
    <w:rsid w:val="759D26FD"/>
    <w:rsid w:val="75BA7DC9"/>
    <w:rsid w:val="75C158E1"/>
    <w:rsid w:val="75D75BBF"/>
    <w:rsid w:val="75F25C45"/>
    <w:rsid w:val="75F8173D"/>
    <w:rsid w:val="75FE15A4"/>
    <w:rsid w:val="76027B21"/>
    <w:rsid w:val="76087EFE"/>
    <w:rsid w:val="761B163F"/>
    <w:rsid w:val="762164BD"/>
    <w:rsid w:val="762F3987"/>
    <w:rsid w:val="763146BA"/>
    <w:rsid w:val="76373F9F"/>
    <w:rsid w:val="763C17CD"/>
    <w:rsid w:val="7651209F"/>
    <w:rsid w:val="765A396A"/>
    <w:rsid w:val="765B5EE0"/>
    <w:rsid w:val="76625186"/>
    <w:rsid w:val="76694515"/>
    <w:rsid w:val="7671183A"/>
    <w:rsid w:val="7671205E"/>
    <w:rsid w:val="76795A9A"/>
    <w:rsid w:val="76850BE3"/>
    <w:rsid w:val="768E7AAD"/>
    <w:rsid w:val="769D37DC"/>
    <w:rsid w:val="76AD1FDF"/>
    <w:rsid w:val="76AF483A"/>
    <w:rsid w:val="76C37C6F"/>
    <w:rsid w:val="76C61386"/>
    <w:rsid w:val="76CF1D13"/>
    <w:rsid w:val="76D56664"/>
    <w:rsid w:val="76E41A31"/>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814CA"/>
    <w:rsid w:val="777B5097"/>
    <w:rsid w:val="777E55F4"/>
    <w:rsid w:val="777F79AC"/>
    <w:rsid w:val="77820DEB"/>
    <w:rsid w:val="7792671F"/>
    <w:rsid w:val="7797445D"/>
    <w:rsid w:val="77986D62"/>
    <w:rsid w:val="779905B2"/>
    <w:rsid w:val="77A015C8"/>
    <w:rsid w:val="77A92E90"/>
    <w:rsid w:val="77B650A0"/>
    <w:rsid w:val="77CE0481"/>
    <w:rsid w:val="77E43CB3"/>
    <w:rsid w:val="77EC7456"/>
    <w:rsid w:val="77EE7D89"/>
    <w:rsid w:val="77EF0483"/>
    <w:rsid w:val="77F13E57"/>
    <w:rsid w:val="77F54C8C"/>
    <w:rsid w:val="7803238B"/>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43E4F"/>
    <w:rsid w:val="78756296"/>
    <w:rsid w:val="788334CC"/>
    <w:rsid w:val="78933114"/>
    <w:rsid w:val="78B20233"/>
    <w:rsid w:val="78C71F36"/>
    <w:rsid w:val="78D12FAA"/>
    <w:rsid w:val="78D855C6"/>
    <w:rsid w:val="78FC0536"/>
    <w:rsid w:val="78FE7954"/>
    <w:rsid w:val="792C4CC9"/>
    <w:rsid w:val="79315979"/>
    <w:rsid w:val="79424F4F"/>
    <w:rsid w:val="795831E5"/>
    <w:rsid w:val="796E7E54"/>
    <w:rsid w:val="79756315"/>
    <w:rsid w:val="79765CDA"/>
    <w:rsid w:val="797C76D7"/>
    <w:rsid w:val="798B6ADC"/>
    <w:rsid w:val="79971D97"/>
    <w:rsid w:val="79A47621"/>
    <w:rsid w:val="79AA18D2"/>
    <w:rsid w:val="79AB6836"/>
    <w:rsid w:val="79AD6A52"/>
    <w:rsid w:val="79C56A19"/>
    <w:rsid w:val="79D957CA"/>
    <w:rsid w:val="79DA621C"/>
    <w:rsid w:val="79ED729C"/>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EE3815"/>
    <w:rsid w:val="7AEF423F"/>
    <w:rsid w:val="7AF32BF3"/>
    <w:rsid w:val="7AF771AA"/>
    <w:rsid w:val="7B063D79"/>
    <w:rsid w:val="7B095F0A"/>
    <w:rsid w:val="7B116B6D"/>
    <w:rsid w:val="7B190BA4"/>
    <w:rsid w:val="7B334D35"/>
    <w:rsid w:val="7B36137C"/>
    <w:rsid w:val="7B3A2568"/>
    <w:rsid w:val="7B486307"/>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91898"/>
    <w:rsid w:val="7BF72207"/>
    <w:rsid w:val="7C161B08"/>
    <w:rsid w:val="7C3A2FA7"/>
    <w:rsid w:val="7C4132B5"/>
    <w:rsid w:val="7C541407"/>
    <w:rsid w:val="7C5840BF"/>
    <w:rsid w:val="7C605716"/>
    <w:rsid w:val="7C6D071B"/>
    <w:rsid w:val="7C7750F6"/>
    <w:rsid w:val="7C84107F"/>
    <w:rsid w:val="7C8B294F"/>
    <w:rsid w:val="7C9909ED"/>
    <w:rsid w:val="7C9C2291"/>
    <w:rsid w:val="7CA46921"/>
    <w:rsid w:val="7CA56991"/>
    <w:rsid w:val="7CA71E0B"/>
    <w:rsid w:val="7CB85E09"/>
    <w:rsid w:val="7CFE3A42"/>
    <w:rsid w:val="7CFF1519"/>
    <w:rsid w:val="7CFF7755"/>
    <w:rsid w:val="7D013878"/>
    <w:rsid w:val="7D0A61C3"/>
    <w:rsid w:val="7D0F508E"/>
    <w:rsid w:val="7D17450A"/>
    <w:rsid w:val="7D1943FF"/>
    <w:rsid w:val="7D2557AC"/>
    <w:rsid w:val="7D3F099E"/>
    <w:rsid w:val="7D4B01E2"/>
    <w:rsid w:val="7D4F1BCF"/>
    <w:rsid w:val="7D533A52"/>
    <w:rsid w:val="7D5B43D0"/>
    <w:rsid w:val="7D6243C6"/>
    <w:rsid w:val="7D76523E"/>
    <w:rsid w:val="7D78086B"/>
    <w:rsid w:val="7D781E69"/>
    <w:rsid w:val="7D7B5075"/>
    <w:rsid w:val="7D832173"/>
    <w:rsid w:val="7D8A3C14"/>
    <w:rsid w:val="7D8C5B06"/>
    <w:rsid w:val="7D934401"/>
    <w:rsid w:val="7D953960"/>
    <w:rsid w:val="7D961406"/>
    <w:rsid w:val="7DA56991"/>
    <w:rsid w:val="7DA623C2"/>
    <w:rsid w:val="7DA737B9"/>
    <w:rsid w:val="7DB639FC"/>
    <w:rsid w:val="7DC425BD"/>
    <w:rsid w:val="7DFF0E02"/>
    <w:rsid w:val="7E037786"/>
    <w:rsid w:val="7E070C8C"/>
    <w:rsid w:val="7E0800A0"/>
    <w:rsid w:val="7E0C521E"/>
    <w:rsid w:val="7E0E7E19"/>
    <w:rsid w:val="7E1840CC"/>
    <w:rsid w:val="7E1964D0"/>
    <w:rsid w:val="7E2A3B50"/>
    <w:rsid w:val="7E303249"/>
    <w:rsid w:val="7E525E1A"/>
    <w:rsid w:val="7E555123"/>
    <w:rsid w:val="7E557656"/>
    <w:rsid w:val="7E670D79"/>
    <w:rsid w:val="7E7538B7"/>
    <w:rsid w:val="7E841CD2"/>
    <w:rsid w:val="7E844BCE"/>
    <w:rsid w:val="7E8B4E88"/>
    <w:rsid w:val="7E8D660B"/>
    <w:rsid w:val="7E920963"/>
    <w:rsid w:val="7E9433D2"/>
    <w:rsid w:val="7E992085"/>
    <w:rsid w:val="7EAE0732"/>
    <w:rsid w:val="7EB47F46"/>
    <w:rsid w:val="7EB94600"/>
    <w:rsid w:val="7ECE52DF"/>
    <w:rsid w:val="7ECF7C45"/>
    <w:rsid w:val="7ED82860"/>
    <w:rsid w:val="7EF45DB1"/>
    <w:rsid w:val="7EFD2358"/>
    <w:rsid w:val="7EFF5324"/>
    <w:rsid w:val="7F03165A"/>
    <w:rsid w:val="7F077A20"/>
    <w:rsid w:val="7F077BC2"/>
    <w:rsid w:val="7F09267A"/>
    <w:rsid w:val="7F1A681E"/>
    <w:rsid w:val="7F2B23E6"/>
    <w:rsid w:val="7F2B4123"/>
    <w:rsid w:val="7F3426C9"/>
    <w:rsid w:val="7F3E0944"/>
    <w:rsid w:val="7F3E5DC7"/>
    <w:rsid w:val="7F437894"/>
    <w:rsid w:val="7F5C2ED4"/>
    <w:rsid w:val="7F5E061E"/>
    <w:rsid w:val="7F643B5C"/>
    <w:rsid w:val="7F7F2B17"/>
    <w:rsid w:val="7F8A3D01"/>
    <w:rsid w:val="7F8B6823"/>
    <w:rsid w:val="7F9B25D3"/>
    <w:rsid w:val="7F9C4EBD"/>
    <w:rsid w:val="7FAD310E"/>
    <w:rsid w:val="7FCD6742"/>
    <w:rsid w:val="7FD83999"/>
    <w:rsid w:val="7FE44850"/>
    <w:rsid w:val="7FE546A7"/>
    <w:rsid w:val="7FE5681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6"/>
    <w:autoRedefine/>
    <w:qFormat/>
    <w:uiPriority w:val="0"/>
    <w:pPr>
      <w:keepNext/>
      <w:keepLines/>
      <w:spacing w:line="440" w:lineRule="exact"/>
      <w:jc w:val="center"/>
      <w:outlineLvl w:val="0"/>
    </w:pPr>
    <w:rPr>
      <w:b/>
      <w:bCs/>
      <w:kern w:val="44"/>
      <w:sz w:val="44"/>
      <w:szCs w:val="44"/>
    </w:rPr>
  </w:style>
  <w:style w:type="paragraph" w:styleId="4">
    <w:name w:val="heading 2"/>
    <w:basedOn w:val="1"/>
    <w:next w:val="1"/>
    <w:link w:val="198"/>
    <w:autoRedefine/>
    <w:qFormat/>
    <w:uiPriority w:val="0"/>
    <w:pPr>
      <w:keepNext/>
      <w:keepLines/>
      <w:spacing w:line="440" w:lineRule="exact"/>
      <w:jc w:val="left"/>
      <w:outlineLvl w:val="1"/>
    </w:pPr>
    <w:rPr>
      <w:rFonts w:ascii="Arial" w:hAnsi="Arial" w:eastAsia="黑体"/>
      <w:b/>
      <w:bCs/>
      <w:szCs w:val="32"/>
    </w:rPr>
  </w:style>
  <w:style w:type="paragraph" w:styleId="2">
    <w:name w:val="heading 3"/>
    <w:basedOn w:val="1"/>
    <w:next w:val="1"/>
    <w:link w:val="154"/>
    <w:autoRedefine/>
    <w:qFormat/>
    <w:uiPriority w:val="0"/>
    <w:pPr>
      <w:keepNext/>
      <w:keepLines/>
      <w:spacing w:line="415" w:lineRule="auto"/>
      <w:outlineLvl w:val="2"/>
    </w:pPr>
    <w:rPr>
      <w:b/>
      <w:bCs/>
      <w:kern w:val="0"/>
      <w:sz w:val="32"/>
      <w:szCs w:val="32"/>
    </w:rPr>
  </w:style>
  <w:style w:type="paragraph" w:styleId="5">
    <w:name w:val="heading 4"/>
    <w:basedOn w:val="1"/>
    <w:next w:val="1"/>
    <w:autoRedefine/>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31"/>
    <w:autoRedefine/>
    <w:qFormat/>
    <w:uiPriority w:val="0"/>
    <w:pPr>
      <w:keepNext/>
      <w:keepLines/>
      <w:spacing w:line="376" w:lineRule="auto"/>
      <w:outlineLvl w:val="4"/>
    </w:pPr>
    <w:rPr>
      <w:b/>
      <w:bCs/>
      <w:sz w:val="28"/>
      <w:szCs w:val="28"/>
    </w:rPr>
  </w:style>
  <w:style w:type="paragraph" w:styleId="7">
    <w:name w:val="heading 6"/>
    <w:basedOn w:val="1"/>
    <w:next w:val="1"/>
    <w:autoRedefine/>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autoRedefine/>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autoRedefine/>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autoRedefine/>
    <w:semiHidden/>
    <w:unhideWhenUsed/>
    <w:qFormat/>
    <w:uiPriority w:val="1"/>
  </w:style>
  <w:style w:type="table" w:default="1" w:styleId="4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autoRedefine/>
    <w:qFormat/>
    <w:uiPriority w:val="39"/>
    <w:pPr>
      <w:ind w:left="1260"/>
      <w:jc w:val="left"/>
    </w:pPr>
    <w:rPr>
      <w:sz w:val="18"/>
      <w:szCs w:val="18"/>
    </w:rPr>
  </w:style>
  <w:style w:type="paragraph" w:styleId="12">
    <w:name w:val="table of authorities"/>
    <w:basedOn w:val="1"/>
    <w:next w:val="1"/>
    <w:autoRedefine/>
    <w:unhideWhenUsed/>
    <w:qFormat/>
    <w:uiPriority w:val="0"/>
    <w:pPr>
      <w:ind w:left="420" w:leftChars="200"/>
    </w:pPr>
  </w:style>
  <w:style w:type="paragraph" w:styleId="13">
    <w:name w:val="Normal Indent"/>
    <w:basedOn w:val="1"/>
    <w:next w:val="14"/>
    <w:autoRedefine/>
    <w:qFormat/>
    <w:uiPriority w:val="0"/>
    <w:pPr>
      <w:ind w:firstLine="420" w:firstLineChars="200"/>
    </w:pPr>
  </w:style>
  <w:style w:type="paragraph" w:styleId="14">
    <w:name w:val="Body Text First Indent 2"/>
    <w:basedOn w:val="15"/>
    <w:next w:val="1"/>
    <w:autoRedefine/>
    <w:qFormat/>
    <w:uiPriority w:val="0"/>
    <w:pPr>
      <w:spacing w:line="360" w:lineRule="auto"/>
      <w:ind w:firstLine="200" w:firstLineChars="200"/>
    </w:pPr>
    <w:rPr>
      <w:rFonts w:ascii="宋体"/>
      <w:szCs w:val="20"/>
    </w:rPr>
  </w:style>
  <w:style w:type="paragraph" w:styleId="15">
    <w:name w:val="Body Text Indent"/>
    <w:basedOn w:val="1"/>
    <w:next w:val="16"/>
    <w:autoRedefine/>
    <w:qFormat/>
    <w:uiPriority w:val="0"/>
    <w:pPr>
      <w:ind w:left="420" w:leftChars="200"/>
    </w:pPr>
  </w:style>
  <w:style w:type="paragraph" w:styleId="16">
    <w:name w:val="envelope return"/>
    <w:basedOn w:val="1"/>
    <w:next w:val="11"/>
    <w:autoRedefine/>
    <w:qFormat/>
    <w:uiPriority w:val="0"/>
    <w:pPr>
      <w:snapToGrid w:val="0"/>
    </w:pPr>
    <w:rPr>
      <w:rFonts w:ascii="Arial" w:hAnsi="Arial"/>
    </w:rPr>
  </w:style>
  <w:style w:type="paragraph" w:styleId="17">
    <w:name w:val="Document Map"/>
    <w:basedOn w:val="1"/>
    <w:autoRedefine/>
    <w:qFormat/>
    <w:uiPriority w:val="0"/>
    <w:pPr>
      <w:shd w:val="clear" w:color="auto" w:fill="000080"/>
    </w:pPr>
  </w:style>
  <w:style w:type="paragraph" w:styleId="18">
    <w:name w:val="annotation text"/>
    <w:basedOn w:val="1"/>
    <w:link w:val="115"/>
    <w:autoRedefine/>
    <w:qFormat/>
    <w:uiPriority w:val="0"/>
    <w:pPr>
      <w:jc w:val="left"/>
    </w:pPr>
  </w:style>
  <w:style w:type="paragraph" w:styleId="19">
    <w:name w:val="Body Text 3"/>
    <w:basedOn w:val="1"/>
    <w:autoRedefine/>
    <w:qFormat/>
    <w:uiPriority w:val="0"/>
    <w:rPr>
      <w:rFonts w:ascii="宋体"/>
      <w:sz w:val="24"/>
      <w:szCs w:val="20"/>
    </w:rPr>
  </w:style>
  <w:style w:type="paragraph" w:styleId="20">
    <w:name w:val="Body Text"/>
    <w:basedOn w:val="1"/>
    <w:link w:val="143"/>
    <w:autoRedefine/>
    <w:qFormat/>
    <w:uiPriority w:val="0"/>
  </w:style>
  <w:style w:type="paragraph" w:styleId="21">
    <w:name w:val="Block Text"/>
    <w:basedOn w:val="1"/>
    <w:next w:val="22"/>
    <w:autoRedefine/>
    <w:qFormat/>
    <w:uiPriority w:val="0"/>
    <w:pPr>
      <w:spacing w:line="400" w:lineRule="exact"/>
      <w:ind w:left="-359" w:leftChars="-171" w:right="31" w:rightChars="15" w:firstLine="980" w:firstLineChars="350"/>
    </w:pPr>
    <w:rPr>
      <w:rFonts w:ascii="宋体" w:hAnsi="宋体"/>
      <w:sz w:val="28"/>
      <w:szCs w:val="32"/>
    </w:rPr>
  </w:style>
  <w:style w:type="paragraph" w:styleId="22">
    <w:name w:val="Body Text Indent 3"/>
    <w:basedOn w:val="1"/>
    <w:next w:val="1"/>
    <w:autoRedefine/>
    <w:qFormat/>
    <w:uiPriority w:val="0"/>
    <w:pPr>
      <w:ind w:left="420" w:leftChars="200"/>
    </w:pPr>
    <w:rPr>
      <w:sz w:val="16"/>
      <w:szCs w:val="16"/>
    </w:rPr>
  </w:style>
  <w:style w:type="paragraph" w:styleId="23">
    <w:name w:val="toc 5"/>
    <w:basedOn w:val="1"/>
    <w:next w:val="1"/>
    <w:autoRedefine/>
    <w:qFormat/>
    <w:uiPriority w:val="39"/>
    <w:pPr>
      <w:ind w:left="840"/>
      <w:jc w:val="left"/>
    </w:pPr>
    <w:rPr>
      <w:sz w:val="18"/>
      <w:szCs w:val="18"/>
    </w:rPr>
  </w:style>
  <w:style w:type="paragraph" w:styleId="24">
    <w:name w:val="toc 3"/>
    <w:basedOn w:val="1"/>
    <w:next w:val="1"/>
    <w:autoRedefine/>
    <w:qFormat/>
    <w:uiPriority w:val="39"/>
    <w:pPr>
      <w:ind w:left="420"/>
      <w:jc w:val="left"/>
    </w:pPr>
    <w:rPr>
      <w:i/>
      <w:iCs/>
      <w:sz w:val="20"/>
      <w:szCs w:val="20"/>
    </w:rPr>
  </w:style>
  <w:style w:type="paragraph" w:styleId="25">
    <w:name w:val="Plain Text"/>
    <w:basedOn w:val="1"/>
    <w:next w:val="1"/>
    <w:link w:val="138"/>
    <w:autoRedefine/>
    <w:qFormat/>
    <w:uiPriority w:val="0"/>
    <w:rPr>
      <w:rFonts w:ascii="Courier New" w:hAnsi="Courier New"/>
      <w:szCs w:val="20"/>
    </w:rPr>
  </w:style>
  <w:style w:type="paragraph" w:styleId="26">
    <w:name w:val="toc 8"/>
    <w:basedOn w:val="1"/>
    <w:next w:val="1"/>
    <w:autoRedefine/>
    <w:qFormat/>
    <w:uiPriority w:val="39"/>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line="360" w:lineRule="exact"/>
      <w:ind w:firstLine="600" w:firstLineChars="250"/>
      <w:jc w:val="left"/>
    </w:pPr>
    <w:rPr>
      <w:sz w:val="24"/>
    </w:rPr>
  </w:style>
  <w:style w:type="paragraph" w:styleId="29">
    <w:name w:val="Balloon Text"/>
    <w:basedOn w:val="1"/>
    <w:autoRedefine/>
    <w:qFormat/>
    <w:uiPriority w:val="0"/>
    <w:rPr>
      <w:sz w:val="18"/>
      <w:szCs w:val="18"/>
    </w:rPr>
  </w:style>
  <w:style w:type="paragraph" w:styleId="30">
    <w:name w:val="footer"/>
    <w:basedOn w:val="1"/>
    <w:next w:val="1"/>
    <w:autoRedefine/>
    <w:qFormat/>
    <w:uiPriority w:val="0"/>
    <w:pPr>
      <w:tabs>
        <w:tab w:val="center" w:pos="4153"/>
        <w:tab w:val="right" w:pos="8306"/>
      </w:tabs>
      <w:snapToGrid w:val="0"/>
      <w:jc w:val="left"/>
    </w:pPr>
    <w:rPr>
      <w:sz w:val="18"/>
      <w:szCs w:val="18"/>
    </w:rPr>
  </w:style>
  <w:style w:type="paragraph" w:styleId="3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jc w:val="left"/>
    </w:pPr>
    <w:rPr>
      <w:b/>
      <w:bCs/>
      <w:caps/>
      <w:sz w:val="20"/>
      <w:szCs w:val="20"/>
    </w:rPr>
  </w:style>
  <w:style w:type="paragraph" w:styleId="33">
    <w:name w:val="toc 4"/>
    <w:basedOn w:val="1"/>
    <w:next w:val="1"/>
    <w:autoRedefine/>
    <w:qFormat/>
    <w:uiPriority w:val="39"/>
    <w:pPr>
      <w:ind w:left="630"/>
      <w:jc w:val="left"/>
    </w:pPr>
    <w:rPr>
      <w:sz w:val="18"/>
      <w:szCs w:val="18"/>
    </w:rPr>
  </w:style>
  <w:style w:type="paragraph" w:styleId="34">
    <w:name w:val="List"/>
    <w:basedOn w:val="1"/>
    <w:autoRedefine/>
    <w:qFormat/>
    <w:uiPriority w:val="0"/>
    <w:pPr>
      <w:ind w:left="420" w:hanging="420"/>
    </w:pPr>
  </w:style>
  <w:style w:type="paragraph" w:styleId="35">
    <w:name w:val="footnote text"/>
    <w:basedOn w:val="1"/>
    <w:autoRedefine/>
    <w:qFormat/>
    <w:uiPriority w:val="0"/>
    <w:rPr>
      <w:sz w:val="20"/>
      <w:szCs w:val="20"/>
    </w:rPr>
  </w:style>
  <w:style w:type="paragraph" w:styleId="36">
    <w:name w:val="toc 6"/>
    <w:basedOn w:val="1"/>
    <w:next w:val="1"/>
    <w:autoRedefine/>
    <w:qFormat/>
    <w:uiPriority w:val="39"/>
    <w:pPr>
      <w:ind w:left="1050"/>
      <w:jc w:val="left"/>
    </w:pPr>
    <w:rPr>
      <w:sz w:val="18"/>
      <w:szCs w:val="18"/>
    </w:rPr>
  </w:style>
  <w:style w:type="paragraph" w:styleId="37">
    <w:name w:val="table of figures"/>
    <w:basedOn w:val="1"/>
    <w:next w:val="1"/>
    <w:autoRedefine/>
    <w:qFormat/>
    <w:uiPriority w:val="0"/>
    <w:pPr>
      <w:ind w:left="200" w:leftChars="200" w:hanging="200" w:hangingChars="200"/>
    </w:pPr>
  </w:style>
  <w:style w:type="paragraph" w:styleId="38">
    <w:name w:val="toc 2"/>
    <w:basedOn w:val="1"/>
    <w:next w:val="1"/>
    <w:autoRedefine/>
    <w:qFormat/>
    <w:uiPriority w:val="39"/>
    <w:pPr>
      <w:ind w:left="210"/>
      <w:jc w:val="left"/>
    </w:pPr>
    <w:rPr>
      <w:smallCaps/>
      <w:sz w:val="20"/>
      <w:szCs w:val="20"/>
    </w:rPr>
  </w:style>
  <w:style w:type="paragraph" w:styleId="39">
    <w:name w:val="toc 9"/>
    <w:basedOn w:val="1"/>
    <w:next w:val="1"/>
    <w:autoRedefine/>
    <w:qFormat/>
    <w:uiPriority w:val="39"/>
    <w:pPr>
      <w:ind w:left="1680"/>
      <w:jc w:val="left"/>
    </w:pPr>
    <w:rPr>
      <w:sz w:val="18"/>
      <w:szCs w:val="18"/>
    </w:rPr>
  </w:style>
  <w:style w:type="paragraph" w:styleId="40">
    <w:name w:val="Body Text 2"/>
    <w:basedOn w:val="1"/>
    <w:autoRedefine/>
    <w:qFormat/>
    <w:uiPriority w:val="0"/>
    <w:pPr>
      <w:spacing w:line="440" w:lineRule="exact"/>
    </w:pPr>
    <w:rPr>
      <w:sz w:val="28"/>
    </w:rPr>
  </w:style>
  <w:style w:type="paragraph" w:styleId="41">
    <w:name w:val="HTML Preformatted"/>
    <w:basedOn w:val="1"/>
    <w:link w:val="11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next w:val="43"/>
    <w:autoRedefine/>
    <w:qFormat/>
    <w:uiPriority w:val="99"/>
    <w:pPr>
      <w:widowControl/>
      <w:spacing w:beforeAutospacing="1" w:afterAutospacing="1"/>
      <w:jc w:val="left"/>
    </w:pPr>
    <w:rPr>
      <w:rFonts w:ascii="宋体" w:hAnsi="宋体" w:cs="宋体"/>
      <w:kern w:val="0"/>
      <w:sz w:val="24"/>
    </w:rPr>
  </w:style>
  <w:style w:type="paragraph" w:customStyle="1" w:styleId="43">
    <w:name w:val="正文文字 8"/>
    <w:basedOn w:val="1"/>
    <w:next w:val="1"/>
    <w:autoRedefine/>
    <w:qFormat/>
    <w:uiPriority w:val="0"/>
    <w:pPr>
      <w:ind w:left="240"/>
    </w:pPr>
    <w:rPr>
      <w:sz w:val="16"/>
    </w:rPr>
  </w:style>
  <w:style w:type="paragraph" w:styleId="44">
    <w:name w:val="Title"/>
    <w:basedOn w:val="1"/>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5">
    <w:name w:val="annotation subject"/>
    <w:basedOn w:val="18"/>
    <w:next w:val="18"/>
    <w:autoRedefine/>
    <w:qFormat/>
    <w:uiPriority w:val="0"/>
    <w:rPr>
      <w:b/>
      <w:bCs/>
    </w:rPr>
  </w:style>
  <w:style w:type="paragraph" w:styleId="46">
    <w:name w:val="Body Text First Indent"/>
    <w:basedOn w:val="20"/>
    <w:autoRedefine/>
    <w:qFormat/>
    <w:uiPriority w:val="0"/>
    <w:pPr>
      <w:ind w:firstLine="420" w:firstLineChars="100"/>
    </w:pPr>
  </w:style>
  <w:style w:type="table" w:styleId="48">
    <w:name w:val="Table Grid"/>
    <w:basedOn w:val="47"/>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50">
    <w:name w:val="Strong"/>
    <w:basedOn w:val="49"/>
    <w:autoRedefine/>
    <w:qFormat/>
    <w:uiPriority w:val="0"/>
    <w:rPr>
      <w:b/>
      <w:bCs/>
    </w:rPr>
  </w:style>
  <w:style w:type="character" w:styleId="51">
    <w:name w:val="page number"/>
    <w:basedOn w:val="49"/>
    <w:autoRedefine/>
    <w:qFormat/>
    <w:uiPriority w:val="0"/>
  </w:style>
  <w:style w:type="character" w:styleId="52">
    <w:name w:val="FollowedHyperlink"/>
    <w:autoRedefine/>
    <w:qFormat/>
    <w:uiPriority w:val="0"/>
    <w:rPr>
      <w:color w:val="333333"/>
      <w:u w:val="none"/>
    </w:rPr>
  </w:style>
  <w:style w:type="character" w:styleId="53">
    <w:name w:val="Emphasis"/>
    <w:autoRedefine/>
    <w:qFormat/>
    <w:uiPriority w:val="0"/>
    <w:rPr>
      <w:color w:val="CC0033"/>
    </w:rPr>
  </w:style>
  <w:style w:type="character" w:styleId="54">
    <w:name w:val="HTML Definition"/>
    <w:autoRedefine/>
    <w:qFormat/>
    <w:uiPriority w:val="0"/>
  </w:style>
  <w:style w:type="character" w:styleId="55">
    <w:name w:val="HTML Typewriter"/>
    <w:autoRedefine/>
    <w:qFormat/>
    <w:uiPriority w:val="0"/>
    <w:rPr>
      <w:rFonts w:hint="default" w:ascii="monospace" w:hAnsi="monospace" w:eastAsia="monospace" w:cs="monospace"/>
      <w:sz w:val="20"/>
    </w:rPr>
  </w:style>
  <w:style w:type="character" w:styleId="56">
    <w:name w:val="HTML Acronym"/>
    <w:basedOn w:val="49"/>
    <w:autoRedefine/>
    <w:qFormat/>
    <w:uiPriority w:val="0"/>
  </w:style>
  <w:style w:type="character" w:styleId="57">
    <w:name w:val="HTML Variable"/>
    <w:autoRedefine/>
    <w:qFormat/>
    <w:uiPriority w:val="0"/>
  </w:style>
  <w:style w:type="character" w:styleId="58">
    <w:name w:val="Hyperlink"/>
    <w:basedOn w:val="49"/>
    <w:autoRedefine/>
    <w:qFormat/>
    <w:uiPriority w:val="99"/>
    <w:rPr>
      <w:color w:val="333333"/>
      <w:u w:val="none"/>
    </w:rPr>
  </w:style>
  <w:style w:type="character" w:styleId="59">
    <w:name w:val="HTML Code"/>
    <w:autoRedefine/>
    <w:qFormat/>
    <w:uiPriority w:val="0"/>
    <w:rPr>
      <w:rFonts w:hint="default" w:ascii="monospace" w:hAnsi="monospace" w:eastAsia="monospace" w:cs="monospace"/>
      <w:sz w:val="20"/>
    </w:rPr>
  </w:style>
  <w:style w:type="character" w:styleId="60">
    <w:name w:val="annotation reference"/>
    <w:autoRedefine/>
    <w:qFormat/>
    <w:uiPriority w:val="0"/>
    <w:rPr>
      <w:sz w:val="21"/>
      <w:szCs w:val="21"/>
    </w:rPr>
  </w:style>
  <w:style w:type="character" w:styleId="61">
    <w:name w:val="HTML Cite"/>
    <w:autoRedefine/>
    <w:qFormat/>
    <w:uiPriority w:val="0"/>
  </w:style>
  <w:style w:type="character" w:styleId="62">
    <w:name w:val="footnote reference"/>
    <w:autoRedefine/>
    <w:qFormat/>
    <w:uiPriority w:val="0"/>
    <w:rPr>
      <w:vertAlign w:val="superscript"/>
    </w:rPr>
  </w:style>
  <w:style w:type="character" w:styleId="63">
    <w:name w:val="HTML Keyboard"/>
    <w:autoRedefine/>
    <w:qFormat/>
    <w:uiPriority w:val="0"/>
    <w:rPr>
      <w:rFonts w:ascii="monospace" w:hAnsi="monospace" w:eastAsia="monospace" w:cs="monospace"/>
      <w:sz w:val="20"/>
    </w:rPr>
  </w:style>
  <w:style w:type="character" w:styleId="64">
    <w:name w:val="HTML Sample"/>
    <w:autoRedefine/>
    <w:qFormat/>
    <w:uiPriority w:val="0"/>
    <w:rPr>
      <w:rFonts w:hint="default" w:ascii="monospace" w:hAnsi="monospace" w:eastAsia="monospace" w:cs="monospace"/>
    </w:rPr>
  </w:style>
  <w:style w:type="character" w:customStyle="1" w:styleId="65">
    <w:name w:val="标题 2 Char"/>
    <w:autoRedefine/>
    <w:qFormat/>
    <w:uiPriority w:val="0"/>
    <w:rPr>
      <w:rFonts w:ascii="Arial" w:hAnsi="Arial" w:eastAsia="黑体"/>
      <w:b/>
      <w:bCs/>
      <w:kern w:val="2"/>
      <w:sz w:val="21"/>
      <w:szCs w:val="32"/>
      <w:lang w:val="en-US" w:eastAsia="zh-CN" w:bidi="ar-SA"/>
    </w:rPr>
  </w:style>
  <w:style w:type="character" w:customStyle="1" w:styleId="66">
    <w:name w:val="标题 1 Char"/>
    <w:link w:val="3"/>
    <w:autoRedefine/>
    <w:qFormat/>
    <w:uiPriority w:val="0"/>
    <w:rPr>
      <w:rFonts w:eastAsia="宋体"/>
      <w:b/>
      <w:bCs/>
      <w:kern w:val="44"/>
      <w:sz w:val="44"/>
      <w:szCs w:val="44"/>
      <w:lang w:val="en-US" w:eastAsia="zh-CN" w:bidi="ar-SA"/>
    </w:rPr>
  </w:style>
  <w:style w:type="paragraph" w:customStyle="1" w:styleId="67">
    <w:name w:val="正文（缩进）"/>
    <w:basedOn w:val="1"/>
    <w:next w:val="21"/>
    <w:autoRedefine/>
    <w:qFormat/>
    <w:uiPriority w:val="0"/>
    <w:pPr>
      <w:widowControl w:val="0"/>
      <w:spacing w:before="156" w:beforeLines="50" w:after="156" w:afterLines="50" w:line="360" w:lineRule="auto"/>
      <w:ind w:firstLine="480" w:firstLineChars="200"/>
      <w:textAlignment w:val="auto"/>
    </w:pPr>
    <w:rPr>
      <w:color w:val="auto"/>
      <w:kern w:val="2"/>
      <w:sz w:val="24"/>
      <w:szCs w:val="24"/>
      <w:u w:val="none" w:color="auto"/>
    </w:rPr>
  </w:style>
  <w:style w:type="paragraph" w:styleId="68">
    <w:name w:val="List Paragraph"/>
    <w:basedOn w:val="1"/>
    <w:autoRedefine/>
    <w:qFormat/>
    <w:uiPriority w:val="34"/>
    <w:pPr>
      <w:ind w:firstLine="420" w:firstLineChars="200"/>
    </w:pPr>
  </w:style>
  <w:style w:type="paragraph" w:customStyle="1" w:styleId="69">
    <w:name w:val="_Style 62"/>
    <w:basedOn w:val="1"/>
    <w:next w:val="1"/>
    <w:autoRedefine/>
    <w:qFormat/>
    <w:uiPriority w:val="0"/>
    <w:pPr>
      <w:pBdr>
        <w:top w:val="single" w:color="auto" w:sz="6" w:space="1"/>
      </w:pBdr>
      <w:jc w:val="center"/>
    </w:pPr>
    <w:rPr>
      <w:rFonts w:ascii="Arial"/>
      <w:vanish/>
      <w:sz w:val="16"/>
    </w:rPr>
  </w:style>
  <w:style w:type="paragraph" w:customStyle="1" w:styleId="70">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71">
    <w:name w:val="表格"/>
    <w:basedOn w:val="1"/>
    <w:autoRedefine/>
    <w:qFormat/>
    <w:uiPriority w:val="0"/>
    <w:pPr>
      <w:jc w:val="center"/>
      <w:textAlignment w:val="center"/>
    </w:pPr>
    <w:rPr>
      <w:rFonts w:ascii="华文细黑" w:hAnsi="华文细黑"/>
      <w:kern w:val="0"/>
      <w:szCs w:val="20"/>
    </w:rPr>
  </w:style>
  <w:style w:type="paragraph" w:customStyle="1" w:styleId="72">
    <w:name w:val="表格文字"/>
    <w:basedOn w:val="1"/>
    <w:autoRedefine/>
    <w:qFormat/>
    <w:uiPriority w:val="0"/>
    <w:pPr>
      <w:adjustRightInd w:val="0"/>
      <w:spacing w:line="420" w:lineRule="atLeast"/>
      <w:jc w:val="left"/>
      <w:textAlignment w:val="baseline"/>
    </w:pPr>
    <w:rPr>
      <w:kern w:val="0"/>
      <w:szCs w:val="20"/>
    </w:rPr>
  </w:style>
  <w:style w:type="paragraph" w:customStyle="1" w:styleId="73">
    <w:name w:val="Char"/>
    <w:basedOn w:val="1"/>
    <w:next w:val="1"/>
    <w:autoRedefine/>
    <w:qFormat/>
    <w:uiPriority w:val="0"/>
    <w:pPr>
      <w:widowControl/>
      <w:spacing w:line="360" w:lineRule="auto"/>
      <w:jc w:val="left"/>
    </w:pPr>
    <w:rPr>
      <w:kern w:val="0"/>
      <w:szCs w:val="20"/>
      <w:lang w:eastAsia="en-US"/>
    </w:rPr>
  </w:style>
  <w:style w:type="paragraph" w:customStyle="1" w:styleId="74">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5">
    <w:name w:val="样式2"/>
    <w:basedOn w:val="2"/>
    <w:autoRedefine/>
    <w:qFormat/>
    <w:uiPriority w:val="0"/>
  </w:style>
  <w:style w:type="paragraph" w:customStyle="1" w:styleId="76">
    <w:name w:val="Default Paragraph Char Char Char Char"/>
    <w:basedOn w:val="1"/>
    <w:next w:val="1"/>
    <w:autoRedefine/>
    <w:qFormat/>
    <w:uiPriority w:val="0"/>
    <w:pPr>
      <w:spacing w:line="360" w:lineRule="auto"/>
    </w:pPr>
    <w:rPr>
      <w:szCs w:val="20"/>
    </w:rPr>
  </w:style>
  <w:style w:type="paragraph" w:customStyle="1" w:styleId="77">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78">
    <w:name w:val="默认段落字体 Para Char Char Char Char"/>
    <w:basedOn w:val="1"/>
    <w:autoRedefine/>
    <w:qFormat/>
    <w:uiPriority w:val="0"/>
  </w:style>
  <w:style w:type="paragraph" w:customStyle="1" w:styleId="79">
    <w:name w:val="样式 标题 1 + 黑体 五号"/>
    <w:basedOn w:val="3"/>
    <w:autoRedefine/>
    <w:qFormat/>
    <w:uiPriority w:val="0"/>
    <w:pPr>
      <w:jc w:val="left"/>
    </w:pPr>
    <w:rPr>
      <w:rFonts w:ascii="黑体" w:hAnsi="黑体" w:eastAsia="黑体"/>
      <w:sz w:val="21"/>
    </w:rPr>
  </w:style>
  <w:style w:type="paragraph" w:customStyle="1" w:styleId="80">
    <w:name w:val="样式4"/>
    <w:basedOn w:val="2"/>
    <w:autoRedefine/>
    <w:qFormat/>
    <w:uiPriority w:val="0"/>
    <w:rPr>
      <w:rFonts w:eastAsia="Arial"/>
    </w:rPr>
  </w:style>
  <w:style w:type="paragraph" w:customStyle="1" w:styleId="81">
    <w:name w:val="正文1"/>
    <w:autoRedefine/>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2">
    <w:name w:val="列出段落1"/>
    <w:basedOn w:val="1"/>
    <w:autoRedefine/>
    <w:qFormat/>
    <w:uiPriority w:val="0"/>
    <w:pPr>
      <w:ind w:firstLine="200" w:firstLineChars="200"/>
    </w:pPr>
  </w:style>
  <w:style w:type="paragraph" w:customStyle="1" w:styleId="83">
    <w:name w:val="p0 New"/>
    <w:basedOn w:val="1"/>
    <w:autoRedefine/>
    <w:qFormat/>
    <w:uiPriority w:val="0"/>
    <w:pPr>
      <w:widowControl/>
      <w:jc w:val="left"/>
    </w:pPr>
    <w:rPr>
      <w:rFonts w:ascii="宋体" w:hAnsi="宋体" w:cs="宋体"/>
      <w:kern w:val="0"/>
      <w:sz w:val="18"/>
      <w:szCs w:val="18"/>
    </w:rPr>
  </w:style>
  <w:style w:type="paragraph" w:customStyle="1" w:styleId="84">
    <w:name w:val="样式 标题 1 + 黑体 三号 非加粗 居中 段前: 6 磅 段后: 6 磅 行距: 固定值 20 磅"/>
    <w:basedOn w:val="3"/>
    <w:autoRedefine/>
    <w:qFormat/>
    <w:uiPriority w:val="0"/>
    <w:pPr>
      <w:spacing w:line="400" w:lineRule="exact"/>
    </w:pPr>
    <w:rPr>
      <w:rFonts w:ascii="黑体" w:hAnsi="黑体" w:eastAsia="黑体" w:cs="宋体"/>
      <w:b w:val="0"/>
      <w:bCs w:val="0"/>
      <w:sz w:val="32"/>
      <w:szCs w:val="20"/>
    </w:rPr>
  </w:style>
  <w:style w:type="paragraph" w:customStyle="1" w:styleId="85">
    <w:name w:val="_Style 78"/>
    <w:basedOn w:val="3"/>
    <w:next w:val="1"/>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86">
    <w:name w:val="Char1"/>
    <w:basedOn w:val="1"/>
    <w:autoRedefine/>
    <w:qFormat/>
    <w:uiPriority w:val="0"/>
    <w:pPr>
      <w:tabs>
        <w:tab w:val="left" w:pos="360"/>
      </w:tabs>
    </w:pPr>
    <w:rPr>
      <w:sz w:val="24"/>
    </w:rPr>
  </w:style>
  <w:style w:type="paragraph" w:customStyle="1" w:styleId="87">
    <w:name w:val="样式1"/>
    <w:basedOn w:val="2"/>
    <w:autoRedefine/>
    <w:qFormat/>
    <w:uiPriority w:val="0"/>
    <w:rPr>
      <w:rFonts w:eastAsia="Arial"/>
    </w:rPr>
  </w:style>
  <w:style w:type="paragraph" w:customStyle="1" w:styleId="88">
    <w:name w:val="Char Char Char Char Char Char Char Char Char Char Char Char Char"/>
    <w:basedOn w:val="1"/>
    <w:autoRedefine/>
    <w:qFormat/>
    <w:uiPriority w:val="0"/>
  </w:style>
  <w:style w:type="paragraph" w:customStyle="1" w:styleId="89">
    <w:name w:val="p"/>
    <w:basedOn w:val="1"/>
    <w:autoRedefine/>
    <w:qFormat/>
    <w:uiPriority w:val="0"/>
    <w:rPr>
      <w:rFonts w:ascii="宋体"/>
      <w:sz w:val="24"/>
    </w:rPr>
  </w:style>
  <w:style w:type="paragraph" w:customStyle="1" w:styleId="90">
    <w:name w:val="Char Char Char Char"/>
    <w:basedOn w:val="1"/>
    <w:autoRedefine/>
    <w:qFormat/>
    <w:uiPriority w:val="0"/>
  </w:style>
  <w:style w:type="paragraph" w:customStyle="1" w:styleId="91">
    <w:name w:val="_Style 84"/>
    <w:basedOn w:val="1"/>
    <w:next w:val="1"/>
    <w:autoRedefine/>
    <w:qFormat/>
    <w:uiPriority w:val="0"/>
    <w:pPr>
      <w:pBdr>
        <w:bottom w:val="single" w:color="auto" w:sz="6" w:space="1"/>
      </w:pBdr>
      <w:jc w:val="center"/>
    </w:pPr>
    <w:rPr>
      <w:rFonts w:ascii="Arial"/>
      <w:vanish/>
      <w:sz w:val="16"/>
    </w:rPr>
  </w:style>
  <w:style w:type="paragraph" w:customStyle="1" w:styleId="92">
    <w:name w:val="1"/>
    <w:basedOn w:val="1"/>
    <w:next w:val="1"/>
    <w:autoRedefine/>
    <w:qFormat/>
    <w:uiPriority w:val="0"/>
  </w:style>
  <w:style w:type="paragraph" w:customStyle="1" w:styleId="93">
    <w:name w:val="p15"/>
    <w:autoRedefine/>
    <w:qFormat/>
    <w:uiPriority w:val="0"/>
    <w:pPr>
      <w:jc w:val="both"/>
    </w:pPr>
    <w:rPr>
      <w:rFonts w:ascii="宋体" w:hAnsi="Times New Roman" w:eastAsia="宋体" w:cs="宋体"/>
      <w:sz w:val="21"/>
      <w:szCs w:val="21"/>
      <w:lang w:val="en-US" w:eastAsia="zh-CN" w:bidi="ar-SA"/>
    </w:rPr>
  </w:style>
  <w:style w:type="paragraph" w:customStyle="1" w:styleId="94">
    <w:name w:val="样式 标题 2 + Times New Roman 四号 非加粗 段前: 5 磅 段后: 0 磅 行距: 固定值 20..."/>
    <w:basedOn w:val="4"/>
    <w:autoRedefine/>
    <w:qFormat/>
    <w:uiPriority w:val="0"/>
    <w:pPr>
      <w:spacing w:line="400" w:lineRule="exact"/>
    </w:pPr>
    <w:rPr>
      <w:rFonts w:ascii="Times New Roman" w:hAnsi="Times New Roman" w:cs="宋体"/>
      <w:b w:val="0"/>
      <w:bCs w:val="0"/>
      <w:sz w:val="28"/>
      <w:szCs w:val="20"/>
    </w:rPr>
  </w:style>
  <w:style w:type="paragraph" w:customStyle="1" w:styleId="95">
    <w:name w:val="Table Paragraph"/>
    <w:basedOn w:val="1"/>
    <w:autoRedefine/>
    <w:qFormat/>
    <w:uiPriority w:val="0"/>
    <w:pPr>
      <w:autoSpaceDE w:val="0"/>
      <w:autoSpaceDN w:val="0"/>
      <w:jc w:val="left"/>
    </w:pPr>
    <w:rPr>
      <w:rFonts w:ascii="宋体" w:hAnsi="宋体" w:cs="宋体"/>
      <w:kern w:val="0"/>
      <w:sz w:val="22"/>
      <w:szCs w:val="22"/>
      <w:lang w:val="zh-CN"/>
    </w:rPr>
  </w:style>
  <w:style w:type="paragraph" w:customStyle="1" w:styleId="96">
    <w:name w:val="p0"/>
    <w:basedOn w:val="1"/>
    <w:autoRedefine/>
    <w:qFormat/>
    <w:uiPriority w:val="99"/>
    <w:pPr>
      <w:widowControl/>
    </w:pPr>
    <w:rPr>
      <w:kern w:val="0"/>
      <w:szCs w:val="21"/>
    </w:rPr>
  </w:style>
  <w:style w:type="paragraph" w:customStyle="1" w:styleId="97">
    <w:name w:val="样式3"/>
    <w:basedOn w:val="2"/>
    <w:autoRedefine/>
    <w:qFormat/>
    <w:uiPriority w:val="0"/>
    <w:rPr>
      <w:rFonts w:eastAsia="Arial"/>
    </w:rPr>
  </w:style>
  <w:style w:type="paragraph" w:customStyle="1" w:styleId="98">
    <w:name w:val="样式 标题 3 + (中文) 黑体 小四 非加粗 段前: 7.8 磅 段后: 0 磅 行距: 固定值 20 磅"/>
    <w:basedOn w:val="2"/>
    <w:autoRedefine/>
    <w:qFormat/>
    <w:uiPriority w:val="0"/>
    <w:pPr>
      <w:spacing w:line="400" w:lineRule="exact"/>
    </w:pPr>
    <w:rPr>
      <w:rFonts w:eastAsia="黑体" w:cs="宋体"/>
      <w:b w:val="0"/>
      <w:bCs w:val="0"/>
      <w:sz w:val="24"/>
      <w:szCs w:val="20"/>
    </w:rPr>
  </w:style>
  <w:style w:type="paragraph" w:customStyle="1" w:styleId="99">
    <w:name w:val="Char Char Char Char Char Char Char Char Char Char Char Char Char1"/>
    <w:basedOn w:val="1"/>
    <w:autoRedefine/>
    <w:qFormat/>
    <w:uiPriority w:val="0"/>
  </w:style>
  <w:style w:type="paragraph" w:customStyle="1" w:styleId="100">
    <w:name w:val="Char4"/>
    <w:basedOn w:val="1"/>
    <w:autoRedefine/>
    <w:qFormat/>
    <w:uiPriority w:val="0"/>
    <w:pPr>
      <w:widowControl/>
      <w:spacing w:line="360" w:lineRule="auto"/>
      <w:ind w:firstLine="200" w:firstLineChars="200"/>
      <w:textAlignment w:val="baseline"/>
    </w:pPr>
    <w:rPr>
      <w:color w:val="000000"/>
      <w:kern w:val="0"/>
      <w:szCs w:val="20"/>
      <w:u w:color="000000"/>
    </w:rPr>
  </w:style>
  <w:style w:type="paragraph" w:customStyle="1" w:styleId="101">
    <w:name w:val="正文2"/>
    <w:autoRedefine/>
    <w:qFormat/>
    <w:uiPriority w:val="0"/>
    <w:pPr>
      <w:widowControl w:val="0"/>
      <w:jc w:val="both"/>
    </w:pPr>
    <w:rPr>
      <w:rFonts w:ascii="Times New Roman" w:hAnsi="Times New Roman" w:eastAsia="宋体" w:cs="Times New Roman"/>
      <w:lang w:val="en-US" w:eastAsia="zh-CN" w:bidi="ar-SA"/>
    </w:rPr>
  </w:style>
  <w:style w:type="character" w:customStyle="1" w:styleId="102">
    <w:name w:val="first-child"/>
    <w:basedOn w:val="49"/>
    <w:autoRedefine/>
    <w:qFormat/>
    <w:uiPriority w:val="0"/>
  </w:style>
  <w:style w:type="character" w:customStyle="1" w:styleId="103">
    <w:name w:val="Char Char Char Char Char Char"/>
    <w:autoRedefine/>
    <w:qFormat/>
    <w:uiPriority w:val="0"/>
    <w:rPr>
      <w:rFonts w:ascii="Arial" w:hAnsi="Arial" w:eastAsia="黑体"/>
      <w:b/>
      <w:bCs/>
      <w:kern w:val="2"/>
      <w:sz w:val="32"/>
      <w:szCs w:val="32"/>
      <w:lang w:val="en-US" w:eastAsia="zh-CN" w:bidi="ar-SA"/>
    </w:rPr>
  </w:style>
  <w:style w:type="character" w:customStyle="1" w:styleId="104">
    <w:name w:val="l11"/>
    <w:autoRedefine/>
    <w:qFormat/>
    <w:uiPriority w:val="0"/>
    <w:rPr>
      <w:color w:val="999999"/>
    </w:rPr>
  </w:style>
  <w:style w:type="character" w:customStyle="1" w:styleId="105">
    <w:name w:val="Char Char"/>
    <w:autoRedefine/>
    <w:qFormat/>
    <w:uiPriority w:val="0"/>
    <w:rPr>
      <w:rFonts w:ascii="Arial" w:hAnsi="Arial" w:eastAsia="黑体"/>
      <w:b/>
      <w:bCs/>
      <w:kern w:val="2"/>
      <w:sz w:val="32"/>
      <w:szCs w:val="32"/>
      <w:lang w:val="en-US" w:eastAsia="zh-CN" w:bidi="ar-SA"/>
    </w:rPr>
  </w:style>
  <w:style w:type="character" w:customStyle="1" w:styleId="106">
    <w:name w:val="Char Char5"/>
    <w:autoRedefine/>
    <w:qFormat/>
    <w:uiPriority w:val="0"/>
    <w:rPr>
      <w:rFonts w:ascii="Arial" w:hAnsi="Arial" w:eastAsia="黑体"/>
      <w:b/>
      <w:bCs/>
      <w:kern w:val="2"/>
      <w:sz w:val="32"/>
      <w:szCs w:val="32"/>
    </w:rPr>
  </w:style>
  <w:style w:type="character" w:customStyle="1" w:styleId="107">
    <w:name w:val="msg-box28"/>
    <w:basedOn w:val="49"/>
    <w:autoRedefine/>
    <w:qFormat/>
    <w:uiPriority w:val="0"/>
  </w:style>
  <w:style w:type="character" w:customStyle="1" w:styleId="108">
    <w:name w:val="img_title6"/>
    <w:autoRedefine/>
    <w:qFormat/>
    <w:uiPriority w:val="0"/>
    <w:rPr>
      <w:vanish/>
    </w:rPr>
  </w:style>
  <w:style w:type="character" w:customStyle="1" w:styleId="109">
    <w:name w:val="tit12"/>
    <w:autoRedefine/>
    <w:qFormat/>
    <w:uiPriority w:val="0"/>
    <w:rPr>
      <w:color w:val="04A06C"/>
    </w:rPr>
  </w:style>
  <w:style w:type="character" w:customStyle="1" w:styleId="110">
    <w:name w:val="Char Char2"/>
    <w:autoRedefine/>
    <w:qFormat/>
    <w:uiPriority w:val="0"/>
    <w:rPr>
      <w:rFonts w:eastAsia="宋体"/>
      <w:kern w:val="2"/>
      <w:sz w:val="21"/>
      <w:szCs w:val="24"/>
      <w:lang w:val="en-US" w:eastAsia="zh-CN" w:bidi="ar-SA"/>
    </w:rPr>
  </w:style>
  <w:style w:type="character" w:customStyle="1" w:styleId="111">
    <w:name w:val="nostart"/>
    <w:autoRedefine/>
    <w:qFormat/>
    <w:uiPriority w:val="0"/>
    <w:rPr>
      <w:color w:val="FF0000"/>
    </w:rPr>
  </w:style>
  <w:style w:type="character" w:customStyle="1" w:styleId="112">
    <w:name w:val="nostart3"/>
    <w:basedOn w:val="49"/>
    <w:autoRedefine/>
    <w:qFormat/>
    <w:uiPriority w:val="0"/>
  </w:style>
  <w:style w:type="character" w:customStyle="1" w:styleId="113">
    <w:name w:val="img4"/>
    <w:basedOn w:val="49"/>
    <w:autoRedefine/>
    <w:qFormat/>
    <w:uiPriority w:val="0"/>
  </w:style>
  <w:style w:type="character" w:customStyle="1" w:styleId="114">
    <w:name w:val="tit11"/>
    <w:autoRedefine/>
    <w:qFormat/>
    <w:uiPriority w:val="0"/>
    <w:rPr>
      <w:color w:val="B60000"/>
    </w:rPr>
  </w:style>
  <w:style w:type="character" w:customStyle="1" w:styleId="115">
    <w:name w:val="批注文字 Char"/>
    <w:link w:val="18"/>
    <w:autoRedefine/>
    <w:qFormat/>
    <w:uiPriority w:val="0"/>
    <w:rPr>
      <w:rFonts w:eastAsia="宋体"/>
      <w:kern w:val="2"/>
      <w:sz w:val="21"/>
      <w:szCs w:val="24"/>
      <w:lang w:val="en-US" w:eastAsia="zh-CN" w:bidi="ar-SA"/>
    </w:rPr>
  </w:style>
  <w:style w:type="character" w:customStyle="1" w:styleId="116">
    <w:name w:val="over"/>
    <w:autoRedefine/>
    <w:qFormat/>
    <w:uiPriority w:val="0"/>
    <w:rPr>
      <w:color w:val="B60000"/>
    </w:rPr>
  </w:style>
  <w:style w:type="character" w:customStyle="1" w:styleId="117">
    <w:name w:val="HTML 预设格式 Char"/>
    <w:link w:val="41"/>
    <w:autoRedefine/>
    <w:qFormat/>
    <w:uiPriority w:val="0"/>
    <w:rPr>
      <w:rFonts w:ascii="宋体" w:hAnsi="宋体" w:cs="宋体"/>
      <w:sz w:val="24"/>
      <w:szCs w:val="24"/>
    </w:rPr>
  </w:style>
  <w:style w:type="character" w:customStyle="1" w:styleId="118">
    <w:name w:val="l6"/>
    <w:autoRedefine/>
    <w:qFormat/>
    <w:uiPriority w:val="0"/>
    <w:rPr>
      <w:color w:val="999999"/>
    </w:rPr>
  </w:style>
  <w:style w:type="character" w:customStyle="1" w:styleId="119">
    <w:name w:val="datetime"/>
    <w:autoRedefine/>
    <w:qFormat/>
    <w:uiPriority w:val="0"/>
    <w:rPr>
      <w:rFonts w:hint="default" w:ascii="Arial" w:hAnsi="Arial" w:cs="Arial"/>
      <w:color w:val="999999"/>
      <w:sz w:val="21"/>
      <w:szCs w:val="21"/>
    </w:rPr>
  </w:style>
  <w:style w:type="character" w:customStyle="1" w:styleId="120">
    <w:name w:val="txt1"/>
    <w:basedOn w:val="49"/>
    <w:autoRedefine/>
    <w:qFormat/>
    <w:uiPriority w:val="0"/>
  </w:style>
  <w:style w:type="character" w:customStyle="1" w:styleId="121">
    <w:name w:val="starting1"/>
    <w:autoRedefine/>
    <w:qFormat/>
    <w:uiPriority w:val="0"/>
    <w:rPr>
      <w:color w:val="339900"/>
    </w:rPr>
  </w:style>
  <w:style w:type="character" w:customStyle="1" w:styleId="122">
    <w:name w:val="starting2"/>
    <w:autoRedefine/>
    <w:qFormat/>
    <w:uiPriority w:val="0"/>
    <w:rPr>
      <w:color w:val="B60000"/>
    </w:rPr>
  </w:style>
  <w:style w:type="character" w:customStyle="1" w:styleId="123">
    <w:name w:val="red"/>
    <w:autoRedefine/>
    <w:qFormat/>
    <w:uiPriority w:val="0"/>
    <w:rPr>
      <w:rFonts w:hint="default" w:ascii="Arial" w:hAnsi="Arial" w:cs="Arial"/>
      <w:color w:val="E50000"/>
    </w:rPr>
  </w:style>
  <w:style w:type="character" w:customStyle="1" w:styleId="124">
    <w:name w:val="Char Char4"/>
    <w:autoRedefine/>
    <w:qFormat/>
    <w:uiPriority w:val="0"/>
    <w:rPr>
      <w:rFonts w:eastAsia="宋体"/>
      <w:b/>
      <w:bCs/>
      <w:kern w:val="44"/>
      <w:sz w:val="44"/>
      <w:szCs w:val="44"/>
      <w:lang w:val="en-US" w:eastAsia="zh-CN" w:bidi="ar-SA"/>
    </w:rPr>
  </w:style>
  <w:style w:type="character" w:customStyle="1" w:styleId="125">
    <w:name w:val="font161"/>
    <w:autoRedefine/>
    <w:qFormat/>
    <w:uiPriority w:val="0"/>
    <w:rPr>
      <w:b/>
      <w:bCs/>
      <w:sz w:val="32"/>
      <w:szCs w:val="32"/>
    </w:rPr>
  </w:style>
  <w:style w:type="character" w:customStyle="1" w:styleId="126">
    <w:name w:val="Char Char8"/>
    <w:autoRedefine/>
    <w:qFormat/>
    <w:uiPriority w:val="0"/>
    <w:rPr>
      <w:rFonts w:ascii="Arial" w:hAnsi="Arial" w:eastAsia="黑体"/>
      <w:b/>
      <w:bCs/>
      <w:kern w:val="2"/>
      <w:sz w:val="32"/>
      <w:szCs w:val="32"/>
      <w:lang w:val="en-US" w:eastAsia="zh-CN" w:bidi="ar-SA"/>
    </w:rPr>
  </w:style>
  <w:style w:type="character" w:customStyle="1" w:styleId="127">
    <w:name w:val="msg-box29"/>
    <w:basedOn w:val="49"/>
    <w:autoRedefine/>
    <w:qFormat/>
    <w:uiPriority w:val="0"/>
  </w:style>
  <w:style w:type="character" w:customStyle="1" w:styleId="128">
    <w:name w:val="over2"/>
    <w:autoRedefine/>
    <w:qFormat/>
    <w:uiPriority w:val="0"/>
    <w:rPr>
      <w:color w:val="999999"/>
    </w:rPr>
  </w:style>
  <w:style w:type="character" w:customStyle="1" w:styleId="129">
    <w:name w:val="img_title7"/>
    <w:autoRedefine/>
    <w:qFormat/>
    <w:uiPriority w:val="0"/>
    <w:rPr>
      <w:vanish/>
    </w:rPr>
  </w:style>
  <w:style w:type="character" w:customStyle="1" w:styleId="130">
    <w:name w:val="l7"/>
    <w:autoRedefine/>
    <w:qFormat/>
    <w:uiPriority w:val="0"/>
    <w:rPr>
      <w:color w:val="999999"/>
    </w:rPr>
  </w:style>
  <w:style w:type="character" w:customStyle="1" w:styleId="131">
    <w:name w:val="标题 5 Char"/>
    <w:link w:val="6"/>
    <w:autoRedefine/>
    <w:qFormat/>
    <w:uiPriority w:val="0"/>
    <w:rPr>
      <w:b/>
      <w:bCs/>
      <w:kern w:val="2"/>
      <w:sz w:val="28"/>
      <w:szCs w:val="28"/>
    </w:rPr>
  </w:style>
  <w:style w:type="character" w:customStyle="1" w:styleId="132">
    <w:name w:val="l51"/>
    <w:autoRedefine/>
    <w:qFormat/>
    <w:uiPriority w:val="0"/>
    <w:rPr>
      <w:color w:val="999999"/>
    </w:rPr>
  </w:style>
  <w:style w:type="character" w:customStyle="1" w:styleId="133">
    <w:name w:val="num81"/>
    <w:basedOn w:val="49"/>
    <w:autoRedefine/>
    <w:qFormat/>
    <w:uiPriority w:val="0"/>
  </w:style>
  <w:style w:type="character" w:customStyle="1" w:styleId="134">
    <w:name w:val="Char Char1"/>
    <w:autoRedefine/>
    <w:qFormat/>
    <w:uiPriority w:val="0"/>
    <w:rPr>
      <w:rFonts w:eastAsia="宋体"/>
      <w:kern w:val="2"/>
      <w:sz w:val="21"/>
      <w:szCs w:val="24"/>
      <w:lang w:val="en-US" w:eastAsia="zh-CN" w:bidi="ar-SA"/>
    </w:rPr>
  </w:style>
  <w:style w:type="character" w:customStyle="1" w:styleId="135">
    <w:name w:val="zs"/>
    <w:autoRedefine/>
    <w:qFormat/>
    <w:uiPriority w:val="0"/>
    <w:rPr>
      <w:color w:val="8D744B"/>
      <w:sz w:val="18"/>
      <w:szCs w:val="18"/>
    </w:rPr>
  </w:style>
  <w:style w:type="character" w:customStyle="1" w:styleId="136">
    <w:name w:val="bigfont"/>
    <w:basedOn w:val="49"/>
    <w:autoRedefine/>
    <w:qFormat/>
    <w:uiPriority w:val="0"/>
  </w:style>
  <w:style w:type="character" w:customStyle="1" w:styleId="137">
    <w:name w:val="txt"/>
    <w:autoRedefine/>
    <w:qFormat/>
    <w:uiPriority w:val="0"/>
    <w:rPr>
      <w:color w:val="C0C0C0"/>
    </w:rPr>
  </w:style>
  <w:style w:type="character" w:customStyle="1" w:styleId="138">
    <w:name w:val="纯文本 Char2"/>
    <w:link w:val="25"/>
    <w:autoRedefine/>
    <w:qFormat/>
    <w:uiPriority w:val="0"/>
    <w:rPr>
      <w:rFonts w:ascii="Courier New" w:hAnsi="Courier New" w:eastAsia="宋体"/>
      <w:kern w:val="2"/>
      <w:sz w:val="21"/>
      <w:lang w:val="en-US" w:eastAsia="zh-CN" w:bidi="ar-SA"/>
    </w:rPr>
  </w:style>
  <w:style w:type="character" w:customStyle="1" w:styleId="139">
    <w:name w:val="jg"/>
    <w:basedOn w:val="49"/>
    <w:autoRedefine/>
    <w:qFormat/>
    <w:uiPriority w:val="0"/>
  </w:style>
  <w:style w:type="character" w:customStyle="1" w:styleId="140">
    <w:name w:val="17"/>
    <w:autoRedefine/>
    <w:qFormat/>
    <w:uiPriority w:val="0"/>
    <w:rPr>
      <w:rFonts w:ascii="仿宋_GB2312" w:eastAsia="仿宋_GB2312"/>
      <w:color w:val="auto"/>
      <w:sz w:val="28"/>
      <w:szCs w:val="28"/>
      <w:u w:val="single"/>
    </w:rPr>
  </w:style>
  <w:style w:type="character" w:customStyle="1" w:styleId="141">
    <w:name w:val="job"/>
    <w:basedOn w:val="49"/>
    <w:autoRedefine/>
    <w:qFormat/>
    <w:uiPriority w:val="0"/>
  </w:style>
  <w:style w:type="character" w:customStyle="1" w:styleId="142">
    <w:name w:val="job1"/>
    <w:basedOn w:val="49"/>
    <w:autoRedefine/>
    <w:qFormat/>
    <w:uiPriority w:val="0"/>
  </w:style>
  <w:style w:type="character" w:customStyle="1" w:styleId="143">
    <w:name w:val="正文文本 Char"/>
    <w:link w:val="20"/>
    <w:autoRedefine/>
    <w:qFormat/>
    <w:uiPriority w:val="0"/>
    <w:rPr>
      <w:rFonts w:eastAsia="宋体"/>
      <w:kern w:val="2"/>
      <w:sz w:val="21"/>
      <w:szCs w:val="24"/>
      <w:lang w:val="en-US" w:eastAsia="zh-CN" w:bidi="ar-SA"/>
    </w:rPr>
  </w:style>
  <w:style w:type="character" w:customStyle="1" w:styleId="144">
    <w:name w:val="p05"/>
    <w:basedOn w:val="49"/>
    <w:autoRedefine/>
    <w:qFormat/>
    <w:uiPriority w:val="0"/>
  </w:style>
  <w:style w:type="character" w:customStyle="1" w:styleId="145">
    <w:name w:val="Char Char7"/>
    <w:autoRedefine/>
    <w:qFormat/>
    <w:uiPriority w:val="0"/>
    <w:rPr>
      <w:rFonts w:ascii="Arial" w:hAnsi="Arial" w:eastAsia="黑体"/>
      <w:b/>
      <w:bCs/>
      <w:kern w:val="2"/>
      <w:sz w:val="32"/>
      <w:szCs w:val="32"/>
      <w:lang w:val="en-US" w:eastAsia="zh-CN" w:bidi="ar-SA"/>
    </w:rPr>
  </w:style>
  <w:style w:type="character" w:customStyle="1" w:styleId="146">
    <w:name w:val="over3"/>
    <w:basedOn w:val="49"/>
    <w:autoRedefine/>
    <w:qFormat/>
    <w:uiPriority w:val="0"/>
  </w:style>
  <w:style w:type="character" w:customStyle="1" w:styleId="147">
    <w:name w:val="Char Char3"/>
    <w:autoRedefine/>
    <w:qFormat/>
    <w:uiPriority w:val="0"/>
    <w:rPr>
      <w:rFonts w:ascii="Arial" w:hAnsi="Arial" w:eastAsia="黑体"/>
      <w:b/>
      <w:bCs/>
      <w:kern w:val="2"/>
      <w:sz w:val="32"/>
      <w:szCs w:val="32"/>
      <w:lang w:val="en-US" w:eastAsia="zh-CN" w:bidi="ar-SA"/>
    </w:rPr>
  </w:style>
  <w:style w:type="character" w:customStyle="1" w:styleId="148">
    <w:name w:val="Char Char71"/>
    <w:autoRedefine/>
    <w:qFormat/>
    <w:uiPriority w:val="0"/>
    <w:rPr>
      <w:rFonts w:ascii="Arial" w:hAnsi="Arial" w:eastAsia="黑体"/>
      <w:b/>
      <w:bCs/>
      <w:kern w:val="2"/>
      <w:sz w:val="32"/>
      <w:szCs w:val="32"/>
      <w:lang w:val="en-US" w:eastAsia="zh-CN" w:bidi="ar-SA"/>
    </w:rPr>
  </w:style>
  <w:style w:type="character" w:customStyle="1" w:styleId="149">
    <w:name w:val="num51"/>
    <w:basedOn w:val="49"/>
    <w:autoRedefine/>
    <w:qFormat/>
    <w:uiPriority w:val="0"/>
  </w:style>
  <w:style w:type="character" w:customStyle="1" w:styleId="150">
    <w:name w:val="Char Char Char"/>
    <w:autoRedefine/>
    <w:qFormat/>
    <w:uiPriority w:val="0"/>
    <w:rPr>
      <w:rFonts w:eastAsia="宋体"/>
      <w:b/>
      <w:bCs/>
      <w:kern w:val="44"/>
      <w:sz w:val="44"/>
      <w:szCs w:val="44"/>
      <w:lang w:val="en-US" w:eastAsia="zh-CN" w:bidi="ar-SA"/>
    </w:rPr>
  </w:style>
  <w:style w:type="character" w:customStyle="1" w:styleId="151">
    <w:name w:val="msg-box31"/>
    <w:basedOn w:val="49"/>
    <w:autoRedefine/>
    <w:qFormat/>
    <w:uiPriority w:val="0"/>
  </w:style>
  <w:style w:type="character" w:customStyle="1" w:styleId="152">
    <w:name w:val="msg-box30"/>
    <w:basedOn w:val="49"/>
    <w:autoRedefine/>
    <w:qFormat/>
    <w:uiPriority w:val="0"/>
  </w:style>
  <w:style w:type="character" w:customStyle="1" w:styleId="153">
    <w:name w:val="标题 1 Char Char"/>
    <w:autoRedefine/>
    <w:qFormat/>
    <w:uiPriority w:val="0"/>
    <w:rPr>
      <w:rFonts w:eastAsia="宋体"/>
      <w:b/>
      <w:bCs/>
      <w:kern w:val="44"/>
      <w:sz w:val="44"/>
      <w:szCs w:val="44"/>
      <w:lang w:val="en-US" w:eastAsia="zh-CN" w:bidi="ar-SA"/>
    </w:rPr>
  </w:style>
  <w:style w:type="character" w:customStyle="1" w:styleId="154">
    <w:name w:val="标题 3 Char"/>
    <w:link w:val="2"/>
    <w:autoRedefine/>
    <w:qFormat/>
    <w:uiPriority w:val="0"/>
    <w:rPr>
      <w:b/>
      <w:bCs/>
      <w:sz w:val="32"/>
      <w:szCs w:val="32"/>
    </w:rPr>
  </w:style>
  <w:style w:type="character" w:customStyle="1" w:styleId="155">
    <w:name w:val="c1"/>
    <w:basedOn w:val="49"/>
    <w:autoRedefine/>
    <w:qFormat/>
    <w:uiPriority w:val="0"/>
  </w:style>
  <w:style w:type="character" w:customStyle="1" w:styleId="156">
    <w:name w:val="纯文本 Char1"/>
    <w:autoRedefine/>
    <w:qFormat/>
    <w:uiPriority w:val="0"/>
    <w:rPr>
      <w:rFonts w:ascii="Courier New" w:hAnsi="Courier New" w:eastAsia="宋体"/>
      <w:kern w:val="2"/>
      <w:sz w:val="21"/>
      <w:lang w:val="en-US" w:eastAsia="zh-CN" w:bidi="ar-SA"/>
    </w:rPr>
  </w:style>
  <w:style w:type="character" w:customStyle="1" w:styleId="157">
    <w:name w:val="Char Char Char1"/>
    <w:autoRedefine/>
    <w:qFormat/>
    <w:uiPriority w:val="0"/>
    <w:rPr>
      <w:rFonts w:ascii="Arial" w:hAnsi="Arial" w:eastAsia="黑体"/>
      <w:b/>
      <w:bCs/>
      <w:kern w:val="2"/>
      <w:sz w:val="32"/>
      <w:szCs w:val="32"/>
      <w:lang w:val="en-US" w:eastAsia="zh-CN" w:bidi="ar-SA"/>
    </w:rPr>
  </w:style>
  <w:style w:type="character" w:customStyle="1" w:styleId="158">
    <w:name w:val="l3"/>
    <w:autoRedefine/>
    <w:qFormat/>
    <w:uiPriority w:val="0"/>
    <w:rPr>
      <w:color w:val="999999"/>
    </w:rPr>
  </w:style>
  <w:style w:type="character" w:customStyle="1" w:styleId="159">
    <w:name w:val="tit14"/>
    <w:autoRedefine/>
    <w:qFormat/>
    <w:uiPriority w:val="0"/>
    <w:rPr>
      <w:color w:val="B60000"/>
    </w:rPr>
  </w:style>
  <w:style w:type="character" w:customStyle="1" w:styleId="160">
    <w:name w:val="tit10"/>
    <w:autoRedefine/>
    <w:qFormat/>
    <w:uiPriority w:val="0"/>
    <w:rPr>
      <w:color w:val="B60000"/>
    </w:rPr>
  </w:style>
  <w:style w:type="character" w:customStyle="1" w:styleId="161">
    <w:name w:val="l21"/>
    <w:autoRedefine/>
    <w:qFormat/>
    <w:uiPriority w:val="0"/>
    <w:rPr>
      <w:color w:val="999999"/>
    </w:rPr>
  </w:style>
  <w:style w:type="character" w:customStyle="1" w:styleId="162">
    <w:name w:val="num71"/>
    <w:basedOn w:val="49"/>
    <w:autoRedefine/>
    <w:qFormat/>
    <w:uiPriority w:val="0"/>
  </w:style>
  <w:style w:type="character" w:customStyle="1" w:styleId="163">
    <w:name w:val="标题 2 Char Char"/>
    <w:autoRedefine/>
    <w:qFormat/>
    <w:uiPriority w:val="0"/>
    <w:rPr>
      <w:rFonts w:ascii="Arial" w:hAnsi="Arial" w:eastAsia="黑体"/>
      <w:b/>
      <w:bCs/>
      <w:kern w:val="2"/>
      <w:sz w:val="32"/>
      <w:szCs w:val="32"/>
      <w:lang w:val="en-US" w:eastAsia="zh-CN" w:bidi="ar-SA"/>
    </w:rPr>
  </w:style>
  <w:style w:type="character" w:customStyle="1" w:styleId="164">
    <w:name w:val="buvis"/>
    <w:autoRedefine/>
    <w:qFormat/>
    <w:uiPriority w:val="0"/>
    <w:rPr>
      <w:color w:val="999999"/>
    </w:rPr>
  </w:style>
  <w:style w:type="character" w:customStyle="1" w:styleId="165">
    <w:name w:val="name"/>
    <w:autoRedefine/>
    <w:qFormat/>
    <w:uiPriority w:val="0"/>
    <w:rPr>
      <w:color w:val="444444"/>
      <w:sz w:val="21"/>
      <w:szCs w:val="21"/>
    </w:rPr>
  </w:style>
  <w:style w:type="character" w:customStyle="1" w:styleId="166">
    <w:name w:val="layui-this"/>
    <w:autoRedefine/>
    <w:qFormat/>
    <w:uiPriority w:val="0"/>
    <w:rPr>
      <w:bdr w:val="single" w:color="EEEEEE" w:sz="6" w:space="0"/>
      <w:shd w:val="clear" w:color="auto" w:fill="FFFFFF"/>
    </w:rPr>
  </w:style>
  <w:style w:type="character" w:customStyle="1" w:styleId="167">
    <w:name w:val="标题 2 Char1"/>
    <w:autoRedefine/>
    <w:qFormat/>
    <w:uiPriority w:val="0"/>
    <w:rPr>
      <w:rFonts w:ascii="Arial" w:hAnsi="Arial" w:eastAsia="黑体"/>
      <w:b/>
      <w:bCs/>
      <w:kern w:val="2"/>
      <w:sz w:val="32"/>
      <w:szCs w:val="32"/>
      <w:lang w:val="en-US" w:eastAsia="zh-CN" w:bidi="ar-SA"/>
    </w:rPr>
  </w:style>
  <w:style w:type="character" w:customStyle="1" w:styleId="168">
    <w:name w:val="zw"/>
    <w:autoRedefine/>
    <w:qFormat/>
    <w:uiPriority w:val="0"/>
    <w:rPr>
      <w:color w:val="BD1E22"/>
      <w:sz w:val="22"/>
      <w:szCs w:val="22"/>
    </w:rPr>
  </w:style>
  <w:style w:type="character" w:customStyle="1" w:styleId="169">
    <w:name w:val="name1"/>
    <w:autoRedefine/>
    <w:qFormat/>
    <w:uiPriority w:val="0"/>
    <w:rPr>
      <w:color w:val="695435"/>
      <w:sz w:val="24"/>
      <w:szCs w:val="24"/>
    </w:rPr>
  </w:style>
  <w:style w:type="character" w:customStyle="1" w:styleId="170">
    <w:name w:val="num61"/>
    <w:basedOn w:val="49"/>
    <w:autoRedefine/>
    <w:qFormat/>
    <w:uiPriority w:val="0"/>
  </w:style>
  <w:style w:type="character" w:customStyle="1" w:styleId="171">
    <w:name w:val="mesg-myd"/>
    <w:autoRedefine/>
    <w:qFormat/>
    <w:uiPriority w:val="0"/>
    <w:rPr>
      <w:color w:val="EE0000"/>
    </w:rPr>
  </w:style>
  <w:style w:type="character" w:customStyle="1" w:styleId="172">
    <w:name w:val="c2"/>
    <w:basedOn w:val="49"/>
    <w:autoRedefine/>
    <w:qFormat/>
    <w:uiPriority w:val="0"/>
  </w:style>
  <w:style w:type="character" w:customStyle="1" w:styleId="173">
    <w:name w:val="c3"/>
    <w:basedOn w:val="49"/>
    <w:autoRedefine/>
    <w:qFormat/>
    <w:uiPriority w:val="0"/>
  </w:style>
  <w:style w:type="character" w:customStyle="1" w:styleId="174">
    <w:name w:val="over1"/>
    <w:autoRedefine/>
    <w:qFormat/>
    <w:uiPriority w:val="0"/>
    <w:rPr>
      <w:color w:val="B60000"/>
    </w:rPr>
  </w:style>
  <w:style w:type="character" w:customStyle="1" w:styleId="175">
    <w:name w:val="tit13"/>
    <w:autoRedefine/>
    <w:qFormat/>
    <w:uiPriority w:val="0"/>
    <w:rPr>
      <w:color w:val="FFFFFF"/>
    </w:rPr>
  </w:style>
  <w:style w:type="character" w:customStyle="1" w:styleId="176">
    <w:name w:val="Char Char21"/>
    <w:autoRedefine/>
    <w:qFormat/>
    <w:uiPriority w:val="0"/>
    <w:rPr>
      <w:rFonts w:eastAsia="宋体"/>
      <w:kern w:val="2"/>
      <w:sz w:val="21"/>
      <w:szCs w:val="24"/>
      <w:lang w:val="en-US" w:eastAsia="zh-CN" w:bidi="ar-SA"/>
    </w:rPr>
  </w:style>
  <w:style w:type="character" w:customStyle="1" w:styleId="177">
    <w:name w:val="l41"/>
    <w:autoRedefine/>
    <w:qFormat/>
    <w:uiPriority w:val="0"/>
    <w:rPr>
      <w:color w:val="999999"/>
    </w:rPr>
  </w:style>
  <w:style w:type="character" w:customStyle="1" w:styleId="178">
    <w:name w:val="16"/>
    <w:autoRedefine/>
    <w:qFormat/>
    <w:uiPriority w:val="0"/>
    <w:rPr>
      <w:rFonts w:ascii="仿宋_GB2312" w:eastAsia="仿宋_GB2312"/>
      <w:color w:val="auto"/>
      <w:sz w:val="28"/>
      <w:szCs w:val="28"/>
    </w:rPr>
  </w:style>
  <w:style w:type="character" w:customStyle="1" w:styleId="179">
    <w:name w:val="num31"/>
    <w:basedOn w:val="49"/>
    <w:autoRedefine/>
    <w:qFormat/>
    <w:uiPriority w:val="0"/>
  </w:style>
  <w:style w:type="character" w:customStyle="1" w:styleId="180">
    <w:name w:val="starting4"/>
    <w:basedOn w:val="49"/>
    <w:autoRedefine/>
    <w:qFormat/>
    <w:uiPriority w:val="0"/>
  </w:style>
  <w:style w:type="character" w:customStyle="1" w:styleId="181">
    <w:name w:val="bsharetext"/>
    <w:basedOn w:val="49"/>
    <w:autoRedefine/>
    <w:qFormat/>
    <w:uiPriority w:val="0"/>
  </w:style>
  <w:style w:type="character" w:customStyle="1" w:styleId="182">
    <w:name w:val="unit"/>
    <w:autoRedefine/>
    <w:qFormat/>
    <w:uiPriority w:val="0"/>
    <w:rPr>
      <w:color w:val="999999"/>
    </w:rPr>
  </w:style>
  <w:style w:type="character" w:customStyle="1" w:styleId="183">
    <w:name w:val="nostart2"/>
    <w:autoRedefine/>
    <w:qFormat/>
    <w:uiPriority w:val="0"/>
    <w:rPr>
      <w:color w:val="B60000"/>
    </w:rPr>
  </w:style>
  <w:style w:type="character" w:customStyle="1" w:styleId="184">
    <w:name w:val="纯文本 Char"/>
    <w:autoRedefine/>
    <w:qFormat/>
    <w:uiPriority w:val="99"/>
    <w:rPr>
      <w:rFonts w:ascii="Courier New" w:hAnsi="Courier New" w:eastAsia="宋体"/>
      <w:kern w:val="2"/>
      <w:sz w:val="21"/>
      <w:lang w:val="en-US" w:eastAsia="zh-CN" w:bidi="ar-SA"/>
    </w:rPr>
  </w:style>
  <w:style w:type="character" w:customStyle="1" w:styleId="185">
    <w:name w:val="Char Char81"/>
    <w:autoRedefine/>
    <w:qFormat/>
    <w:uiPriority w:val="0"/>
    <w:rPr>
      <w:rFonts w:ascii="Arial" w:hAnsi="Arial" w:eastAsia="黑体"/>
      <w:b/>
      <w:bCs/>
      <w:kern w:val="2"/>
      <w:sz w:val="32"/>
      <w:szCs w:val="32"/>
      <w:lang w:val="en-US" w:eastAsia="zh-CN" w:bidi="ar-SA"/>
    </w:rPr>
  </w:style>
  <w:style w:type="character" w:customStyle="1" w:styleId="186">
    <w:name w:val="starting"/>
    <w:autoRedefine/>
    <w:qFormat/>
    <w:uiPriority w:val="0"/>
    <w:rPr>
      <w:color w:val="339900"/>
    </w:rPr>
  </w:style>
  <w:style w:type="character" w:customStyle="1" w:styleId="187">
    <w:name w:val="nostart1"/>
    <w:autoRedefine/>
    <w:qFormat/>
    <w:uiPriority w:val="0"/>
    <w:rPr>
      <w:color w:val="FF0000"/>
    </w:rPr>
  </w:style>
  <w:style w:type="character" w:customStyle="1" w:styleId="188">
    <w:name w:val="num210"/>
    <w:basedOn w:val="49"/>
    <w:autoRedefine/>
    <w:qFormat/>
    <w:uiPriority w:val="0"/>
  </w:style>
  <w:style w:type="character" w:customStyle="1" w:styleId="189">
    <w:name w:val="buvis1"/>
    <w:autoRedefine/>
    <w:qFormat/>
    <w:uiPriority w:val="0"/>
    <w:rPr>
      <w:color w:val="CC0000"/>
    </w:rPr>
  </w:style>
  <w:style w:type="character" w:customStyle="1" w:styleId="190">
    <w:name w:val="starting3"/>
    <w:basedOn w:val="49"/>
    <w:autoRedefine/>
    <w:qFormat/>
    <w:uiPriority w:val="0"/>
  </w:style>
  <w:style w:type="character" w:customStyle="1" w:styleId="191">
    <w:name w:val="textcontents"/>
    <w:basedOn w:val="49"/>
    <w:autoRedefine/>
    <w:qFormat/>
    <w:uiPriority w:val="0"/>
  </w:style>
  <w:style w:type="character" w:customStyle="1" w:styleId="192">
    <w:name w:val="num41"/>
    <w:basedOn w:val="49"/>
    <w:autoRedefine/>
    <w:qFormat/>
    <w:uiPriority w:val="0"/>
  </w:style>
  <w:style w:type="character" w:customStyle="1" w:styleId="193">
    <w:name w:val="tit9"/>
    <w:autoRedefine/>
    <w:qFormat/>
    <w:uiPriority w:val="0"/>
    <w:rPr>
      <w:color w:val="B60000"/>
      <w:sz w:val="27"/>
      <w:szCs w:val="27"/>
      <w:bdr w:val="single" w:color="DFCEB8" w:sz="6" w:space="0"/>
      <w:shd w:val="clear" w:color="auto" w:fill="FFFFFF"/>
    </w:rPr>
  </w:style>
  <w:style w:type="character" w:customStyle="1" w:styleId="194">
    <w:name w:val="name2"/>
    <w:autoRedefine/>
    <w:qFormat/>
    <w:uiPriority w:val="0"/>
    <w:rPr>
      <w:color w:val="000000"/>
      <w:sz w:val="39"/>
      <w:szCs w:val="39"/>
    </w:rPr>
  </w:style>
  <w:style w:type="character" w:customStyle="1" w:styleId="195">
    <w:name w:val="img_title8"/>
    <w:autoRedefine/>
    <w:qFormat/>
    <w:uiPriority w:val="0"/>
    <w:rPr>
      <w:vanish/>
    </w:rPr>
  </w:style>
  <w:style w:type="character" w:customStyle="1" w:styleId="196">
    <w:name w:val="tit15"/>
    <w:autoRedefine/>
    <w:qFormat/>
    <w:uiPriority w:val="0"/>
    <w:rPr>
      <w:b/>
      <w:color w:val="B60000"/>
    </w:rPr>
  </w:style>
  <w:style w:type="character" w:customStyle="1" w:styleId="197">
    <w:name w:val="img_title9"/>
    <w:autoRedefine/>
    <w:qFormat/>
    <w:uiPriority w:val="0"/>
    <w:rPr>
      <w:vanish/>
    </w:rPr>
  </w:style>
  <w:style w:type="character" w:customStyle="1" w:styleId="198">
    <w:name w:val="标题 2 Char2"/>
    <w:link w:val="4"/>
    <w:autoRedefine/>
    <w:qFormat/>
    <w:uiPriority w:val="0"/>
    <w:rPr>
      <w:rFonts w:ascii="Arial" w:hAnsi="Arial" w:eastAsia="黑体"/>
      <w:b/>
      <w:bCs/>
      <w:kern w:val="2"/>
      <w:sz w:val="21"/>
      <w:szCs w:val="32"/>
      <w:lang w:val="en-US" w:eastAsia="zh-CN" w:bidi="ar-SA"/>
    </w:rPr>
  </w:style>
  <w:style w:type="paragraph" w:customStyle="1" w:styleId="199">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0">
    <w:name w:val="font12"/>
    <w:basedOn w:val="49"/>
    <w:autoRedefine/>
    <w:qFormat/>
    <w:uiPriority w:val="0"/>
    <w:rPr>
      <w:rFonts w:hint="eastAsia" w:ascii="仿宋" w:hAnsi="仿宋" w:eastAsia="仿宋" w:cs="仿宋"/>
      <w:b/>
      <w:color w:val="000000"/>
      <w:sz w:val="32"/>
      <w:szCs w:val="32"/>
      <w:u w:val="none"/>
    </w:rPr>
  </w:style>
  <w:style w:type="character" w:customStyle="1" w:styleId="201">
    <w:name w:val="font101"/>
    <w:basedOn w:val="49"/>
    <w:autoRedefine/>
    <w:qFormat/>
    <w:uiPriority w:val="0"/>
    <w:rPr>
      <w:rFonts w:hint="default" w:ascii="Times New Roman" w:hAnsi="Times New Roman" w:cs="Times New Roman"/>
      <w:color w:val="000000"/>
      <w:sz w:val="24"/>
      <w:szCs w:val="24"/>
      <w:u w:val="none"/>
    </w:rPr>
  </w:style>
  <w:style w:type="character" w:customStyle="1" w:styleId="202">
    <w:name w:val="font111"/>
    <w:basedOn w:val="49"/>
    <w:autoRedefine/>
    <w:qFormat/>
    <w:uiPriority w:val="0"/>
    <w:rPr>
      <w:rFonts w:ascii="仿宋_GB2312" w:eastAsia="仿宋_GB2312" w:cs="仿宋_GB2312"/>
      <w:color w:val="000000"/>
      <w:sz w:val="24"/>
      <w:szCs w:val="24"/>
      <w:u w:val="none"/>
    </w:rPr>
  </w:style>
  <w:style w:type="character" w:customStyle="1" w:styleId="203">
    <w:name w:val="font91"/>
    <w:basedOn w:val="49"/>
    <w:autoRedefine/>
    <w:qFormat/>
    <w:uiPriority w:val="0"/>
    <w:rPr>
      <w:rFonts w:hint="eastAsia" w:ascii="仿宋" w:hAnsi="仿宋" w:eastAsia="仿宋" w:cs="仿宋"/>
      <w:color w:val="000000"/>
      <w:sz w:val="24"/>
      <w:szCs w:val="24"/>
      <w:u w:val="single"/>
    </w:rPr>
  </w:style>
  <w:style w:type="character" w:customStyle="1" w:styleId="204">
    <w:name w:val="font81"/>
    <w:basedOn w:val="49"/>
    <w:autoRedefine/>
    <w:qFormat/>
    <w:uiPriority w:val="0"/>
    <w:rPr>
      <w:rFonts w:hint="default" w:ascii="Times New Roman" w:hAnsi="Times New Roman" w:cs="Times New Roman"/>
      <w:color w:val="000000"/>
      <w:sz w:val="24"/>
      <w:szCs w:val="24"/>
      <w:u w:val="none"/>
    </w:rPr>
  </w:style>
  <w:style w:type="character" w:customStyle="1" w:styleId="205">
    <w:name w:val="font61"/>
    <w:basedOn w:val="49"/>
    <w:autoRedefine/>
    <w:qFormat/>
    <w:uiPriority w:val="0"/>
    <w:rPr>
      <w:rFonts w:hint="eastAsia" w:ascii="仿宋_GB2312" w:eastAsia="仿宋_GB2312" w:cs="仿宋_GB2312"/>
      <w:color w:val="000000"/>
      <w:sz w:val="24"/>
      <w:szCs w:val="24"/>
      <w:u w:val="none"/>
    </w:rPr>
  </w:style>
  <w:style w:type="character" w:customStyle="1" w:styleId="206">
    <w:name w:val="font21"/>
    <w:basedOn w:val="49"/>
    <w:autoRedefine/>
    <w:qFormat/>
    <w:uiPriority w:val="0"/>
    <w:rPr>
      <w:rFonts w:hint="default" w:ascii="Times New Roman" w:hAnsi="Times New Roman" w:cs="Times New Roman"/>
      <w:color w:val="000000"/>
      <w:sz w:val="24"/>
      <w:szCs w:val="24"/>
      <w:u w:val="none"/>
    </w:rPr>
  </w:style>
  <w:style w:type="character" w:customStyle="1" w:styleId="207">
    <w:name w:val="NormalCharacter"/>
    <w:autoRedefine/>
    <w:semiHidden/>
    <w:qFormat/>
    <w:uiPriority w:val="0"/>
    <w:rPr>
      <w:snapToGrid w:val="0"/>
      <w:kern w:val="0"/>
      <w:sz w:val="32"/>
      <w:szCs w:val="32"/>
      <w:lang w:val="en-US" w:eastAsia="zh-CN" w:bidi="ar-SA"/>
    </w:rPr>
  </w:style>
  <w:style w:type="character" w:customStyle="1" w:styleId="208">
    <w:name w:val="first-child1"/>
    <w:basedOn w:val="49"/>
    <w:autoRedefine/>
    <w:qFormat/>
    <w:uiPriority w:val="0"/>
  </w:style>
  <w:style w:type="character" w:customStyle="1" w:styleId="209">
    <w:name w:val="hover1"/>
    <w:basedOn w:val="49"/>
    <w:autoRedefine/>
    <w:qFormat/>
    <w:uiPriority w:val="0"/>
    <w:rPr>
      <w:color w:val="2590EB"/>
    </w:rPr>
  </w:style>
  <w:style w:type="character" w:customStyle="1" w:styleId="210">
    <w:name w:val="hover2"/>
    <w:basedOn w:val="49"/>
    <w:autoRedefine/>
    <w:qFormat/>
    <w:uiPriority w:val="0"/>
  </w:style>
  <w:style w:type="character" w:customStyle="1" w:styleId="211">
    <w:name w:val="hover3"/>
    <w:basedOn w:val="49"/>
    <w:autoRedefine/>
    <w:qFormat/>
    <w:uiPriority w:val="0"/>
    <w:rPr>
      <w:color w:val="2590EB"/>
    </w:rPr>
  </w:style>
  <w:style w:type="character" w:customStyle="1" w:styleId="212">
    <w:name w:val="hover4"/>
    <w:basedOn w:val="49"/>
    <w:autoRedefine/>
    <w:qFormat/>
    <w:uiPriority w:val="0"/>
    <w:rPr>
      <w:color w:val="2590EB"/>
      <w:shd w:val="clear" w:fill="E9F4FD"/>
    </w:rPr>
  </w:style>
  <w:style w:type="character" w:customStyle="1" w:styleId="213">
    <w:name w:val="mini-outputtext1"/>
    <w:basedOn w:val="49"/>
    <w:autoRedefine/>
    <w:qFormat/>
    <w:uiPriority w:val="0"/>
  </w:style>
  <w:style w:type="character" w:customStyle="1" w:styleId="214">
    <w:name w:val="hover"/>
    <w:basedOn w:val="49"/>
    <w:autoRedefine/>
    <w:qFormat/>
    <w:uiPriority w:val="0"/>
    <w:rPr>
      <w:color w:val="2590EB"/>
    </w:rPr>
  </w:style>
  <w:style w:type="character" w:customStyle="1" w:styleId="215">
    <w:name w:val="15"/>
    <w:basedOn w:val="49"/>
    <w:qFormat/>
    <w:uiPriority w:val="0"/>
    <w:rPr>
      <w:rFonts w:hint="default" w:ascii="Times New Roman" w:hAnsi="Times New Roman" w:cs="Times New Roman"/>
    </w:rPr>
  </w:style>
  <w:style w:type="character" w:customStyle="1" w:styleId="216">
    <w:name w:val="10"/>
    <w:basedOn w:val="49"/>
    <w:qFormat/>
    <w:uiPriority w:val="0"/>
    <w:rPr>
      <w:rFonts w:hint="default" w:ascii="Times New Roman" w:hAnsi="Times New Roman" w:cs="Times New Roman"/>
    </w:rPr>
  </w:style>
  <w:style w:type="character" w:customStyle="1" w:styleId="217">
    <w:name w:val="font01"/>
    <w:basedOn w:val="49"/>
    <w:qFormat/>
    <w:uiPriority w:val="0"/>
    <w:rPr>
      <w:rFonts w:hint="eastAsia" w:ascii="宋体" w:hAnsi="宋体" w:eastAsia="宋体" w:cs="宋体"/>
      <w:color w:val="000000"/>
      <w:sz w:val="22"/>
      <w:szCs w:val="22"/>
      <w:u w:val="none"/>
    </w:rPr>
  </w:style>
  <w:style w:type="character" w:customStyle="1" w:styleId="218">
    <w:name w:val="font31"/>
    <w:basedOn w:val="49"/>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B6A8AB-B2A1-4B55-8D10-16A16BEFEE1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49</Pages>
  <Words>13637</Words>
  <Characters>14816</Characters>
  <Lines>1</Lines>
  <Paragraphs>1</Paragraphs>
  <TotalTime>3</TotalTime>
  <ScaleCrop>false</ScaleCrop>
  <LinksUpToDate>false</LinksUpToDate>
  <CharactersWithSpaces>15030</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Pim Pom丶</cp:lastModifiedBy>
  <cp:lastPrinted>2023-06-08T00:43:00Z</cp:lastPrinted>
  <dcterms:modified xsi:type="dcterms:W3CDTF">2026-06-18T11:49:33Z</dcterms:modified>
  <dc:title>标准交易文件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F7627819E68A4DEB91D391970D8FBDB4_13</vt:lpwstr>
  </property>
  <property fmtid="{D5CDD505-2E9C-101B-9397-08002B2CF9AE}" pid="4" name="KSOTemplateDocerSaveRecord">
    <vt:lpwstr>eyJoZGlkIjoiMDk2MmQyNTdjMmYyM2I4Njk3YjVkOTliYjhhNDZiYTEiLCJ1c2VySWQiOiI0MDkyMjI1MTkifQ==</vt:lpwstr>
  </property>
</Properties>
</file>