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091780">
      <w:pPr>
        <w:adjustRightInd w:val="0"/>
        <w:snapToGrid w:val="0"/>
        <w:spacing w:line="360" w:lineRule="auto"/>
        <w:jc w:val="center"/>
        <w:rPr>
          <w:rFonts w:hint="eastAsia" w:ascii="宋体" w:hAnsi="宋体" w:cs="宋体"/>
          <w:b/>
          <w:bCs/>
          <w:color w:val="000000"/>
          <w:sz w:val="40"/>
          <w:szCs w:val="40"/>
          <w:highlight w:val="none"/>
        </w:rPr>
      </w:pPr>
      <w:bookmarkStart w:id="0" w:name="_Toc144974479"/>
      <w:bookmarkStart w:id="1" w:name="_Toc152045511"/>
      <w:bookmarkStart w:id="2" w:name="_Toc152042287"/>
      <w:bookmarkStart w:id="3" w:name="_Toc179632527"/>
      <w:bookmarkStart w:id="4" w:name="OLE_LINK1"/>
      <w:bookmarkStart w:id="5" w:name="OLE_LINK5"/>
      <w:bookmarkStart w:id="6" w:name="OLE_LINK2"/>
      <w:bookmarkStart w:id="7" w:name="OLE_LINK3"/>
      <w:bookmarkStart w:id="8" w:name="OLE_LINK4"/>
    </w:p>
    <w:p w14:paraId="3ED78881">
      <w:pPr>
        <w:adjustRightInd w:val="0"/>
        <w:snapToGrid w:val="0"/>
        <w:spacing w:line="360" w:lineRule="auto"/>
        <w:jc w:val="center"/>
        <w:rPr>
          <w:rFonts w:hint="eastAsia" w:ascii="宋体" w:hAnsi="宋体" w:cs="宋体"/>
          <w:color w:val="000000"/>
          <w:sz w:val="36"/>
          <w:szCs w:val="36"/>
          <w:highlight w:val="none"/>
        </w:rPr>
      </w:pPr>
      <w:r>
        <w:rPr>
          <w:rFonts w:hint="eastAsia" w:ascii="宋体" w:hAnsi="宋体" w:cs="宋体"/>
          <w:b/>
          <w:bCs/>
          <w:color w:val="000000"/>
          <w:sz w:val="48"/>
          <w:szCs w:val="48"/>
          <w:highlight w:val="none"/>
        </w:rPr>
        <w:t>滁州市琅琊区重点流域农业面源污染治理项目EPC相关设备采购</w:t>
      </w:r>
    </w:p>
    <w:p w14:paraId="6D9C9234">
      <w:pPr>
        <w:adjustRightInd w:val="0"/>
        <w:snapToGrid w:val="0"/>
        <w:spacing w:line="360" w:lineRule="auto"/>
        <w:rPr>
          <w:rFonts w:hint="eastAsia" w:ascii="宋体" w:hAnsi="宋体" w:cs="宋体"/>
          <w:color w:val="000000"/>
          <w:szCs w:val="21"/>
          <w:highlight w:val="none"/>
        </w:rPr>
      </w:pPr>
    </w:p>
    <w:p w14:paraId="2AA1D0D3">
      <w:pPr>
        <w:adjustRightInd w:val="0"/>
        <w:snapToGrid w:val="0"/>
        <w:spacing w:line="360" w:lineRule="auto"/>
        <w:jc w:val="center"/>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rPr>
        <w:t>招 标 文 件</w:t>
      </w:r>
    </w:p>
    <w:p w14:paraId="1CD4F2EA">
      <w:pPr>
        <w:adjustRightInd w:val="0"/>
        <w:snapToGrid w:val="0"/>
        <w:spacing w:line="360" w:lineRule="auto"/>
        <w:jc w:val="center"/>
        <w:rPr>
          <w:rFonts w:hint="eastAsia" w:ascii="宋体" w:hAnsi="宋体" w:cs="宋体"/>
          <w:color w:val="000000"/>
          <w:spacing w:val="140"/>
          <w:sz w:val="28"/>
          <w:szCs w:val="28"/>
          <w:highlight w:val="none"/>
        </w:rPr>
      </w:pPr>
      <w:r>
        <w:rPr>
          <w:rFonts w:hint="eastAsia" w:ascii="宋体" w:hAnsi="宋体" w:cs="宋体"/>
          <w:color w:val="000000"/>
          <w:sz w:val="30"/>
          <w:szCs w:val="30"/>
          <w:highlight w:val="none"/>
        </w:rPr>
        <w:t>招标项目编号：</w:t>
      </w:r>
      <w:r>
        <w:rPr>
          <w:rFonts w:hint="default" w:ascii="宋体" w:hAnsi="宋体" w:cs="宋体"/>
          <w:color w:val="000000"/>
          <w:sz w:val="30"/>
          <w:szCs w:val="30"/>
          <w:highlight w:val="none"/>
        </w:rPr>
        <w:t>czlygc202609-001</w:t>
      </w:r>
    </w:p>
    <w:p w14:paraId="3077C0B1">
      <w:pPr>
        <w:jc w:val="center"/>
        <w:rPr>
          <w:rFonts w:hint="eastAsia" w:ascii="宋体" w:hAnsi="宋体" w:cs="宋体"/>
          <w:color w:val="000000"/>
          <w:sz w:val="72"/>
          <w:szCs w:val="72"/>
          <w:highlight w:val="none"/>
        </w:rPr>
      </w:pPr>
    </w:p>
    <w:p w14:paraId="7D281D4A">
      <w:pPr>
        <w:spacing w:line="540" w:lineRule="exact"/>
        <w:ind w:firstLine="437"/>
        <w:rPr>
          <w:rFonts w:hint="eastAsia" w:ascii="宋体" w:hAnsi="宋体" w:cs="宋体"/>
          <w:color w:val="000000"/>
          <w:szCs w:val="21"/>
          <w:highlight w:val="none"/>
        </w:rPr>
      </w:pPr>
    </w:p>
    <w:p w14:paraId="06F89BAB">
      <w:pPr>
        <w:spacing w:line="540" w:lineRule="exact"/>
        <w:ind w:firstLine="437"/>
        <w:rPr>
          <w:rFonts w:hint="eastAsia" w:ascii="宋体" w:hAnsi="宋体" w:cs="宋体"/>
          <w:color w:val="000000"/>
          <w:szCs w:val="21"/>
          <w:highlight w:val="none"/>
        </w:rPr>
      </w:pPr>
    </w:p>
    <w:p w14:paraId="0A78A54C">
      <w:pPr>
        <w:spacing w:line="540" w:lineRule="exact"/>
        <w:rPr>
          <w:rFonts w:hint="eastAsia" w:ascii="宋体" w:hAnsi="宋体" w:cs="宋体"/>
          <w:color w:val="000000"/>
          <w:szCs w:val="21"/>
          <w:highlight w:val="none"/>
        </w:rPr>
      </w:pPr>
    </w:p>
    <w:p w14:paraId="516A1499">
      <w:pPr>
        <w:pStyle w:val="26"/>
        <w:rPr>
          <w:color w:val="000000"/>
          <w:highlight w:val="none"/>
        </w:rPr>
      </w:pPr>
    </w:p>
    <w:p w14:paraId="6DA51010">
      <w:pPr>
        <w:rPr>
          <w:color w:val="000000"/>
          <w:highlight w:val="none"/>
        </w:rPr>
      </w:pPr>
    </w:p>
    <w:p w14:paraId="706637E3">
      <w:pPr>
        <w:rPr>
          <w:color w:val="000000"/>
          <w:highlight w:val="none"/>
        </w:rPr>
      </w:pPr>
    </w:p>
    <w:p w14:paraId="1C7AE5E5">
      <w:pPr>
        <w:spacing w:line="540" w:lineRule="exact"/>
        <w:rPr>
          <w:rFonts w:hint="eastAsia" w:ascii="宋体" w:hAnsi="宋体" w:cs="宋体"/>
          <w:color w:val="000000"/>
          <w:szCs w:val="21"/>
          <w:highlight w:val="none"/>
        </w:rPr>
      </w:pPr>
    </w:p>
    <w:p w14:paraId="31D2415B">
      <w:pPr>
        <w:spacing w:line="540" w:lineRule="exact"/>
        <w:ind w:firstLine="437"/>
        <w:rPr>
          <w:rFonts w:hint="eastAsia" w:ascii="宋体" w:hAnsi="宋体" w:cs="宋体"/>
          <w:color w:val="000000"/>
          <w:szCs w:val="21"/>
          <w:highlight w:val="none"/>
        </w:rPr>
      </w:pPr>
    </w:p>
    <w:p w14:paraId="6A221E9E">
      <w:pPr>
        <w:spacing w:line="540" w:lineRule="exact"/>
        <w:rPr>
          <w:rFonts w:hint="eastAsia" w:ascii="宋体" w:hAnsi="宋体" w:cs="宋体"/>
          <w:color w:val="000000"/>
          <w:szCs w:val="21"/>
          <w:highlight w:val="none"/>
        </w:rPr>
      </w:pPr>
    </w:p>
    <w:p w14:paraId="39FD7614">
      <w:pPr>
        <w:adjustRightInd w:val="0"/>
        <w:snapToGrid w:val="0"/>
        <w:spacing w:line="480" w:lineRule="auto"/>
        <w:ind w:firstLine="437"/>
        <w:rPr>
          <w:rFonts w:hint="eastAsia" w:ascii="宋体" w:hAnsi="宋体" w:cs="宋体"/>
          <w:color w:val="000000"/>
          <w:szCs w:val="21"/>
          <w:highlight w:val="none"/>
        </w:rPr>
      </w:pPr>
    </w:p>
    <w:p w14:paraId="4BA7BF92">
      <w:pPr>
        <w:adjustRightInd w:val="0"/>
        <w:snapToGrid w:val="0"/>
        <w:spacing w:line="480" w:lineRule="auto"/>
        <w:ind w:firstLine="960" w:firstLineChars="300"/>
        <w:rPr>
          <w:rFonts w:hint="eastAsia" w:ascii="宋体" w:hAnsi="宋体" w:cs="宋体"/>
          <w:color w:val="000000"/>
          <w:sz w:val="32"/>
          <w:szCs w:val="32"/>
          <w:highlight w:val="none"/>
        </w:rPr>
      </w:pPr>
      <w:r>
        <w:rPr>
          <w:rFonts w:hint="eastAsia" w:ascii="宋体" w:hAnsi="宋体" w:cs="宋体"/>
          <w:color w:val="000000"/>
          <w:sz w:val="32"/>
          <w:szCs w:val="32"/>
          <w:highlight w:val="none"/>
        </w:rPr>
        <w:t>招   标   人：</w:t>
      </w:r>
      <w:r>
        <w:rPr>
          <w:rFonts w:hint="eastAsia" w:ascii="宋体" w:hAnsi="宋体" w:cs="宋体"/>
          <w:color w:val="000000"/>
          <w:sz w:val="32"/>
          <w:szCs w:val="32"/>
          <w:highlight w:val="none"/>
          <w:u w:val="single"/>
        </w:rPr>
        <w:t>中电建生态环境集团有限公司</w:t>
      </w:r>
      <w:r>
        <w:rPr>
          <w:rFonts w:hint="eastAsia" w:ascii="宋体" w:hAnsi="宋体" w:cs="宋体"/>
          <w:color w:val="000000"/>
          <w:sz w:val="32"/>
          <w:szCs w:val="32"/>
          <w:highlight w:val="none"/>
        </w:rPr>
        <w:t>（盖章）</w:t>
      </w:r>
    </w:p>
    <w:p w14:paraId="7D6D29DD">
      <w:pPr>
        <w:adjustRightInd w:val="0"/>
        <w:snapToGrid w:val="0"/>
        <w:spacing w:line="480" w:lineRule="auto"/>
        <w:ind w:firstLine="960" w:firstLineChars="300"/>
        <w:rPr>
          <w:color w:val="000000"/>
          <w:highlight w:val="none"/>
        </w:rPr>
      </w:pPr>
      <w:r>
        <w:rPr>
          <w:rFonts w:hint="eastAsia" w:ascii="宋体" w:hAnsi="宋体" w:cs="宋体"/>
          <w:color w:val="000000"/>
          <w:sz w:val="32"/>
          <w:szCs w:val="32"/>
          <w:highlight w:val="none"/>
        </w:rPr>
        <w:t>招标代理机构：</w:t>
      </w:r>
      <w:r>
        <w:rPr>
          <w:rFonts w:hint="eastAsia" w:ascii="宋体" w:hAnsi="宋体" w:cs="宋体"/>
          <w:color w:val="000000"/>
          <w:sz w:val="32"/>
          <w:szCs w:val="32"/>
          <w:highlight w:val="none"/>
          <w:u w:val="single"/>
        </w:rPr>
        <w:t>滁州市城投工程咨询管理有限公司</w:t>
      </w:r>
      <w:r>
        <w:rPr>
          <w:rFonts w:hint="eastAsia" w:ascii="宋体" w:hAnsi="宋体" w:cs="宋体"/>
          <w:color w:val="000000"/>
          <w:sz w:val="32"/>
          <w:szCs w:val="32"/>
          <w:highlight w:val="none"/>
        </w:rPr>
        <w:t>（盖章）</w:t>
      </w:r>
    </w:p>
    <w:p w14:paraId="5FEBFDB7">
      <w:pPr>
        <w:jc w:val="center"/>
        <w:rPr>
          <w:rFonts w:hint="eastAsia" w:ascii="宋体" w:hAnsi="宋体" w:cs="宋体"/>
          <w:color w:val="000000"/>
          <w:sz w:val="32"/>
          <w:szCs w:val="32"/>
          <w:highlight w:val="none"/>
        </w:rPr>
      </w:pPr>
      <w:r>
        <w:rPr>
          <w:rFonts w:hint="eastAsia" w:ascii="宋体" w:hAnsi="宋体" w:cs="宋体"/>
          <w:color w:val="000000"/>
          <w:sz w:val="32"/>
          <w:szCs w:val="32"/>
          <w:highlight w:val="none"/>
          <w:u w:val="single"/>
        </w:rPr>
        <w:t>2026</w:t>
      </w:r>
      <w:r>
        <w:rPr>
          <w:rFonts w:hint="eastAsia" w:ascii="宋体" w:hAnsi="宋体" w:cs="宋体"/>
          <w:color w:val="000000"/>
          <w:sz w:val="32"/>
          <w:szCs w:val="32"/>
          <w:highlight w:val="none"/>
        </w:rPr>
        <w:t>年</w:t>
      </w:r>
      <w:r>
        <w:rPr>
          <w:rFonts w:hint="eastAsia" w:ascii="宋体" w:hAnsi="宋体" w:cs="宋体"/>
          <w:color w:val="000000"/>
          <w:sz w:val="32"/>
          <w:szCs w:val="32"/>
          <w:highlight w:val="none"/>
          <w:u w:val="single"/>
        </w:rPr>
        <w:t>09</w:t>
      </w:r>
      <w:r>
        <w:rPr>
          <w:rFonts w:hint="eastAsia" w:ascii="宋体" w:hAnsi="宋体" w:cs="宋体"/>
          <w:color w:val="000000"/>
          <w:sz w:val="32"/>
          <w:szCs w:val="32"/>
          <w:highlight w:val="none"/>
        </w:rPr>
        <w:t>月</w:t>
      </w:r>
      <w:r>
        <w:rPr>
          <w:rFonts w:hint="eastAsia" w:ascii="宋体" w:hAnsi="宋体" w:cs="宋体"/>
          <w:color w:val="000000"/>
          <w:sz w:val="32"/>
          <w:szCs w:val="32"/>
          <w:highlight w:val="none"/>
          <w:u w:val="single"/>
          <w:lang w:val="en-US" w:eastAsia="zh-CN"/>
        </w:rPr>
        <w:t>24</w:t>
      </w:r>
      <w:r>
        <w:rPr>
          <w:rFonts w:hint="eastAsia" w:ascii="宋体" w:hAnsi="宋体" w:cs="宋体"/>
          <w:color w:val="000000"/>
          <w:sz w:val="32"/>
          <w:szCs w:val="32"/>
          <w:highlight w:val="none"/>
        </w:rPr>
        <w:t>日</w:t>
      </w:r>
    </w:p>
    <w:p w14:paraId="7B714E30">
      <w:pPr>
        <w:pStyle w:val="26"/>
        <w:rPr>
          <w:color w:val="000000"/>
          <w:highlight w:val="none"/>
        </w:rPr>
      </w:pPr>
    </w:p>
    <w:p w14:paraId="44D1792E">
      <w:pPr>
        <w:rPr>
          <w:color w:val="000000"/>
          <w:sz w:val="52"/>
          <w:highlight w:val="none"/>
          <w:lang w:val="zh-CN"/>
        </w:rPr>
      </w:pPr>
      <w:r>
        <w:rPr>
          <w:color w:val="000000"/>
          <w:sz w:val="52"/>
          <w:highlight w:val="none"/>
          <w:lang w:val="zh-CN"/>
        </w:rPr>
        <w:br w:type="page"/>
      </w:r>
    </w:p>
    <w:p w14:paraId="3322A95C">
      <w:pPr>
        <w:pStyle w:val="43"/>
        <w:adjustRightInd w:val="0"/>
        <w:snapToGrid w:val="0"/>
        <w:spacing w:before="0" w:line="240" w:lineRule="auto"/>
        <w:ind w:right="210" w:rightChars="100"/>
        <w:jc w:val="center"/>
        <w:rPr>
          <w:color w:val="000000"/>
          <w:sz w:val="52"/>
          <w:highlight w:val="none"/>
        </w:rPr>
      </w:pPr>
      <w:r>
        <w:rPr>
          <w:color w:val="000000"/>
          <w:sz w:val="52"/>
          <w:highlight w:val="none"/>
          <w:lang w:val="zh-CN"/>
        </w:rPr>
        <w:t>目</w:t>
      </w:r>
      <w:r>
        <w:rPr>
          <w:rFonts w:hint="eastAsia"/>
          <w:color w:val="000000"/>
          <w:sz w:val="52"/>
          <w:highlight w:val="none"/>
          <w:lang w:val="zh-CN"/>
        </w:rPr>
        <w:t xml:space="preserve">  </w:t>
      </w:r>
      <w:r>
        <w:rPr>
          <w:color w:val="000000"/>
          <w:sz w:val="52"/>
          <w:highlight w:val="none"/>
          <w:lang w:val="zh-CN"/>
        </w:rPr>
        <w:t>录</w:t>
      </w:r>
    </w:p>
    <w:p w14:paraId="53C80B7B">
      <w:pPr>
        <w:pStyle w:val="21"/>
        <w:tabs>
          <w:tab w:val="right" w:leader="dot" w:pos="10120"/>
        </w:tabs>
        <w:rPr>
          <w:rFonts w:ascii="Calibri" w:hAnsi="Calibri"/>
          <w:b w:val="0"/>
          <w:bCs w:val="0"/>
          <w:caps w:val="0"/>
          <w:color w:val="000000"/>
          <w:sz w:val="32"/>
          <w:szCs w:val="22"/>
          <w:highlight w:val="none"/>
        </w:rPr>
      </w:pPr>
      <w:r>
        <w:rPr>
          <w:color w:val="000000"/>
          <w:highlight w:val="none"/>
        </w:rPr>
        <w:fldChar w:fldCharType="begin"/>
      </w:r>
      <w:r>
        <w:rPr>
          <w:color w:val="000000"/>
          <w:highlight w:val="none"/>
        </w:rPr>
        <w:instrText xml:space="preserve"> TOC \o "1-3" \h \z \u </w:instrText>
      </w:r>
      <w:r>
        <w:rPr>
          <w:color w:val="000000"/>
          <w:highlight w:val="none"/>
        </w:rPr>
        <w:fldChar w:fldCharType="separate"/>
      </w:r>
      <w:r>
        <w:rPr>
          <w:highlight w:val="none"/>
        </w:rPr>
        <w:fldChar w:fldCharType="begin"/>
      </w:r>
      <w:r>
        <w:rPr>
          <w:highlight w:val="none"/>
        </w:rPr>
        <w:instrText xml:space="preserve"> HYPERLINK \l "_Toc95223332" </w:instrText>
      </w:r>
      <w:r>
        <w:rPr>
          <w:highlight w:val="none"/>
        </w:rPr>
        <w:fldChar w:fldCharType="separate"/>
      </w:r>
      <w:r>
        <w:rPr>
          <w:rStyle w:val="37"/>
          <w:rFonts w:hint="eastAsia"/>
          <w:color w:val="000000"/>
          <w:sz w:val="28"/>
          <w:highlight w:val="none"/>
        </w:rPr>
        <w:t>第一章</w:t>
      </w:r>
      <w:r>
        <w:rPr>
          <w:rStyle w:val="37"/>
          <w:color w:val="000000"/>
          <w:sz w:val="28"/>
          <w:highlight w:val="none"/>
        </w:rPr>
        <w:t xml:space="preserve"> </w:t>
      </w:r>
      <w:r>
        <w:rPr>
          <w:rStyle w:val="37"/>
          <w:rFonts w:hint="eastAsia"/>
          <w:color w:val="000000"/>
          <w:sz w:val="28"/>
          <w:highlight w:val="none"/>
        </w:rPr>
        <w:t>招标公告</w:t>
      </w:r>
      <w:r>
        <w:rPr>
          <w:color w:val="000000"/>
          <w:sz w:val="28"/>
          <w:highlight w:val="none"/>
        </w:rPr>
        <w:tab/>
      </w:r>
      <w:r>
        <w:rPr>
          <w:color w:val="000000"/>
          <w:sz w:val="28"/>
          <w:highlight w:val="none"/>
        </w:rPr>
        <w:fldChar w:fldCharType="begin"/>
      </w:r>
      <w:r>
        <w:rPr>
          <w:color w:val="000000"/>
          <w:sz w:val="28"/>
          <w:highlight w:val="none"/>
        </w:rPr>
        <w:instrText xml:space="preserve"> PAGEREF _Toc95223332 \h </w:instrText>
      </w:r>
      <w:r>
        <w:rPr>
          <w:color w:val="000000"/>
          <w:sz w:val="28"/>
          <w:highlight w:val="none"/>
        </w:rPr>
        <w:fldChar w:fldCharType="separate"/>
      </w:r>
      <w:r>
        <w:rPr>
          <w:color w:val="000000"/>
          <w:sz w:val="28"/>
          <w:highlight w:val="none"/>
        </w:rPr>
        <w:t>1</w:t>
      </w:r>
      <w:r>
        <w:rPr>
          <w:color w:val="000000"/>
          <w:sz w:val="28"/>
          <w:highlight w:val="none"/>
        </w:rPr>
        <w:fldChar w:fldCharType="end"/>
      </w:r>
      <w:r>
        <w:rPr>
          <w:color w:val="000000"/>
          <w:sz w:val="28"/>
          <w:highlight w:val="none"/>
        </w:rPr>
        <w:fldChar w:fldCharType="end"/>
      </w:r>
    </w:p>
    <w:p w14:paraId="3C6D5E74">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"_Toc95223333" </w:instrText>
      </w:r>
      <w:r>
        <w:rPr>
          <w:highlight w:val="none"/>
        </w:rPr>
        <w:fldChar w:fldCharType="separate"/>
      </w:r>
      <w:r>
        <w:rPr>
          <w:rStyle w:val="37"/>
          <w:rFonts w:hint="eastAsia"/>
          <w:color w:val="000000"/>
          <w:sz w:val="28"/>
          <w:highlight w:val="none"/>
        </w:rPr>
        <w:t>第二章</w:t>
      </w:r>
      <w:r>
        <w:rPr>
          <w:rStyle w:val="37"/>
          <w:color w:val="000000"/>
          <w:sz w:val="28"/>
          <w:highlight w:val="none"/>
        </w:rPr>
        <w:t xml:space="preserve"> </w:t>
      </w:r>
      <w:r>
        <w:rPr>
          <w:rStyle w:val="37"/>
          <w:rFonts w:hint="eastAsia"/>
          <w:color w:val="000000"/>
          <w:sz w:val="28"/>
          <w:highlight w:val="none"/>
        </w:rPr>
        <w:t>投标人须知</w:t>
      </w:r>
      <w:r>
        <w:rPr>
          <w:color w:val="000000"/>
          <w:sz w:val="28"/>
          <w:highlight w:val="none"/>
        </w:rPr>
        <w:tab/>
      </w:r>
      <w:r>
        <w:rPr>
          <w:rFonts w:hint="eastAsia"/>
          <w:color w:val="000000"/>
          <w:sz w:val="28"/>
          <w:highlight w:val="none"/>
        </w:rPr>
        <w:t>1</w:t>
      </w:r>
      <w:r>
        <w:rPr>
          <w:rFonts w:hint="eastAsia"/>
          <w:color w:val="000000"/>
          <w:sz w:val="28"/>
          <w:highlight w:val="none"/>
        </w:rPr>
        <w:fldChar w:fldCharType="end"/>
      </w:r>
      <w:r>
        <w:rPr>
          <w:rStyle w:val="37"/>
          <w:rFonts w:hint="eastAsia"/>
          <w:color w:val="000000"/>
          <w:sz w:val="28"/>
          <w:highlight w:val="none"/>
        </w:rPr>
        <w:t>0</w:t>
      </w:r>
    </w:p>
    <w:p w14:paraId="4ACD49C7">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"_Toc95223391" </w:instrText>
      </w:r>
      <w:r>
        <w:rPr>
          <w:highlight w:val="none"/>
        </w:rPr>
        <w:fldChar w:fldCharType="separate"/>
      </w:r>
      <w:r>
        <w:rPr>
          <w:rStyle w:val="37"/>
          <w:rFonts w:hint="eastAsia"/>
          <w:color w:val="000000"/>
          <w:sz w:val="28"/>
          <w:highlight w:val="none"/>
        </w:rPr>
        <w:t>第三章</w:t>
      </w:r>
      <w:r>
        <w:rPr>
          <w:rStyle w:val="37"/>
          <w:color w:val="000000"/>
          <w:sz w:val="28"/>
          <w:highlight w:val="none"/>
        </w:rPr>
        <w:t xml:space="preserve"> </w:t>
      </w:r>
      <w:r>
        <w:rPr>
          <w:rStyle w:val="37"/>
          <w:rFonts w:hint="eastAsia"/>
          <w:color w:val="000000"/>
          <w:sz w:val="28"/>
          <w:highlight w:val="none"/>
        </w:rPr>
        <w:t>资格审查办法</w:t>
      </w:r>
      <w:r>
        <w:rPr>
          <w:color w:val="000000"/>
          <w:sz w:val="28"/>
          <w:highlight w:val="none"/>
        </w:rPr>
        <w:tab/>
      </w:r>
      <w:r>
        <w:rPr>
          <w:rFonts w:hint="eastAsia"/>
          <w:color w:val="000000"/>
          <w:sz w:val="28"/>
          <w:highlight w:val="none"/>
        </w:rPr>
        <w:t>1</w:t>
      </w:r>
      <w:r>
        <w:rPr>
          <w:rFonts w:hint="eastAsia"/>
          <w:color w:val="000000"/>
          <w:sz w:val="28"/>
          <w:highlight w:val="none"/>
        </w:rPr>
        <w:fldChar w:fldCharType="end"/>
      </w:r>
      <w:r>
        <w:rPr>
          <w:rStyle w:val="37"/>
          <w:rFonts w:hint="eastAsia"/>
          <w:color w:val="000000"/>
          <w:sz w:val="28"/>
          <w:highlight w:val="none"/>
        </w:rPr>
        <w:t>7</w:t>
      </w:r>
    </w:p>
    <w:p w14:paraId="409435A1">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"_Toc95223428" </w:instrText>
      </w:r>
      <w:r>
        <w:rPr>
          <w:highlight w:val="none"/>
        </w:rPr>
        <w:fldChar w:fldCharType="separate"/>
      </w:r>
      <w:r>
        <w:rPr>
          <w:rStyle w:val="37"/>
          <w:rFonts w:hint="eastAsia"/>
          <w:color w:val="000000"/>
          <w:sz w:val="28"/>
          <w:highlight w:val="none"/>
        </w:rPr>
        <w:t>第四章 评标办法（综合评估法）</w:t>
      </w:r>
      <w:r>
        <w:rPr>
          <w:color w:val="000000"/>
          <w:sz w:val="28"/>
          <w:highlight w:val="none"/>
        </w:rPr>
        <w:tab/>
      </w:r>
      <w:r>
        <w:rPr>
          <w:rFonts w:hint="eastAsia"/>
          <w:color w:val="000000"/>
          <w:sz w:val="28"/>
          <w:highlight w:val="none"/>
        </w:rPr>
        <w:t>1</w:t>
      </w:r>
      <w:r>
        <w:rPr>
          <w:rFonts w:hint="eastAsia"/>
          <w:color w:val="000000"/>
          <w:sz w:val="28"/>
          <w:highlight w:val="none"/>
        </w:rPr>
        <w:fldChar w:fldCharType="end"/>
      </w:r>
      <w:r>
        <w:rPr>
          <w:rStyle w:val="37"/>
          <w:rFonts w:hint="eastAsia"/>
          <w:color w:val="000000"/>
          <w:sz w:val="28"/>
          <w:highlight w:val="none"/>
        </w:rPr>
        <w:t>9</w:t>
      </w:r>
    </w:p>
    <w:p w14:paraId="10DA2F44">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"_Toc95223458" </w:instrText>
      </w:r>
      <w:r>
        <w:rPr>
          <w:highlight w:val="none"/>
        </w:rPr>
        <w:fldChar w:fldCharType="separate"/>
      </w:r>
      <w:r>
        <w:rPr>
          <w:rStyle w:val="37"/>
          <w:rFonts w:hint="eastAsia"/>
          <w:color w:val="000000"/>
          <w:sz w:val="28"/>
          <w:highlight w:val="none"/>
        </w:rPr>
        <w:t>第五章</w:t>
      </w:r>
      <w:r>
        <w:rPr>
          <w:rStyle w:val="37"/>
          <w:color w:val="000000"/>
          <w:sz w:val="28"/>
          <w:highlight w:val="none"/>
        </w:rPr>
        <w:t xml:space="preserve"> </w:t>
      </w:r>
      <w:r>
        <w:rPr>
          <w:rStyle w:val="37"/>
          <w:rFonts w:hint="eastAsia"/>
          <w:color w:val="000000"/>
          <w:sz w:val="28"/>
          <w:highlight w:val="none"/>
        </w:rPr>
        <w:t>合同条款及格式</w:t>
      </w:r>
      <w:r>
        <w:rPr>
          <w:color w:val="000000"/>
          <w:sz w:val="28"/>
          <w:highlight w:val="none"/>
        </w:rPr>
        <w:tab/>
      </w:r>
      <w:r>
        <w:rPr>
          <w:rFonts w:hint="eastAsia"/>
          <w:color w:val="000000"/>
          <w:sz w:val="28"/>
          <w:highlight w:val="none"/>
        </w:rPr>
        <w:t>3</w:t>
      </w:r>
      <w:r>
        <w:rPr>
          <w:rFonts w:hint="eastAsia"/>
          <w:color w:val="000000"/>
          <w:sz w:val="28"/>
          <w:highlight w:val="none"/>
        </w:rPr>
        <w:fldChar w:fldCharType="end"/>
      </w:r>
      <w:r>
        <w:rPr>
          <w:rStyle w:val="37"/>
          <w:rFonts w:hint="eastAsia"/>
          <w:color w:val="000000"/>
          <w:sz w:val="28"/>
          <w:highlight w:val="none"/>
        </w:rPr>
        <w:t>0</w:t>
      </w:r>
    </w:p>
    <w:p w14:paraId="1D540C03">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"_Toc95223515" </w:instrText>
      </w:r>
      <w:r>
        <w:rPr>
          <w:highlight w:val="none"/>
        </w:rPr>
        <w:fldChar w:fldCharType="separate"/>
      </w:r>
      <w:r>
        <w:rPr>
          <w:rStyle w:val="37"/>
          <w:rFonts w:hint="eastAsia" w:ascii="宋体" w:hAnsi="宋体" w:cs="宋体"/>
          <w:color w:val="000000"/>
          <w:kern w:val="44"/>
          <w:sz w:val="28"/>
          <w:highlight w:val="none"/>
        </w:rPr>
        <w:t>第六章 工程量清单</w:t>
      </w:r>
      <w:r>
        <w:rPr>
          <w:color w:val="000000"/>
          <w:sz w:val="28"/>
          <w:highlight w:val="none"/>
        </w:rPr>
        <w:tab/>
      </w:r>
      <w:r>
        <w:rPr>
          <w:rFonts w:hint="eastAsia"/>
          <w:color w:val="000000"/>
          <w:sz w:val="28"/>
          <w:highlight w:val="none"/>
        </w:rPr>
        <w:t>5</w:t>
      </w:r>
      <w:r>
        <w:rPr>
          <w:rFonts w:hint="eastAsia"/>
          <w:color w:val="000000"/>
          <w:sz w:val="28"/>
          <w:highlight w:val="none"/>
        </w:rPr>
        <w:fldChar w:fldCharType="end"/>
      </w:r>
      <w:r>
        <w:rPr>
          <w:rStyle w:val="37"/>
          <w:rFonts w:hint="eastAsia"/>
          <w:color w:val="000000"/>
          <w:sz w:val="28"/>
          <w:highlight w:val="none"/>
        </w:rPr>
        <w:t>7</w:t>
      </w:r>
    </w:p>
    <w:p w14:paraId="3C5D8D6E">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"_Toc95223522" </w:instrText>
      </w:r>
      <w:r>
        <w:rPr>
          <w:highlight w:val="none"/>
        </w:rPr>
        <w:fldChar w:fldCharType="separate"/>
      </w:r>
      <w:r>
        <w:rPr>
          <w:rStyle w:val="37"/>
          <w:rFonts w:hint="eastAsia" w:ascii="宋体" w:hAnsi="宋体" w:cs="宋体"/>
          <w:color w:val="000000"/>
          <w:kern w:val="44"/>
          <w:sz w:val="28"/>
          <w:highlight w:val="none"/>
        </w:rPr>
        <w:t>第七章</w:t>
      </w:r>
      <w:r>
        <w:rPr>
          <w:rStyle w:val="37"/>
          <w:rFonts w:ascii="宋体" w:hAnsi="宋体" w:cs="宋体"/>
          <w:color w:val="000000"/>
          <w:kern w:val="44"/>
          <w:sz w:val="28"/>
          <w:highlight w:val="none"/>
        </w:rPr>
        <w:t xml:space="preserve"> </w:t>
      </w:r>
      <w:r>
        <w:rPr>
          <w:rStyle w:val="37"/>
          <w:rFonts w:hint="eastAsia" w:ascii="宋体" w:hAnsi="宋体" w:cs="宋体"/>
          <w:color w:val="000000"/>
          <w:kern w:val="44"/>
          <w:sz w:val="28"/>
          <w:highlight w:val="none"/>
        </w:rPr>
        <w:t>图</w:t>
      </w:r>
      <w:r>
        <w:rPr>
          <w:rStyle w:val="37"/>
          <w:rFonts w:ascii="宋体" w:hAnsi="宋体" w:cs="宋体"/>
          <w:color w:val="000000"/>
          <w:kern w:val="44"/>
          <w:sz w:val="28"/>
          <w:highlight w:val="none"/>
        </w:rPr>
        <w:t xml:space="preserve">  </w:t>
      </w:r>
      <w:r>
        <w:rPr>
          <w:rStyle w:val="37"/>
          <w:rFonts w:hint="eastAsia" w:ascii="宋体" w:hAnsi="宋体" w:cs="宋体"/>
          <w:color w:val="000000"/>
          <w:kern w:val="44"/>
          <w:sz w:val="28"/>
          <w:highlight w:val="none"/>
        </w:rPr>
        <w:t>纸</w:t>
      </w:r>
      <w:r>
        <w:rPr>
          <w:color w:val="000000"/>
          <w:sz w:val="28"/>
          <w:highlight w:val="none"/>
        </w:rPr>
        <w:tab/>
      </w:r>
      <w:r>
        <w:rPr>
          <w:rFonts w:hint="eastAsia"/>
          <w:color w:val="000000"/>
          <w:sz w:val="28"/>
          <w:highlight w:val="none"/>
        </w:rPr>
        <w:t>8</w:t>
      </w:r>
      <w:r>
        <w:rPr>
          <w:rFonts w:hint="eastAsia"/>
          <w:color w:val="000000"/>
          <w:sz w:val="28"/>
          <w:highlight w:val="none"/>
        </w:rPr>
        <w:fldChar w:fldCharType="end"/>
      </w:r>
      <w:r>
        <w:rPr>
          <w:rStyle w:val="37"/>
          <w:rFonts w:hint="eastAsia"/>
          <w:color w:val="000000"/>
          <w:sz w:val="28"/>
          <w:highlight w:val="none"/>
        </w:rPr>
        <w:t>6</w:t>
      </w:r>
    </w:p>
    <w:p w14:paraId="6C079398">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"_Toc95223525" </w:instrText>
      </w:r>
      <w:r>
        <w:rPr>
          <w:highlight w:val="none"/>
        </w:rPr>
        <w:fldChar w:fldCharType="separate"/>
      </w:r>
      <w:r>
        <w:rPr>
          <w:rStyle w:val="37"/>
          <w:rFonts w:hint="eastAsia" w:ascii="宋体" w:hAnsi="宋体" w:cs="宋体"/>
          <w:color w:val="000000"/>
          <w:kern w:val="44"/>
          <w:sz w:val="28"/>
          <w:highlight w:val="none"/>
        </w:rPr>
        <w:t>第八章 技术标准和要求</w:t>
      </w:r>
      <w:r>
        <w:rPr>
          <w:color w:val="000000"/>
          <w:sz w:val="28"/>
          <w:highlight w:val="none"/>
        </w:rPr>
        <w:tab/>
      </w:r>
      <w:r>
        <w:rPr>
          <w:rFonts w:hint="eastAsia"/>
          <w:color w:val="000000"/>
          <w:sz w:val="28"/>
          <w:highlight w:val="none"/>
        </w:rPr>
        <w:t>8</w:t>
      </w:r>
      <w:r>
        <w:rPr>
          <w:rFonts w:hint="eastAsia"/>
          <w:color w:val="000000"/>
          <w:sz w:val="28"/>
          <w:highlight w:val="none"/>
        </w:rPr>
        <w:fldChar w:fldCharType="end"/>
      </w:r>
      <w:r>
        <w:rPr>
          <w:rStyle w:val="37"/>
          <w:rFonts w:hint="eastAsia"/>
          <w:color w:val="000000"/>
          <w:sz w:val="28"/>
          <w:highlight w:val="none"/>
        </w:rPr>
        <w:t>7</w:t>
      </w:r>
    </w:p>
    <w:p w14:paraId="79B617DD">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"_Toc95223531" </w:instrText>
      </w:r>
      <w:r>
        <w:rPr>
          <w:highlight w:val="none"/>
        </w:rPr>
        <w:fldChar w:fldCharType="separate"/>
      </w:r>
      <w:r>
        <w:rPr>
          <w:rStyle w:val="37"/>
          <w:rFonts w:hint="eastAsia"/>
          <w:color w:val="000000"/>
          <w:sz w:val="28"/>
          <w:highlight w:val="none"/>
        </w:rPr>
        <w:t>第九章 投标文件格式</w:t>
      </w:r>
      <w:r>
        <w:rPr>
          <w:color w:val="000000"/>
          <w:sz w:val="28"/>
          <w:highlight w:val="none"/>
        </w:rPr>
        <w:tab/>
      </w:r>
      <w:r>
        <w:rPr>
          <w:rFonts w:hint="eastAsia"/>
          <w:color w:val="000000"/>
          <w:sz w:val="28"/>
          <w:highlight w:val="none"/>
        </w:rPr>
        <w:t>8</w:t>
      </w:r>
      <w:r>
        <w:rPr>
          <w:rFonts w:hint="eastAsia"/>
          <w:color w:val="000000"/>
          <w:sz w:val="28"/>
          <w:highlight w:val="none"/>
        </w:rPr>
        <w:fldChar w:fldCharType="end"/>
      </w:r>
      <w:r>
        <w:rPr>
          <w:rStyle w:val="37"/>
          <w:rFonts w:hint="eastAsia"/>
          <w:color w:val="000000"/>
          <w:sz w:val="28"/>
          <w:highlight w:val="none"/>
        </w:rPr>
        <w:t>9</w:t>
      </w:r>
    </w:p>
    <w:p w14:paraId="59BE7DFB">
      <w:pPr>
        <w:pStyle w:val="21"/>
        <w:tabs>
          <w:tab w:val="right" w:leader="dot" w:pos="10120"/>
        </w:tabs>
        <w:rPr>
          <w:rFonts w:ascii="Calibri" w:hAnsi="Calibri"/>
          <w:b w:val="0"/>
          <w:bCs w:val="0"/>
          <w:caps w:val="0"/>
          <w:color w:val="000000"/>
          <w:sz w:val="32"/>
          <w:szCs w:val="22"/>
          <w:highlight w:val="none"/>
        </w:rPr>
      </w:pPr>
      <w:r>
        <w:rPr>
          <w:highlight w:val="none"/>
        </w:rPr>
        <w:fldChar w:fldCharType="begin"/>
      </w:r>
      <w:r>
        <w:rPr>
          <w:highlight w:val="none"/>
        </w:rPr>
        <w:instrText xml:space="preserve"> HYPERLINK \l "_Toc95223547" </w:instrText>
      </w:r>
      <w:r>
        <w:rPr>
          <w:highlight w:val="none"/>
        </w:rPr>
        <w:fldChar w:fldCharType="separate"/>
      </w:r>
      <w:r>
        <w:rPr>
          <w:rStyle w:val="37"/>
          <w:rFonts w:hint="eastAsia" w:eastAsia="黑体"/>
          <w:color w:val="000000"/>
          <w:sz w:val="28"/>
          <w:highlight w:val="none"/>
        </w:rPr>
        <w:t>第十章</w:t>
      </w:r>
      <w:r>
        <w:rPr>
          <w:rStyle w:val="37"/>
          <w:rFonts w:eastAsia="黑体"/>
          <w:color w:val="000000"/>
          <w:sz w:val="28"/>
          <w:highlight w:val="none"/>
        </w:rPr>
        <w:t xml:space="preserve"> </w:t>
      </w:r>
      <w:r>
        <w:rPr>
          <w:rStyle w:val="37"/>
          <w:rFonts w:hint="eastAsia" w:eastAsia="黑体"/>
          <w:color w:val="000000"/>
          <w:sz w:val="28"/>
          <w:highlight w:val="none"/>
        </w:rPr>
        <w:t>招标人、招标代理机构对本招标文件的确认</w:t>
      </w:r>
      <w:bookmarkStart w:id="9" w:name="_Hlt95223551"/>
      <w:bookmarkStart w:id="10" w:name="_Hlt95223550"/>
      <w:r>
        <w:rPr>
          <w:color w:val="000000"/>
          <w:sz w:val="28"/>
          <w:highlight w:val="none"/>
        </w:rPr>
        <w:tab/>
      </w:r>
      <w:bookmarkEnd w:id="9"/>
      <w:bookmarkEnd w:id="10"/>
      <w:r>
        <w:rPr>
          <w:rFonts w:hint="eastAsia"/>
          <w:color w:val="000000"/>
          <w:sz w:val="28"/>
          <w:highlight w:val="none"/>
        </w:rPr>
        <w:t>1</w:t>
      </w:r>
      <w:r>
        <w:rPr>
          <w:rFonts w:hint="eastAsia"/>
          <w:color w:val="000000"/>
          <w:sz w:val="28"/>
          <w:highlight w:val="none"/>
        </w:rPr>
        <w:fldChar w:fldCharType="end"/>
      </w:r>
      <w:r>
        <w:rPr>
          <w:rFonts w:hint="eastAsia"/>
          <w:color w:val="000000"/>
          <w:sz w:val="28"/>
          <w:highlight w:val="none"/>
        </w:rPr>
        <w:t>0</w:t>
      </w:r>
      <w:r>
        <w:rPr>
          <w:rStyle w:val="37"/>
          <w:rFonts w:hint="eastAsia"/>
          <w:color w:val="000000"/>
          <w:sz w:val="28"/>
          <w:highlight w:val="none"/>
        </w:rPr>
        <w:t>5</w:t>
      </w:r>
    </w:p>
    <w:p w14:paraId="7BF3FA65">
      <w:pPr>
        <w:rPr>
          <w:color w:val="000000"/>
          <w:sz w:val="24"/>
          <w:highlight w:val="none"/>
        </w:rPr>
      </w:pPr>
    </w:p>
    <w:p w14:paraId="59D9EA54">
      <w:pPr>
        <w:pStyle w:val="21"/>
        <w:rPr>
          <w:color w:val="000000"/>
          <w:highlight w:val="none"/>
        </w:rPr>
      </w:pPr>
    </w:p>
    <w:p w14:paraId="17FF7940">
      <w:pPr>
        <w:rPr>
          <w:color w:val="000000"/>
          <w:highlight w:val="none"/>
        </w:rPr>
      </w:pPr>
    </w:p>
    <w:p w14:paraId="3EDB52D5">
      <w:pPr>
        <w:pStyle w:val="21"/>
        <w:rPr>
          <w:color w:val="000000"/>
          <w:highlight w:val="none"/>
        </w:rPr>
      </w:pPr>
    </w:p>
    <w:p w14:paraId="7F059343">
      <w:pPr>
        <w:rPr>
          <w:color w:val="000000"/>
          <w:highlight w:val="none"/>
        </w:rPr>
      </w:pPr>
    </w:p>
    <w:p w14:paraId="13EF6209">
      <w:pPr>
        <w:pStyle w:val="21"/>
        <w:rPr>
          <w:color w:val="000000"/>
          <w:highlight w:val="none"/>
        </w:rPr>
      </w:pPr>
    </w:p>
    <w:p w14:paraId="6190ADF0">
      <w:pPr>
        <w:rPr>
          <w:color w:val="000000"/>
          <w:highlight w:val="none"/>
        </w:rPr>
      </w:pPr>
    </w:p>
    <w:p w14:paraId="066DB2A6">
      <w:pPr>
        <w:pStyle w:val="21"/>
        <w:rPr>
          <w:color w:val="000000"/>
          <w:highlight w:val="none"/>
        </w:rPr>
      </w:pPr>
    </w:p>
    <w:p w14:paraId="396B3158">
      <w:pPr>
        <w:rPr>
          <w:color w:val="000000"/>
          <w:highlight w:val="none"/>
        </w:rPr>
      </w:pPr>
    </w:p>
    <w:p w14:paraId="6050C8CB">
      <w:pPr>
        <w:pStyle w:val="21"/>
        <w:rPr>
          <w:color w:val="000000"/>
          <w:highlight w:val="none"/>
        </w:rPr>
      </w:pPr>
    </w:p>
    <w:p w14:paraId="16340D0F">
      <w:pPr>
        <w:rPr>
          <w:color w:val="000000"/>
          <w:highlight w:val="none"/>
        </w:rPr>
        <w:sectPr>
          <w:headerReference r:id="rId4" w:type="default"/>
          <w:pgSz w:w="11910" w:h="16850"/>
          <w:pgMar w:top="1600" w:right="660" w:bottom="1100" w:left="1120" w:header="0" w:footer="746" w:gutter="0"/>
          <w:pgNumType w:start="1"/>
          <w:cols w:space="720" w:num="1"/>
        </w:sectPr>
      </w:pPr>
    </w:p>
    <w:p w14:paraId="65E5AED8">
      <w:pPr>
        <w:pStyle w:val="3"/>
        <w:spacing w:before="0" w:after="0" w:line="240" w:lineRule="auto"/>
        <w:jc w:val="center"/>
        <w:rPr>
          <w:color w:val="000000"/>
          <w:highlight w:val="none"/>
          <w:lang w:val="zh-CN"/>
        </w:rPr>
      </w:pPr>
      <w:r>
        <w:rPr>
          <w:color w:val="000000"/>
          <w:highlight w:val="none"/>
          <w:lang w:val="zh-CN"/>
        </w:rPr>
        <w:fldChar w:fldCharType="end"/>
      </w:r>
      <w:bookmarkStart w:id="11" w:name="_Toc95223332"/>
      <w:r>
        <w:rPr>
          <w:rFonts w:hint="eastAsia"/>
          <w:color w:val="000000"/>
          <w:highlight w:val="none"/>
        </w:rPr>
        <w:t>第一章  招标公告</w:t>
      </w:r>
      <w:bookmarkEnd w:id="11"/>
    </w:p>
    <w:p w14:paraId="37718FBA">
      <w:pPr>
        <w:pStyle w:val="26"/>
        <w:ind w:left="0" w:leftChars="0" w:firstLine="0" w:firstLineChars="0"/>
        <w:jc w:val="center"/>
        <w:rPr>
          <w:b/>
          <w:color w:val="000000"/>
          <w:sz w:val="24"/>
          <w:highlight w:val="none"/>
        </w:rPr>
      </w:pPr>
      <w:r>
        <w:rPr>
          <w:rFonts w:hint="eastAsia" w:ascii="宋体" w:hAnsi="宋体" w:cs="宋体"/>
          <w:b/>
          <w:bCs/>
          <w:color w:val="000000"/>
          <w:sz w:val="24"/>
          <w:highlight w:val="none"/>
          <w:u w:val="single"/>
        </w:rPr>
        <w:t>滁州市琅琊区重点流域农业面源污染治理项目EPC相关设备采购</w:t>
      </w:r>
      <w:r>
        <w:rPr>
          <w:rFonts w:hint="eastAsia"/>
          <w:b/>
          <w:color w:val="000000"/>
          <w:sz w:val="24"/>
          <w:highlight w:val="none"/>
        </w:rPr>
        <w:t>招标公告信息（电子招标投标）</w:t>
      </w:r>
    </w:p>
    <w:tbl>
      <w:tblPr>
        <w:tblStyle w:val="27"/>
        <w:tblW w:w="10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5"/>
        <w:gridCol w:w="8313"/>
      </w:tblGrid>
      <w:tr w14:paraId="12F1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1AA3A4B2">
            <w:pPr>
              <w:spacing w:line="560" w:lineRule="exact"/>
              <w:jc w:val="center"/>
              <w:rPr>
                <w:rFonts w:hint="eastAsia" w:ascii="宋体" w:hAnsi="宋体" w:cs="宋体"/>
                <w:bCs/>
                <w:color w:val="000000"/>
                <w:kern w:val="1"/>
                <w:sz w:val="24"/>
                <w:highlight w:val="none"/>
              </w:rPr>
            </w:pPr>
            <w:r>
              <w:rPr>
                <w:rFonts w:hint="eastAsia" w:ascii="宋体" w:hAnsi="宋体" w:cs="宋体"/>
                <w:b/>
                <w:bCs/>
                <w:color w:val="000000"/>
                <w:sz w:val="24"/>
                <w:highlight w:val="none"/>
              </w:rPr>
              <w:t>招标条件</w:t>
            </w:r>
          </w:p>
        </w:tc>
      </w:tr>
      <w:tr w14:paraId="293B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67A2D593">
            <w:pPr>
              <w:spacing w:line="560" w:lineRule="exact"/>
              <w:jc w:val="center"/>
              <w:rPr>
                <w:rFonts w:ascii="宋体" w:cs="宋体"/>
                <w:bCs/>
                <w:color w:val="000000"/>
                <w:kern w:val="1"/>
                <w:szCs w:val="21"/>
                <w:highlight w:val="none"/>
              </w:rPr>
            </w:pPr>
            <w:r>
              <w:rPr>
                <w:rFonts w:hint="eastAsia" w:ascii="宋体" w:hAnsi="宋体" w:cs="宋体"/>
                <w:bCs/>
                <w:color w:val="000000"/>
                <w:kern w:val="1"/>
                <w:szCs w:val="21"/>
                <w:highlight w:val="none"/>
              </w:rPr>
              <w:t>项目</w:t>
            </w:r>
            <w:r>
              <w:rPr>
                <w:rFonts w:hint="eastAsia" w:ascii="宋体" w:hAnsi="宋体" w:cs="宋体"/>
                <w:color w:val="000000"/>
                <w:kern w:val="0"/>
                <w:szCs w:val="21"/>
                <w:highlight w:val="none"/>
              </w:rPr>
              <w:t>名称</w:t>
            </w:r>
          </w:p>
        </w:tc>
        <w:tc>
          <w:tcPr>
            <w:tcW w:w="8313" w:type="dxa"/>
          </w:tcPr>
          <w:p w14:paraId="6CE85CC3">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滁州市琅琊区重点流域农业面源污染治理项目EPC相关设备采购</w:t>
            </w:r>
          </w:p>
        </w:tc>
      </w:tr>
      <w:tr w14:paraId="5DC3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70B8C2D8">
            <w:pPr>
              <w:widowControl/>
              <w:spacing w:line="560" w:lineRule="exact"/>
              <w:jc w:val="center"/>
              <w:rPr>
                <w:rFonts w:hint="eastAsia" w:ascii="宋体" w:hAnsi="宋体" w:cs="宋体"/>
                <w:color w:val="000000"/>
                <w:kern w:val="0"/>
                <w:szCs w:val="21"/>
                <w:highlight w:val="none"/>
              </w:rPr>
            </w:pPr>
            <w:r>
              <w:rPr>
                <w:rFonts w:hint="eastAsia" w:ascii="宋体" w:hAnsi="宋体" w:cs="宋体"/>
                <w:bCs/>
                <w:snapToGrid w:val="0"/>
                <w:color w:val="000000"/>
                <w:kern w:val="0"/>
                <w:szCs w:val="21"/>
                <w:highlight w:val="none"/>
              </w:rPr>
              <w:t>项目审批、核准或备案机关名称</w:t>
            </w:r>
          </w:p>
        </w:tc>
        <w:tc>
          <w:tcPr>
            <w:tcW w:w="8313" w:type="dxa"/>
            <w:vAlign w:val="center"/>
          </w:tcPr>
          <w:p w14:paraId="7B17DE96">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滁州市琅琊区发展和改革委员会</w:t>
            </w:r>
          </w:p>
        </w:tc>
      </w:tr>
      <w:tr w14:paraId="2E92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299151A">
            <w:pPr>
              <w:widowControl/>
              <w:spacing w:line="560" w:lineRule="exact"/>
              <w:jc w:val="center"/>
              <w:rPr>
                <w:rFonts w:hint="eastAsia" w:ascii="宋体" w:hAnsi="宋体" w:cs="宋体"/>
                <w:color w:val="000000"/>
                <w:kern w:val="0"/>
                <w:szCs w:val="21"/>
                <w:highlight w:val="none"/>
              </w:rPr>
            </w:pPr>
            <w:r>
              <w:rPr>
                <w:rFonts w:hint="eastAsia" w:ascii="宋体" w:hAnsi="宋体" w:cs="宋体"/>
                <w:bCs/>
                <w:snapToGrid w:val="0"/>
                <w:color w:val="000000"/>
                <w:kern w:val="0"/>
                <w:szCs w:val="21"/>
                <w:highlight w:val="none"/>
              </w:rPr>
              <w:t>批文名称及编号</w:t>
            </w:r>
          </w:p>
        </w:tc>
        <w:tc>
          <w:tcPr>
            <w:tcW w:w="8313" w:type="dxa"/>
            <w:vAlign w:val="center"/>
          </w:tcPr>
          <w:p w14:paraId="65CB4AA1">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批文名称：关于滁州市琅琊区重点流域农业面源污染治理项目立项的批复</w:t>
            </w:r>
          </w:p>
          <w:p w14:paraId="42FAE791">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编号：琅发改审批【2023】83号</w:t>
            </w:r>
          </w:p>
        </w:tc>
      </w:tr>
      <w:tr w14:paraId="34862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5639A6D">
            <w:pPr>
              <w:widowControl/>
              <w:spacing w:line="560" w:lineRule="exact"/>
              <w:jc w:val="center"/>
              <w:rPr>
                <w:rFonts w:hint="eastAsia" w:ascii="宋体" w:hAnsi="宋体" w:cs="宋体"/>
                <w:color w:val="000000"/>
                <w:kern w:val="0"/>
                <w:szCs w:val="21"/>
                <w:highlight w:val="none"/>
              </w:rPr>
            </w:pPr>
            <w:r>
              <w:rPr>
                <w:rFonts w:hint="eastAsia" w:ascii="宋体" w:hAnsi="宋体" w:cs="宋体"/>
                <w:bCs/>
                <w:snapToGrid w:val="0"/>
                <w:color w:val="000000"/>
                <w:kern w:val="0"/>
                <w:szCs w:val="21"/>
                <w:highlight w:val="none"/>
              </w:rPr>
              <w:t>招标人</w:t>
            </w:r>
          </w:p>
        </w:tc>
        <w:tc>
          <w:tcPr>
            <w:tcW w:w="8313" w:type="dxa"/>
            <w:vAlign w:val="center"/>
          </w:tcPr>
          <w:p w14:paraId="192827A9">
            <w:pPr>
              <w:widowControl/>
              <w:spacing w:line="560" w:lineRule="exact"/>
              <w:jc w:val="left"/>
              <w:rPr>
                <w:rFonts w:hint="eastAsia" w:ascii="宋体" w:hAnsi="宋体" w:cs="宋体"/>
                <w:color w:val="000000"/>
                <w:szCs w:val="21"/>
                <w:highlight w:val="none"/>
              </w:rPr>
            </w:pPr>
            <w:r>
              <w:rPr>
                <w:rFonts w:hint="eastAsia" w:ascii="宋体" w:hAnsi="宋体" w:cs="宋体"/>
                <w:color w:val="333333"/>
                <w:kern w:val="0"/>
                <w:szCs w:val="21"/>
                <w:highlight w:val="none"/>
              </w:rPr>
              <w:t>中电建生态环境集团有限公司</w:t>
            </w:r>
          </w:p>
        </w:tc>
      </w:tr>
      <w:tr w14:paraId="5BB1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A6AD2BD">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项目业主</w:t>
            </w:r>
          </w:p>
        </w:tc>
        <w:tc>
          <w:tcPr>
            <w:tcW w:w="8313" w:type="dxa"/>
            <w:vAlign w:val="center"/>
          </w:tcPr>
          <w:p w14:paraId="0F23639F">
            <w:pPr>
              <w:widowControl/>
              <w:spacing w:line="560" w:lineRule="exact"/>
              <w:jc w:val="left"/>
              <w:rPr>
                <w:rFonts w:hint="eastAsia" w:ascii="宋体" w:hAnsi="宋体" w:cs="宋体"/>
                <w:color w:val="000000"/>
                <w:szCs w:val="21"/>
                <w:highlight w:val="none"/>
              </w:rPr>
            </w:pPr>
            <w:r>
              <w:rPr>
                <w:rFonts w:hint="eastAsia" w:ascii="宋体" w:hAnsi="宋体" w:cs="宋体"/>
                <w:color w:val="333333"/>
                <w:kern w:val="0"/>
                <w:szCs w:val="21"/>
                <w:highlight w:val="none"/>
              </w:rPr>
              <w:t>滁州市琅琊区农业农村局</w:t>
            </w:r>
          </w:p>
        </w:tc>
      </w:tr>
      <w:tr w14:paraId="4AA1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358DAED">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资金来源</w:t>
            </w:r>
          </w:p>
        </w:tc>
        <w:tc>
          <w:tcPr>
            <w:tcW w:w="8313" w:type="dxa"/>
            <w:vAlign w:val="center"/>
          </w:tcPr>
          <w:p w14:paraId="42D39901">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自筹资金</w:t>
            </w:r>
          </w:p>
        </w:tc>
      </w:tr>
      <w:tr w14:paraId="65FC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328CCD15">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项目出资比例</w:t>
            </w:r>
          </w:p>
        </w:tc>
        <w:tc>
          <w:tcPr>
            <w:tcW w:w="8313" w:type="dxa"/>
            <w:vAlign w:val="center"/>
          </w:tcPr>
          <w:p w14:paraId="5EA473D2">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100%</w:t>
            </w:r>
          </w:p>
        </w:tc>
      </w:tr>
      <w:tr w14:paraId="011E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66215E0">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招标方式</w:t>
            </w:r>
          </w:p>
        </w:tc>
        <w:tc>
          <w:tcPr>
            <w:tcW w:w="8313" w:type="dxa"/>
            <w:vAlign w:val="center"/>
          </w:tcPr>
          <w:p w14:paraId="4BEDE95F">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公开招标</w:t>
            </w:r>
          </w:p>
        </w:tc>
      </w:tr>
      <w:tr w14:paraId="24CF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4E367E7">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评标办法</w:t>
            </w:r>
          </w:p>
        </w:tc>
        <w:tc>
          <w:tcPr>
            <w:tcW w:w="8313" w:type="dxa"/>
            <w:vAlign w:val="center"/>
          </w:tcPr>
          <w:p w14:paraId="7315C263">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 xml:space="preserve">综合评估法  </w:t>
            </w:r>
          </w:p>
        </w:tc>
      </w:tr>
      <w:tr w14:paraId="3B1A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3E115C9D">
            <w:pPr>
              <w:widowControl/>
              <w:spacing w:line="560" w:lineRule="exact"/>
              <w:jc w:val="center"/>
              <w:rPr>
                <w:rFonts w:ascii="宋体" w:cs="宋体"/>
                <w:color w:val="000000"/>
                <w:szCs w:val="21"/>
                <w:highlight w:val="none"/>
              </w:rPr>
            </w:pPr>
            <w:r>
              <w:rPr>
                <w:rFonts w:hint="eastAsia" w:ascii="宋体" w:hAnsi="宋体" w:cs="宋体"/>
                <w:b/>
                <w:bCs/>
                <w:color w:val="000000"/>
                <w:sz w:val="24"/>
                <w:highlight w:val="none"/>
              </w:rPr>
              <w:t>项目概况与招标范围</w:t>
            </w:r>
          </w:p>
        </w:tc>
      </w:tr>
      <w:tr w14:paraId="519B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EA859BF">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招标项目名称</w:t>
            </w:r>
          </w:p>
        </w:tc>
        <w:tc>
          <w:tcPr>
            <w:tcW w:w="8313" w:type="dxa"/>
            <w:vAlign w:val="center"/>
          </w:tcPr>
          <w:p w14:paraId="6B87BE44">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滁州市琅琊区重点流域农业面源污染治理项目EPC相关设备采购</w:t>
            </w:r>
          </w:p>
        </w:tc>
      </w:tr>
      <w:tr w14:paraId="4CE0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5662FC7">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招标项目编号</w:t>
            </w:r>
          </w:p>
        </w:tc>
        <w:tc>
          <w:tcPr>
            <w:tcW w:w="8313" w:type="dxa"/>
            <w:vAlign w:val="center"/>
          </w:tcPr>
          <w:p w14:paraId="7C43B769">
            <w:pPr>
              <w:widowControl/>
              <w:spacing w:line="560" w:lineRule="exact"/>
              <w:jc w:val="left"/>
              <w:rPr>
                <w:rFonts w:hint="eastAsia" w:ascii="宋体" w:hAnsi="宋体" w:cs="宋体"/>
                <w:color w:val="000000"/>
                <w:szCs w:val="21"/>
                <w:highlight w:val="none"/>
              </w:rPr>
            </w:pPr>
            <w:r>
              <w:rPr>
                <w:rFonts w:hint="default" w:ascii="宋体" w:hAnsi="宋体" w:cs="宋体"/>
                <w:color w:val="000000"/>
                <w:szCs w:val="21"/>
                <w:highlight w:val="none"/>
              </w:rPr>
              <w:t>czlygc202609-001</w:t>
            </w:r>
          </w:p>
        </w:tc>
      </w:tr>
      <w:tr w14:paraId="3E59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12B1DE8">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标段划分</w:t>
            </w:r>
          </w:p>
        </w:tc>
        <w:tc>
          <w:tcPr>
            <w:tcW w:w="8313" w:type="dxa"/>
            <w:vAlign w:val="center"/>
          </w:tcPr>
          <w:p w14:paraId="7E27223F">
            <w:pPr>
              <w:widowControl/>
              <w:spacing w:line="560" w:lineRule="exact"/>
              <w:jc w:val="left"/>
              <w:rPr>
                <w:rFonts w:hint="eastAsia" w:ascii="宋体" w:hAnsi="宋体" w:cs="宋体"/>
                <w:color w:val="000000"/>
                <w:szCs w:val="21"/>
                <w:highlight w:val="none"/>
              </w:rPr>
            </w:pPr>
            <w:r>
              <w:rPr>
                <w:rFonts w:hint="eastAsia" w:ascii="宋体" w:hAnsi="宋体" w:cs="宋体"/>
                <w:color w:val="000000"/>
                <w:szCs w:val="21"/>
                <w:highlight w:val="none"/>
              </w:rPr>
              <w:t>一个标段</w:t>
            </w:r>
          </w:p>
        </w:tc>
      </w:tr>
      <w:tr w14:paraId="79D8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5B44466">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招标项目标段编号</w:t>
            </w:r>
          </w:p>
        </w:tc>
        <w:tc>
          <w:tcPr>
            <w:tcW w:w="8313" w:type="dxa"/>
            <w:vAlign w:val="center"/>
          </w:tcPr>
          <w:p w14:paraId="3FB0B9E6">
            <w:pPr>
              <w:widowControl/>
              <w:spacing w:line="560" w:lineRule="exact"/>
              <w:jc w:val="left"/>
              <w:rPr>
                <w:rFonts w:hint="default" w:ascii="宋体" w:hAnsi="宋体" w:cs="宋体"/>
                <w:color w:val="000000"/>
                <w:szCs w:val="21"/>
                <w:highlight w:val="none"/>
              </w:rPr>
            </w:pPr>
            <w:r>
              <w:rPr>
                <w:rFonts w:hint="default" w:ascii="宋体" w:hAnsi="宋体" w:cs="宋体"/>
                <w:color w:val="000000"/>
                <w:szCs w:val="21"/>
                <w:highlight w:val="none"/>
              </w:rPr>
              <w:t>czlygc202609-001</w:t>
            </w:r>
          </w:p>
        </w:tc>
      </w:tr>
      <w:tr w14:paraId="082A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875" w:type="dxa"/>
            <w:vAlign w:val="center"/>
          </w:tcPr>
          <w:p w14:paraId="7FBD43FC">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建设地点</w:t>
            </w:r>
          </w:p>
        </w:tc>
        <w:tc>
          <w:tcPr>
            <w:tcW w:w="8313" w:type="dxa"/>
            <w:vAlign w:val="center"/>
          </w:tcPr>
          <w:p w14:paraId="1AE617C1">
            <w:pPr>
              <w:widowControl/>
              <w:spacing w:line="560" w:lineRule="exact"/>
              <w:jc w:val="left"/>
              <w:rPr>
                <w:color w:val="000000"/>
                <w:szCs w:val="21"/>
                <w:highlight w:val="none"/>
              </w:rPr>
            </w:pPr>
            <w:r>
              <w:rPr>
                <w:rFonts w:hint="eastAsia"/>
                <w:color w:val="000000"/>
                <w:szCs w:val="21"/>
                <w:highlight w:val="none"/>
              </w:rPr>
              <w:t>滁州市琅琊区内，招标人指定地点</w:t>
            </w:r>
          </w:p>
        </w:tc>
      </w:tr>
      <w:tr w14:paraId="5D1E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081A1DE">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建设规模</w:t>
            </w:r>
          </w:p>
        </w:tc>
        <w:tc>
          <w:tcPr>
            <w:tcW w:w="8313" w:type="dxa"/>
            <w:vAlign w:val="center"/>
          </w:tcPr>
          <w:p w14:paraId="182BA322">
            <w:pPr>
              <w:widowControl/>
              <w:spacing w:line="560" w:lineRule="exact"/>
              <w:jc w:val="left"/>
              <w:rPr>
                <w:color w:val="000000"/>
                <w:szCs w:val="21"/>
                <w:highlight w:val="none"/>
              </w:rPr>
            </w:pPr>
            <w:r>
              <w:rPr>
                <w:rFonts w:hint="eastAsia"/>
                <w:color w:val="000000"/>
                <w:szCs w:val="21"/>
                <w:highlight w:val="none"/>
              </w:rPr>
              <w:t>招标文件及招标人提供的采购清单中的全部内容</w:t>
            </w:r>
          </w:p>
        </w:tc>
      </w:tr>
      <w:tr w14:paraId="71B3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652E1BDD">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合同估算价</w:t>
            </w:r>
          </w:p>
        </w:tc>
        <w:tc>
          <w:tcPr>
            <w:tcW w:w="8313" w:type="dxa"/>
            <w:vAlign w:val="center"/>
          </w:tcPr>
          <w:p w14:paraId="34EFE1BA">
            <w:pPr>
              <w:widowControl/>
              <w:spacing w:line="560" w:lineRule="exact"/>
              <w:jc w:val="left"/>
              <w:rPr>
                <w:color w:val="000000"/>
                <w:szCs w:val="21"/>
                <w:highlight w:val="none"/>
              </w:rPr>
            </w:pPr>
            <w:r>
              <w:rPr>
                <w:rFonts w:hint="eastAsia" w:ascii="宋体" w:hAnsi="宋体" w:cs="宋体"/>
                <w:color w:val="000000"/>
                <w:szCs w:val="21"/>
                <w:highlight w:val="none"/>
              </w:rPr>
              <w:t>13715340.50元</w:t>
            </w:r>
          </w:p>
        </w:tc>
      </w:tr>
      <w:tr w14:paraId="763E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89F5C30">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计划工期</w:t>
            </w:r>
          </w:p>
        </w:tc>
        <w:tc>
          <w:tcPr>
            <w:tcW w:w="8313" w:type="dxa"/>
            <w:vAlign w:val="center"/>
          </w:tcPr>
          <w:p w14:paraId="64A05735">
            <w:pPr>
              <w:widowControl/>
              <w:spacing w:line="560" w:lineRule="exact"/>
              <w:jc w:val="left"/>
              <w:rPr>
                <w:color w:val="000000"/>
                <w:szCs w:val="21"/>
                <w:highlight w:val="none"/>
              </w:rPr>
            </w:pPr>
            <w:r>
              <w:rPr>
                <w:rFonts w:hint="eastAsia"/>
                <w:color w:val="000000"/>
                <w:szCs w:val="21"/>
                <w:highlight w:val="none"/>
              </w:rPr>
              <w:t>详见招标文件</w:t>
            </w:r>
          </w:p>
        </w:tc>
      </w:tr>
      <w:tr w14:paraId="76CE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321956A">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招标范围</w:t>
            </w:r>
          </w:p>
        </w:tc>
        <w:tc>
          <w:tcPr>
            <w:tcW w:w="8313" w:type="dxa"/>
            <w:vAlign w:val="center"/>
          </w:tcPr>
          <w:p w14:paraId="4A6DF147">
            <w:pPr>
              <w:widowControl/>
              <w:spacing w:line="560" w:lineRule="exact"/>
              <w:jc w:val="left"/>
              <w:rPr>
                <w:color w:val="000000"/>
                <w:szCs w:val="21"/>
                <w:highlight w:val="none"/>
              </w:rPr>
            </w:pPr>
            <w:r>
              <w:rPr>
                <w:rFonts w:hint="eastAsia"/>
                <w:color w:val="000000"/>
                <w:szCs w:val="21"/>
                <w:highlight w:val="none"/>
              </w:rPr>
              <w:t>招标人提供的采购清单中的全部内容。</w:t>
            </w:r>
          </w:p>
        </w:tc>
      </w:tr>
      <w:tr w14:paraId="2AD77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A1313AB">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项目类别</w:t>
            </w:r>
          </w:p>
        </w:tc>
        <w:tc>
          <w:tcPr>
            <w:tcW w:w="8313" w:type="dxa"/>
            <w:vAlign w:val="center"/>
          </w:tcPr>
          <w:p w14:paraId="28E66C5A">
            <w:pPr>
              <w:widowControl/>
              <w:spacing w:line="560" w:lineRule="exact"/>
              <w:jc w:val="left"/>
              <w:rPr>
                <w:color w:val="000000"/>
                <w:szCs w:val="21"/>
                <w:highlight w:val="none"/>
              </w:rPr>
            </w:pPr>
            <w:r>
              <w:rPr>
                <w:rFonts w:hint="eastAsia"/>
                <w:color w:val="000000"/>
                <w:szCs w:val="21"/>
                <w:highlight w:val="none"/>
              </w:rPr>
              <w:t>货物采购及安装</w:t>
            </w:r>
          </w:p>
        </w:tc>
      </w:tr>
      <w:tr w14:paraId="4EAC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7A52B68">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其他</w:t>
            </w:r>
          </w:p>
        </w:tc>
        <w:tc>
          <w:tcPr>
            <w:tcW w:w="8313" w:type="dxa"/>
            <w:vAlign w:val="center"/>
          </w:tcPr>
          <w:p w14:paraId="067EEF3B">
            <w:pPr>
              <w:widowControl/>
              <w:spacing w:line="560" w:lineRule="exact"/>
              <w:jc w:val="left"/>
              <w:rPr>
                <w:color w:val="000000"/>
                <w:szCs w:val="21"/>
                <w:highlight w:val="none"/>
              </w:rPr>
            </w:pPr>
            <w:r>
              <w:rPr>
                <w:rFonts w:hint="eastAsia"/>
                <w:color w:val="000000"/>
                <w:szCs w:val="21"/>
                <w:highlight w:val="none"/>
              </w:rPr>
              <w:t xml:space="preserve">/  </w:t>
            </w:r>
          </w:p>
        </w:tc>
      </w:tr>
      <w:tr w14:paraId="553A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43C41A87">
            <w:pPr>
              <w:widowControl/>
              <w:spacing w:line="560" w:lineRule="exact"/>
              <w:jc w:val="center"/>
              <w:rPr>
                <w:b/>
                <w:color w:val="000000"/>
                <w:sz w:val="24"/>
                <w:highlight w:val="none"/>
              </w:rPr>
            </w:pPr>
            <w:r>
              <w:rPr>
                <w:rFonts w:hint="eastAsia"/>
                <w:b/>
                <w:color w:val="000000"/>
                <w:sz w:val="24"/>
                <w:highlight w:val="none"/>
              </w:rPr>
              <w:t>投标人资格要求</w:t>
            </w:r>
          </w:p>
        </w:tc>
      </w:tr>
      <w:tr w14:paraId="63C1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3F10B7E6">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投标人资质条件</w:t>
            </w:r>
          </w:p>
        </w:tc>
        <w:tc>
          <w:tcPr>
            <w:tcW w:w="8313" w:type="dxa"/>
            <w:vAlign w:val="center"/>
          </w:tcPr>
          <w:p w14:paraId="7F6BC067">
            <w:pPr>
              <w:widowControl/>
              <w:spacing w:line="560" w:lineRule="exact"/>
              <w:jc w:val="left"/>
              <w:rPr>
                <w:color w:val="000000"/>
                <w:szCs w:val="21"/>
                <w:highlight w:val="none"/>
              </w:rPr>
            </w:pPr>
            <w:r>
              <w:rPr>
                <w:rFonts w:hint="eastAsia"/>
                <w:color w:val="000000"/>
                <w:szCs w:val="21"/>
                <w:highlight w:val="none"/>
              </w:rPr>
              <w:t>投标人须具有相应能力的生产厂家或经销商。</w:t>
            </w:r>
          </w:p>
        </w:tc>
      </w:tr>
      <w:tr w14:paraId="75B9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3B76AD3">
            <w:pPr>
              <w:widowControl/>
              <w:spacing w:line="560" w:lineRule="exact"/>
              <w:jc w:val="center"/>
              <w:rPr>
                <w:rFonts w:hint="eastAsia" w:ascii="宋体" w:hAnsi="宋体" w:cs="宋体"/>
                <w:color w:val="000000"/>
                <w:kern w:val="0"/>
                <w:szCs w:val="21"/>
                <w:highlight w:val="none"/>
              </w:rPr>
            </w:pPr>
            <w:r>
              <w:rPr>
                <w:rFonts w:hint="eastAsia" w:ascii="宋体" w:hAnsi="宋体" w:cs="宋体"/>
                <w:bCs/>
                <w:snapToGrid w:val="0"/>
                <w:color w:val="000000"/>
                <w:kern w:val="0"/>
                <w:szCs w:val="21"/>
                <w:highlight w:val="none"/>
              </w:rPr>
              <w:t>项目经理资格要求</w:t>
            </w:r>
          </w:p>
        </w:tc>
        <w:tc>
          <w:tcPr>
            <w:tcW w:w="8313" w:type="dxa"/>
            <w:vAlign w:val="center"/>
          </w:tcPr>
          <w:p w14:paraId="2E89C0DF">
            <w:pPr>
              <w:widowControl/>
              <w:spacing w:line="560" w:lineRule="exact"/>
              <w:jc w:val="left"/>
              <w:rPr>
                <w:color w:val="000000"/>
                <w:szCs w:val="21"/>
                <w:highlight w:val="none"/>
              </w:rPr>
            </w:pPr>
            <w:r>
              <w:rPr>
                <w:rFonts w:hint="eastAsia"/>
                <w:color w:val="000000"/>
                <w:szCs w:val="21"/>
                <w:highlight w:val="none"/>
              </w:rPr>
              <w:t>无</w:t>
            </w:r>
          </w:p>
        </w:tc>
      </w:tr>
      <w:tr w14:paraId="4A1D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69729E2">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信誉要求</w:t>
            </w:r>
          </w:p>
        </w:tc>
        <w:tc>
          <w:tcPr>
            <w:tcW w:w="8313" w:type="dxa"/>
            <w:vAlign w:val="center"/>
          </w:tcPr>
          <w:p w14:paraId="002EA423">
            <w:pPr>
              <w:widowControl/>
              <w:spacing w:line="560" w:lineRule="exact"/>
              <w:jc w:val="left"/>
              <w:rPr>
                <w:color w:val="000000"/>
                <w:szCs w:val="21"/>
                <w:highlight w:val="none"/>
              </w:rPr>
            </w:pPr>
            <w:r>
              <w:rPr>
                <w:rFonts w:hint="eastAsia"/>
                <w:color w:val="000000"/>
                <w:szCs w:val="21"/>
                <w:highlight w:val="none"/>
              </w:rPr>
              <w:t>1、</w:t>
            </w:r>
            <w:bookmarkStart w:id="12" w:name="OLE_LINK35"/>
            <w:bookmarkStart w:id="13" w:name="OLE_LINK36"/>
            <w:r>
              <w:rPr>
                <w:rFonts w:hint="eastAsia"/>
                <w:color w:val="000000"/>
                <w:szCs w:val="21"/>
                <w:highlight w:val="none"/>
              </w:rPr>
              <w:t>投标人</w:t>
            </w:r>
            <w:r>
              <w:rPr>
                <w:rFonts w:hint="eastAsia"/>
                <w:highlight w:val="none"/>
              </w:rPr>
              <w:t>（包括联合体各成员）</w:t>
            </w:r>
            <w:r>
              <w:rPr>
                <w:rFonts w:hint="eastAsia"/>
                <w:color w:val="000000"/>
                <w:szCs w:val="21"/>
                <w:highlight w:val="none"/>
              </w:rPr>
              <w:t>存在以下情形之一的，不得被确定为中标人：</w:t>
            </w:r>
          </w:p>
          <w:p w14:paraId="185B8ECF">
            <w:pPr>
              <w:widowControl/>
              <w:spacing w:line="560" w:lineRule="exact"/>
              <w:jc w:val="left"/>
              <w:rPr>
                <w:color w:val="000000"/>
                <w:szCs w:val="21"/>
                <w:highlight w:val="none"/>
              </w:rPr>
            </w:pPr>
            <w:r>
              <w:rPr>
                <w:rFonts w:hint="eastAsia"/>
                <w:color w:val="000000"/>
                <w:szCs w:val="21"/>
                <w:highlight w:val="none"/>
              </w:rPr>
              <w:t>①被列入“信用中国”网站</w:t>
            </w:r>
            <w:r>
              <w:rPr>
                <w:rFonts w:hint="eastAsia" w:ascii="宋体" w:hAnsi="宋体" w:cs="宋体"/>
                <w:color w:val="000000"/>
                <w:szCs w:val="21"/>
                <w:highlight w:val="none"/>
              </w:rPr>
              <w:t>（www.creditchina.gov.cn）</w:t>
            </w:r>
            <w:r>
              <w:rPr>
                <w:rFonts w:hint="eastAsia"/>
                <w:color w:val="000000"/>
                <w:szCs w:val="21"/>
                <w:highlight w:val="none"/>
              </w:rPr>
              <w:t>“失信被执行人”的；</w:t>
            </w:r>
          </w:p>
          <w:p w14:paraId="0B82689B">
            <w:pPr>
              <w:widowControl/>
              <w:spacing w:line="560" w:lineRule="exact"/>
              <w:jc w:val="left"/>
              <w:rPr>
                <w:color w:val="000000"/>
                <w:szCs w:val="21"/>
                <w:highlight w:val="none"/>
              </w:rPr>
            </w:pPr>
            <w:r>
              <w:rPr>
                <w:rFonts w:hint="eastAsia"/>
                <w:color w:val="000000"/>
                <w:szCs w:val="21"/>
                <w:highlight w:val="none"/>
              </w:rPr>
              <w:t>②被列入“信用中国”网站</w:t>
            </w:r>
            <w:r>
              <w:rPr>
                <w:rFonts w:hint="eastAsia" w:ascii="宋体" w:hAnsi="宋体" w:cs="宋体"/>
                <w:color w:val="000000"/>
                <w:szCs w:val="21"/>
                <w:highlight w:val="none"/>
              </w:rPr>
              <w:t>（www.creditchina.gov.cn）</w:t>
            </w:r>
            <w:r>
              <w:rPr>
                <w:rFonts w:hint="eastAsia"/>
                <w:color w:val="000000"/>
                <w:szCs w:val="21"/>
                <w:highlight w:val="none"/>
              </w:rPr>
              <w:t>“重大税收违法失信主体”的；</w:t>
            </w:r>
          </w:p>
          <w:p w14:paraId="24F3B624">
            <w:pPr>
              <w:widowControl/>
              <w:spacing w:line="560" w:lineRule="exact"/>
              <w:jc w:val="left"/>
              <w:rPr>
                <w:color w:val="000000"/>
                <w:szCs w:val="21"/>
                <w:highlight w:val="none"/>
              </w:rPr>
            </w:pPr>
            <w:r>
              <w:rPr>
                <w:rFonts w:hint="eastAsia"/>
                <w:color w:val="000000"/>
                <w:szCs w:val="21"/>
                <w:highlight w:val="none"/>
              </w:rPr>
              <w:t>③被列入“信用中国”网站</w:t>
            </w:r>
            <w:r>
              <w:rPr>
                <w:rFonts w:hint="eastAsia" w:ascii="宋体" w:hAnsi="宋体" w:cs="宋体"/>
                <w:color w:val="000000"/>
                <w:szCs w:val="21"/>
                <w:highlight w:val="none"/>
              </w:rPr>
              <w:t>（www.creditchina.gov.cn）</w:t>
            </w:r>
            <w:r>
              <w:rPr>
                <w:rFonts w:hint="eastAsia"/>
                <w:color w:val="000000"/>
                <w:szCs w:val="21"/>
                <w:highlight w:val="none"/>
              </w:rPr>
              <w:t>“拖欠农民工工资失信联合惩戒对象名单”的；</w:t>
            </w:r>
          </w:p>
          <w:p w14:paraId="349F5914">
            <w:pPr>
              <w:widowControl/>
              <w:spacing w:line="560" w:lineRule="exact"/>
              <w:jc w:val="left"/>
              <w:rPr>
                <w:color w:val="000000"/>
                <w:szCs w:val="21"/>
                <w:highlight w:val="none"/>
              </w:rPr>
            </w:pPr>
            <w:r>
              <w:rPr>
                <w:rFonts w:hint="eastAsia"/>
                <w:color w:val="000000"/>
                <w:szCs w:val="21"/>
                <w:highlight w:val="none"/>
              </w:rPr>
              <w:t>④被列入“信用中国”网站</w:t>
            </w:r>
            <w:r>
              <w:rPr>
                <w:rFonts w:hint="eastAsia" w:ascii="宋体" w:hAnsi="宋体" w:cs="宋体"/>
                <w:color w:val="000000"/>
                <w:szCs w:val="21"/>
                <w:highlight w:val="none"/>
              </w:rPr>
              <w:t>（www.creditchina.gov.cn）</w:t>
            </w:r>
            <w:r>
              <w:rPr>
                <w:rFonts w:hint="eastAsia"/>
                <w:color w:val="000000"/>
                <w:szCs w:val="21"/>
                <w:highlight w:val="none"/>
              </w:rPr>
              <w:t xml:space="preserve"> “</w:t>
            </w:r>
            <w:r>
              <w:rPr>
                <w:rFonts w:hint="eastAsia"/>
                <w:highlight w:val="none"/>
              </w:rPr>
              <w:t>安全生产严重失信主体名单</w:t>
            </w:r>
            <w:r>
              <w:rPr>
                <w:rFonts w:hint="eastAsia"/>
                <w:color w:val="000000"/>
                <w:szCs w:val="21"/>
                <w:highlight w:val="none"/>
              </w:rPr>
              <w:t>”的；</w:t>
            </w:r>
          </w:p>
          <w:p w14:paraId="602923B0">
            <w:pPr>
              <w:widowControl/>
              <w:spacing w:line="560" w:lineRule="exact"/>
              <w:jc w:val="left"/>
              <w:rPr>
                <w:color w:val="000000"/>
                <w:szCs w:val="21"/>
                <w:highlight w:val="none"/>
              </w:rPr>
            </w:pPr>
            <w:r>
              <w:rPr>
                <w:rFonts w:hint="eastAsia"/>
                <w:color w:val="000000"/>
                <w:szCs w:val="21"/>
                <w:highlight w:val="none"/>
              </w:rPr>
              <w:t>⑤被列入国家企业信用信息公示系统网站</w:t>
            </w:r>
            <w:r>
              <w:rPr>
                <w:rFonts w:hint="eastAsia" w:ascii="宋体" w:hAnsi="宋体" w:cs="宋体"/>
                <w:color w:val="000000"/>
                <w:szCs w:val="21"/>
                <w:highlight w:val="none"/>
              </w:rPr>
              <w:t>（</w:t>
            </w:r>
            <w:r>
              <w:rPr>
                <w:highlight w:val="none"/>
              </w:rPr>
              <w:fldChar w:fldCharType="begin"/>
            </w:r>
            <w:r>
              <w:rPr>
                <w:highlight w:val="none"/>
              </w:rPr>
              <w:instrText xml:space="preserve"> HYPERLINK "http://www.gsxt.gov.cn）查询" </w:instrText>
            </w:r>
            <w:r>
              <w:rPr>
                <w:highlight w:val="none"/>
              </w:rPr>
              <w:fldChar w:fldCharType="separate"/>
            </w:r>
            <w:r>
              <w:rPr>
                <w:rStyle w:val="37"/>
                <w:rFonts w:hint="eastAsia" w:ascii="宋体" w:hAnsi="宋体" w:cs="宋体"/>
                <w:color w:val="000000"/>
                <w:szCs w:val="21"/>
                <w:highlight w:val="none"/>
              </w:rPr>
              <w:t>www.gsxt.gov.cn）</w:t>
            </w:r>
            <w:r>
              <w:rPr>
                <w:rStyle w:val="37"/>
                <w:rFonts w:hint="eastAsia" w:ascii="宋体" w:hAnsi="宋体" w:cs="宋体"/>
                <w:color w:val="000000"/>
                <w:szCs w:val="21"/>
                <w:highlight w:val="none"/>
              </w:rPr>
              <w:fldChar w:fldCharType="end"/>
            </w:r>
            <w:r>
              <w:rPr>
                <w:rFonts w:hint="eastAsia"/>
                <w:color w:val="000000"/>
                <w:szCs w:val="21"/>
                <w:highlight w:val="none"/>
              </w:rPr>
              <w:t>“严重违法失信名单”的。</w:t>
            </w:r>
          </w:p>
          <w:p w14:paraId="254B0575">
            <w:pPr>
              <w:widowControl/>
              <w:spacing w:line="560" w:lineRule="exact"/>
              <w:ind w:left="105" w:hanging="105" w:hangingChars="50"/>
              <w:jc w:val="left"/>
              <w:rPr>
                <w:color w:val="000000"/>
                <w:szCs w:val="21"/>
                <w:highlight w:val="none"/>
              </w:rPr>
            </w:pPr>
            <w:r>
              <w:rPr>
                <w:rFonts w:hint="eastAsia"/>
                <w:color w:val="000000"/>
                <w:szCs w:val="21"/>
                <w:highlight w:val="none"/>
              </w:rPr>
              <w:t>2、投标人</w:t>
            </w:r>
            <w:r>
              <w:rPr>
                <w:rFonts w:hint="eastAsia"/>
                <w:highlight w:val="none"/>
              </w:rPr>
              <w:t>（包括联合体各成员）</w:t>
            </w:r>
            <w:r>
              <w:rPr>
                <w:rFonts w:hint="eastAsia"/>
                <w:color w:val="000000"/>
                <w:szCs w:val="21"/>
                <w:highlight w:val="none"/>
              </w:rPr>
              <w:t>所属分公司、办事处等分支机构存在第1条信誉要求①-⑤项情形之一的，</w:t>
            </w:r>
            <w:r>
              <w:rPr>
                <w:rFonts w:hint="eastAsia" w:ascii="宋体" w:hAnsi="宋体" w:cs="宋体"/>
                <w:b/>
                <w:color w:val="000000"/>
                <w:kern w:val="0"/>
                <w:szCs w:val="21"/>
                <w:highlight w:val="none"/>
                <w:u w:val="single"/>
              </w:rPr>
              <w:t>接受</w:t>
            </w:r>
            <w:r>
              <w:rPr>
                <w:rFonts w:hint="eastAsia"/>
                <w:color w:val="000000"/>
                <w:szCs w:val="21"/>
                <w:highlight w:val="none"/>
              </w:rPr>
              <w:t>其被确定为中标人。</w:t>
            </w:r>
            <w:bookmarkEnd w:id="12"/>
            <w:bookmarkEnd w:id="13"/>
          </w:p>
        </w:tc>
      </w:tr>
      <w:tr w14:paraId="032B2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CD1ADF1">
            <w:pPr>
              <w:widowControl/>
              <w:spacing w:line="560" w:lineRule="exact"/>
              <w:jc w:val="center"/>
              <w:rPr>
                <w:rFonts w:ascii="宋体" w:cs="宋体"/>
                <w:color w:val="000000"/>
                <w:kern w:val="0"/>
                <w:szCs w:val="21"/>
                <w:highlight w:val="none"/>
              </w:rPr>
            </w:pPr>
            <w:r>
              <w:rPr>
                <w:rFonts w:hint="eastAsia" w:ascii="宋体" w:hAnsi="宋体" w:cs="宋体"/>
                <w:color w:val="000000"/>
                <w:kern w:val="0"/>
                <w:szCs w:val="21"/>
                <w:highlight w:val="none"/>
              </w:rPr>
              <w:t>联合体投标</w:t>
            </w:r>
          </w:p>
        </w:tc>
        <w:tc>
          <w:tcPr>
            <w:tcW w:w="8313" w:type="dxa"/>
            <w:vAlign w:val="center"/>
          </w:tcPr>
          <w:p w14:paraId="730ADF73">
            <w:pPr>
              <w:widowControl/>
              <w:spacing w:line="560" w:lineRule="exact"/>
              <w:jc w:val="left"/>
              <w:rPr>
                <w:rFonts w:hint="eastAsia" w:ascii="宋体" w:hAnsi="宋体" w:cs="宋体"/>
                <w:color w:val="000000"/>
                <w:kern w:val="0"/>
                <w:szCs w:val="21"/>
                <w:highlight w:val="none"/>
              </w:rPr>
            </w:pPr>
            <w:r>
              <w:rPr>
                <w:rFonts w:hint="eastAsia"/>
                <w:highlight w:val="none"/>
              </w:rPr>
              <w:t>本次招标不</w:t>
            </w:r>
            <w:r>
              <w:rPr>
                <w:rFonts w:hint="eastAsia" w:ascii="宋体" w:hAnsi="宋体" w:cs="宋体"/>
                <w:kern w:val="0"/>
                <w:highlight w:val="none"/>
              </w:rPr>
              <w:t>接受</w:t>
            </w:r>
            <w:r>
              <w:rPr>
                <w:rFonts w:hint="eastAsia"/>
                <w:highlight w:val="none"/>
              </w:rPr>
              <w:t>联合体投标。</w:t>
            </w:r>
          </w:p>
        </w:tc>
      </w:tr>
      <w:tr w14:paraId="2710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911237D">
            <w:pPr>
              <w:widowControl/>
              <w:spacing w:line="560" w:lineRule="exact"/>
              <w:jc w:val="center"/>
              <w:rPr>
                <w:rFonts w:ascii="宋体" w:cs="宋体"/>
                <w:color w:val="000000"/>
                <w:kern w:val="0"/>
                <w:szCs w:val="21"/>
                <w:highlight w:val="none"/>
              </w:rPr>
            </w:pPr>
            <w:r>
              <w:rPr>
                <w:rFonts w:hint="eastAsia" w:ascii="宋体" w:hAnsi="宋体" w:cs="宋体"/>
                <w:color w:val="000000"/>
                <w:kern w:val="0"/>
                <w:szCs w:val="21"/>
                <w:highlight w:val="none"/>
              </w:rPr>
              <w:t>多标段投标</w:t>
            </w:r>
          </w:p>
        </w:tc>
        <w:tc>
          <w:tcPr>
            <w:tcW w:w="8313" w:type="dxa"/>
            <w:vAlign w:val="center"/>
          </w:tcPr>
          <w:p w14:paraId="118B462F">
            <w:pPr>
              <w:widowControl/>
              <w:spacing w:line="560" w:lineRule="exact"/>
              <w:jc w:val="left"/>
              <w:rPr>
                <w:rFonts w:ascii="宋体" w:cs="宋体-18030"/>
                <w:color w:val="000000"/>
                <w:szCs w:val="21"/>
                <w:highlight w:val="none"/>
              </w:rPr>
            </w:pPr>
            <w:r>
              <w:rPr>
                <w:rFonts w:hint="eastAsia" w:ascii="宋体" w:cs="宋体-18030"/>
                <w:color w:val="000000"/>
                <w:szCs w:val="21"/>
                <w:highlight w:val="none"/>
              </w:rPr>
              <w:t>/</w:t>
            </w:r>
          </w:p>
        </w:tc>
      </w:tr>
      <w:tr w14:paraId="025B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3669A247">
            <w:pPr>
              <w:widowControl/>
              <w:spacing w:line="560" w:lineRule="exact"/>
              <w:jc w:val="center"/>
              <w:rPr>
                <w:rFonts w:hint="eastAsia" w:ascii="宋体" w:hAnsi="宋体" w:cs="宋体"/>
                <w:color w:val="000000"/>
                <w:kern w:val="0"/>
                <w:szCs w:val="21"/>
                <w:highlight w:val="none"/>
              </w:rPr>
            </w:pPr>
            <w:r>
              <w:rPr>
                <w:rFonts w:hint="eastAsia"/>
                <w:highlight w:val="none"/>
              </w:rPr>
              <w:t>落实政府采购政策需满足的资格要求</w:t>
            </w:r>
          </w:p>
        </w:tc>
        <w:tc>
          <w:tcPr>
            <w:tcW w:w="8313" w:type="dxa"/>
            <w:vAlign w:val="center"/>
          </w:tcPr>
          <w:p w14:paraId="0D8354DD">
            <w:pPr>
              <w:widowControl/>
              <w:spacing w:line="560" w:lineRule="exact"/>
              <w:jc w:val="left"/>
              <w:rPr>
                <w:rFonts w:ascii="宋体" w:cs="宋体-18030"/>
                <w:color w:val="000000"/>
                <w:szCs w:val="21"/>
                <w:highlight w:val="none"/>
              </w:rPr>
            </w:pPr>
            <w:r>
              <w:rPr>
                <w:rFonts w:hint="eastAsia" w:ascii="宋体" w:cs="宋体-18030"/>
                <w:color w:val="000000"/>
                <w:szCs w:val="21"/>
                <w:highlight w:val="none"/>
              </w:rPr>
              <w:t>无</w:t>
            </w:r>
          </w:p>
        </w:tc>
      </w:tr>
      <w:tr w14:paraId="00D1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557A71E">
            <w:pPr>
              <w:widowControl/>
              <w:spacing w:line="560" w:lineRule="exact"/>
              <w:jc w:val="center"/>
              <w:rPr>
                <w:rFonts w:ascii="宋体" w:cs="宋体"/>
                <w:color w:val="000000"/>
                <w:kern w:val="0"/>
                <w:szCs w:val="21"/>
                <w:highlight w:val="none"/>
              </w:rPr>
            </w:pPr>
            <w:r>
              <w:rPr>
                <w:rFonts w:hint="eastAsia" w:ascii="宋体" w:hAnsi="宋体" w:cs="宋体"/>
                <w:color w:val="000000"/>
                <w:kern w:val="0"/>
                <w:szCs w:val="21"/>
                <w:highlight w:val="none"/>
              </w:rPr>
              <w:t>其他要求</w:t>
            </w:r>
          </w:p>
        </w:tc>
        <w:tc>
          <w:tcPr>
            <w:tcW w:w="8313" w:type="dxa"/>
            <w:vAlign w:val="center"/>
          </w:tcPr>
          <w:p w14:paraId="0EB2EA44">
            <w:pPr>
              <w:spacing w:line="560" w:lineRule="exact"/>
              <w:jc w:val="left"/>
              <w:rPr>
                <w:rFonts w:ascii="宋体" w:cs="宋体-18030"/>
                <w:color w:val="000000"/>
                <w:szCs w:val="21"/>
                <w:highlight w:val="none"/>
              </w:rPr>
            </w:pPr>
            <w:r>
              <w:rPr>
                <w:rFonts w:hint="eastAsia" w:ascii="宋体" w:cs="宋体-18030"/>
                <w:color w:val="000000"/>
                <w:szCs w:val="21"/>
                <w:highlight w:val="none"/>
              </w:rPr>
              <w:t>/</w:t>
            </w:r>
          </w:p>
        </w:tc>
      </w:tr>
      <w:tr w14:paraId="3AAC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13157EC5">
            <w:pPr>
              <w:widowControl/>
              <w:spacing w:line="560" w:lineRule="exact"/>
              <w:jc w:val="center"/>
              <w:rPr>
                <w:b/>
                <w:color w:val="000000"/>
                <w:sz w:val="24"/>
                <w:highlight w:val="none"/>
              </w:rPr>
            </w:pPr>
            <w:r>
              <w:rPr>
                <w:rFonts w:hint="eastAsia"/>
                <w:b/>
                <w:color w:val="000000"/>
                <w:sz w:val="24"/>
                <w:highlight w:val="none"/>
              </w:rPr>
              <w:t>招标文件的获取</w:t>
            </w:r>
          </w:p>
        </w:tc>
      </w:tr>
      <w:tr w14:paraId="4D9B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960DA81">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获取时间</w:t>
            </w:r>
          </w:p>
        </w:tc>
        <w:tc>
          <w:tcPr>
            <w:tcW w:w="8313" w:type="dxa"/>
            <w:vAlign w:val="center"/>
          </w:tcPr>
          <w:p w14:paraId="33AB4C53">
            <w:pPr>
              <w:widowControl/>
              <w:spacing w:line="560" w:lineRule="exact"/>
              <w:jc w:val="left"/>
              <w:rPr>
                <w:color w:val="000000"/>
                <w:szCs w:val="21"/>
                <w:highlight w:val="none"/>
              </w:rPr>
            </w:pPr>
            <w:r>
              <w:rPr>
                <w:rFonts w:hint="eastAsia" w:ascii="宋体" w:hAnsi="宋体" w:cs="宋体"/>
                <w:bCs/>
                <w:snapToGrid w:val="0"/>
                <w:color w:val="000000"/>
                <w:kern w:val="0"/>
                <w:szCs w:val="21"/>
                <w:highlight w:val="none"/>
                <w:u w:val="single"/>
              </w:rPr>
              <w:t xml:space="preserve"> 2026</w:t>
            </w:r>
            <w:r>
              <w:rPr>
                <w:rFonts w:hint="eastAsia" w:ascii="宋体" w:hAnsi="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24</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日</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17</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时</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00</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分至</w:t>
            </w:r>
            <w:r>
              <w:rPr>
                <w:rFonts w:hint="eastAsia" w:ascii="宋体" w:hAnsi="宋体" w:cs="宋体"/>
                <w:bCs/>
                <w:snapToGrid w:val="0"/>
                <w:color w:val="000000"/>
                <w:kern w:val="0"/>
                <w:szCs w:val="21"/>
                <w:highlight w:val="none"/>
                <w:u w:val="single"/>
              </w:rPr>
              <w:t xml:space="preserve">2026 </w:t>
            </w:r>
            <w:r>
              <w:rPr>
                <w:rFonts w:hint="eastAsia" w:ascii="宋体" w:hAnsi="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10</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15</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日</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8</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时</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50</w:t>
            </w:r>
            <w:r>
              <w:rPr>
                <w:rFonts w:hint="eastAsia" w:ascii="宋体" w:hAnsi="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rPr>
              <w:t>分。</w:t>
            </w:r>
          </w:p>
        </w:tc>
      </w:tr>
      <w:tr w14:paraId="0FB9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6D43DBF0">
            <w:pPr>
              <w:widowControl/>
              <w:spacing w:line="56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获取方式</w:t>
            </w:r>
          </w:p>
        </w:tc>
        <w:tc>
          <w:tcPr>
            <w:tcW w:w="8313" w:type="dxa"/>
            <w:vAlign w:val="center"/>
          </w:tcPr>
          <w:p w14:paraId="5F5987F6">
            <w:pPr>
              <w:adjustRightInd w:val="0"/>
              <w:snapToGrid w:val="0"/>
              <w:spacing w:line="572" w:lineRule="exact"/>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潜在投标人须登录</w:t>
            </w:r>
            <w:bookmarkStart w:id="14" w:name="OLE_LINK42"/>
            <w:bookmarkStart w:id="15" w:name="OLE_LINK43"/>
            <w:r>
              <w:rPr>
                <w:rFonts w:hint="eastAsia" w:ascii="宋体" w:hAnsi="宋体" w:cs="宋体"/>
                <w:bCs/>
                <w:snapToGrid w:val="0"/>
                <w:color w:val="000000"/>
                <w:kern w:val="0"/>
                <w:szCs w:val="21"/>
                <w:highlight w:val="none"/>
                <w:u w:val="single"/>
              </w:rPr>
              <w:t>滁州市公共资源交易中心网站（http://ggzy.chuzhou.gov.cn/）</w:t>
            </w:r>
            <w:bookmarkEnd w:id="14"/>
            <w:bookmarkEnd w:id="15"/>
            <w:r>
              <w:rPr>
                <w:rFonts w:hint="eastAsia" w:ascii="宋体" w:hAnsi="宋体" w:cs="宋体"/>
                <w:bCs/>
                <w:snapToGrid w:val="0"/>
                <w:color w:val="000000"/>
                <w:kern w:val="0"/>
                <w:szCs w:val="21"/>
                <w:highlight w:val="none"/>
              </w:rPr>
              <w:t>查阅并下载电子招标文件。</w:t>
            </w:r>
          </w:p>
          <w:p w14:paraId="08C1D94A">
            <w:pPr>
              <w:widowControl/>
              <w:wordWrap w:val="0"/>
              <w:spacing w:line="560" w:lineRule="exact"/>
              <w:jc w:val="left"/>
              <w:rPr>
                <w:color w:val="000000"/>
                <w:szCs w:val="21"/>
                <w:highlight w:val="none"/>
              </w:rPr>
            </w:pPr>
            <w:r>
              <w:rPr>
                <w:rFonts w:hint="eastAsia" w:ascii="宋体" w:hAnsi="宋体" w:cs="宋体"/>
                <w:bCs/>
                <w:snapToGrid w:val="0"/>
                <w:color w:val="000000"/>
                <w:kern w:val="0"/>
                <w:szCs w:val="21"/>
                <w:highlight w:val="none"/>
              </w:rPr>
              <w:t>招标文件获取过程中有任何疑问，请在工作时间（</w:t>
            </w:r>
            <w:bookmarkStart w:id="16" w:name="OLE_LINK44"/>
            <w:bookmarkStart w:id="17" w:name="OLE_LINK45"/>
            <w:r>
              <w:rPr>
                <w:rFonts w:hint="eastAsia" w:ascii="宋体" w:hAnsi="宋体" w:cs="宋体"/>
                <w:bCs/>
                <w:snapToGrid w:val="0"/>
                <w:color w:val="000000"/>
                <w:kern w:val="0"/>
                <w:szCs w:val="21"/>
                <w:highlight w:val="none"/>
              </w:rPr>
              <w:t>工作时间：工作日</w:t>
            </w:r>
            <w:r>
              <w:rPr>
                <w:rFonts w:hint="eastAsia" w:ascii="宋体" w:hAnsi="宋体" w:cs="宋体"/>
                <w:bCs/>
                <w:snapToGrid w:val="0"/>
                <w:color w:val="000000"/>
                <w:kern w:val="0"/>
                <w:szCs w:val="21"/>
                <w:highlight w:val="none"/>
                <w:u w:val="single"/>
              </w:rPr>
              <w:t>8:00-12:00,14:30-17:30</w:t>
            </w:r>
            <w:r>
              <w:rPr>
                <w:rFonts w:hint="eastAsia" w:ascii="宋体" w:hAnsi="宋体" w:cs="宋体"/>
                <w:bCs/>
                <w:snapToGrid w:val="0"/>
                <w:color w:val="000000"/>
                <w:kern w:val="0"/>
                <w:szCs w:val="21"/>
                <w:highlight w:val="none"/>
              </w:rPr>
              <w:t>）拨打</w:t>
            </w:r>
            <w:r>
              <w:rPr>
                <w:rFonts w:hint="eastAsia" w:ascii="宋体" w:hAnsi="宋体" w:cs="宋体"/>
                <w:bCs/>
                <w:snapToGrid w:val="0"/>
                <w:color w:val="000000"/>
                <w:kern w:val="0"/>
                <w:szCs w:val="21"/>
                <w:highlight w:val="none"/>
                <w:u w:val="single"/>
              </w:rPr>
              <w:t>0550-3801701</w:t>
            </w:r>
            <w:r>
              <w:rPr>
                <w:rFonts w:hint="eastAsia" w:ascii="宋体" w:hAnsi="宋体" w:cs="宋体"/>
                <w:bCs/>
                <w:snapToGrid w:val="0"/>
                <w:color w:val="000000"/>
                <w:kern w:val="0"/>
                <w:szCs w:val="21"/>
                <w:highlight w:val="none"/>
              </w:rPr>
              <w:t>。</w:t>
            </w:r>
            <w:bookmarkEnd w:id="16"/>
            <w:bookmarkEnd w:id="17"/>
          </w:p>
        </w:tc>
      </w:tr>
      <w:tr w14:paraId="0E4A4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D998FCF">
            <w:pPr>
              <w:widowControl/>
              <w:spacing w:line="560" w:lineRule="exact"/>
              <w:jc w:val="center"/>
              <w:rPr>
                <w:rFonts w:ascii="宋体" w:cs="宋体"/>
                <w:color w:val="000000"/>
                <w:kern w:val="0"/>
                <w:szCs w:val="21"/>
                <w:highlight w:val="none"/>
              </w:rPr>
            </w:pPr>
            <w:r>
              <w:rPr>
                <w:rFonts w:hint="eastAsia" w:ascii="宋体" w:hAnsi="宋体" w:cs="宋体"/>
                <w:color w:val="000000"/>
                <w:kern w:val="0"/>
                <w:szCs w:val="21"/>
                <w:highlight w:val="none"/>
              </w:rPr>
              <w:t>招标公告发布时间</w:t>
            </w:r>
          </w:p>
        </w:tc>
        <w:tc>
          <w:tcPr>
            <w:tcW w:w="8313" w:type="dxa"/>
            <w:vAlign w:val="center"/>
          </w:tcPr>
          <w:p w14:paraId="672EED16">
            <w:pPr>
              <w:widowControl/>
              <w:spacing w:line="560" w:lineRule="exact"/>
              <w:jc w:val="left"/>
              <w:rPr>
                <w:rFonts w:hint="eastAsia" w:ascii="宋体" w:hAnsi="宋体" w:eastAsia="宋体" w:cs="宋体"/>
                <w:color w:val="000000"/>
                <w:kern w:val="0"/>
                <w:szCs w:val="21"/>
                <w:highlight w:val="none"/>
              </w:rPr>
            </w:pPr>
            <w:r>
              <w:rPr>
                <w:rFonts w:hint="eastAsia" w:ascii="宋体" w:hAnsi="宋体" w:eastAsia="宋体" w:cs="宋体"/>
                <w:color w:val="000000"/>
                <w:szCs w:val="21"/>
                <w:highlight w:val="none"/>
              </w:rPr>
              <w:t>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rPr>
              <w:t>月</w:t>
            </w:r>
            <w:r>
              <w:rPr>
                <w:rFonts w:hint="eastAsia" w:ascii="宋体" w:hAnsi="宋体" w:cs="宋体"/>
                <w:color w:val="000000"/>
                <w:szCs w:val="21"/>
                <w:highlight w:val="none"/>
                <w:lang w:val="en-US" w:eastAsia="zh-CN"/>
              </w:rPr>
              <w:t>24</w:t>
            </w:r>
            <w:r>
              <w:rPr>
                <w:rFonts w:hint="eastAsia" w:ascii="宋体" w:hAnsi="宋体" w:eastAsia="宋体" w:cs="宋体"/>
                <w:color w:val="000000"/>
                <w:szCs w:val="21"/>
                <w:highlight w:val="none"/>
              </w:rPr>
              <w:t>日</w:t>
            </w:r>
          </w:p>
        </w:tc>
      </w:tr>
      <w:tr w14:paraId="431F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36A2B41">
            <w:pPr>
              <w:widowControl/>
              <w:spacing w:line="560" w:lineRule="exact"/>
              <w:jc w:val="center"/>
              <w:rPr>
                <w:rFonts w:ascii="宋体" w:cs="宋体"/>
                <w:color w:val="000000"/>
                <w:kern w:val="0"/>
                <w:szCs w:val="21"/>
                <w:highlight w:val="none"/>
              </w:rPr>
            </w:pPr>
            <w:r>
              <w:rPr>
                <w:rFonts w:hint="eastAsia" w:ascii="宋体" w:hAnsi="宋体" w:cs="宋体"/>
                <w:color w:val="000000"/>
                <w:szCs w:val="21"/>
                <w:highlight w:val="none"/>
              </w:rPr>
              <w:t>投标文件递交的截止时间</w:t>
            </w:r>
          </w:p>
        </w:tc>
        <w:tc>
          <w:tcPr>
            <w:tcW w:w="8313" w:type="dxa"/>
            <w:vAlign w:val="center"/>
          </w:tcPr>
          <w:p w14:paraId="2B0A3EFF">
            <w:pPr>
              <w:widowControl/>
              <w:spacing w:line="560" w:lineRule="exact"/>
              <w:jc w:val="left"/>
              <w:rPr>
                <w:rFonts w:hint="eastAsia" w:ascii="宋体" w:hAnsi="宋体" w:eastAsia="宋体" w:cs="宋体"/>
                <w:color w:val="000000"/>
                <w:kern w:val="0"/>
                <w:szCs w:val="21"/>
                <w:highlight w:val="none"/>
              </w:rPr>
            </w:pPr>
            <w:r>
              <w:rPr>
                <w:rFonts w:hint="eastAsia" w:ascii="宋体" w:hAnsi="宋体" w:eastAsia="宋体" w:cs="宋体"/>
                <w:color w:val="000000"/>
                <w:szCs w:val="21"/>
                <w:highlight w:val="none"/>
              </w:rPr>
              <w:t>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rPr>
              <w:t>月</w:t>
            </w:r>
            <w:r>
              <w:rPr>
                <w:rFonts w:hint="eastAsia" w:ascii="宋体" w:hAnsi="宋体" w:cs="宋体"/>
                <w:color w:val="000000"/>
                <w:szCs w:val="21"/>
                <w:highlight w:val="none"/>
                <w:lang w:val="en-US" w:eastAsia="zh-CN"/>
              </w:rPr>
              <w:t>15</w:t>
            </w:r>
            <w:r>
              <w:rPr>
                <w:rFonts w:hint="eastAsia" w:ascii="宋体" w:hAnsi="宋体" w:eastAsia="宋体" w:cs="宋体"/>
                <w:color w:val="000000"/>
                <w:szCs w:val="21"/>
                <w:highlight w:val="none"/>
              </w:rPr>
              <w:t>日</w:t>
            </w:r>
            <w:r>
              <w:rPr>
                <w:rFonts w:hint="eastAsia" w:ascii="宋体" w:hAnsi="宋体" w:cs="宋体"/>
                <w:color w:val="000000"/>
                <w:szCs w:val="21"/>
                <w:highlight w:val="none"/>
                <w:lang w:val="en-US" w:eastAsia="zh-CN"/>
              </w:rPr>
              <w:t>8</w:t>
            </w:r>
            <w:r>
              <w:rPr>
                <w:rFonts w:hint="eastAsia" w:ascii="宋体" w:hAnsi="宋体" w:eastAsia="宋体" w:cs="宋体"/>
                <w:color w:val="000000"/>
                <w:szCs w:val="21"/>
                <w:highlight w:val="none"/>
              </w:rPr>
              <w:t>时</w:t>
            </w:r>
            <w:r>
              <w:rPr>
                <w:rFonts w:hint="eastAsia" w:ascii="宋体" w:hAnsi="宋体" w:cs="宋体"/>
                <w:color w:val="000000"/>
                <w:szCs w:val="21"/>
                <w:highlight w:val="none"/>
                <w:lang w:val="en-US" w:eastAsia="zh-CN"/>
              </w:rPr>
              <w:t>50</w:t>
            </w:r>
            <w:r>
              <w:rPr>
                <w:rFonts w:hint="eastAsia" w:ascii="宋体" w:hAnsi="宋体" w:eastAsia="宋体" w:cs="宋体"/>
                <w:color w:val="000000"/>
                <w:szCs w:val="21"/>
                <w:highlight w:val="none"/>
              </w:rPr>
              <w:t>分</w:t>
            </w:r>
          </w:p>
        </w:tc>
      </w:tr>
      <w:tr w14:paraId="3BB35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AF4197D">
            <w:pPr>
              <w:widowControl/>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投标文件递交的方式</w:t>
            </w:r>
          </w:p>
        </w:tc>
        <w:tc>
          <w:tcPr>
            <w:tcW w:w="8313" w:type="dxa"/>
            <w:vAlign w:val="center"/>
          </w:tcPr>
          <w:p w14:paraId="7182A2FA">
            <w:pPr>
              <w:widowControl/>
              <w:spacing w:line="560" w:lineRule="exact"/>
              <w:jc w:val="left"/>
              <w:rPr>
                <w:color w:val="000000"/>
                <w:szCs w:val="21"/>
                <w:highlight w:val="none"/>
              </w:rPr>
            </w:pPr>
            <w:r>
              <w:rPr>
                <w:rFonts w:hint="eastAsia"/>
                <w:color w:val="000000"/>
                <w:szCs w:val="21"/>
                <w:highlight w:val="none"/>
              </w:rPr>
              <w:t>投标人应在投标截止时间前通过</w:t>
            </w:r>
            <w:bookmarkStart w:id="18" w:name="OLE_LINK48"/>
            <w:bookmarkStart w:id="19" w:name="OLE_LINK46"/>
            <w:bookmarkStart w:id="20" w:name="OLE_LINK47"/>
            <w:r>
              <w:rPr>
                <w:rFonts w:hint="eastAsia"/>
                <w:color w:val="000000"/>
                <w:szCs w:val="21"/>
                <w:highlight w:val="none"/>
              </w:rPr>
              <w:t>滁州市公共资源交易中心交易系统</w:t>
            </w:r>
            <w:bookmarkEnd w:id="18"/>
            <w:bookmarkEnd w:id="19"/>
            <w:bookmarkEnd w:id="20"/>
            <w:r>
              <w:rPr>
                <w:rFonts w:hint="eastAsia"/>
                <w:color w:val="000000"/>
                <w:szCs w:val="21"/>
                <w:highlight w:val="none"/>
              </w:rPr>
              <w:t>递交电子投标文件。</w:t>
            </w:r>
          </w:p>
        </w:tc>
      </w:tr>
      <w:tr w14:paraId="31D5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875" w:type="dxa"/>
            <w:vAlign w:val="center"/>
          </w:tcPr>
          <w:p w14:paraId="6A2F59CD">
            <w:pPr>
              <w:widowControl/>
              <w:spacing w:line="560" w:lineRule="exact"/>
              <w:jc w:val="center"/>
              <w:rPr>
                <w:rFonts w:ascii="宋体" w:cs="宋体"/>
                <w:color w:val="000000"/>
                <w:kern w:val="0"/>
                <w:szCs w:val="21"/>
                <w:highlight w:val="none"/>
              </w:rPr>
            </w:pPr>
            <w:r>
              <w:rPr>
                <w:rFonts w:hint="eastAsia" w:ascii="宋体" w:hAnsi="宋体" w:cs="宋体"/>
                <w:color w:val="000000"/>
                <w:szCs w:val="21"/>
                <w:highlight w:val="none"/>
              </w:rPr>
              <w:t>开标时间</w:t>
            </w:r>
          </w:p>
        </w:tc>
        <w:tc>
          <w:tcPr>
            <w:tcW w:w="8313" w:type="dxa"/>
            <w:vAlign w:val="center"/>
          </w:tcPr>
          <w:p w14:paraId="35950B0E">
            <w:pPr>
              <w:widowControl/>
              <w:spacing w:line="560" w:lineRule="exact"/>
              <w:jc w:val="left"/>
              <w:rPr>
                <w:rFonts w:ascii="宋体" w:cs="宋体"/>
                <w:color w:val="000000"/>
                <w:kern w:val="0"/>
                <w:szCs w:val="21"/>
                <w:highlight w:val="none"/>
              </w:rPr>
            </w:pPr>
            <w:r>
              <w:rPr>
                <w:rFonts w:hint="eastAsia" w:ascii="宋体" w:hAnsi="宋体" w:eastAsia="宋体" w:cs="宋体"/>
                <w:color w:val="000000"/>
                <w:szCs w:val="21"/>
                <w:highlight w:val="none"/>
              </w:rPr>
              <w:t>2026年</w:t>
            </w:r>
            <w:r>
              <w:rPr>
                <w:rFonts w:hint="eastAsia" w:ascii="宋体" w:hAnsi="宋体" w:cs="宋体"/>
                <w:color w:val="000000"/>
                <w:szCs w:val="21"/>
                <w:highlight w:val="none"/>
                <w:lang w:val="en-US" w:eastAsia="zh-CN"/>
              </w:rPr>
              <w:t>10</w:t>
            </w:r>
            <w:r>
              <w:rPr>
                <w:rFonts w:hint="eastAsia" w:ascii="宋体" w:hAnsi="宋体" w:eastAsia="宋体" w:cs="宋体"/>
                <w:color w:val="000000"/>
                <w:szCs w:val="21"/>
                <w:highlight w:val="none"/>
              </w:rPr>
              <w:t>月</w:t>
            </w:r>
            <w:r>
              <w:rPr>
                <w:rFonts w:hint="eastAsia" w:ascii="宋体" w:hAnsi="宋体" w:cs="宋体"/>
                <w:color w:val="000000"/>
                <w:szCs w:val="21"/>
                <w:highlight w:val="none"/>
                <w:lang w:val="en-US" w:eastAsia="zh-CN"/>
              </w:rPr>
              <w:t>15</w:t>
            </w:r>
            <w:r>
              <w:rPr>
                <w:rFonts w:hint="eastAsia" w:ascii="宋体" w:hAnsi="宋体" w:eastAsia="宋体" w:cs="宋体"/>
                <w:color w:val="000000"/>
                <w:szCs w:val="21"/>
                <w:highlight w:val="none"/>
              </w:rPr>
              <w:t>日</w:t>
            </w:r>
            <w:r>
              <w:rPr>
                <w:rFonts w:hint="eastAsia" w:ascii="宋体" w:hAnsi="宋体" w:cs="宋体"/>
                <w:color w:val="000000"/>
                <w:szCs w:val="21"/>
                <w:highlight w:val="none"/>
                <w:lang w:val="en-US" w:eastAsia="zh-CN"/>
              </w:rPr>
              <w:t>8</w:t>
            </w:r>
            <w:r>
              <w:rPr>
                <w:rFonts w:hint="eastAsia" w:ascii="宋体" w:hAnsi="宋体" w:eastAsia="宋体" w:cs="宋体"/>
                <w:color w:val="000000"/>
                <w:szCs w:val="21"/>
                <w:highlight w:val="none"/>
              </w:rPr>
              <w:t>时</w:t>
            </w:r>
            <w:r>
              <w:rPr>
                <w:rFonts w:hint="eastAsia" w:ascii="宋体" w:hAnsi="宋体" w:cs="宋体"/>
                <w:color w:val="000000"/>
                <w:szCs w:val="21"/>
                <w:highlight w:val="none"/>
                <w:lang w:val="en-US" w:eastAsia="zh-CN"/>
              </w:rPr>
              <w:t>50</w:t>
            </w:r>
            <w:r>
              <w:rPr>
                <w:rFonts w:hint="eastAsia" w:ascii="宋体" w:hAnsi="宋体" w:eastAsia="宋体" w:cs="宋体"/>
                <w:color w:val="000000"/>
                <w:szCs w:val="21"/>
                <w:highlight w:val="none"/>
              </w:rPr>
              <w:t>分</w:t>
            </w:r>
          </w:p>
        </w:tc>
      </w:tr>
      <w:tr w14:paraId="33A7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875" w:type="dxa"/>
            <w:vAlign w:val="center"/>
          </w:tcPr>
          <w:p w14:paraId="74678888">
            <w:pPr>
              <w:widowControl/>
              <w:spacing w:line="560" w:lineRule="exact"/>
              <w:jc w:val="center"/>
              <w:rPr>
                <w:rFonts w:ascii="宋体" w:cs="宋体"/>
                <w:color w:val="000000"/>
                <w:kern w:val="0"/>
                <w:szCs w:val="21"/>
                <w:highlight w:val="none"/>
              </w:rPr>
            </w:pPr>
            <w:r>
              <w:rPr>
                <w:rFonts w:hint="eastAsia" w:ascii="宋体" w:hAnsi="宋体" w:cs="宋体"/>
                <w:color w:val="000000"/>
                <w:szCs w:val="21"/>
                <w:highlight w:val="none"/>
              </w:rPr>
              <w:t>开标地点</w:t>
            </w:r>
          </w:p>
        </w:tc>
        <w:tc>
          <w:tcPr>
            <w:tcW w:w="8313" w:type="dxa"/>
            <w:vAlign w:val="center"/>
          </w:tcPr>
          <w:p w14:paraId="42EDB0E2">
            <w:pPr>
              <w:widowControl/>
              <w:wordWrap w:val="0"/>
              <w:spacing w:line="560" w:lineRule="exact"/>
              <w:jc w:val="left"/>
              <w:rPr>
                <w:rFonts w:ascii="宋体" w:cs="宋体"/>
                <w:color w:val="000000"/>
                <w:kern w:val="0"/>
                <w:szCs w:val="21"/>
                <w:highlight w:val="none"/>
              </w:rPr>
            </w:pPr>
            <w:r>
              <w:rPr>
                <w:rFonts w:hint="eastAsia" w:ascii="宋体" w:hAnsi="宋体" w:cs="宋体"/>
                <w:color w:val="000000"/>
                <w:kern w:val="0"/>
                <w:szCs w:val="21"/>
                <w:highlight w:val="none"/>
              </w:rPr>
              <w:t>网上开标，投标人登录滁州市不见面开标系统参与网上开标（网址：</w:t>
            </w:r>
            <w:r>
              <w:rPr>
                <w:highlight w:val="none"/>
              </w:rPr>
              <w:fldChar w:fldCharType="begin"/>
            </w:r>
            <w:r>
              <w:rPr>
                <w:highlight w:val="none"/>
              </w:rPr>
              <w:instrText xml:space="preserve"> HYPERLINK "https://ggzy.chuzhou.gov.cn/BidOpening/bidopeninghallaction/hall/login）。操作手册见" </w:instrText>
            </w:r>
            <w:r>
              <w:rPr>
                <w:highlight w:val="none"/>
              </w:rPr>
              <w:fldChar w:fldCharType="separate"/>
            </w:r>
            <w:r>
              <w:rPr>
                <w:rStyle w:val="37"/>
                <w:rFonts w:ascii="宋体" w:hAnsi="宋体" w:cs="宋体"/>
                <w:kern w:val="0"/>
                <w:szCs w:val="21"/>
                <w:highlight w:val="none"/>
              </w:rPr>
              <w:t>https://ggzy.chuzhou.gov.cn/BidOpening/bidopeninghallaction/hall/login</w:t>
            </w:r>
            <w:r>
              <w:rPr>
                <w:rStyle w:val="37"/>
                <w:rFonts w:hint="eastAsia" w:ascii="宋体" w:hAnsi="宋体" w:cs="宋体"/>
                <w:kern w:val="0"/>
                <w:szCs w:val="21"/>
                <w:highlight w:val="none"/>
              </w:rPr>
              <w:t>）。操作手册见</w:t>
            </w:r>
            <w:r>
              <w:rPr>
                <w:rStyle w:val="37"/>
                <w:rFonts w:hint="eastAsia" w:ascii="宋体" w:hAnsi="宋体" w:cs="宋体"/>
                <w:kern w:val="0"/>
                <w:szCs w:val="21"/>
                <w:highlight w:val="none"/>
              </w:rPr>
              <w:fldChar w:fldCharType="end"/>
            </w:r>
            <w:r>
              <w:rPr>
                <w:rFonts w:ascii="宋体" w:hAnsi="宋体" w:cs="宋体"/>
                <w:color w:val="000000"/>
                <w:kern w:val="0"/>
                <w:szCs w:val="21"/>
                <w:highlight w:val="none"/>
              </w:rPr>
              <w:t>https://ggzy.chuzhou.gov.cn/fwzn/011006/20240510/f0637388-583d-4c69-8331-05b6adfcf24d.html</w:t>
            </w:r>
            <w:r>
              <w:rPr>
                <w:rFonts w:hint="eastAsia" w:ascii="宋体" w:hAnsi="宋体" w:cs="宋体"/>
                <w:color w:val="000000"/>
                <w:kern w:val="0"/>
                <w:szCs w:val="21"/>
                <w:highlight w:val="none"/>
              </w:rPr>
              <w:t>。</w:t>
            </w:r>
          </w:p>
        </w:tc>
      </w:tr>
      <w:tr w14:paraId="0A0A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102644F">
            <w:pPr>
              <w:widowControl/>
              <w:spacing w:line="560" w:lineRule="exact"/>
              <w:jc w:val="center"/>
              <w:rPr>
                <w:rFonts w:ascii="宋体" w:cs="宋体"/>
                <w:color w:val="000000"/>
                <w:kern w:val="0"/>
                <w:szCs w:val="21"/>
                <w:highlight w:val="none"/>
              </w:rPr>
            </w:pPr>
            <w:r>
              <w:rPr>
                <w:rFonts w:hint="eastAsia" w:ascii="宋体" w:hAnsi="宋体" w:cs="宋体"/>
                <w:color w:val="000000"/>
                <w:szCs w:val="21"/>
                <w:highlight w:val="none"/>
              </w:rPr>
              <w:t>招标文件价格</w:t>
            </w:r>
          </w:p>
        </w:tc>
        <w:tc>
          <w:tcPr>
            <w:tcW w:w="8313" w:type="dxa"/>
            <w:vAlign w:val="center"/>
          </w:tcPr>
          <w:p w14:paraId="13CF12A1">
            <w:pPr>
              <w:widowControl/>
              <w:spacing w:line="560" w:lineRule="exact"/>
              <w:jc w:val="left"/>
              <w:rPr>
                <w:rFonts w:ascii="宋体" w:cs="宋体"/>
                <w:color w:val="000000"/>
                <w:kern w:val="0"/>
                <w:szCs w:val="21"/>
                <w:highlight w:val="none"/>
              </w:rPr>
            </w:pPr>
            <w:r>
              <w:rPr>
                <w:rFonts w:ascii="宋体" w:cs="宋体"/>
                <w:color w:val="000000"/>
                <w:kern w:val="0"/>
                <w:szCs w:val="21"/>
                <w:highlight w:val="none"/>
              </w:rPr>
              <w:t>0</w:t>
            </w:r>
            <w:r>
              <w:rPr>
                <w:rFonts w:hint="eastAsia" w:ascii="宋体" w:hAnsi="宋体" w:cs="宋体"/>
                <w:color w:val="000000"/>
                <w:kern w:val="0"/>
                <w:szCs w:val="21"/>
                <w:highlight w:val="none"/>
              </w:rPr>
              <w:t>元</w:t>
            </w:r>
          </w:p>
        </w:tc>
      </w:tr>
      <w:tr w14:paraId="3B88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A64C2AB">
            <w:pPr>
              <w:widowControl/>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发布公告的媒介</w:t>
            </w:r>
          </w:p>
        </w:tc>
        <w:tc>
          <w:tcPr>
            <w:tcW w:w="8313" w:type="dxa"/>
            <w:vAlign w:val="center"/>
          </w:tcPr>
          <w:p w14:paraId="168D086B">
            <w:pPr>
              <w:widowControl/>
              <w:spacing w:line="560" w:lineRule="exact"/>
              <w:jc w:val="left"/>
              <w:rPr>
                <w:rFonts w:ascii="宋体" w:cs="宋体"/>
                <w:color w:val="000000"/>
                <w:kern w:val="0"/>
                <w:szCs w:val="21"/>
                <w:highlight w:val="none"/>
              </w:rPr>
            </w:pPr>
            <w:bookmarkStart w:id="21" w:name="OLE_LINK50"/>
            <w:bookmarkStart w:id="22" w:name="OLE_LINK49"/>
            <w:r>
              <w:rPr>
                <w:rFonts w:hint="eastAsia" w:ascii="宋体" w:cs="宋体"/>
                <w:color w:val="000000"/>
                <w:kern w:val="0"/>
                <w:szCs w:val="21"/>
                <w:highlight w:val="none"/>
              </w:rPr>
              <w:t>本次招标公告同时在滁州市公共资源交易中心、安徽省公共资源交易监管网、安徽省招标投标信息网等网站发布。</w:t>
            </w:r>
            <w:bookmarkEnd w:id="21"/>
            <w:bookmarkEnd w:id="22"/>
          </w:p>
        </w:tc>
      </w:tr>
      <w:tr w14:paraId="5AD5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63DA32D">
            <w:pPr>
              <w:widowControl/>
              <w:spacing w:line="560" w:lineRule="exact"/>
              <w:jc w:val="center"/>
              <w:rPr>
                <w:rFonts w:hint="eastAsia" w:ascii="宋体" w:hAnsi="宋体" w:cs="宋体"/>
                <w:color w:val="000000"/>
                <w:szCs w:val="21"/>
                <w:highlight w:val="none"/>
              </w:rPr>
            </w:pPr>
            <w:bookmarkStart w:id="23" w:name="OLE_LINK52"/>
            <w:bookmarkStart w:id="24" w:name="OLE_LINK51"/>
            <w:r>
              <w:rPr>
                <w:rFonts w:hint="eastAsia" w:ascii="宋体" w:hAnsi="宋体" w:cs="宋体"/>
                <w:b/>
                <w:color w:val="000000"/>
                <w:szCs w:val="21"/>
                <w:highlight w:val="none"/>
              </w:rPr>
              <w:t>投标人提出异议的截止时间及方式</w:t>
            </w:r>
            <w:bookmarkEnd w:id="23"/>
            <w:bookmarkEnd w:id="24"/>
          </w:p>
        </w:tc>
        <w:tc>
          <w:tcPr>
            <w:tcW w:w="8313" w:type="dxa"/>
            <w:vAlign w:val="center"/>
          </w:tcPr>
          <w:p w14:paraId="05A9B6C4">
            <w:pPr>
              <w:widowControl/>
              <w:spacing w:line="560" w:lineRule="exact"/>
              <w:jc w:val="left"/>
              <w:rPr>
                <w:rFonts w:ascii="宋体" w:cs="宋体"/>
                <w:color w:val="000000"/>
                <w:kern w:val="0"/>
                <w:szCs w:val="21"/>
                <w:highlight w:val="none"/>
              </w:rPr>
            </w:pPr>
            <w:bookmarkStart w:id="25" w:name="OLE_LINK53"/>
            <w:bookmarkStart w:id="26" w:name="OLE_LINK54"/>
            <w:r>
              <w:rPr>
                <w:rFonts w:hint="eastAsia" w:ascii="宋体" w:hAnsi="宋体" w:cs="宋体"/>
                <w:b/>
                <w:color w:val="000000"/>
                <w:kern w:val="0"/>
                <w:szCs w:val="21"/>
                <w:highlight w:val="none"/>
              </w:rPr>
              <w:t>如投标人对招标文件有异议，请于</w:t>
            </w:r>
            <w:r>
              <w:rPr>
                <w:rFonts w:hint="eastAsia" w:ascii="宋体" w:hAnsi="宋体" w:cs="宋体"/>
                <w:b/>
                <w:color w:val="000000"/>
                <w:kern w:val="0"/>
                <w:szCs w:val="21"/>
                <w:highlight w:val="none"/>
                <w:u w:val="single"/>
              </w:rPr>
              <w:t>2026</w:t>
            </w:r>
            <w:r>
              <w:rPr>
                <w:rFonts w:hint="eastAsia" w:ascii="宋体" w:hAnsi="宋体" w:cs="宋体"/>
                <w:b/>
                <w:color w:val="000000"/>
                <w:kern w:val="0"/>
                <w:szCs w:val="21"/>
                <w:highlight w:val="none"/>
              </w:rPr>
              <w:t>年</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u w:val="single"/>
                <w:lang w:val="en-US" w:eastAsia="zh-CN"/>
              </w:rPr>
              <w:t>10</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rPr>
              <w:t>月</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u w:val="single"/>
                <w:lang w:val="en-US" w:eastAsia="zh-CN"/>
              </w:rPr>
              <w:t>5</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rPr>
              <w:t>日</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u w:val="single"/>
                <w:lang w:val="en-US" w:eastAsia="zh-CN"/>
              </w:rPr>
              <w:t>8</w:t>
            </w:r>
            <w:r>
              <w:rPr>
                <w:rFonts w:hint="eastAsia" w:ascii="宋体" w:hAnsi="宋体" w:cs="宋体"/>
                <w:b/>
                <w:color w:val="000000"/>
                <w:kern w:val="0"/>
                <w:szCs w:val="21"/>
                <w:highlight w:val="none"/>
                <w:u w:val="single"/>
              </w:rPr>
              <w:t xml:space="preserve">  </w:t>
            </w:r>
            <w:r>
              <w:rPr>
                <w:rFonts w:hint="eastAsia" w:ascii="宋体" w:hAnsi="宋体" w:cs="宋体"/>
                <w:b/>
                <w:color w:val="000000"/>
                <w:kern w:val="0"/>
                <w:szCs w:val="21"/>
                <w:highlight w:val="none"/>
              </w:rPr>
              <w:t>时（投标截止 10 日）前在滁州市公共资源交易中心网电子交易系统中在线进行异议，具体操作步骤和程序请参见服务指南&gt;交易须知&gt;在线异议、质疑和投诉操作手册。</w:t>
            </w:r>
            <w:bookmarkEnd w:id="25"/>
            <w:bookmarkEnd w:id="26"/>
          </w:p>
        </w:tc>
      </w:tr>
      <w:tr w14:paraId="1F80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3D43D135">
            <w:pPr>
              <w:widowControl/>
              <w:spacing w:line="560" w:lineRule="exact"/>
              <w:jc w:val="center"/>
              <w:rPr>
                <w:rFonts w:ascii="宋体" w:cs="宋体"/>
                <w:color w:val="000000"/>
                <w:kern w:val="0"/>
                <w:szCs w:val="21"/>
                <w:highlight w:val="none"/>
              </w:rPr>
            </w:pPr>
            <w:bookmarkStart w:id="27" w:name="OLE_LINK55"/>
            <w:bookmarkStart w:id="28" w:name="OLE_LINK56"/>
            <w:r>
              <w:rPr>
                <w:rFonts w:hint="eastAsia" w:ascii="宋体" w:cs="宋体"/>
                <w:color w:val="000000"/>
                <w:kern w:val="0"/>
                <w:szCs w:val="21"/>
                <w:highlight w:val="none"/>
              </w:rPr>
              <w:t>受理异议的联系人及联系方式</w:t>
            </w:r>
            <w:bookmarkEnd w:id="27"/>
            <w:bookmarkEnd w:id="28"/>
          </w:p>
        </w:tc>
        <w:tc>
          <w:tcPr>
            <w:tcW w:w="8313" w:type="dxa"/>
            <w:vAlign w:val="center"/>
          </w:tcPr>
          <w:p w14:paraId="6DBDA56F">
            <w:pPr>
              <w:widowControl/>
              <w:spacing w:line="560" w:lineRule="exact"/>
              <w:jc w:val="left"/>
              <w:rPr>
                <w:rFonts w:ascii="宋体" w:cs="宋体"/>
                <w:color w:val="000000"/>
                <w:kern w:val="0"/>
                <w:szCs w:val="21"/>
                <w:highlight w:val="none"/>
              </w:rPr>
            </w:pPr>
            <w:bookmarkStart w:id="29" w:name="OLE_LINK57"/>
            <w:bookmarkStart w:id="30" w:name="OLE_LINK58"/>
            <w:r>
              <w:rPr>
                <w:rFonts w:hint="eastAsia" w:ascii="宋体" w:cs="宋体"/>
                <w:color w:val="000000"/>
                <w:kern w:val="0"/>
                <w:szCs w:val="21"/>
                <w:highlight w:val="none"/>
              </w:rPr>
              <w:t>联系人：</w:t>
            </w:r>
            <w:r>
              <w:rPr>
                <w:rFonts w:hint="eastAsia" w:ascii="宋体" w:cs="宋体"/>
                <w:color w:val="000000"/>
                <w:kern w:val="0"/>
                <w:szCs w:val="21"/>
                <w:highlight w:val="none"/>
                <w:u w:val="single"/>
              </w:rPr>
              <w:t xml:space="preserve"> </w:t>
            </w:r>
            <w:r>
              <w:rPr>
                <w:rFonts w:ascii="宋体" w:cs="宋体"/>
                <w:color w:val="000000"/>
                <w:kern w:val="0"/>
                <w:szCs w:val="21"/>
                <w:highlight w:val="none"/>
                <w:u w:val="single"/>
              </w:rPr>
              <w:t>田鹏</w:t>
            </w:r>
            <w:r>
              <w:rPr>
                <w:rFonts w:hint="eastAsia" w:ascii="宋体" w:cs="宋体"/>
                <w:color w:val="000000"/>
                <w:kern w:val="0"/>
                <w:szCs w:val="21"/>
                <w:highlight w:val="none"/>
                <w:u w:val="single"/>
              </w:rPr>
              <w:t xml:space="preserve">、周蓓蕾 </w:t>
            </w:r>
            <w:r>
              <w:rPr>
                <w:rFonts w:hint="eastAsia" w:ascii="宋体" w:cs="宋体"/>
                <w:color w:val="000000"/>
                <w:kern w:val="0"/>
                <w:szCs w:val="21"/>
                <w:highlight w:val="none"/>
              </w:rPr>
              <w:t>联系方式:</w:t>
            </w:r>
            <w:bookmarkEnd w:id="29"/>
            <w:bookmarkEnd w:id="30"/>
            <w:r>
              <w:rPr>
                <w:rFonts w:ascii="宋体" w:cs="宋体"/>
                <w:color w:val="000000"/>
                <w:kern w:val="0"/>
                <w:szCs w:val="21"/>
                <w:highlight w:val="none"/>
                <w:u w:val="single"/>
              </w:rPr>
              <w:t>15538075318</w:t>
            </w:r>
            <w:r>
              <w:rPr>
                <w:rFonts w:hint="eastAsia" w:ascii="宋体" w:cs="宋体"/>
                <w:color w:val="000000"/>
                <w:kern w:val="0"/>
                <w:szCs w:val="21"/>
                <w:highlight w:val="none"/>
                <w:u w:val="single"/>
              </w:rPr>
              <w:t>、0550-3519519、18005505728</w:t>
            </w:r>
          </w:p>
        </w:tc>
      </w:tr>
      <w:tr w14:paraId="581E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01ED105">
            <w:pPr>
              <w:widowControl/>
              <w:spacing w:line="560" w:lineRule="exact"/>
              <w:jc w:val="center"/>
              <w:rPr>
                <w:rFonts w:ascii="宋体" w:cs="宋体"/>
                <w:color w:val="000000"/>
                <w:kern w:val="0"/>
                <w:szCs w:val="21"/>
                <w:highlight w:val="none"/>
              </w:rPr>
            </w:pPr>
            <w:r>
              <w:rPr>
                <w:rFonts w:hint="eastAsia" w:ascii="宋体" w:hAnsi="宋体" w:cs="宋体"/>
                <w:b/>
                <w:color w:val="000000"/>
                <w:szCs w:val="21"/>
                <w:highlight w:val="none"/>
              </w:rPr>
              <w:t>投标人提出投诉的方式</w:t>
            </w:r>
          </w:p>
        </w:tc>
        <w:tc>
          <w:tcPr>
            <w:tcW w:w="8313" w:type="dxa"/>
          </w:tcPr>
          <w:p w14:paraId="59457173">
            <w:pPr>
              <w:widowControl/>
              <w:wordWrap w:val="0"/>
              <w:spacing w:line="560" w:lineRule="exact"/>
              <w:jc w:val="left"/>
              <w:rPr>
                <w:rFonts w:ascii="宋体" w:cs="宋体"/>
                <w:color w:val="000000"/>
                <w:kern w:val="0"/>
                <w:szCs w:val="21"/>
                <w:highlight w:val="none"/>
              </w:rPr>
            </w:pPr>
            <w:bookmarkStart w:id="31" w:name="OLE_LINK59"/>
            <w:r>
              <w:rPr>
                <w:rFonts w:hint="eastAsia" w:ascii="宋体" w:hAnsi="宋体" w:cs="宋体"/>
                <w:color w:val="000000"/>
                <w:kern w:val="0"/>
                <w:szCs w:val="21"/>
                <w:highlight w:val="none"/>
                <w:u w:val="single"/>
              </w:rPr>
              <w:t xml:space="preserve">投标人或者其他利害关系人认为招标投标活动违反法律、法规和规章规定的，有权向相关行政监督部门投诉。在线投诉具体步骤和程序请参照服务指南&gt;投诉渠道 </w:t>
            </w:r>
            <w:r>
              <w:rPr>
                <w:highlight w:val="none"/>
              </w:rPr>
              <w:fldChar w:fldCharType="begin"/>
            </w:r>
            <w:r>
              <w:rPr>
                <w:highlight w:val="none"/>
              </w:rPr>
              <w:instrText xml:space="preserve"> HYPERLINK "https://ggzy.chuzhou.gov.cn/fwzn/011001/serviceGuide.html" </w:instrText>
            </w:r>
            <w:r>
              <w:rPr>
                <w:highlight w:val="none"/>
              </w:rPr>
              <w:fldChar w:fldCharType="separate"/>
            </w:r>
            <w:r>
              <w:rPr>
                <w:rFonts w:ascii="宋体" w:hAnsi="宋体" w:cs="宋体"/>
                <w:color w:val="000000"/>
                <w:kern w:val="0"/>
                <w:szCs w:val="21"/>
                <w:highlight w:val="none"/>
                <w:u w:val="single"/>
              </w:rPr>
              <w:t>https://ggzy.chuzhou.gov.cn/fwzn/011001/serviceGuide.html</w:t>
            </w:r>
            <w:r>
              <w:rPr>
                <w:rFonts w:ascii="宋体" w:hAnsi="宋体" w:cs="宋体"/>
                <w:color w:val="000000"/>
                <w:kern w:val="0"/>
                <w:szCs w:val="21"/>
                <w:highlight w:val="none"/>
                <w:u w:val="single"/>
              </w:rPr>
              <w:fldChar w:fldCharType="end"/>
            </w:r>
            <w:r>
              <w:rPr>
                <w:rFonts w:hint="eastAsia" w:ascii="宋体" w:hAnsi="宋体" w:cs="宋体"/>
                <w:color w:val="000000"/>
                <w:kern w:val="0"/>
                <w:szCs w:val="21"/>
                <w:highlight w:val="none"/>
                <w:u w:val="single"/>
              </w:rPr>
              <w:t>；投诉书格式等内容参见服务指南&gt;办事指南&gt;投标人服务&gt;投诉受理一次告知书</w:t>
            </w:r>
            <w:r>
              <w:rPr>
                <w:rFonts w:ascii="宋体" w:hAnsi="宋体" w:cs="宋体"/>
                <w:color w:val="000000"/>
                <w:kern w:val="0"/>
                <w:szCs w:val="21"/>
                <w:highlight w:val="none"/>
                <w:u w:val="single"/>
              </w:rPr>
              <w:t>https://ggzy.chuzhou.gov.cn/fwzn/011001/011001001/011001001003/20211022/4b7d87ec-2c58-49b0-b76c-3a6277377930.html</w:t>
            </w:r>
            <w:r>
              <w:rPr>
                <w:rFonts w:hint="eastAsia" w:ascii="宋体" w:hAnsi="宋体" w:cs="宋体"/>
                <w:color w:val="000000"/>
                <w:kern w:val="0"/>
                <w:szCs w:val="21"/>
                <w:highlight w:val="none"/>
                <w:u w:val="single"/>
              </w:rPr>
              <w:t>。</w:t>
            </w:r>
            <w:bookmarkEnd w:id="31"/>
          </w:p>
        </w:tc>
      </w:tr>
      <w:tr w14:paraId="1CD7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19563FBA">
            <w:pPr>
              <w:widowControl/>
              <w:spacing w:line="560" w:lineRule="exact"/>
              <w:jc w:val="center"/>
              <w:rPr>
                <w:rFonts w:ascii="宋体" w:cs="宋体"/>
                <w:b/>
                <w:color w:val="000000"/>
                <w:kern w:val="0"/>
                <w:sz w:val="24"/>
                <w:highlight w:val="none"/>
              </w:rPr>
            </w:pPr>
            <w:r>
              <w:rPr>
                <w:rFonts w:hint="eastAsia" w:ascii="宋体" w:hAnsi="宋体" w:cs="宋体"/>
                <w:b/>
                <w:color w:val="000000"/>
                <w:sz w:val="24"/>
                <w:highlight w:val="none"/>
              </w:rPr>
              <w:t>投标保证金收取</w:t>
            </w:r>
          </w:p>
        </w:tc>
      </w:tr>
      <w:tr w14:paraId="265D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076C06E">
            <w:pPr>
              <w:widowControl/>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投标保证金收取</w:t>
            </w:r>
            <w:r>
              <w:rPr>
                <w:rStyle w:val="40"/>
                <w:rFonts w:ascii="宋体" w:hAnsi="宋体" w:cs="宋体"/>
                <w:color w:val="000000"/>
                <w:szCs w:val="21"/>
                <w:highlight w:val="none"/>
              </w:rPr>
              <w:footnoteReference w:id="0"/>
            </w:r>
          </w:p>
        </w:tc>
        <w:tc>
          <w:tcPr>
            <w:tcW w:w="8313" w:type="dxa"/>
            <w:vAlign w:val="center"/>
          </w:tcPr>
          <w:p w14:paraId="36C10804">
            <w:pPr>
              <w:widowControl/>
              <w:spacing w:line="560" w:lineRule="exact"/>
              <w:jc w:val="left"/>
              <w:rPr>
                <w:rFonts w:hint="eastAsia" w:ascii="宋体" w:hAnsi="宋体"/>
                <w:highlight w:val="none"/>
              </w:rPr>
            </w:pPr>
            <w:r>
              <w:rPr>
                <w:rFonts w:hint="eastAsia" w:ascii="宋体" w:hAnsi="宋体" w:cs="宋体"/>
                <w:color w:val="000000"/>
                <w:kern w:val="0"/>
                <w:szCs w:val="21"/>
                <w:highlight w:val="none"/>
              </w:rPr>
              <w:t>投标保证金的金额：27万元，要求投标人提交投标保证金。</w:t>
            </w:r>
          </w:p>
        </w:tc>
      </w:tr>
      <w:tr w14:paraId="1841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tcPr>
          <w:p w14:paraId="62DDE7F2">
            <w:pPr>
              <w:widowControl/>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投标保证金形式</w:t>
            </w:r>
          </w:p>
        </w:tc>
        <w:tc>
          <w:tcPr>
            <w:tcW w:w="8313" w:type="dxa"/>
          </w:tcPr>
          <w:p w14:paraId="76182B4B">
            <w:pPr>
              <w:widowControl/>
              <w:spacing w:line="560" w:lineRule="exact"/>
              <w:jc w:val="left"/>
              <w:rPr>
                <w:rFonts w:ascii="MS Mincho" w:hAnsi="MS Mincho" w:eastAsia="MS Mincho" w:cs="MS Mincho"/>
                <w:color w:val="000000"/>
                <w:kern w:val="0"/>
                <w:szCs w:val="21"/>
                <w:highlight w:val="none"/>
              </w:rPr>
            </w:pPr>
            <w:r>
              <w:rPr>
                <w:rFonts w:hint="eastAsia" w:ascii="宋体" w:hAnsi="宋体" w:cs="MS Mincho"/>
                <w:color w:val="000000"/>
                <w:kern w:val="0"/>
                <w:szCs w:val="21"/>
                <w:highlight w:val="none"/>
              </w:rPr>
              <w:t>支持现金（银行转账、银行电汇等）、非现金形式（支票、银行汇票、本票等）、电子保函、纸质银行保函。</w:t>
            </w:r>
          </w:p>
        </w:tc>
      </w:tr>
      <w:tr w14:paraId="1A98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EF59915">
            <w:pPr>
              <w:widowControl/>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接收投标保证金的账户信息</w:t>
            </w:r>
          </w:p>
        </w:tc>
        <w:tc>
          <w:tcPr>
            <w:tcW w:w="8313" w:type="dxa"/>
            <w:vAlign w:val="center"/>
          </w:tcPr>
          <w:p w14:paraId="1EFE7CB8">
            <w:pPr>
              <w:widowControl/>
              <w:spacing w:line="560" w:lineRule="exact"/>
              <w:jc w:val="left"/>
              <w:rPr>
                <w:rFonts w:hint="eastAsia" w:ascii="宋体" w:hAnsi="宋体" w:cs="宋体"/>
                <w:color w:val="000000"/>
                <w:kern w:val="0"/>
                <w:szCs w:val="21"/>
                <w:highlight w:val="none"/>
              </w:rPr>
            </w:pPr>
            <w:bookmarkStart w:id="32" w:name="OLE_LINK64"/>
            <w:bookmarkStart w:id="33" w:name="OLE_LINK63"/>
            <w:bookmarkStart w:id="34" w:name="OLE_LINK65"/>
            <w:bookmarkStart w:id="35" w:name="OLE_LINK72"/>
            <w:bookmarkStart w:id="36" w:name="OLE_LINK70"/>
            <w:r>
              <w:rPr>
                <w:rFonts w:hint="eastAsia" w:ascii="宋体" w:hAnsi="宋体" w:cs="宋体"/>
                <w:color w:val="000000"/>
                <w:kern w:val="0"/>
                <w:szCs w:val="21"/>
                <w:highlight w:val="none"/>
              </w:rPr>
              <w:t>1.1)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选择任何一家银行提交即可）：</w:t>
            </w:r>
          </w:p>
          <w:p w14:paraId="24035A44">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①户名：滁州市公共资源交易中心</w:t>
            </w:r>
          </w:p>
          <w:p w14:paraId="2FAA97C1">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开户行：中国银行滁州分行 </w:t>
            </w:r>
          </w:p>
          <w:p w14:paraId="3E8C91AB">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账号：</w:t>
            </w:r>
            <w:r>
              <w:rPr>
                <w:rFonts w:hint="default" w:ascii="宋体" w:hAnsi="宋体" w:cs="宋体"/>
                <w:color w:val="000000"/>
                <w:kern w:val="0"/>
                <w:szCs w:val="21"/>
                <w:highlight w:val="none"/>
                <w:lang w:val="en-US" w:eastAsia="zh-CN"/>
              </w:rPr>
              <w:t>175249177785</w:t>
            </w:r>
            <w:r>
              <w:rPr>
                <w:rFonts w:hint="eastAsia" w:ascii="宋体" w:hAnsi="宋体" w:cs="宋体"/>
                <w:color w:val="000000"/>
                <w:kern w:val="0"/>
                <w:szCs w:val="21"/>
                <w:highlight w:val="none"/>
              </w:rPr>
              <w:t xml:space="preserve">                     </w:t>
            </w:r>
          </w:p>
          <w:p w14:paraId="31BD1CB2">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②户名：滁州市公共资源交易中心 </w:t>
            </w:r>
          </w:p>
          <w:p w14:paraId="3F02AEC2">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开户行：中国建设银行股份有限公司滁州南谯支行</w:t>
            </w:r>
          </w:p>
          <w:p w14:paraId="64F71700">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账号：</w:t>
            </w:r>
            <w:r>
              <w:rPr>
                <w:rFonts w:hint="default" w:ascii="宋体" w:hAnsi="宋体" w:cs="宋体"/>
                <w:color w:val="000000"/>
                <w:kern w:val="0"/>
                <w:szCs w:val="21"/>
                <w:highlight w:val="none"/>
                <w:lang w:val="en-US" w:eastAsia="zh-CN"/>
              </w:rPr>
              <w:t>6232811720000039581</w:t>
            </w:r>
            <w:r>
              <w:rPr>
                <w:rFonts w:hint="eastAsia" w:ascii="宋体" w:hAnsi="宋体" w:cs="宋体"/>
                <w:color w:val="000000"/>
                <w:kern w:val="0"/>
                <w:szCs w:val="21"/>
                <w:highlight w:val="none"/>
              </w:rPr>
              <w:t xml:space="preserve">                                </w:t>
            </w:r>
          </w:p>
          <w:p w14:paraId="763A429F">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③户名：滁州市公共资源交易中心        </w:t>
            </w:r>
          </w:p>
          <w:p w14:paraId="341AD5FB">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开户行：中国农业银行滁州中都支行                </w:t>
            </w:r>
          </w:p>
          <w:p w14:paraId="048FE0B8">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账号：</w:t>
            </w:r>
            <w:r>
              <w:rPr>
                <w:rFonts w:hint="default" w:ascii="宋体" w:hAnsi="宋体" w:cs="宋体"/>
                <w:color w:val="000000"/>
                <w:kern w:val="0"/>
                <w:szCs w:val="21"/>
                <w:highlight w:val="none"/>
                <w:lang w:val="en-US" w:eastAsia="zh-CN"/>
              </w:rPr>
              <w:t>123340010400044210000000676</w:t>
            </w:r>
            <w:r>
              <w:rPr>
                <w:rFonts w:hint="eastAsia" w:ascii="宋体" w:hAnsi="宋体" w:cs="宋体"/>
                <w:color w:val="000000"/>
                <w:kern w:val="0"/>
                <w:szCs w:val="21"/>
                <w:highlight w:val="none"/>
              </w:rPr>
              <w:t xml:space="preserve">                    </w:t>
            </w:r>
          </w:p>
          <w:p w14:paraId="1EACA0DA">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采用现金形式缴纳保证金时须在交易附言中注明：“</w:t>
            </w:r>
            <w:r>
              <w:rPr>
                <w:rFonts w:hint="default" w:ascii="宋体" w:hAnsi="宋体" w:cs="宋体"/>
                <w:color w:val="000000"/>
                <w:kern w:val="0"/>
                <w:szCs w:val="21"/>
                <w:highlight w:val="none"/>
              </w:rPr>
              <w:t>czlygc202609-001</w:t>
            </w:r>
            <w:r>
              <w:rPr>
                <w:rFonts w:hint="eastAsia" w:ascii="宋体" w:hAnsi="宋体" w:cs="宋体"/>
                <w:color w:val="000000"/>
                <w:kern w:val="0"/>
                <w:szCs w:val="21"/>
                <w:highlight w:val="none"/>
              </w:rPr>
              <w:t>（招标项目编号）项目投标保证金”。</w:t>
            </w:r>
          </w:p>
          <w:p w14:paraId="5FA392E6">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2）采用支票、银行汇票、本票等非现金形式提交投标保证金时，投标人应在付款人开户行申请书附言处注明“</w:t>
            </w:r>
            <w:r>
              <w:rPr>
                <w:rFonts w:hint="default" w:ascii="宋体" w:hAnsi="宋体" w:cs="宋体"/>
                <w:color w:val="000000"/>
                <w:kern w:val="0"/>
                <w:szCs w:val="21"/>
                <w:highlight w:val="none"/>
              </w:rPr>
              <w:t>czlygc202609-001</w:t>
            </w:r>
            <w:r>
              <w:rPr>
                <w:rFonts w:hint="eastAsia" w:ascii="宋体" w:hAnsi="宋体" w:cs="宋体"/>
                <w:color w:val="000000"/>
                <w:kern w:val="0"/>
                <w:szCs w:val="21"/>
                <w:highlight w:val="none"/>
              </w:rPr>
              <w:t>（招标项目编号）项目投标保证金”字样，应确保收款人开户行进账单完整反映交易附言内容，由此导致无法识别投标保证金对应的投标项目，其后果由投标人负责。</w:t>
            </w:r>
          </w:p>
          <w:p w14:paraId="21477B3E">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3)采用电子保函形式具体要求如下：</w:t>
            </w:r>
          </w:p>
          <w:p w14:paraId="4E4FAC66">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①电子保函提交要求：</w:t>
            </w:r>
          </w:p>
          <w:p w14:paraId="6195ABB4">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a.投标人须在投标文件提交截止时间前提供与</w:t>
            </w:r>
            <w:r>
              <w:rPr>
                <w:rFonts w:hint="eastAsia" w:ascii="宋体" w:hAnsi="宋体" w:cs="宋体"/>
                <w:color w:val="000000"/>
                <w:kern w:val="0"/>
                <w:szCs w:val="21"/>
                <w:highlight w:val="none"/>
                <w:u w:val="single"/>
              </w:rPr>
              <w:t>滁州市公共资源交易中心金融服务平台</w:t>
            </w:r>
            <w:r>
              <w:rPr>
                <w:rFonts w:hint="eastAsia" w:ascii="宋体" w:hAnsi="宋体" w:cs="宋体"/>
                <w:color w:val="000000"/>
                <w:kern w:val="0"/>
                <w:szCs w:val="21"/>
                <w:highlight w:val="none"/>
              </w:rPr>
              <w:t>对接的电子保函，否则视为投标保证金未按规定要求缴纳。</w:t>
            </w:r>
          </w:p>
          <w:p w14:paraId="45E912C0">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b.电子保函生效时间须为所投项目规定的保证金到账截止时间之前，电子保函的有效期截止时间不得短于招标文件约定的投标有效期截止时间，否则视为投标保证金未按规定要求缴纳。</w:t>
            </w:r>
          </w:p>
          <w:p w14:paraId="19811AFB">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c.投标有效期内未能确定中标结果，需要延长投标有效期，投标人同意延长投标有效期的，须相应延长电子保函的有效期。</w:t>
            </w:r>
          </w:p>
          <w:p w14:paraId="08F4D0C0">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d.投标人存在投标保证金不予退还的情形，采用电子保函形式的将予以追缴。</w:t>
            </w:r>
          </w:p>
          <w:p w14:paraId="32F906C1">
            <w:pPr>
              <w:pStyle w:val="45"/>
              <w:spacing w:line="560" w:lineRule="exact"/>
              <w:rPr>
                <w:rFonts w:hint="eastAsia" w:ascii="宋体" w:hAnsi="宋体" w:cs="宋体"/>
                <w:color w:val="000000"/>
                <w:kern w:val="0"/>
                <w:highlight w:val="none"/>
              </w:rPr>
            </w:pPr>
            <w:r>
              <w:rPr>
                <w:rFonts w:hint="eastAsia" w:ascii="宋体" w:hAnsi="宋体" w:cs="宋体"/>
                <w:color w:val="000000"/>
                <w:kern w:val="0"/>
                <w:highlight w:val="none"/>
              </w:rPr>
              <w:t>4)采用纸质银行保函形式具体要求如下：</w:t>
            </w:r>
          </w:p>
          <w:p w14:paraId="1684EC03">
            <w:pPr>
              <w:pStyle w:val="45"/>
              <w:spacing w:line="560" w:lineRule="exact"/>
              <w:rPr>
                <w:rFonts w:hint="eastAsia" w:ascii="宋体" w:hAnsi="宋体" w:cs="宋体"/>
                <w:color w:val="000000"/>
                <w:kern w:val="0"/>
                <w:highlight w:val="none"/>
              </w:rPr>
            </w:pPr>
            <w:r>
              <w:rPr>
                <w:rFonts w:hint="eastAsia" w:ascii="宋体" w:hAnsi="宋体" w:cs="宋体"/>
                <w:color w:val="000000"/>
                <w:kern w:val="0"/>
                <w:highlight w:val="none"/>
              </w:rPr>
              <w:t>①应为投标人基本账户开户银行出具的不可撤销、不可转让的见索即付独立保函,所需费用由投标人承担。</w:t>
            </w:r>
          </w:p>
          <w:p w14:paraId="045EF706">
            <w:pPr>
              <w:pStyle w:val="45"/>
              <w:spacing w:line="560" w:lineRule="exact"/>
              <w:rPr>
                <w:rFonts w:hint="eastAsia" w:ascii="宋体" w:hAnsi="宋体" w:cs="宋体"/>
                <w:color w:val="000000"/>
                <w:kern w:val="0"/>
                <w:highlight w:val="none"/>
              </w:rPr>
            </w:pPr>
            <w:r>
              <w:rPr>
                <w:rFonts w:hint="eastAsia" w:ascii="宋体" w:hAnsi="宋体" w:cs="宋体"/>
                <w:color w:val="000000"/>
                <w:kern w:val="0"/>
                <w:highlight w:val="none"/>
              </w:rPr>
              <w:t>②投标人在投标文件中必须提供基本存款账户证明（如基本存款账户开户许可证或基本存款账户信息），同时将纸质保函扫描件提供在投标文件中。</w:t>
            </w:r>
          </w:p>
          <w:p w14:paraId="4A37630B">
            <w:pPr>
              <w:pStyle w:val="45"/>
              <w:spacing w:line="560" w:lineRule="exact"/>
              <w:rPr>
                <w:rFonts w:hint="eastAsia" w:ascii="宋体" w:hAnsi="宋体" w:cs="宋体"/>
                <w:color w:val="000000"/>
                <w:kern w:val="0"/>
                <w:highlight w:val="none"/>
              </w:rPr>
            </w:pPr>
            <w:r>
              <w:rPr>
                <w:rFonts w:hint="eastAsia" w:ascii="宋体" w:hAnsi="宋体" w:cs="宋体"/>
                <w:color w:val="000000"/>
                <w:kern w:val="0"/>
                <w:highlight w:val="none"/>
              </w:rPr>
              <w:t>③投标人在投标文件中必须提供明确有效的查询途径（ 网址链接及查询方式），否则该纸质银行保函无效。</w:t>
            </w:r>
          </w:p>
          <w:p w14:paraId="49DF69DF">
            <w:pPr>
              <w:pStyle w:val="45"/>
              <w:spacing w:line="560" w:lineRule="exact"/>
              <w:rPr>
                <w:rFonts w:hint="eastAsia" w:ascii="宋体" w:hAnsi="宋体" w:cs="宋体"/>
                <w:color w:val="000000"/>
                <w:kern w:val="0"/>
                <w:highlight w:val="none"/>
              </w:rPr>
            </w:pPr>
            <w:r>
              <w:rPr>
                <w:rFonts w:hint="eastAsia" w:ascii="宋体" w:hAnsi="宋体" w:cs="宋体"/>
                <w:color w:val="000000"/>
                <w:kern w:val="0"/>
                <w:highlight w:val="none"/>
              </w:rPr>
              <w:t>④中标候选人须在中标候选人公示期间将其开具至本招标项目的保函原件提交招标人（或招标代理机构），且原件须与投标文件中提供的扫描件一致，如存在未按照规定提交或提交内容不一致的，招标人有权取消其中标候选人资格；发现弄虚作假的，招标人（或招标代理机构）应报公共资源交易监管部门依法处理。</w:t>
            </w:r>
          </w:p>
          <w:p w14:paraId="1AED77CA">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2.保证金电子保函业务应急处置措施。由于自然灾害、事故灾难、突发公共网络安全事件或者系统原因，以及保证金电子保函系统使用过程中出现的以下情况：</w:t>
            </w:r>
          </w:p>
          <w:p w14:paraId="231949D1">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（1）开标时，系统获取明文保函文件异常，无法正常获取保函文件；</w:t>
            </w:r>
          </w:p>
          <w:p w14:paraId="1C318AB4">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（2）保证金电子保函系统的软件或数据库出现错误，不能进行正常操作；</w:t>
            </w:r>
          </w:p>
          <w:p w14:paraId="33A2E293">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（3）保证金电子保函系统服务器发生故障等情况，无法访问或无法使用电子保函；</w:t>
            </w:r>
          </w:p>
          <w:p w14:paraId="0ADAEA50">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（4）保证金电子保函系统服务器受到病毒或其他外来的攻击；</w:t>
            </w:r>
          </w:p>
          <w:p w14:paraId="0B5BA86D">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（5）其他影响电子保函出具的异常情形。</w:t>
            </w:r>
          </w:p>
          <w:p w14:paraId="56591B43">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由于上述原因导致投标人无法正常参加开评标的，招标人或招标代理机构应及时报告公共资源交易服务平台核实问题原因。投标人确实已购买电子保函，经监管部门同意后，投标人可以继续参加开评标。</w:t>
            </w:r>
          </w:p>
          <w:p w14:paraId="3377C5FD">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3.本次招标失败，再次进行招标的，投标人须按照新的账户重新缴纳投标保证金。</w:t>
            </w:r>
          </w:p>
          <w:p w14:paraId="14F33CED">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4.投标人为联合体投标的，由牵头人基本账户转出投标保证金或由牵头人办理保函。</w:t>
            </w:r>
          </w:p>
          <w:p w14:paraId="5275048C">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5.是否适用免缴投标保证金政策</w:t>
            </w:r>
          </w:p>
          <w:p w14:paraId="6E3C4E64">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不适用</w:t>
            </w:r>
            <w:bookmarkEnd w:id="32"/>
            <w:bookmarkEnd w:id="33"/>
            <w:bookmarkEnd w:id="34"/>
            <w:bookmarkEnd w:id="35"/>
            <w:bookmarkEnd w:id="36"/>
            <w:r>
              <w:rPr>
                <w:rFonts w:hint="eastAsia" w:ascii="宋体" w:hAnsi="宋体" w:cs="宋体"/>
                <w:color w:val="000000"/>
                <w:kern w:val="0"/>
                <w:szCs w:val="21"/>
                <w:highlight w:val="none"/>
              </w:rPr>
              <w:t>。</w:t>
            </w:r>
          </w:p>
        </w:tc>
      </w:tr>
      <w:tr w14:paraId="6B31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E4A3841">
            <w:pPr>
              <w:widowControl/>
              <w:spacing w:line="560" w:lineRule="exact"/>
              <w:jc w:val="center"/>
              <w:rPr>
                <w:bCs/>
                <w:color w:val="000000"/>
                <w:spacing w:val="-6"/>
                <w:szCs w:val="21"/>
                <w:highlight w:val="none"/>
              </w:rPr>
            </w:pPr>
            <w:r>
              <w:rPr>
                <w:rFonts w:hint="eastAsia"/>
                <w:bCs/>
                <w:color w:val="000000"/>
                <w:spacing w:val="-6"/>
                <w:szCs w:val="21"/>
                <w:highlight w:val="none"/>
              </w:rPr>
              <w:t>备注</w:t>
            </w:r>
          </w:p>
        </w:tc>
        <w:tc>
          <w:tcPr>
            <w:tcW w:w="8313" w:type="dxa"/>
            <w:vAlign w:val="center"/>
          </w:tcPr>
          <w:p w14:paraId="605D0E3F">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1、投标人为联合体投标的，保证金由牵头人基本账户转入交易中心账户或由牵头人办理投标担保。</w:t>
            </w:r>
          </w:p>
          <w:p w14:paraId="6CF871A8">
            <w:pPr>
              <w:widowControl/>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本项目不缴纳投标保证金条款仅针对在投标过程中未违反本招标文件第二章“投标人须知”中第3.4.4项约定的投标人。如在投标过程中投标人存在本招标文件第二章“投标人须知”中第3.4.4项约定情形，则无条件按招标人要求的金额、时间、账号缴纳投标保证金。投标人采用银行保函、担保机构担保、保证保险方式提交投标保证金的，如出现本招标文件“投标人须知”第 3.4.4 项所列情形的，提供担保的银行、担保机构及保险机构将无条件向招标人支付保函所列的全部投标保证金金额，该支付行为视同投标保证金不予退还。</w:t>
            </w:r>
          </w:p>
          <w:p w14:paraId="122D3405">
            <w:pPr>
              <w:spacing w:line="560" w:lineRule="exact"/>
              <w:rPr>
                <w:rFonts w:hint="eastAsia" w:ascii="宋体" w:hAnsi="宋体" w:cs="宋体"/>
                <w:b/>
                <w:color w:val="000000"/>
                <w:kern w:val="0"/>
                <w:szCs w:val="21"/>
                <w:highlight w:val="none"/>
              </w:rPr>
            </w:pPr>
            <w:r>
              <w:rPr>
                <w:rFonts w:hint="eastAsia"/>
                <w:color w:val="000000"/>
                <w:highlight w:val="none"/>
              </w:rPr>
              <w:t>3、投标人采用虚假银行保函、担保机构担保、保证保险方式提交投标保证金的，应依法承担弄虚作假、骗取中标的法律责任。</w:t>
            </w:r>
          </w:p>
        </w:tc>
      </w:tr>
      <w:tr w14:paraId="4444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5D453D0F">
            <w:pPr>
              <w:widowControl/>
              <w:spacing w:line="560" w:lineRule="exact"/>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其他说明</w:t>
            </w:r>
          </w:p>
        </w:tc>
      </w:tr>
      <w:tr w14:paraId="4841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90EE9CD">
            <w:pPr>
              <w:widowControl/>
              <w:spacing w:line="560" w:lineRule="exact"/>
              <w:jc w:val="center"/>
              <w:rPr>
                <w:bCs/>
                <w:color w:val="000000"/>
                <w:spacing w:val="-6"/>
                <w:szCs w:val="21"/>
                <w:highlight w:val="none"/>
              </w:rPr>
            </w:pPr>
            <w:r>
              <w:rPr>
                <w:rFonts w:hint="eastAsia"/>
                <w:bCs/>
                <w:color w:val="000000"/>
                <w:spacing w:val="-6"/>
                <w:szCs w:val="21"/>
                <w:highlight w:val="none"/>
              </w:rPr>
              <w:t>重要说明</w:t>
            </w:r>
          </w:p>
        </w:tc>
        <w:tc>
          <w:tcPr>
            <w:tcW w:w="8313" w:type="dxa"/>
            <w:vAlign w:val="center"/>
          </w:tcPr>
          <w:p w14:paraId="1C2C111A">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1、本项目只接受在安徽省公共资源交易市场主体库（</w:t>
            </w:r>
            <w:r>
              <w:rPr>
                <w:rFonts w:ascii="宋体" w:hAnsi="宋体" w:cs="宋体"/>
                <w:color w:val="000000"/>
                <w:kern w:val="0"/>
                <w:szCs w:val="21"/>
                <w:highlight w:val="none"/>
              </w:rPr>
              <w:t>http://ggzy.ah.gov.cn/ahggfwpt-zhutiku/dengludenglu</w:t>
            </w:r>
            <w:r>
              <w:rPr>
                <w:rFonts w:hint="eastAsia" w:ascii="宋体" w:hAnsi="宋体" w:cs="宋体"/>
                <w:color w:val="000000"/>
                <w:kern w:val="0"/>
                <w:szCs w:val="21"/>
                <w:highlight w:val="none"/>
              </w:rPr>
              <w:t>）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 、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6198CBB0">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2、请投标人登录滁州市公共资源交易中心网站查看参加本项目的程序（具体操作步骤和程序请参见服务指南&gt;交易须知&gt;投标人填写投标信息、下载文件及网上提问操作手册）。</w:t>
            </w:r>
          </w:p>
          <w:p w14:paraId="3DCB1673">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本项目采用不见面开标(远程解密)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解密时间要求为：从本项目解密程序开始时计时，至完成投标文件解密时间，不得超过60分钟，否则投标文件将被拒绝。</w:t>
            </w:r>
          </w:p>
          <w:p w14:paraId="332908C1">
            <w:pPr>
              <w:widowControl/>
              <w:wordWrap w:val="0"/>
              <w:spacing w:line="560" w:lineRule="exact"/>
              <w:jc w:val="left"/>
              <w:rPr>
                <w:color w:val="000000"/>
                <w:highlight w:val="none"/>
              </w:rPr>
            </w:pPr>
            <w:r>
              <w:rPr>
                <w:rFonts w:hint="eastAsia" w:ascii="宋体" w:hAnsi="宋体" w:cs="宋体"/>
                <w:color w:val="000000"/>
                <w:kern w:val="0"/>
                <w:szCs w:val="21"/>
                <w:highlight w:val="none"/>
              </w:rPr>
              <w:t>4、投标文件格式、内容和制作要求以招标文件为准，投标文件制作工具中提供的相关格式及内容仅供参考，投标企业可根据招标文件要求自行调整。</w:t>
            </w:r>
          </w:p>
        </w:tc>
      </w:tr>
      <w:tr w14:paraId="5B89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17909FC9">
            <w:pPr>
              <w:widowControl/>
              <w:spacing w:line="560" w:lineRule="exact"/>
              <w:jc w:val="center"/>
              <w:rPr>
                <w:bCs/>
                <w:color w:val="000000"/>
                <w:spacing w:val="-6"/>
                <w:szCs w:val="21"/>
                <w:highlight w:val="none"/>
              </w:rPr>
            </w:pPr>
            <w:r>
              <w:rPr>
                <w:rFonts w:hint="eastAsia"/>
                <w:bCs/>
                <w:color w:val="000000"/>
                <w:spacing w:val="-6"/>
                <w:szCs w:val="21"/>
                <w:highlight w:val="none"/>
              </w:rPr>
              <w:t>特别提示</w:t>
            </w:r>
          </w:p>
          <w:p w14:paraId="224EA049">
            <w:pPr>
              <w:pStyle w:val="26"/>
              <w:rPr>
                <w:color w:val="000000"/>
                <w:highlight w:val="none"/>
              </w:rPr>
            </w:pPr>
          </w:p>
        </w:tc>
        <w:tc>
          <w:tcPr>
            <w:tcW w:w="8313" w:type="dxa"/>
            <w:vAlign w:val="center"/>
          </w:tcPr>
          <w:p w14:paraId="3D67E830">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r>
              <w:rPr>
                <w:rFonts w:ascii="宋体" w:hAnsi="宋体" w:cs="宋体"/>
                <w:color w:val="000000"/>
                <w:kern w:val="0"/>
                <w:szCs w:val="21"/>
                <w:highlight w:val="none"/>
              </w:rPr>
              <w:t>.</w:t>
            </w:r>
            <w:r>
              <w:rPr>
                <w:rFonts w:hint="eastAsia" w:ascii="宋体" w:hAnsi="宋体" w:cs="宋体"/>
                <w:color w:val="000000"/>
                <w:kern w:val="0"/>
                <w:szCs w:val="21"/>
                <w:highlight w:val="none"/>
              </w:rPr>
              <w:t>本项目投标保证金、履约保证金、工程质量保证金、农民工工资保证金均支持保函使用。以现金形式提交保证金的，应当同时退还保证金本金和银行同期存款利息。</w:t>
            </w:r>
          </w:p>
          <w:p w14:paraId="564340D8">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2.投标人应填写投标信息并下载招标文件，否则无法上传投标文件。</w:t>
            </w:r>
          </w:p>
          <w:p w14:paraId="6D1B7C47">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注：投标人如为联合体的，牵头人必须完善投标人信息，并在上传投标文件环节添加联合体投标信息。</w:t>
            </w:r>
          </w:p>
          <w:p w14:paraId="527B9984">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3.本项目采用电子招标投标，请投标人在滁州市公共资源交易中心网站&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0512-58188516。</w:t>
            </w:r>
          </w:p>
          <w:p w14:paraId="6ABD422E">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4.如果过程中出现招标文件更改，应以最后发布的招标答疑澄清文件中的模板制作本项目最新投标文件。</w:t>
            </w:r>
          </w:p>
          <w:p w14:paraId="79A0C7C2">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 xml:space="preserve">5.投标人应当用本单位CA数字证书制作投标文件，制作成功后进行投标文件上传。 </w:t>
            </w:r>
          </w:p>
          <w:p w14:paraId="281C50A5">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6.投标人须用CA数字证书盖章和加密投标文件，建议使用主锁。（如未办理CA数字证书请及时办理，网上办理和窗口办理均可。查看办理所需资料请登录滁州市公共资源交易中心网站&gt;服务指南&gt;办事指南&gt;CA数字证书和电子签章。因未及时办理CA数字证书手续导致无法投标的，责任自负）</w:t>
            </w:r>
          </w:p>
          <w:p w14:paraId="614E8475">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7.请投标人注意加密投标文件CA数字证书的有效期，不在有效期的CA数字证书无法解密投标文件。</w:t>
            </w:r>
          </w:p>
          <w:p w14:paraId="1C3C7764">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8.投标人投标MAC地址一致或申请开具电子保函MAC地址一致的，由评标委员会否决其投标。</w:t>
            </w:r>
          </w:p>
          <w:p w14:paraId="56BCE69B">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9.投标人投标文件中单方面出现其他投标人材料的（依法组成联合体投标的除外），由评标委员会否决其投标。</w:t>
            </w:r>
          </w:p>
          <w:p w14:paraId="27E7B9C0">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10.评标时查询投标文件制作机器码、文件创建标识码及造价软件加密锁号。若存在投标文件制作机器码或创建标识码或造价软件加密锁号信息与其他投标人雷同的，由评标委员会否决其投标，依法依规予以处理。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7FCDD4BC">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11.若存在不予退还投标人投标保证金的情形，银行转账的，由公共资源交易中心代为收缴，递交保函的，由招标人予以追缴。</w:t>
            </w:r>
          </w:p>
          <w:p w14:paraId="16673646">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12.投标人以联合体名义投标的，其异议投诉应当由联合体全体成员共同提出。联合体成员单独进行异议投诉的，应当书面征得联合体其他成员同意，联合体成员之间投诉的除外。</w:t>
            </w:r>
          </w:p>
          <w:p w14:paraId="1099C638">
            <w:pPr>
              <w:widowControl/>
              <w:wordWrap w:val="0"/>
              <w:spacing w:line="560" w:lineRule="exact"/>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13.投标人联系人或联系电话相同的，由评标委员会否决其投标，并报告监管部门作不良行为处理和进一步调查。</w:t>
            </w:r>
          </w:p>
          <w:p w14:paraId="7655FAF4">
            <w:pPr>
              <w:widowControl/>
              <w:wordWrap w:val="0"/>
              <w:spacing w:line="560" w:lineRule="exact"/>
              <w:jc w:val="left"/>
              <w:rPr>
                <w:color w:val="000000"/>
                <w:highlight w:val="none"/>
              </w:rPr>
            </w:pPr>
            <w:r>
              <w:rPr>
                <w:rFonts w:hint="eastAsia" w:ascii="宋体" w:hAnsi="宋体" w:cs="宋体"/>
                <w:color w:val="000000"/>
                <w:kern w:val="0"/>
                <w:szCs w:val="21"/>
                <w:highlight w:val="none"/>
              </w:rPr>
              <w:t>14.注册地在安徽省内且未在安徽省外开展业务、省外无违法违规行为的企业可通过安徽政务服务网开具由安徽省公共信用信息服务中心出具的《公共信用信息报告（无违法违规证明版或核查版）》代替《诚信投标承诺书》，信用报告出具有关问题可咨询滁州市信用办0550-3035032。</w:t>
            </w:r>
          </w:p>
        </w:tc>
      </w:tr>
      <w:tr w14:paraId="2046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88" w:type="dxa"/>
            <w:gridSpan w:val="2"/>
            <w:vAlign w:val="center"/>
          </w:tcPr>
          <w:p w14:paraId="3D772EB0">
            <w:pPr>
              <w:widowControl/>
              <w:spacing w:line="560" w:lineRule="exact"/>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联系方式（受理异议的联系人及联系方式）</w:t>
            </w:r>
          </w:p>
        </w:tc>
      </w:tr>
      <w:tr w14:paraId="4CEE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952FA87">
            <w:pPr>
              <w:widowControl/>
              <w:spacing w:line="440" w:lineRule="exact"/>
              <w:jc w:val="center"/>
              <w:rPr>
                <w:rFonts w:hint="eastAsia" w:ascii="宋体" w:hAnsi="宋体" w:cs="宋体"/>
                <w:szCs w:val="21"/>
                <w:highlight w:val="none"/>
                <w:lang w:bidi="ar"/>
              </w:rPr>
            </w:pPr>
            <w:r>
              <w:rPr>
                <w:rFonts w:hint="eastAsia" w:ascii="宋体" w:hAnsi="宋体" w:cs="宋体"/>
                <w:szCs w:val="21"/>
                <w:highlight w:val="none"/>
                <w:lang w:bidi="ar"/>
              </w:rPr>
              <w:t>招标人名称</w:t>
            </w:r>
          </w:p>
        </w:tc>
        <w:tc>
          <w:tcPr>
            <w:tcW w:w="8313" w:type="dxa"/>
            <w:vAlign w:val="center"/>
          </w:tcPr>
          <w:p w14:paraId="5F61FB30">
            <w:pPr>
              <w:widowControl/>
              <w:spacing w:line="440" w:lineRule="exact"/>
              <w:jc w:val="left"/>
              <w:rPr>
                <w:rFonts w:hint="eastAsia" w:ascii="宋体" w:hAnsi="宋体" w:cs="宋体"/>
                <w:szCs w:val="21"/>
                <w:highlight w:val="none"/>
                <w:lang w:bidi="ar"/>
              </w:rPr>
            </w:pPr>
            <w:r>
              <w:rPr>
                <w:rFonts w:hint="eastAsia" w:ascii="宋体" w:hAnsi="宋体" w:cs="宋体"/>
                <w:szCs w:val="21"/>
                <w:highlight w:val="none"/>
                <w:lang w:bidi="ar"/>
              </w:rPr>
              <w:t>中电建生态环境集团有限公司</w:t>
            </w:r>
          </w:p>
        </w:tc>
      </w:tr>
      <w:tr w14:paraId="64AA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6A4FC6B0">
            <w:pPr>
              <w:widowControl/>
              <w:spacing w:line="440" w:lineRule="exact"/>
              <w:jc w:val="center"/>
              <w:rPr>
                <w:rFonts w:hint="eastAsia" w:ascii="宋体" w:hAnsi="宋体" w:cs="宋体"/>
                <w:szCs w:val="21"/>
                <w:highlight w:val="none"/>
                <w:lang w:bidi="ar"/>
              </w:rPr>
            </w:pPr>
            <w:r>
              <w:rPr>
                <w:rFonts w:hint="eastAsia" w:ascii="宋体" w:hAnsi="宋体" w:cs="宋体"/>
                <w:szCs w:val="21"/>
                <w:highlight w:val="none"/>
                <w:lang w:bidi="ar"/>
              </w:rPr>
              <w:t>招标人地址</w:t>
            </w:r>
          </w:p>
        </w:tc>
        <w:tc>
          <w:tcPr>
            <w:tcW w:w="8313" w:type="dxa"/>
            <w:vAlign w:val="center"/>
          </w:tcPr>
          <w:p w14:paraId="118634F8">
            <w:pPr>
              <w:widowControl/>
              <w:spacing w:line="440" w:lineRule="exact"/>
              <w:jc w:val="left"/>
              <w:rPr>
                <w:rFonts w:hint="eastAsia" w:ascii="宋体" w:hAnsi="宋体" w:cs="宋体"/>
                <w:szCs w:val="21"/>
                <w:highlight w:val="none"/>
                <w:lang w:bidi="ar"/>
              </w:rPr>
            </w:pPr>
            <w:r>
              <w:rPr>
                <w:rFonts w:hint="eastAsia" w:ascii="宋体" w:hAnsi="宋体" w:cs="宋体"/>
                <w:szCs w:val="21"/>
                <w:highlight w:val="none"/>
                <w:lang w:bidi="ar"/>
              </w:rPr>
              <w:t>深圳市宝安区新安街道海滨社区宝兴路6号海纳百川总部大厦A座11层</w:t>
            </w:r>
          </w:p>
        </w:tc>
      </w:tr>
      <w:tr w14:paraId="7BCF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4697FE1">
            <w:pPr>
              <w:widowControl/>
              <w:spacing w:line="440" w:lineRule="exact"/>
              <w:jc w:val="center"/>
              <w:rPr>
                <w:rFonts w:hint="eastAsia" w:ascii="宋体" w:hAnsi="宋体" w:cs="宋体"/>
                <w:szCs w:val="21"/>
                <w:highlight w:val="none"/>
                <w:lang w:bidi="ar"/>
              </w:rPr>
            </w:pPr>
            <w:r>
              <w:rPr>
                <w:rFonts w:hint="eastAsia" w:ascii="宋体" w:hAnsi="宋体" w:cs="宋体"/>
                <w:szCs w:val="21"/>
                <w:highlight w:val="none"/>
                <w:lang w:bidi="ar"/>
              </w:rPr>
              <w:t>招标人联系人</w:t>
            </w:r>
          </w:p>
        </w:tc>
        <w:tc>
          <w:tcPr>
            <w:tcW w:w="8313" w:type="dxa"/>
            <w:vAlign w:val="center"/>
          </w:tcPr>
          <w:p w14:paraId="5E5B9E2C">
            <w:pPr>
              <w:widowControl/>
              <w:spacing w:line="440" w:lineRule="exact"/>
              <w:jc w:val="left"/>
              <w:rPr>
                <w:rFonts w:hint="eastAsia" w:ascii="宋体" w:hAnsi="宋体" w:cs="宋体"/>
                <w:szCs w:val="21"/>
                <w:highlight w:val="none"/>
                <w:lang w:bidi="ar"/>
              </w:rPr>
            </w:pPr>
            <w:r>
              <w:rPr>
                <w:rFonts w:ascii="宋体" w:hAnsi="宋体" w:cs="宋体"/>
                <w:szCs w:val="21"/>
                <w:highlight w:val="none"/>
                <w:lang w:bidi="ar"/>
              </w:rPr>
              <w:t>田鹏</w:t>
            </w:r>
            <w:r>
              <w:rPr>
                <w:rFonts w:hint="eastAsia" w:ascii="宋体" w:hAnsi="宋体" w:cs="宋体"/>
                <w:szCs w:val="21"/>
                <w:highlight w:val="none"/>
                <w:lang w:bidi="ar"/>
              </w:rPr>
              <w:t xml:space="preserve">   </w:t>
            </w:r>
          </w:p>
        </w:tc>
      </w:tr>
      <w:tr w14:paraId="0D847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7254EBC4">
            <w:pPr>
              <w:widowControl/>
              <w:spacing w:line="440" w:lineRule="exact"/>
              <w:jc w:val="center"/>
              <w:rPr>
                <w:rFonts w:hint="eastAsia" w:ascii="宋体" w:hAnsi="宋体" w:cs="宋体"/>
                <w:szCs w:val="21"/>
                <w:highlight w:val="none"/>
                <w:lang w:bidi="ar"/>
              </w:rPr>
            </w:pPr>
            <w:r>
              <w:rPr>
                <w:rFonts w:hint="eastAsia" w:ascii="宋体" w:hAnsi="宋体" w:cs="宋体"/>
                <w:szCs w:val="21"/>
                <w:highlight w:val="none"/>
                <w:lang w:bidi="ar"/>
              </w:rPr>
              <w:t>招标人电话</w:t>
            </w:r>
          </w:p>
        </w:tc>
        <w:tc>
          <w:tcPr>
            <w:tcW w:w="8313" w:type="dxa"/>
            <w:vAlign w:val="center"/>
          </w:tcPr>
          <w:p w14:paraId="3EE5B604">
            <w:pPr>
              <w:widowControl/>
              <w:spacing w:line="440" w:lineRule="exact"/>
              <w:jc w:val="left"/>
              <w:rPr>
                <w:rFonts w:hint="eastAsia" w:ascii="宋体" w:hAnsi="宋体" w:cs="宋体"/>
                <w:szCs w:val="21"/>
                <w:highlight w:val="none"/>
                <w:lang w:bidi="ar"/>
              </w:rPr>
            </w:pPr>
            <w:r>
              <w:rPr>
                <w:rFonts w:ascii="宋体" w:hAnsi="宋体" w:cs="宋体"/>
                <w:szCs w:val="21"/>
                <w:highlight w:val="none"/>
                <w:lang w:bidi="ar"/>
              </w:rPr>
              <w:t>15538075318</w:t>
            </w:r>
            <w:r>
              <w:rPr>
                <w:rFonts w:hint="eastAsia" w:ascii="宋体" w:hAnsi="宋体" w:cs="宋体"/>
                <w:szCs w:val="21"/>
                <w:highlight w:val="none"/>
                <w:lang w:bidi="ar"/>
              </w:rPr>
              <w:t xml:space="preserve">  </w:t>
            </w:r>
          </w:p>
        </w:tc>
      </w:tr>
      <w:tr w14:paraId="476E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E9660A6">
            <w:pPr>
              <w:widowControl/>
              <w:spacing w:line="440" w:lineRule="exact"/>
              <w:jc w:val="center"/>
              <w:rPr>
                <w:bCs/>
                <w:color w:val="000000"/>
                <w:spacing w:val="-6"/>
                <w:szCs w:val="21"/>
                <w:highlight w:val="none"/>
              </w:rPr>
            </w:pPr>
            <w:r>
              <w:rPr>
                <w:rFonts w:hint="eastAsia"/>
                <w:bCs/>
                <w:color w:val="000000"/>
                <w:spacing w:val="-6"/>
                <w:szCs w:val="21"/>
                <w:highlight w:val="none"/>
              </w:rPr>
              <w:t>招标代理机构名称</w:t>
            </w:r>
          </w:p>
        </w:tc>
        <w:tc>
          <w:tcPr>
            <w:tcW w:w="8313" w:type="dxa"/>
            <w:vAlign w:val="center"/>
          </w:tcPr>
          <w:p w14:paraId="5A0686D0">
            <w:pPr>
              <w:widowControl/>
              <w:spacing w:line="440" w:lineRule="exact"/>
              <w:jc w:val="left"/>
              <w:rPr>
                <w:rFonts w:hint="eastAsia" w:ascii="宋体" w:hAnsi="宋体" w:cs="宋体"/>
                <w:color w:val="000000"/>
                <w:kern w:val="0"/>
                <w:szCs w:val="21"/>
                <w:highlight w:val="none"/>
              </w:rPr>
            </w:pPr>
            <w:r>
              <w:rPr>
                <w:rFonts w:hint="eastAsia" w:ascii="宋体" w:hAnsi="宋体" w:cs="宋体"/>
                <w:szCs w:val="21"/>
                <w:highlight w:val="none"/>
                <w:lang w:bidi="ar"/>
              </w:rPr>
              <w:t>滁州市城投工程咨询管理有限公司</w:t>
            </w:r>
            <w:r>
              <w:rPr>
                <w:rFonts w:hint="eastAsia" w:ascii="宋体" w:hAnsi="宋体" w:cs="宋体"/>
                <w:kern w:val="0"/>
                <w:szCs w:val="21"/>
                <w:highlight w:val="none"/>
              </w:rPr>
              <w:t xml:space="preserve"> </w:t>
            </w:r>
          </w:p>
        </w:tc>
      </w:tr>
      <w:tr w14:paraId="68C3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7C752D21">
            <w:pPr>
              <w:widowControl/>
              <w:spacing w:line="440" w:lineRule="exact"/>
              <w:jc w:val="center"/>
              <w:rPr>
                <w:bCs/>
                <w:color w:val="000000"/>
                <w:spacing w:val="-6"/>
                <w:szCs w:val="21"/>
                <w:highlight w:val="none"/>
              </w:rPr>
            </w:pPr>
            <w:r>
              <w:rPr>
                <w:rFonts w:hint="eastAsia"/>
                <w:bCs/>
                <w:color w:val="000000"/>
                <w:spacing w:val="-6"/>
                <w:szCs w:val="21"/>
                <w:highlight w:val="none"/>
              </w:rPr>
              <w:t>招标代理机构地址</w:t>
            </w:r>
          </w:p>
        </w:tc>
        <w:tc>
          <w:tcPr>
            <w:tcW w:w="8313" w:type="dxa"/>
            <w:vAlign w:val="center"/>
          </w:tcPr>
          <w:p w14:paraId="36515203">
            <w:pPr>
              <w:widowControl/>
              <w:spacing w:line="440" w:lineRule="exact"/>
              <w:jc w:val="left"/>
              <w:rPr>
                <w:rFonts w:hint="eastAsia" w:ascii="宋体" w:hAnsi="宋体" w:cs="宋体"/>
                <w:color w:val="000000"/>
                <w:kern w:val="0"/>
                <w:szCs w:val="21"/>
                <w:highlight w:val="none"/>
              </w:rPr>
            </w:pPr>
            <w:r>
              <w:rPr>
                <w:rFonts w:hint="eastAsia" w:ascii="宋体" w:hAnsi="宋体" w:cs="宋体"/>
                <w:szCs w:val="21"/>
                <w:highlight w:val="none"/>
                <w:lang w:bidi="ar"/>
              </w:rPr>
              <w:t>滁州市龙蟠大道109号房产商务大厦6楼</w:t>
            </w:r>
            <w:r>
              <w:rPr>
                <w:rFonts w:hint="eastAsia" w:ascii="宋体" w:hAnsi="宋体" w:cs="宋体"/>
                <w:kern w:val="0"/>
                <w:szCs w:val="21"/>
                <w:highlight w:val="none"/>
              </w:rPr>
              <w:t xml:space="preserve"> </w:t>
            </w:r>
          </w:p>
        </w:tc>
      </w:tr>
      <w:tr w14:paraId="2658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41C82723">
            <w:pPr>
              <w:widowControl/>
              <w:spacing w:line="440" w:lineRule="exact"/>
              <w:jc w:val="center"/>
              <w:rPr>
                <w:bCs/>
                <w:color w:val="000000"/>
                <w:spacing w:val="-6"/>
                <w:szCs w:val="21"/>
                <w:highlight w:val="none"/>
              </w:rPr>
            </w:pPr>
            <w:r>
              <w:rPr>
                <w:rFonts w:hint="eastAsia"/>
                <w:bCs/>
                <w:color w:val="000000"/>
                <w:spacing w:val="-6"/>
                <w:szCs w:val="21"/>
                <w:highlight w:val="none"/>
              </w:rPr>
              <w:t>招标代理机构    项目负责人</w:t>
            </w:r>
          </w:p>
        </w:tc>
        <w:tc>
          <w:tcPr>
            <w:tcW w:w="8313" w:type="dxa"/>
            <w:vAlign w:val="center"/>
          </w:tcPr>
          <w:p w14:paraId="369251CB">
            <w:pPr>
              <w:widowControl/>
              <w:spacing w:line="440" w:lineRule="exact"/>
              <w:jc w:val="left"/>
              <w:rPr>
                <w:rFonts w:hint="eastAsia" w:ascii="宋体" w:hAnsi="宋体" w:cs="宋体"/>
                <w:color w:val="000000"/>
                <w:kern w:val="0"/>
                <w:szCs w:val="21"/>
                <w:highlight w:val="none"/>
              </w:rPr>
            </w:pPr>
            <w:r>
              <w:rPr>
                <w:rFonts w:hint="eastAsia" w:ascii="宋体" w:hAnsi="宋体" w:cs="宋体"/>
                <w:szCs w:val="21"/>
                <w:highlight w:val="none"/>
                <w:lang w:bidi="ar"/>
              </w:rPr>
              <w:t>周蓓蕾</w:t>
            </w:r>
            <w:r>
              <w:rPr>
                <w:rFonts w:hint="eastAsia" w:ascii="宋体" w:hAnsi="宋体" w:cs="宋体"/>
                <w:kern w:val="0"/>
                <w:szCs w:val="21"/>
                <w:highlight w:val="none"/>
              </w:rPr>
              <w:t xml:space="preserve"> </w:t>
            </w:r>
          </w:p>
        </w:tc>
      </w:tr>
      <w:tr w14:paraId="7B0B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2FC00498">
            <w:pPr>
              <w:widowControl/>
              <w:spacing w:line="440" w:lineRule="exact"/>
              <w:jc w:val="center"/>
              <w:rPr>
                <w:bCs/>
                <w:color w:val="000000"/>
                <w:spacing w:val="-6"/>
                <w:szCs w:val="21"/>
                <w:highlight w:val="none"/>
              </w:rPr>
            </w:pPr>
            <w:r>
              <w:rPr>
                <w:rFonts w:hint="eastAsia"/>
                <w:bCs/>
                <w:color w:val="000000"/>
                <w:spacing w:val="-6"/>
                <w:szCs w:val="21"/>
                <w:highlight w:val="none"/>
              </w:rPr>
              <w:t>代理机构电话</w:t>
            </w:r>
          </w:p>
        </w:tc>
        <w:tc>
          <w:tcPr>
            <w:tcW w:w="8313" w:type="dxa"/>
            <w:vAlign w:val="center"/>
          </w:tcPr>
          <w:p w14:paraId="747D03E5">
            <w:pPr>
              <w:widowControl/>
              <w:spacing w:line="440" w:lineRule="exact"/>
              <w:jc w:val="left"/>
              <w:rPr>
                <w:rFonts w:hint="eastAsia" w:ascii="宋体" w:hAnsi="宋体" w:cs="宋体"/>
                <w:color w:val="000000"/>
                <w:kern w:val="0"/>
                <w:szCs w:val="21"/>
                <w:highlight w:val="none"/>
              </w:rPr>
            </w:pPr>
            <w:r>
              <w:rPr>
                <w:rFonts w:hint="eastAsia" w:ascii="宋体" w:hAnsi="宋体" w:cs="宋体"/>
                <w:szCs w:val="21"/>
                <w:highlight w:val="none"/>
                <w:lang w:bidi="ar"/>
              </w:rPr>
              <w:t>0550-3519519、18005505728</w:t>
            </w:r>
            <w:r>
              <w:rPr>
                <w:rFonts w:hint="eastAsia" w:ascii="宋体" w:hAnsi="宋体" w:cs="宋体"/>
                <w:kern w:val="0"/>
                <w:szCs w:val="21"/>
                <w:highlight w:val="none"/>
              </w:rPr>
              <w:t xml:space="preserve">  </w:t>
            </w:r>
          </w:p>
        </w:tc>
      </w:tr>
      <w:tr w14:paraId="1FB4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00CA6FC5">
            <w:pPr>
              <w:widowControl/>
              <w:spacing w:line="440" w:lineRule="exact"/>
              <w:jc w:val="center"/>
              <w:rPr>
                <w:bCs/>
                <w:color w:val="000000"/>
                <w:spacing w:val="-6"/>
                <w:szCs w:val="21"/>
                <w:highlight w:val="none"/>
              </w:rPr>
            </w:pPr>
            <w:r>
              <w:rPr>
                <w:rFonts w:hint="eastAsia"/>
                <w:bCs/>
                <w:color w:val="000000"/>
                <w:spacing w:val="-6"/>
                <w:szCs w:val="21"/>
                <w:highlight w:val="none"/>
              </w:rPr>
              <w:t>招标投标行政监督部门名称</w:t>
            </w:r>
          </w:p>
        </w:tc>
        <w:tc>
          <w:tcPr>
            <w:tcW w:w="8313" w:type="dxa"/>
            <w:vAlign w:val="center"/>
          </w:tcPr>
          <w:p w14:paraId="712E7E67">
            <w:pPr>
              <w:widowControl/>
              <w:spacing w:line="440" w:lineRule="exact"/>
              <w:jc w:val="left"/>
              <w:rPr>
                <w:rFonts w:hint="eastAsia" w:ascii="宋体" w:hAnsi="宋体" w:cs="宋体"/>
                <w:color w:val="000000"/>
                <w:kern w:val="0"/>
                <w:szCs w:val="21"/>
                <w:highlight w:val="none"/>
              </w:rPr>
            </w:pPr>
            <w:r>
              <w:rPr>
                <w:rFonts w:hint="eastAsia" w:ascii="宋体" w:hAnsi="宋体" w:cs="宋体"/>
                <w:kern w:val="0"/>
                <w:szCs w:val="21"/>
                <w:highlight w:val="none"/>
                <w:shd w:val="clear" w:color="auto" w:fill="FFFFFF"/>
              </w:rPr>
              <w:t>滁州市琅琊区公共资源交易监督管理局</w:t>
            </w:r>
          </w:p>
        </w:tc>
      </w:tr>
      <w:tr w14:paraId="708F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DEA63F3">
            <w:pPr>
              <w:widowControl/>
              <w:spacing w:line="440" w:lineRule="exact"/>
              <w:jc w:val="center"/>
              <w:rPr>
                <w:bCs/>
                <w:color w:val="000000"/>
                <w:spacing w:val="-6"/>
                <w:szCs w:val="21"/>
                <w:highlight w:val="none"/>
              </w:rPr>
            </w:pPr>
            <w:bookmarkStart w:id="37" w:name="_Toc324404813"/>
            <w:bookmarkStart w:id="38" w:name="_Toc60061431"/>
            <w:bookmarkStart w:id="39" w:name="_Toc506107267"/>
            <w:bookmarkStart w:id="40" w:name="_Toc246996916"/>
            <w:bookmarkStart w:id="41" w:name="_Toc95223333"/>
            <w:bookmarkStart w:id="42" w:name="_Toc179632544"/>
            <w:bookmarkStart w:id="43" w:name="_Toc246996173"/>
            <w:bookmarkStart w:id="44" w:name="_Toc247085687"/>
            <w:bookmarkStart w:id="45" w:name="_Toc152042303"/>
            <w:bookmarkStart w:id="46" w:name="_Toc15058844"/>
            <w:bookmarkStart w:id="47" w:name="_Toc144974495"/>
            <w:bookmarkStart w:id="48" w:name="_Toc152045527"/>
            <w:r>
              <w:rPr>
                <w:rFonts w:hint="eastAsia"/>
                <w:bCs/>
                <w:color w:val="000000"/>
                <w:spacing w:val="-6"/>
                <w:szCs w:val="21"/>
                <w:highlight w:val="none"/>
              </w:rPr>
              <w:t>招标投标行政监督部门地址</w:t>
            </w:r>
          </w:p>
        </w:tc>
        <w:tc>
          <w:tcPr>
            <w:tcW w:w="8313" w:type="dxa"/>
            <w:vAlign w:val="center"/>
          </w:tcPr>
          <w:p w14:paraId="04093700">
            <w:pPr>
              <w:widowControl/>
              <w:spacing w:line="440" w:lineRule="exact"/>
              <w:jc w:val="left"/>
              <w:rPr>
                <w:rFonts w:hint="eastAsia" w:ascii="宋体" w:hAnsi="宋体" w:cs="宋体"/>
                <w:color w:val="000000"/>
                <w:kern w:val="0"/>
                <w:szCs w:val="21"/>
                <w:highlight w:val="none"/>
              </w:rPr>
            </w:pPr>
            <w:r>
              <w:rPr>
                <w:rFonts w:hint="eastAsia" w:ascii="宋体" w:hAnsi="宋体" w:cs="宋体"/>
                <w:kern w:val="0"/>
                <w:szCs w:val="21"/>
                <w:highlight w:val="none"/>
                <w:shd w:val="clear" w:color="auto" w:fill="FFFFFF"/>
              </w:rPr>
              <w:t>滁州市濠河路琅琊新区大楼14楼1416室</w:t>
            </w:r>
          </w:p>
        </w:tc>
      </w:tr>
      <w:tr w14:paraId="78DE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5" w:type="dxa"/>
            <w:vAlign w:val="center"/>
          </w:tcPr>
          <w:p w14:paraId="51FA5D71">
            <w:pPr>
              <w:widowControl/>
              <w:spacing w:line="440" w:lineRule="exact"/>
              <w:jc w:val="center"/>
              <w:rPr>
                <w:bCs/>
                <w:color w:val="000000"/>
                <w:spacing w:val="-6"/>
                <w:szCs w:val="21"/>
                <w:highlight w:val="none"/>
              </w:rPr>
            </w:pPr>
            <w:r>
              <w:rPr>
                <w:rFonts w:hint="eastAsia"/>
                <w:bCs/>
                <w:color w:val="000000"/>
                <w:spacing w:val="-6"/>
                <w:szCs w:val="21"/>
                <w:highlight w:val="none"/>
              </w:rPr>
              <w:t>招标投标行政监督部门联系方式</w:t>
            </w:r>
          </w:p>
        </w:tc>
        <w:tc>
          <w:tcPr>
            <w:tcW w:w="8313" w:type="dxa"/>
            <w:vAlign w:val="center"/>
          </w:tcPr>
          <w:p w14:paraId="0CDF9830">
            <w:pPr>
              <w:widowControl/>
              <w:spacing w:line="440" w:lineRule="exact"/>
              <w:jc w:val="left"/>
              <w:rPr>
                <w:rFonts w:hint="eastAsia" w:ascii="宋体" w:hAnsi="宋体" w:cs="宋体"/>
                <w:color w:val="000000"/>
                <w:kern w:val="0"/>
                <w:szCs w:val="21"/>
                <w:highlight w:val="none"/>
              </w:rPr>
            </w:pPr>
            <w:r>
              <w:rPr>
                <w:rFonts w:hint="eastAsia" w:ascii="宋体" w:hAnsi="宋体" w:cs="宋体"/>
                <w:kern w:val="0"/>
                <w:szCs w:val="21"/>
                <w:highlight w:val="none"/>
                <w:shd w:val="clear" w:color="auto" w:fill="FFFFFF"/>
              </w:rPr>
              <w:t>0550-3119900</w:t>
            </w:r>
          </w:p>
        </w:tc>
      </w:tr>
      <w:bookmarkEnd w:id="0"/>
      <w:bookmarkEnd w:id="1"/>
      <w:bookmarkEnd w:id="2"/>
      <w:bookmarkEnd w:id="3"/>
    </w:tbl>
    <w:p w14:paraId="7C4A2BB4">
      <w:pPr>
        <w:pStyle w:val="3"/>
        <w:pageBreakBefore/>
        <w:adjustRightInd w:val="0"/>
        <w:snapToGrid w:val="0"/>
        <w:spacing w:before="0" w:after="0" w:line="560" w:lineRule="exact"/>
        <w:jc w:val="center"/>
        <w:rPr>
          <w:color w:val="000000"/>
          <w:highlight w:val="none"/>
        </w:rPr>
      </w:pPr>
      <w:r>
        <w:rPr>
          <w:rFonts w:hint="eastAsia"/>
          <w:color w:val="000000"/>
          <w:highlight w:val="none"/>
        </w:rPr>
        <w:t>第二章 投标人须知</w:t>
      </w:r>
      <w:bookmarkEnd w:id="37"/>
      <w:bookmarkEnd w:id="38"/>
      <w:bookmarkEnd w:id="39"/>
      <w:bookmarkEnd w:id="40"/>
      <w:bookmarkEnd w:id="41"/>
      <w:bookmarkEnd w:id="42"/>
      <w:bookmarkEnd w:id="43"/>
      <w:bookmarkEnd w:id="44"/>
      <w:bookmarkEnd w:id="45"/>
      <w:bookmarkEnd w:id="46"/>
      <w:bookmarkEnd w:id="47"/>
      <w:bookmarkEnd w:id="48"/>
    </w:p>
    <w:p w14:paraId="447B8629">
      <w:pPr>
        <w:pStyle w:val="4"/>
        <w:adjustRightInd w:val="0"/>
        <w:snapToGrid w:val="0"/>
        <w:spacing w:before="0" w:after="0" w:line="560" w:lineRule="exact"/>
        <w:jc w:val="center"/>
        <w:rPr>
          <w:color w:val="000000"/>
          <w:highlight w:val="none"/>
        </w:rPr>
      </w:pPr>
      <w:bookmarkStart w:id="49" w:name="_Toc83301687"/>
      <w:bookmarkStart w:id="50" w:name="_Toc246996174"/>
      <w:bookmarkStart w:id="51" w:name="_Toc506107268"/>
      <w:bookmarkStart w:id="52" w:name="_Toc144974496"/>
      <w:bookmarkStart w:id="53" w:name="_Toc324404814"/>
      <w:bookmarkStart w:id="54" w:name="_Toc15058845"/>
      <w:bookmarkStart w:id="55" w:name="_Toc60061432"/>
      <w:bookmarkStart w:id="56" w:name="_Toc152045528"/>
      <w:bookmarkStart w:id="57" w:name="_Toc95223334"/>
      <w:bookmarkStart w:id="58" w:name="_Toc152042304"/>
      <w:bookmarkStart w:id="59" w:name="_Toc179632545"/>
      <w:bookmarkStart w:id="60" w:name="_Toc247085688"/>
      <w:bookmarkStart w:id="61" w:name="_Toc246996917"/>
      <w:bookmarkStart w:id="62" w:name="_Toc144974497"/>
      <w:bookmarkStart w:id="63" w:name="_Toc179632546"/>
      <w:bookmarkStart w:id="64" w:name="_Toc246996175"/>
      <w:bookmarkStart w:id="65" w:name="_Toc152045529"/>
      <w:bookmarkStart w:id="66" w:name="_Toc152042305"/>
      <w:bookmarkStart w:id="67" w:name="_Toc246996918"/>
      <w:bookmarkStart w:id="68" w:name="_Toc324404815"/>
      <w:bookmarkStart w:id="69" w:name="_Toc247085689"/>
      <w:bookmarkStart w:id="70" w:name="_Toc15058846"/>
      <w:bookmarkStart w:id="71" w:name="_Toc506107269"/>
      <w:r>
        <w:rPr>
          <w:rFonts w:hint="eastAsia"/>
          <w:color w:val="000000"/>
          <w:highlight w:val="none"/>
        </w:rPr>
        <w:t>投标人须知前附表</w:t>
      </w:r>
      <w:bookmarkEnd w:id="49"/>
      <w:bookmarkEnd w:id="50"/>
      <w:bookmarkEnd w:id="51"/>
      <w:bookmarkEnd w:id="52"/>
      <w:bookmarkEnd w:id="53"/>
      <w:bookmarkEnd w:id="54"/>
      <w:bookmarkEnd w:id="55"/>
      <w:bookmarkEnd w:id="56"/>
      <w:bookmarkEnd w:id="57"/>
      <w:bookmarkEnd w:id="58"/>
      <w:bookmarkEnd w:id="59"/>
      <w:bookmarkEnd w:id="60"/>
      <w:bookmarkEnd w:id="61"/>
    </w:p>
    <w:tbl>
      <w:tblPr>
        <w:tblStyle w:val="27"/>
        <w:tblW w:w="0" w:type="auto"/>
        <w:jc w:val="center"/>
        <w:tblLayout w:type="fixed"/>
        <w:tblCellMar>
          <w:top w:w="0" w:type="dxa"/>
          <w:left w:w="108" w:type="dxa"/>
          <w:bottom w:w="0" w:type="dxa"/>
          <w:right w:w="108" w:type="dxa"/>
        </w:tblCellMar>
      </w:tblPr>
      <w:tblGrid>
        <w:gridCol w:w="1016"/>
        <w:gridCol w:w="1984"/>
        <w:gridCol w:w="7175"/>
      </w:tblGrid>
      <w:tr w14:paraId="075E663A">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51D6B0C7">
            <w:pPr>
              <w:adjustRightInd w:val="0"/>
              <w:snapToGrid w:val="0"/>
              <w:spacing w:line="56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3448B2FC">
            <w:pPr>
              <w:adjustRightInd w:val="0"/>
              <w:snapToGrid w:val="0"/>
              <w:spacing w:line="56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条  款  名  称</w:t>
            </w:r>
          </w:p>
        </w:tc>
        <w:tc>
          <w:tcPr>
            <w:tcW w:w="7175" w:type="dxa"/>
            <w:tcBorders>
              <w:top w:val="single" w:color="auto" w:sz="4" w:space="0"/>
              <w:left w:val="single" w:color="auto" w:sz="4" w:space="0"/>
              <w:bottom w:val="single" w:color="auto" w:sz="4" w:space="0"/>
              <w:right w:val="single" w:color="auto" w:sz="4" w:space="0"/>
            </w:tcBorders>
            <w:vAlign w:val="center"/>
          </w:tcPr>
          <w:p w14:paraId="64074E94">
            <w:pPr>
              <w:adjustRightInd w:val="0"/>
              <w:snapToGrid w:val="0"/>
              <w:spacing w:line="56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编  列  内  容</w:t>
            </w:r>
          </w:p>
        </w:tc>
      </w:tr>
      <w:tr w14:paraId="1F28D6AD">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4B84661C">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w:t>
            </w:r>
          </w:p>
        </w:tc>
        <w:tc>
          <w:tcPr>
            <w:tcW w:w="1984" w:type="dxa"/>
            <w:tcBorders>
              <w:top w:val="single" w:color="auto" w:sz="4" w:space="0"/>
              <w:left w:val="single" w:color="auto" w:sz="4" w:space="0"/>
              <w:bottom w:val="single" w:color="auto" w:sz="4" w:space="0"/>
              <w:right w:val="single" w:color="auto" w:sz="4" w:space="0"/>
            </w:tcBorders>
            <w:vAlign w:val="center"/>
          </w:tcPr>
          <w:p w14:paraId="314E0C0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招标人</w:t>
            </w:r>
          </w:p>
        </w:tc>
        <w:tc>
          <w:tcPr>
            <w:tcW w:w="7175" w:type="dxa"/>
            <w:tcBorders>
              <w:top w:val="single" w:color="auto" w:sz="4" w:space="0"/>
              <w:left w:val="single" w:color="auto" w:sz="4" w:space="0"/>
              <w:bottom w:val="single" w:color="auto" w:sz="4" w:space="0"/>
              <w:right w:val="single" w:color="auto" w:sz="4" w:space="0"/>
            </w:tcBorders>
            <w:vAlign w:val="center"/>
          </w:tcPr>
          <w:p w14:paraId="1A2F2EF3">
            <w:pPr>
              <w:pStyle w:val="46"/>
              <w:adjustRightInd w:val="0"/>
              <w:snapToGrid w:val="0"/>
              <w:spacing w:line="560" w:lineRule="exact"/>
              <w:jc w:val="left"/>
              <w:rPr>
                <w:rFonts w:hint="eastAsia" w:ascii="宋体" w:hAnsi="宋体" w:cs="宋体"/>
                <w:color w:val="000000"/>
                <w:kern w:val="2"/>
                <w:sz w:val="24"/>
                <w:szCs w:val="24"/>
                <w:highlight w:val="none"/>
              </w:rPr>
            </w:pPr>
            <w:r>
              <w:rPr>
                <w:rFonts w:hint="eastAsia" w:ascii="宋体" w:hAnsi="宋体" w:cs="宋体"/>
                <w:color w:val="000000"/>
                <w:sz w:val="24"/>
                <w:highlight w:val="none"/>
              </w:rPr>
              <w:t>见招标公告</w:t>
            </w:r>
          </w:p>
        </w:tc>
      </w:tr>
      <w:tr w14:paraId="70FCA5BA">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7CC07FBD">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w:t>
            </w:r>
          </w:p>
        </w:tc>
        <w:tc>
          <w:tcPr>
            <w:tcW w:w="1984" w:type="dxa"/>
            <w:tcBorders>
              <w:top w:val="single" w:color="auto" w:sz="4" w:space="0"/>
              <w:left w:val="single" w:color="auto" w:sz="4" w:space="0"/>
              <w:bottom w:val="single" w:color="auto" w:sz="4" w:space="0"/>
              <w:right w:val="single" w:color="auto" w:sz="4" w:space="0"/>
            </w:tcBorders>
            <w:vAlign w:val="center"/>
          </w:tcPr>
          <w:p w14:paraId="7FF16E2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招标代理机构及其项目负责人</w:t>
            </w:r>
          </w:p>
        </w:tc>
        <w:tc>
          <w:tcPr>
            <w:tcW w:w="7175" w:type="dxa"/>
            <w:tcBorders>
              <w:top w:val="single" w:color="auto" w:sz="4" w:space="0"/>
              <w:left w:val="single" w:color="auto" w:sz="4" w:space="0"/>
              <w:bottom w:val="single" w:color="auto" w:sz="4" w:space="0"/>
              <w:right w:val="single" w:color="auto" w:sz="4" w:space="0"/>
            </w:tcBorders>
            <w:vAlign w:val="center"/>
          </w:tcPr>
          <w:p w14:paraId="6C1B5E46">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见招标公告</w:t>
            </w:r>
          </w:p>
        </w:tc>
      </w:tr>
      <w:tr w14:paraId="24D65C62">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276ECBFB">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w:t>
            </w:r>
          </w:p>
        </w:tc>
        <w:tc>
          <w:tcPr>
            <w:tcW w:w="1984" w:type="dxa"/>
            <w:tcBorders>
              <w:top w:val="single" w:color="auto" w:sz="4" w:space="0"/>
              <w:left w:val="single" w:color="auto" w:sz="4" w:space="0"/>
              <w:bottom w:val="single" w:color="auto" w:sz="4" w:space="0"/>
              <w:right w:val="single" w:color="auto" w:sz="4" w:space="0"/>
            </w:tcBorders>
            <w:vAlign w:val="center"/>
          </w:tcPr>
          <w:p w14:paraId="609415F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招标项目名称</w:t>
            </w:r>
          </w:p>
        </w:tc>
        <w:tc>
          <w:tcPr>
            <w:tcW w:w="7175" w:type="dxa"/>
            <w:tcBorders>
              <w:top w:val="single" w:color="auto" w:sz="4" w:space="0"/>
              <w:left w:val="single" w:color="auto" w:sz="4" w:space="0"/>
              <w:bottom w:val="single" w:color="auto" w:sz="4" w:space="0"/>
              <w:right w:val="single" w:color="auto" w:sz="4" w:space="0"/>
            </w:tcBorders>
            <w:vAlign w:val="center"/>
          </w:tcPr>
          <w:p w14:paraId="2C1B0D34">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见招标公告</w:t>
            </w:r>
          </w:p>
        </w:tc>
      </w:tr>
      <w:tr w14:paraId="189DECBA">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4EA2E2EF">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4</w:t>
            </w:r>
          </w:p>
        </w:tc>
        <w:tc>
          <w:tcPr>
            <w:tcW w:w="1984" w:type="dxa"/>
            <w:tcBorders>
              <w:top w:val="single" w:color="auto" w:sz="4" w:space="0"/>
              <w:left w:val="single" w:color="auto" w:sz="4" w:space="0"/>
              <w:bottom w:val="single" w:color="auto" w:sz="4" w:space="0"/>
              <w:right w:val="single" w:color="auto" w:sz="4" w:space="0"/>
            </w:tcBorders>
            <w:vAlign w:val="center"/>
          </w:tcPr>
          <w:p w14:paraId="59E8C1A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建设地点</w:t>
            </w:r>
          </w:p>
        </w:tc>
        <w:tc>
          <w:tcPr>
            <w:tcW w:w="7175" w:type="dxa"/>
            <w:tcBorders>
              <w:top w:val="single" w:color="auto" w:sz="4" w:space="0"/>
              <w:left w:val="single" w:color="auto" w:sz="4" w:space="0"/>
              <w:bottom w:val="single" w:color="auto" w:sz="4" w:space="0"/>
              <w:right w:val="single" w:color="auto" w:sz="4" w:space="0"/>
            </w:tcBorders>
            <w:vAlign w:val="center"/>
          </w:tcPr>
          <w:p w14:paraId="515A849A">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见招标公告</w:t>
            </w:r>
          </w:p>
        </w:tc>
      </w:tr>
      <w:tr w14:paraId="7C6F369C">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7D8F5ACE">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5</w:t>
            </w:r>
          </w:p>
        </w:tc>
        <w:tc>
          <w:tcPr>
            <w:tcW w:w="1984" w:type="dxa"/>
            <w:tcBorders>
              <w:top w:val="single" w:color="auto" w:sz="4" w:space="0"/>
              <w:left w:val="single" w:color="auto" w:sz="4" w:space="0"/>
              <w:bottom w:val="single" w:color="auto" w:sz="4" w:space="0"/>
              <w:right w:val="single" w:color="auto" w:sz="4" w:space="0"/>
            </w:tcBorders>
            <w:vAlign w:val="center"/>
          </w:tcPr>
          <w:p w14:paraId="7F9B9CB9">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资金来源及出资比例</w:t>
            </w:r>
          </w:p>
        </w:tc>
        <w:tc>
          <w:tcPr>
            <w:tcW w:w="7175" w:type="dxa"/>
            <w:tcBorders>
              <w:top w:val="single" w:color="auto" w:sz="4" w:space="0"/>
              <w:left w:val="single" w:color="auto" w:sz="4" w:space="0"/>
              <w:bottom w:val="single" w:color="auto" w:sz="4" w:space="0"/>
              <w:right w:val="single" w:color="auto" w:sz="4" w:space="0"/>
            </w:tcBorders>
            <w:vAlign w:val="center"/>
          </w:tcPr>
          <w:p w14:paraId="0FD86A35">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见招标公告</w:t>
            </w:r>
          </w:p>
        </w:tc>
      </w:tr>
      <w:tr w14:paraId="06475887">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518F0A3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6</w:t>
            </w:r>
          </w:p>
        </w:tc>
        <w:tc>
          <w:tcPr>
            <w:tcW w:w="1984" w:type="dxa"/>
            <w:tcBorders>
              <w:top w:val="single" w:color="auto" w:sz="4" w:space="0"/>
              <w:left w:val="single" w:color="auto" w:sz="4" w:space="0"/>
              <w:bottom w:val="single" w:color="auto" w:sz="4" w:space="0"/>
              <w:right w:val="single" w:color="auto" w:sz="4" w:space="0"/>
            </w:tcBorders>
            <w:vAlign w:val="center"/>
          </w:tcPr>
          <w:p w14:paraId="7786B5A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资金落实情况</w:t>
            </w:r>
          </w:p>
        </w:tc>
        <w:tc>
          <w:tcPr>
            <w:tcW w:w="7175" w:type="dxa"/>
            <w:tcBorders>
              <w:top w:val="single" w:color="auto" w:sz="4" w:space="0"/>
              <w:left w:val="single" w:color="auto" w:sz="4" w:space="0"/>
              <w:bottom w:val="single" w:color="auto" w:sz="4" w:space="0"/>
              <w:right w:val="single" w:color="auto" w:sz="4" w:space="0"/>
            </w:tcBorders>
            <w:vAlign w:val="center"/>
          </w:tcPr>
          <w:p w14:paraId="05F43FFC">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已落实</w:t>
            </w:r>
          </w:p>
        </w:tc>
      </w:tr>
      <w:tr w14:paraId="44FF4416">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7A1BEC6F">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7</w:t>
            </w:r>
          </w:p>
        </w:tc>
        <w:tc>
          <w:tcPr>
            <w:tcW w:w="1984" w:type="dxa"/>
            <w:tcBorders>
              <w:top w:val="single" w:color="auto" w:sz="4" w:space="0"/>
              <w:left w:val="single" w:color="auto" w:sz="4" w:space="0"/>
              <w:bottom w:val="single" w:color="auto" w:sz="4" w:space="0"/>
              <w:right w:val="single" w:color="auto" w:sz="4" w:space="0"/>
            </w:tcBorders>
            <w:vAlign w:val="center"/>
          </w:tcPr>
          <w:p w14:paraId="1C4A63C6">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招标范围</w:t>
            </w:r>
          </w:p>
        </w:tc>
        <w:tc>
          <w:tcPr>
            <w:tcW w:w="7175" w:type="dxa"/>
            <w:tcBorders>
              <w:top w:val="single" w:color="auto" w:sz="4" w:space="0"/>
              <w:left w:val="single" w:color="auto" w:sz="4" w:space="0"/>
              <w:bottom w:val="single" w:color="auto" w:sz="4" w:space="0"/>
              <w:right w:val="single" w:color="auto" w:sz="4" w:space="0"/>
            </w:tcBorders>
            <w:vAlign w:val="center"/>
          </w:tcPr>
          <w:p w14:paraId="6CE269BC">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见招标公告</w:t>
            </w:r>
          </w:p>
        </w:tc>
      </w:tr>
      <w:tr w14:paraId="43E2D01D">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0FE3E453">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8</w:t>
            </w:r>
          </w:p>
        </w:tc>
        <w:tc>
          <w:tcPr>
            <w:tcW w:w="1984" w:type="dxa"/>
            <w:tcBorders>
              <w:top w:val="single" w:color="auto" w:sz="4" w:space="0"/>
              <w:left w:val="single" w:color="auto" w:sz="4" w:space="0"/>
              <w:bottom w:val="single" w:color="auto" w:sz="4" w:space="0"/>
              <w:right w:val="single" w:color="auto" w:sz="4" w:space="0"/>
            </w:tcBorders>
            <w:vAlign w:val="center"/>
          </w:tcPr>
          <w:p w14:paraId="34BAFFF2">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供货期</w:t>
            </w:r>
          </w:p>
        </w:tc>
        <w:tc>
          <w:tcPr>
            <w:tcW w:w="7175" w:type="dxa"/>
            <w:tcBorders>
              <w:top w:val="single" w:color="auto" w:sz="4" w:space="0"/>
              <w:left w:val="single" w:color="auto" w:sz="4" w:space="0"/>
              <w:bottom w:val="single" w:color="auto" w:sz="4" w:space="0"/>
              <w:right w:val="single" w:color="auto" w:sz="4" w:space="0"/>
            </w:tcBorders>
            <w:vAlign w:val="center"/>
          </w:tcPr>
          <w:p w14:paraId="04F9BECF">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自招标人发出中标通知书后15个日历天内完成所有设备、材料的供货。</w:t>
            </w:r>
          </w:p>
          <w:p w14:paraId="7C19C125">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注：供货逾期7个日历天，违约金金额为该批迟交货物金额的1%；</w:t>
            </w:r>
          </w:p>
          <w:p w14:paraId="0313A041">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供货逾期14个日历天，每周违约金金额为该批迟交货物金额的2%；</w:t>
            </w:r>
          </w:p>
          <w:p w14:paraId="22F7A22D">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供货逾期21个日历天，每周违约金金额为该批迟交货物金额的3%；</w:t>
            </w:r>
          </w:p>
          <w:p w14:paraId="1115538C">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供货逾期28个日历天，每周违约金金额为该批迟交货物金额的4%；</w:t>
            </w:r>
          </w:p>
          <w:p w14:paraId="7A32D901">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如上述供货迟交不足7个日历天按7个日历天计取。</w:t>
            </w:r>
          </w:p>
          <w:p w14:paraId="0BBBEF95">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themeColor="text1"/>
                <w:sz w:val="24"/>
                <w:highlight w:val="none"/>
                <w14:textFill>
                  <w14:solidFill>
                    <w14:schemeClr w14:val="tx1"/>
                  </w14:solidFill>
                </w14:textFill>
              </w:rPr>
              <w:t xml:space="preserve">如因中标人原因（如供货不及时、设备运行不合格以及其他任何由投标人引起的原因）导致滁州市琅琊区重点流域农业面源污染治理项目EPC工期延误，招标人对中标人可另行处以违约金：供货期每延误一天，处以20000元违约金，最高赔偿金额为84.33万元。违约金在结算时直接从结算款中扣除。 </w:t>
            </w:r>
            <w:r>
              <w:rPr>
                <w:rFonts w:hint="eastAsia" w:ascii="宋体" w:hAnsi="宋体" w:cs="宋体"/>
                <w:color w:val="000000"/>
                <w:sz w:val="24"/>
                <w:highlight w:val="none"/>
              </w:rPr>
              <w:t xml:space="preserve">                   </w:t>
            </w:r>
          </w:p>
        </w:tc>
      </w:tr>
      <w:tr w14:paraId="15A0DD5D">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6F56D01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9</w:t>
            </w:r>
          </w:p>
        </w:tc>
        <w:tc>
          <w:tcPr>
            <w:tcW w:w="1984" w:type="dxa"/>
            <w:tcBorders>
              <w:top w:val="single" w:color="auto" w:sz="4" w:space="0"/>
              <w:left w:val="single" w:color="auto" w:sz="4" w:space="0"/>
              <w:bottom w:val="single" w:color="auto" w:sz="4" w:space="0"/>
              <w:right w:val="single" w:color="auto" w:sz="4" w:space="0"/>
            </w:tcBorders>
            <w:vAlign w:val="center"/>
          </w:tcPr>
          <w:p w14:paraId="7079B6E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质量要求</w:t>
            </w:r>
          </w:p>
        </w:tc>
        <w:tc>
          <w:tcPr>
            <w:tcW w:w="7175" w:type="dxa"/>
            <w:tcBorders>
              <w:top w:val="single" w:color="auto" w:sz="4" w:space="0"/>
              <w:left w:val="single" w:color="auto" w:sz="4" w:space="0"/>
              <w:bottom w:val="single" w:color="auto" w:sz="4" w:space="0"/>
              <w:right w:val="single" w:color="auto" w:sz="4" w:space="0"/>
            </w:tcBorders>
            <w:vAlign w:val="center"/>
          </w:tcPr>
          <w:p w14:paraId="0869BC52">
            <w:pPr>
              <w:adjustRightInd w:val="0"/>
              <w:snapToGrid w:val="0"/>
              <w:spacing w:line="5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（1）本合同项下货物应满足《滁州市琅琊区重点流域农业面源污染治理项目EPC工程总承包合同》、施工图纸、设计规范、招标图纸技术要求以及相关行业标准。</w:t>
            </w:r>
          </w:p>
          <w:p w14:paraId="5B6A3C87">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themeColor="text1"/>
                <w:sz w:val="24"/>
                <w:highlight w:val="none"/>
                <w14:textFill>
                  <w14:solidFill>
                    <w14:schemeClr w14:val="tx1"/>
                  </w14:solidFill>
                </w14:textFill>
              </w:rPr>
              <w:t>（2）产品应符合国家有关环保法律法规的规定以及招标人环境体系要求，不能对施工环境造成污染；同时，该货物还应该符合招标人职业安全健康管理体系标准的要求，不能对接触货物的有关人员及竣工后的使用人员的健康造成危害。</w:t>
            </w:r>
          </w:p>
        </w:tc>
      </w:tr>
      <w:tr w14:paraId="08DF4ADE">
        <w:tblPrEx>
          <w:tblCellMar>
            <w:top w:w="0" w:type="dxa"/>
            <w:left w:w="108" w:type="dxa"/>
            <w:bottom w:w="0" w:type="dxa"/>
            <w:right w:w="108" w:type="dxa"/>
          </w:tblCellMar>
        </w:tblPrEx>
        <w:trPr>
          <w:trHeight w:val="1232" w:hRule="atLeast"/>
          <w:jc w:val="center"/>
        </w:trPr>
        <w:tc>
          <w:tcPr>
            <w:tcW w:w="1016" w:type="dxa"/>
            <w:tcBorders>
              <w:top w:val="single" w:color="auto" w:sz="4" w:space="0"/>
              <w:left w:val="single" w:color="auto" w:sz="4" w:space="0"/>
              <w:right w:val="single" w:color="auto" w:sz="4" w:space="0"/>
            </w:tcBorders>
            <w:vAlign w:val="center"/>
          </w:tcPr>
          <w:p w14:paraId="5758F5D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10</w:t>
            </w:r>
          </w:p>
        </w:tc>
        <w:tc>
          <w:tcPr>
            <w:tcW w:w="1984" w:type="dxa"/>
            <w:tcBorders>
              <w:top w:val="single" w:color="auto" w:sz="4" w:space="0"/>
              <w:left w:val="single" w:color="auto" w:sz="4" w:space="0"/>
              <w:bottom w:val="single" w:color="auto" w:sz="4" w:space="0"/>
              <w:right w:val="single" w:color="auto" w:sz="4" w:space="0"/>
            </w:tcBorders>
            <w:vAlign w:val="center"/>
          </w:tcPr>
          <w:p w14:paraId="0ADC8776">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投标人资质条件、能力和信誉</w:t>
            </w:r>
          </w:p>
        </w:tc>
        <w:tc>
          <w:tcPr>
            <w:tcW w:w="7175" w:type="dxa"/>
            <w:tcBorders>
              <w:top w:val="single" w:color="auto" w:sz="4" w:space="0"/>
              <w:left w:val="single" w:color="auto" w:sz="4" w:space="0"/>
              <w:bottom w:val="single" w:color="auto" w:sz="4" w:space="0"/>
              <w:right w:val="single" w:color="auto" w:sz="4" w:space="0"/>
            </w:tcBorders>
            <w:vAlign w:val="center"/>
          </w:tcPr>
          <w:p w14:paraId="4945767C">
            <w:pPr>
              <w:widowControl/>
              <w:adjustRightInd w:val="0"/>
              <w:snapToGrid w:val="0"/>
              <w:spacing w:line="560" w:lineRule="exact"/>
              <w:jc w:val="left"/>
              <w:rPr>
                <w:rFonts w:hint="eastAsia" w:ascii="宋体" w:hAnsi="宋体" w:cs="宋体"/>
                <w:color w:val="000000"/>
                <w:sz w:val="24"/>
                <w:highlight w:val="none"/>
                <w:u w:val="single"/>
              </w:rPr>
            </w:pPr>
            <w:r>
              <w:rPr>
                <w:rFonts w:hint="eastAsia" w:ascii="宋体" w:hAnsi="宋体" w:cs="宋体"/>
                <w:color w:val="000000"/>
                <w:sz w:val="24"/>
                <w:highlight w:val="none"/>
                <w:u w:val="single"/>
              </w:rPr>
              <w:t>详见招标公告</w:t>
            </w:r>
          </w:p>
        </w:tc>
      </w:tr>
      <w:tr w14:paraId="598071CD">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7947D5A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11</w:t>
            </w:r>
          </w:p>
        </w:tc>
        <w:tc>
          <w:tcPr>
            <w:tcW w:w="1984" w:type="dxa"/>
            <w:tcBorders>
              <w:top w:val="single" w:color="auto" w:sz="4" w:space="0"/>
              <w:left w:val="single" w:color="auto" w:sz="4" w:space="0"/>
              <w:bottom w:val="single" w:color="auto" w:sz="4" w:space="0"/>
              <w:right w:val="single" w:color="auto" w:sz="4" w:space="0"/>
            </w:tcBorders>
            <w:vAlign w:val="center"/>
          </w:tcPr>
          <w:p w14:paraId="53DB570E">
            <w:pPr>
              <w:adjustRightInd w:val="0"/>
              <w:snapToGrid w:val="0"/>
              <w:spacing w:line="560" w:lineRule="exact"/>
              <w:jc w:val="center"/>
              <w:rPr>
                <w:rFonts w:hint="eastAsia" w:ascii="宋体" w:hAnsi="宋体" w:cs="宋体"/>
                <w:color w:val="000000"/>
                <w:spacing w:val="-4"/>
                <w:kern w:val="0"/>
                <w:sz w:val="24"/>
                <w:highlight w:val="none"/>
              </w:rPr>
            </w:pPr>
            <w:r>
              <w:rPr>
                <w:rFonts w:hint="eastAsia" w:ascii="宋体" w:hAnsi="宋体" w:cs="宋体"/>
                <w:color w:val="000000"/>
                <w:spacing w:val="-4"/>
                <w:kern w:val="0"/>
                <w:sz w:val="24"/>
                <w:highlight w:val="none"/>
              </w:rPr>
              <w:t>是否接受联合体投标</w:t>
            </w:r>
          </w:p>
        </w:tc>
        <w:tc>
          <w:tcPr>
            <w:tcW w:w="7175" w:type="dxa"/>
            <w:tcBorders>
              <w:top w:val="single" w:color="auto" w:sz="4" w:space="0"/>
              <w:left w:val="single" w:color="auto" w:sz="4" w:space="0"/>
              <w:bottom w:val="single" w:color="auto" w:sz="4" w:space="0"/>
              <w:right w:val="single" w:color="auto" w:sz="4" w:space="0"/>
            </w:tcBorders>
            <w:vAlign w:val="center"/>
          </w:tcPr>
          <w:p w14:paraId="20A79EB6">
            <w:pPr>
              <w:pStyle w:val="14"/>
              <w:topLinePunct/>
              <w:adjustRightInd w:val="0"/>
              <w:snapToGrid w:val="0"/>
              <w:spacing w:line="560" w:lineRule="exact"/>
              <w:rPr>
                <w:rFonts w:hint="eastAsia" w:hAnsi="宋体" w:cs="宋体"/>
                <w:color w:val="000000"/>
                <w:szCs w:val="24"/>
                <w:highlight w:val="none"/>
              </w:rPr>
            </w:pPr>
            <w:r>
              <w:rPr>
                <w:rFonts w:hint="eastAsia" w:hAnsi="宋体" w:cs="宋体"/>
                <w:color w:val="000000"/>
                <w:szCs w:val="24"/>
                <w:highlight w:val="none"/>
                <w:u w:val="single"/>
              </w:rPr>
              <w:t>详见招标公告</w:t>
            </w:r>
          </w:p>
        </w:tc>
      </w:tr>
      <w:tr w14:paraId="2244F076">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2F9A9C77">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12</w:t>
            </w:r>
          </w:p>
        </w:tc>
        <w:tc>
          <w:tcPr>
            <w:tcW w:w="1984" w:type="dxa"/>
            <w:tcBorders>
              <w:top w:val="single" w:color="auto" w:sz="4" w:space="0"/>
              <w:left w:val="single" w:color="auto" w:sz="4" w:space="0"/>
              <w:bottom w:val="single" w:color="auto" w:sz="4" w:space="0"/>
              <w:right w:val="single" w:color="auto" w:sz="4" w:space="0"/>
            </w:tcBorders>
            <w:vAlign w:val="center"/>
          </w:tcPr>
          <w:p w14:paraId="597156A6">
            <w:pPr>
              <w:adjustRightInd w:val="0"/>
              <w:snapToGrid w:val="0"/>
              <w:spacing w:line="560" w:lineRule="exact"/>
              <w:jc w:val="center"/>
              <w:rPr>
                <w:rFonts w:hint="eastAsia" w:ascii="宋体" w:hAnsi="宋体" w:cs="宋体"/>
                <w:color w:val="000000"/>
                <w:spacing w:val="-4"/>
                <w:kern w:val="0"/>
                <w:sz w:val="24"/>
                <w:highlight w:val="none"/>
              </w:rPr>
            </w:pPr>
            <w:r>
              <w:rPr>
                <w:rFonts w:hint="eastAsia" w:ascii="宋体" w:hAnsi="宋体" w:cs="宋体"/>
                <w:color w:val="000000"/>
                <w:spacing w:val="-4"/>
                <w:kern w:val="0"/>
                <w:sz w:val="24"/>
                <w:highlight w:val="none"/>
              </w:rPr>
              <w:t>投标人不得存在的其他情形</w:t>
            </w:r>
          </w:p>
        </w:tc>
        <w:tc>
          <w:tcPr>
            <w:tcW w:w="7175" w:type="dxa"/>
            <w:tcBorders>
              <w:top w:val="single" w:color="auto" w:sz="4" w:space="0"/>
              <w:left w:val="single" w:color="auto" w:sz="4" w:space="0"/>
              <w:bottom w:val="single" w:color="auto" w:sz="4" w:space="0"/>
              <w:right w:val="single" w:color="auto" w:sz="4" w:space="0"/>
            </w:tcBorders>
            <w:vAlign w:val="center"/>
          </w:tcPr>
          <w:p w14:paraId="6C15FAD7">
            <w:pPr>
              <w:pStyle w:val="14"/>
              <w:topLinePunct/>
              <w:adjustRightInd w:val="0"/>
              <w:snapToGrid w:val="0"/>
              <w:spacing w:line="560" w:lineRule="exact"/>
              <w:rPr>
                <w:rFonts w:hint="eastAsia" w:hAnsi="宋体" w:cs="宋体"/>
                <w:color w:val="000000"/>
                <w:szCs w:val="24"/>
                <w:highlight w:val="none"/>
              </w:rPr>
            </w:pPr>
            <w:r>
              <w:rPr>
                <w:rFonts w:hint="eastAsia" w:hAnsi="宋体" w:cs="宋体"/>
                <w:color w:val="000000"/>
                <w:szCs w:val="24"/>
                <w:highlight w:val="none"/>
                <w:u w:val="single"/>
              </w:rPr>
              <w:t>详见招标公告</w:t>
            </w:r>
            <w:r>
              <w:rPr>
                <w:rFonts w:hint="eastAsia" w:hAnsi="宋体" w:cs="宋体"/>
                <w:color w:val="000000"/>
                <w:szCs w:val="24"/>
                <w:highlight w:val="none"/>
              </w:rPr>
              <w:t xml:space="preserve"> </w:t>
            </w:r>
          </w:p>
        </w:tc>
      </w:tr>
      <w:tr w14:paraId="530DE44C">
        <w:tblPrEx>
          <w:tblCellMar>
            <w:top w:w="0" w:type="dxa"/>
            <w:left w:w="108" w:type="dxa"/>
            <w:bottom w:w="0" w:type="dxa"/>
            <w:right w:w="108" w:type="dxa"/>
          </w:tblCellMar>
        </w:tblPrEx>
        <w:trPr>
          <w:trHeight w:val="68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49C99723">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13</w:t>
            </w:r>
          </w:p>
        </w:tc>
        <w:tc>
          <w:tcPr>
            <w:tcW w:w="1984" w:type="dxa"/>
            <w:tcBorders>
              <w:top w:val="single" w:color="auto" w:sz="4" w:space="0"/>
              <w:left w:val="single" w:color="auto" w:sz="4" w:space="0"/>
              <w:bottom w:val="single" w:color="auto" w:sz="4" w:space="0"/>
              <w:right w:val="single" w:color="auto" w:sz="4" w:space="0"/>
            </w:tcBorders>
            <w:vAlign w:val="center"/>
          </w:tcPr>
          <w:p w14:paraId="55B8035D">
            <w:pPr>
              <w:adjustRightInd w:val="0"/>
              <w:snapToGrid w:val="0"/>
              <w:spacing w:line="560" w:lineRule="exact"/>
              <w:jc w:val="center"/>
              <w:rPr>
                <w:rFonts w:hint="eastAsia" w:ascii="宋体" w:hAnsi="宋体" w:cs="宋体"/>
                <w:color w:val="000000"/>
                <w:spacing w:val="-4"/>
                <w:kern w:val="0"/>
                <w:sz w:val="24"/>
                <w:highlight w:val="none"/>
              </w:rPr>
            </w:pPr>
            <w:r>
              <w:rPr>
                <w:rFonts w:hint="eastAsia" w:ascii="宋体" w:hAnsi="宋体" w:cs="宋体"/>
                <w:color w:val="000000"/>
                <w:spacing w:val="-4"/>
                <w:kern w:val="0"/>
                <w:sz w:val="24"/>
                <w:highlight w:val="none"/>
              </w:rPr>
              <w:t>踏勘现场</w:t>
            </w:r>
          </w:p>
        </w:tc>
        <w:tc>
          <w:tcPr>
            <w:tcW w:w="7175" w:type="dxa"/>
            <w:tcBorders>
              <w:top w:val="single" w:color="auto" w:sz="4" w:space="0"/>
              <w:left w:val="single" w:color="auto" w:sz="4" w:space="0"/>
              <w:bottom w:val="single" w:color="auto" w:sz="4" w:space="0"/>
              <w:right w:val="single" w:color="auto" w:sz="4" w:space="0"/>
            </w:tcBorders>
            <w:vAlign w:val="center"/>
          </w:tcPr>
          <w:p w14:paraId="0F65E4F9">
            <w:pPr>
              <w:pStyle w:val="14"/>
              <w:topLinePunct/>
              <w:adjustRightInd w:val="0"/>
              <w:snapToGrid w:val="0"/>
              <w:spacing w:line="560" w:lineRule="exact"/>
              <w:rPr>
                <w:rFonts w:hint="eastAsia" w:hAnsi="宋体" w:cs="宋体"/>
                <w:color w:val="000000"/>
                <w:szCs w:val="24"/>
                <w:highlight w:val="none"/>
              </w:rPr>
            </w:pPr>
            <w:r>
              <w:rPr>
                <w:rFonts w:hint="eastAsia" w:hAnsi="宋体" w:cs="宋体"/>
                <w:color w:val="000000"/>
                <w:spacing w:val="-4"/>
                <w:kern w:val="0"/>
                <w:szCs w:val="24"/>
                <w:highlight w:val="none"/>
              </w:rPr>
              <w:t>不组织，投标人自行组织踏勘</w:t>
            </w:r>
            <w:r>
              <w:rPr>
                <w:rFonts w:hint="eastAsia" w:hAnsi="宋体" w:cs="宋体"/>
                <w:color w:val="000000"/>
                <w:szCs w:val="24"/>
                <w:highlight w:val="none"/>
              </w:rPr>
              <w:t>。</w:t>
            </w:r>
          </w:p>
        </w:tc>
      </w:tr>
      <w:tr w14:paraId="238D91B5">
        <w:tblPrEx>
          <w:tblCellMar>
            <w:top w:w="0" w:type="dxa"/>
            <w:left w:w="108" w:type="dxa"/>
            <w:bottom w:w="0" w:type="dxa"/>
            <w:right w:w="108" w:type="dxa"/>
          </w:tblCellMar>
        </w:tblPrEx>
        <w:trPr>
          <w:trHeight w:val="661"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56FC082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14</w:t>
            </w:r>
          </w:p>
        </w:tc>
        <w:tc>
          <w:tcPr>
            <w:tcW w:w="1984" w:type="dxa"/>
            <w:tcBorders>
              <w:top w:val="single" w:color="auto" w:sz="4" w:space="0"/>
              <w:left w:val="single" w:color="auto" w:sz="4" w:space="0"/>
              <w:bottom w:val="single" w:color="auto" w:sz="4" w:space="0"/>
              <w:right w:val="single" w:color="auto" w:sz="4" w:space="0"/>
            </w:tcBorders>
            <w:vAlign w:val="center"/>
          </w:tcPr>
          <w:p w14:paraId="1DD1CA7D">
            <w:pPr>
              <w:adjustRightInd w:val="0"/>
              <w:snapToGrid w:val="0"/>
              <w:spacing w:line="560" w:lineRule="exact"/>
              <w:jc w:val="center"/>
              <w:rPr>
                <w:rFonts w:hint="eastAsia" w:ascii="宋体" w:hAnsi="宋体" w:cs="宋体"/>
                <w:color w:val="000000"/>
                <w:spacing w:val="-4"/>
                <w:kern w:val="0"/>
                <w:sz w:val="24"/>
                <w:highlight w:val="none"/>
              </w:rPr>
            </w:pPr>
            <w:r>
              <w:rPr>
                <w:rFonts w:hint="eastAsia" w:ascii="宋体" w:hAnsi="宋体" w:cs="宋体"/>
                <w:color w:val="000000"/>
                <w:spacing w:val="-4"/>
                <w:kern w:val="0"/>
                <w:sz w:val="24"/>
                <w:highlight w:val="none"/>
              </w:rPr>
              <w:t>投标预备会</w:t>
            </w:r>
          </w:p>
        </w:tc>
        <w:tc>
          <w:tcPr>
            <w:tcW w:w="7175" w:type="dxa"/>
            <w:tcBorders>
              <w:top w:val="single" w:color="auto" w:sz="4" w:space="0"/>
              <w:left w:val="single" w:color="auto" w:sz="4" w:space="0"/>
              <w:bottom w:val="single" w:color="auto" w:sz="4" w:space="0"/>
              <w:right w:val="single" w:color="auto" w:sz="4" w:space="0"/>
            </w:tcBorders>
            <w:vAlign w:val="center"/>
          </w:tcPr>
          <w:p w14:paraId="1451DCBA">
            <w:pPr>
              <w:pStyle w:val="14"/>
              <w:topLinePunct/>
              <w:adjustRightInd w:val="0"/>
              <w:snapToGrid w:val="0"/>
              <w:spacing w:line="560" w:lineRule="exact"/>
              <w:rPr>
                <w:rFonts w:hint="eastAsia" w:hAnsi="宋体" w:cs="宋体"/>
                <w:color w:val="000000"/>
                <w:szCs w:val="24"/>
                <w:highlight w:val="none"/>
              </w:rPr>
            </w:pPr>
            <w:r>
              <w:rPr>
                <w:rFonts w:hint="eastAsia" w:hAnsi="宋体" w:cs="宋体"/>
                <w:color w:val="000000"/>
                <w:szCs w:val="24"/>
                <w:highlight w:val="none"/>
                <w:u w:val="single"/>
              </w:rPr>
              <w:t>不召开。</w:t>
            </w:r>
            <w:r>
              <w:rPr>
                <w:rFonts w:hint="eastAsia" w:hAnsi="宋体" w:cs="宋体"/>
                <w:color w:val="000000"/>
                <w:szCs w:val="24"/>
                <w:highlight w:val="none"/>
              </w:rPr>
              <w:t xml:space="preserve"> </w:t>
            </w:r>
          </w:p>
        </w:tc>
      </w:tr>
      <w:tr w14:paraId="024956B1">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091B80D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15</w:t>
            </w:r>
          </w:p>
        </w:tc>
        <w:tc>
          <w:tcPr>
            <w:tcW w:w="1984" w:type="dxa"/>
            <w:tcBorders>
              <w:top w:val="single" w:color="auto" w:sz="4" w:space="0"/>
              <w:left w:val="single" w:color="auto" w:sz="4" w:space="0"/>
              <w:bottom w:val="single" w:color="auto" w:sz="4" w:space="0"/>
              <w:right w:val="single" w:color="auto" w:sz="4" w:space="0"/>
            </w:tcBorders>
            <w:vAlign w:val="center"/>
          </w:tcPr>
          <w:p w14:paraId="7F2A281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投标人在投标预备会前提出问题</w:t>
            </w:r>
          </w:p>
        </w:tc>
        <w:tc>
          <w:tcPr>
            <w:tcW w:w="7175" w:type="dxa"/>
            <w:tcBorders>
              <w:top w:val="single" w:color="auto" w:sz="4" w:space="0"/>
              <w:left w:val="single" w:color="auto" w:sz="4" w:space="0"/>
              <w:bottom w:val="single" w:color="auto" w:sz="4" w:space="0"/>
              <w:right w:val="single" w:color="auto" w:sz="4" w:space="0"/>
            </w:tcBorders>
            <w:vAlign w:val="center"/>
          </w:tcPr>
          <w:p w14:paraId="0F501954">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 xml:space="preserve">时间：/     </w:t>
            </w:r>
          </w:p>
          <w:p w14:paraId="0EE85674">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 xml:space="preserve">形式：/     </w:t>
            </w:r>
          </w:p>
        </w:tc>
      </w:tr>
      <w:tr w14:paraId="24CB1B1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528F80C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16</w:t>
            </w:r>
          </w:p>
        </w:tc>
        <w:tc>
          <w:tcPr>
            <w:tcW w:w="1984" w:type="dxa"/>
            <w:tcBorders>
              <w:top w:val="single" w:color="auto" w:sz="4" w:space="0"/>
              <w:left w:val="single" w:color="auto" w:sz="4" w:space="0"/>
              <w:bottom w:val="single" w:color="auto" w:sz="4" w:space="0"/>
              <w:right w:val="single" w:color="auto" w:sz="4" w:space="0"/>
            </w:tcBorders>
            <w:vAlign w:val="center"/>
          </w:tcPr>
          <w:p w14:paraId="664BCF72">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分包</w:t>
            </w:r>
          </w:p>
        </w:tc>
        <w:tc>
          <w:tcPr>
            <w:tcW w:w="7175" w:type="dxa"/>
            <w:tcBorders>
              <w:top w:val="single" w:color="auto" w:sz="4" w:space="0"/>
              <w:left w:val="single" w:color="auto" w:sz="4" w:space="0"/>
              <w:bottom w:val="single" w:color="auto" w:sz="4" w:space="0"/>
              <w:right w:val="single" w:color="auto" w:sz="4" w:space="0"/>
            </w:tcBorders>
            <w:vAlign w:val="center"/>
          </w:tcPr>
          <w:p w14:paraId="05623D02">
            <w:pPr>
              <w:adjustRightInd w:val="0"/>
              <w:snapToGrid w:val="0"/>
              <w:spacing w:line="560" w:lineRule="exact"/>
              <w:rPr>
                <w:rFonts w:hint="eastAsia" w:ascii="宋体" w:hAnsi="宋体" w:cs="宋体"/>
                <w:color w:val="000000"/>
                <w:kern w:val="0"/>
                <w:sz w:val="24"/>
                <w:highlight w:val="none"/>
              </w:rPr>
            </w:pPr>
            <w:r>
              <w:rPr>
                <w:rFonts w:hint="eastAsia" w:ascii="宋体" w:hAnsi="宋体" w:cs="宋体"/>
                <w:color w:val="000000"/>
                <w:sz w:val="24"/>
                <w:highlight w:val="none"/>
                <w:u w:val="single"/>
              </w:rPr>
              <w:t>不允许。</w:t>
            </w:r>
          </w:p>
        </w:tc>
      </w:tr>
      <w:tr w14:paraId="2A26B4C8">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1EDC19E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17</w:t>
            </w:r>
          </w:p>
        </w:tc>
        <w:tc>
          <w:tcPr>
            <w:tcW w:w="1984" w:type="dxa"/>
            <w:tcBorders>
              <w:top w:val="single" w:color="auto" w:sz="4" w:space="0"/>
              <w:left w:val="single" w:color="auto" w:sz="4" w:space="0"/>
              <w:bottom w:val="single" w:color="auto" w:sz="4" w:space="0"/>
              <w:right w:val="single" w:color="auto" w:sz="4" w:space="0"/>
            </w:tcBorders>
            <w:vAlign w:val="center"/>
          </w:tcPr>
          <w:p w14:paraId="7CD9874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构成招标文件的其他资料</w:t>
            </w:r>
          </w:p>
        </w:tc>
        <w:tc>
          <w:tcPr>
            <w:tcW w:w="7175" w:type="dxa"/>
            <w:tcBorders>
              <w:top w:val="single" w:color="auto" w:sz="4" w:space="0"/>
              <w:left w:val="single" w:color="auto" w:sz="4" w:space="0"/>
              <w:bottom w:val="single" w:color="auto" w:sz="4" w:space="0"/>
              <w:right w:val="single" w:color="auto" w:sz="4" w:space="0"/>
            </w:tcBorders>
            <w:vAlign w:val="center"/>
          </w:tcPr>
          <w:p w14:paraId="4026C37F">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本项目的招标澄清答疑文件。（如有）</w:t>
            </w:r>
          </w:p>
        </w:tc>
      </w:tr>
      <w:tr w14:paraId="376ECC23">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29F227BC">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18</w:t>
            </w:r>
          </w:p>
        </w:tc>
        <w:tc>
          <w:tcPr>
            <w:tcW w:w="1984" w:type="dxa"/>
            <w:tcBorders>
              <w:top w:val="single" w:color="auto" w:sz="4" w:space="0"/>
              <w:left w:val="single" w:color="auto" w:sz="4" w:space="0"/>
              <w:bottom w:val="single" w:color="auto" w:sz="4" w:space="0"/>
              <w:right w:val="single" w:color="auto" w:sz="4" w:space="0"/>
            </w:tcBorders>
            <w:vAlign w:val="center"/>
          </w:tcPr>
          <w:p w14:paraId="49EB3149">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投标人提出异议的截止时间及方式</w:t>
            </w:r>
          </w:p>
        </w:tc>
        <w:tc>
          <w:tcPr>
            <w:tcW w:w="7175" w:type="dxa"/>
            <w:tcBorders>
              <w:top w:val="single" w:color="auto" w:sz="4" w:space="0"/>
              <w:left w:val="single" w:color="auto" w:sz="4" w:space="0"/>
              <w:bottom w:val="single" w:color="auto" w:sz="4" w:space="0"/>
              <w:right w:val="single" w:color="auto" w:sz="4" w:space="0"/>
            </w:tcBorders>
            <w:vAlign w:val="center"/>
          </w:tcPr>
          <w:p w14:paraId="5ECE9D20">
            <w:pPr>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kern w:val="0"/>
                <w:sz w:val="24"/>
                <w:highlight w:val="none"/>
              </w:rPr>
              <w:t>如投标人对招标文件有异议，请于2026年</w:t>
            </w:r>
            <w:r>
              <w:rPr>
                <w:rFonts w:hint="eastAsia" w:ascii="宋体" w:hAnsi="宋体" w:cs="宋体"/>
                <w:color w:val="000000"/>
                <w:kern w:val="0"/>
                <w:sz w:val="24"/>
                <w:highlight w:val="none"/>
                <w:lang w:val="en-US" w:eastAsia="zh-CN"/>
              </w:rPr>
              <w:t>10</w:t>
            </w:r>
            <w:r>
              <w:rPr>
                <w:rFonts w:hint="eastAsia" w:ascii="宋体" w:hAnsi="宋体" w:cs="宋体"/>
                <w:color w:val="000000"/>
                <w:kern w:val="0"/>
                <w:sz w:val="24"/>
                <w:highlight w:val="none"/>
              </w:rPr>
              <w:t>月</w:t>
            </w:r>
            <w:r>
              <w:rPr>
                <w:rFonts w:hint="eastAsia" w:ascii="宋体" w:hAnsi="宋体" w:cs="宋体"/>
                <w:color w:val="000000"/>
                <w:kern w:val="0"/>
                <w:sz w:val="24"/>
                <w:highlight w:val="none"/>
                <w:lang w:val="en-US" w:eastAsia="zh-CN"/>
              </w:rPr>
              <w:t>5</w:t>
            </w:r>
            <w:r>
              <w:rPr>
                <w:rFonts w:hint="eastAsia" w:ascii="宋体" w:hAnsi="宋体" w:cs="宋体"/>
                <w:color w:val="000000"/>
                <w:kern w:val="0"/>
                <w:sz w:val="24"/>
                <w:highlight w:val="none"/>
              </w:rPr>
              <w:t>日</w:t>
            </w:r>
            <w:r>
              <w:rPr>
                <w:rFonts w:hint="eastAsia" w:ascii="宋体" w:hAnsi="宋体" w:cs="宋体"/>
                <w:color w:val="000000"/>
                <w:kern w:val="0"/>
                <w:sz w:val="24"/>
                <w:highlight w:val="none"/>
                <w:lang w:val="en-US" w:eastAsia="zh-CN"/>
              </w:rPr>
              <w:t>8</w:t>
            </w:r>
            <w:r>
              <w:rPr>
                <w:rFonts w:hint="eastAsia" w:ascii="宋体" w:hAnsi="宋体" w:cs="宋体"/>
                <w:color w:val="000000"/>
                <w:kern w:val="0"/>
                <w:sz w:val="24"/>
                <w:highlight w:val="none"/>
              </w:rPr>
              <w:t>时（投标截止10日）前在滁州市公共资源交易中心网电子交易系统中进行异议，具体操作步骤和程序请参见服务指南&gt;交易须知&gt;在线异议、质疑和投诉操作手册。</w:t>
            </w:r>
          </w:p>
        </w:tc>
      </w:tr>
      <w:tr w14:paraId="5D0FC4F9">
        <w:tblPrEx>
          <w:tblCellMar>
            <w:top w:w="0" w:type="dxa"/>
            <w:left w:w="108" w:type="dxa"/>
            <w:bottom w:w="0" w:type="dxa"/>
            <w:right w:w="108" w:type="dxa"/>
          </w:tblCellMar>
        </w:tblPrEx>
        <w:trPr>
          <w:trHeight w:val="1196"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309A29B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19</w:t>
            </w:r>
          </w:p>
        </w:tc>
        <w:tc>
          <w:tcPr>
            <w:tcW w:w="1984" w:type="dxa"/>
            <w:tcBorders>
              <w:top w:val="single" w:color="auto" w:sz="4" w:space="0"/>
              <w:left w:val="single" w:color="auto" w:sz="4" w:space="0"/>
              <w:bottom w:val="single" w:color="auto" w:sz="4" w:space="0"/>
              <w:right w:val="single" w:color="auto" w:sz="4" w:space="0"/>
            </w:tcBorders>
            <w:vAlign w:val="center"/>
          </w:tcPr>
          <w:p w14:paraId="253E3003">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招标人澄清的时间及方式</w:t>
            </w:r>
          </w:p>
        </w:tc>
        <w:tc>
          <w:tcPr>
            <w:tcW w:w="7175" w:type="dxa"/>
            <w:tcBorders>
              <w:top w:val="single" w:color="auto" w:sz="4" w:space="0"/>
              <w:left w:val="single" w:color="auto" w:sz="4" w:space="0"/>
              <w:bottom w:val="single" w:color="auto" w:sz="4" w:space="0"/>
              <w:right w:val="single" w:color="auto" w:sz="4" w:space="0"/>
            </w:tcBorders>
            <w:vAlign w:val="center"/>
          </w:tcPr>
          <w:p w14:paraId="5DC4AC3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u w:val="single"/>
              </w:rPr>
              <w:t>2026</w:t>
            </w:r>
            <w:r>
              <w:rPr>
                <w:rFonts w:hint="eastAsia" w:ascii="宋体" w:hAnsi="宋体" w:cs="宋体"/>
                <w:color w:val="000000"/>
                <w:sz w:val="24"/>
                <w:highlight w:val="none"/>
              </w:rPr>
              <w:t>年</w:t>
            </w:r>
            <w:r>
              <w:rPr>
                <w:rFonts w:hint="eastAsia" w:ascii="宋体" w:hAnsi="宋体" w:cs="宋体"/>
                <w:color w:val="000000"/>
                <w:sz w:val="24"/>
                <w:highlight w:val="none"/>
                <w:u w:val="single"/>
                <w:lang w:val="en-US" w:eastAsia="zh-CN"/>
              </w:rPr>
              <w:t>10</w:t>
            </w:r>
            <w:r>
              <w:rPr>
                <w:rFonts w:hint="eastAsia" w:ascii="宋体" w:hAnsi="宋体" w:cs="宋体"/>
                <w:color w:val="000000"/>
                <w:sz w:val="24"/>
                <w:highlight w:val="none"/>
              </w:rPr>
              <w:t>月</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8</w:t>
            </w:r>
            <w:bookmarkStart w:id="892" w:name="_GoBack"/>
            <w:bookmarkEnd w:id="892"/>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日</w:t>
            </w:r>
            <w:r>
              <w:rPr>
                <w:rFonts w:hint="eastAsia" w:ascii="宋体" w:hAnsi="宋体" w:cs="宋体"/>
                <w:color w:val="000000"/>
                <w:sz w:val="24"/>
                <w:highlight w:val="none"/>
                <w:u w:val="single"/>
              </w:rPr>
              <w:t>17</w:t>
            </w:r>
            <w:r>
              <w:rPr>
                <w:rFonts w:hint="eastAsia" w:ascii="宋体" w:hAnsi="宋体" w:cs="宋体"/>
                <w:color w:val="000000"/>
                <w:sz w:val="24"/>
                <w:highlight w:val="none"/>
              </w:rPr>
              <w:t>时前</w:t>
            </w:r>
            <w:r>
              <w:rPr>
                <w:rFonts w:hint="eastAsia" w:ascii="宋体" w:hAnsi="宋体" w:cs="宋体"/>
                <w:color w:val="000000"/>
                <w:kern w:val="0"/>
                <w:sz w:val="24"/>
                <w:highlight w:val="none"/>
              </w:rPr>
              <w:t>在滁州市公共资源交易中心网站</w:t>
            </w:r>
            <w:r>
              <w:rPr>
                <w:rFonts w:hint="eastAsia" w:ascii="宋体" w:hAnsi="宋体" w:cs="宋体"/>
                <w:color w:val="000000"/>
                <w:sz w:val="24"/>
                <w:highlight w:val="none"/>
              </w:rPr>
              <w:t xml:space="preserve"> “答疑澄清文件”栏目予以公告</w:t>
            </w:r>
            <w:r>
              <w:rPr>
                <w:rFonts w:hint="eastAsia" w:ascii="宋体" w:hAnsi="宋体" w:cs="宋体"/>
                <w:color w:val="000000"/>
                <w:kern w:val="0"/>
                <w:sz w:val="24"/>
                <w:highlight w:val="none"/>
              </w:rPr>
              <w:t>。</w:t>
            </w:r>
          </w:p>
        </w:tc>
      </w:tr>
      <w:tr w14:paraId="73BC5D05">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41045C2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20</w:t>
            </w:r>
          </w:p>
        </w:tc>
        <w:tc>
          <w:tcPr>
            <w:tcW w:w="1984" w:type="dxa"/>
            <w:tcBorders>
              <w:top w:val="single" w:color="auto" w:sz="4" w:space="0"/>
              <w:left w:val="single" w:color="auto" w:sz="4" w:space="0"/>
              <w:bottom w:val="single" w:color="auto" w:sz="4" w:space="0"/>
              <w:right w:val="single" w:color="auto" w:sz="4" w:space="0"/>
            </w:tcBorders>
            <w:vAlign w:val="center"/>
          </w:tcPr>
          <w:p w14:paraId="5F4EFF08">
            <w:pPr>
              <w:adjustRightInd w:val="0"/>
              <w:snapToGrid w:val="0"/>
              <w:spacing w:line="560" w:lineRule="exact"/>
              <w:jc w:val="center"/>
              <w:rPr>
                <w:rFonts w:hint="eastAsia" w:ascii="宋体" w:hAnsi="宋体" w:cs="宋体"/>
                <w:color w:val="000000"/>
                <w:sz w:val="24"/>
                <w:highlight w:val="none"/>
              </w:rPr>
            </w:pPr>
            <w:r>
              <w:rPr>
                <w:rFonts w:hint="eastAsia"/>
                <w:color w:val="000000"/>
                <w:sz w:val="24"/>
                <w:highlight w:val="none"/>
              </w:rPr>
              <w:t>增值税税金</w:t>
            </w:r>
          </w:p>
        </w:tc>
        <w:tc>
          <w:tcPr>
            <w:tcW w:w="7175" w:type="dxa"/>
            <w:tcBorders>
              <w:top w:val="single" w:color="auto" w:sz="4" w:space="0"/>
              <w:left w:val="single" w:color="auto" w:sz="4" w:space="0"/>
              <w:bottom w:val="single" w:color="auto" w:sz="4" w:space="0"/>
              <w:right w:val="single" w:color="auto" w:sz="4" w:space="0"/>
            </w:tcBorders>
          </w:tcPr>
          <w:p w14:paraId="749AB3B7">
            <w:pPr>
              <w:adjustRightInd w:val="0"/>
              <w:snapToGrid w:val="0"/>
              <w:spacing w:line="560" w:lineRule="exact"/>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（1）计税方法：一般计税方法</w:t>
            </w:r>
          </w:p>
          <w:p w14:paraId="6DED5D34">
            <w:pPr>
              <w:adjustRightInd w:val="0"/>
              <w:snapToGrid w:val="0"/>
              <w:spacing w:line="560" w:lineRule="exact"/>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（2）发票类型：增值税专用发票</w:t>
            </w:r>
          </w:p>
          <w:p w14:paraId="461D791E">
            <w:pPr>
              <w:adjustRightInd w:val="0"/>
              <w:snapToGrid w:val="0"/>
              <w:spacing w:line="560" w:lineRule="exact"/>
              <w:rPr>
                <w:rFonts w:hint="eastAsia" w:hAnsi="宋体" w:cs="宋体"/>
                <w:color w:val="000000"/>
                <w:kern w:val="0"/>
                <w:highlight w:val="none"/>
              </w:rPr>
            </w:pPr>
            <w:r>
              <w:rPr>
                <w:rFonts w:hint="eastAsia" w:ascii="宋体" w:hAnsi="宋体" w:cs="宋体"/>
                <w:bCs/>
                <w:snapToGrid w:val="0"/>
                <w:color w:val="000000"/>
                <w:kern w:val="0"/>
                <w:sz w:val="24"/>
                <w:highlight w:val="none"/>
              </w:rPr>
              <w:t>（3）增值税税率按照国家有关规定执行。</w:t>
            </w:r>
          </w:p>
        </w:tc>
      </w:tr>
      <w:tr w14:paraId="5752AA4C">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1C4982F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21</w:t>
            </w:r>
          </w:p>
        </w:tc>
        <w:tc>
          <w:tcPr>
            <w:tcW w:w="1984" w:type="dxa"/>
            <w:tcBorders>
              <w:top w:val="single" w:color="auto" w:sz="4" w:space="0"/>
              <w:left w:val="single" w:color="auto" w:sz="4" w:space="0"/>
              <w:bottom w:val="single" w:color="auto" w:sz="4" w:space="0"/>
              <w:right w:val="single" w:color="auto" w:sz="4" w:space="0"/>
            </w:tcBorders>
            <w:vAlign w:val="center"/>
          </w:tcPr>
          <w:p w14:paraId="4B31811D">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b/>
                <w:bCs/>
                <w:color w:val="000000"/>
                <w:sz w:val="24"/>
                <w:highlight w:val="none"/>
              </w:rPr>
              <w:t>最高投标限价</w:t>
            </w:r>
          </w:p>
        </w:tc>
        <w:tc>
          <w:tcPr>
            <w:tcW w:w="7175" w:type="dxa"/>
            <w:tcBorders>
              <w:top w:val="single" w:color="auto" w:sz="4" w:space="0"/>
              <w:left w:val="single" w:color="auto" w:sz="4" w:space="0"/>
              <w:bottom w:val="single" w:color="auto" w:sz="4" w:space="0"/>
              <w:right w:val="single" w:color="auto" w:sz="4" w:space="0"/>
            </w:tcBorders>
            <w:vAlign w:val="center"/>
          </w:tcPr>
          <w:p w14:paraId="45331166">
            <w:pPr>
              <w:adjustRightInd w:val="0"/>
              <w:snapToGrid w:val="0"/>
              <w:spacing w:line="560" w:lineRule="exact"/>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 xml:space="preserve">最高投标限价：13715340.50元（含税价格）。投标报价不得高 </w:t>
            </w:r>
          </w:p>
          <w:p w14:paraId="532F440E">
            <w:pPr>
              <w:adjustRightInd w:val="0"/>
              <w:snapToGrid w:val="0"/>
              <w:spacing w:line="560" w:lineRule="exact"/>
              <w:rPr>
                <w:rFonts w:hint="eastAsia" w:ascii="宋体" w:hAnsi="宋体" w:cs="宋体"/>
                <w:b/>
                <w:color w:val="000000"/>
                <w:sz w:val="24"/>
                <w:highlight w:val="none"/>
              </w:rPr>
            </w:pPr>
            <w:r>
              <w:rPr>
                <w:rFonts w:hint="eastAsia" w:ascii="宋体" w:hAnsi="宋体" w:cs="宋体"/>
                <w:bCs/>
                <w:snapToGrid w:val="0"/>
                <w:color w:val="000000"/>
                <w:kern w:val="0"/>
                <w:sz w:val="24"/>
                <w:highlight w:val="none"/>
              </w:rPr>
              <w:t>于本项目设置的最高限价，否则，其投标文件按无效标处理。</w:t>
            </w:r>
          </w:p>
        </w:tc>
      </w:tr>
      <w:tr w14:paraId="0093163C">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195BFDF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22</w:t>
            </w:r>
          </w:p>
        </w:tc>
        <w:tc>
          <w:tcPr>
            <w:tcW w:w="1984" w:type="dxa"/>
            <w:tcBorders>
              <w:top w:val="single" w:color="auto" w:sz="4" w:space="0"/>
              <w:left w:val="single" w:color="auto" w:sz="4" w:space="0"/>
              <w:bottom w:val="single" w:color="auto" w:sz="4" w:space="0"/>
              <w:right w:val="single" w:color="auto" w:sz="4" w:space="0"/>
            </w:tcBorders>
            <w:vAlign w:val="center"/>
          </w:tcPr>
          <w:p w14:paraId="792A330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投标报价的</w:t>
            </w:r>
          </w:p>
          <w:p w14:paraId="62F4BF5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其他要求</w:t>
            </w:r>
          </w:p>
        </w:tc>
        <w:tc>
          <w:tcPr>
            <w:tcW w:w="7175" w:type="dxa"/>
            <w:tcBorders>
              <w:top w:val="single" w:color="auto" w:sz="4" w:space="0"/>
              <w:left w:val="single" w:color="auto" w:sz="4" w:space="0"/>
              <w:bottom w:val="single" w:color="auto" w:sz="4" w:space="0"/>
              <w:right w:val="single" w:color="auto" w:sz="4" w:space="0"/>
            </w:tcBorders>
            <w:vAlign w:val="center"/>
          </w:tcPr>
          <w:p w14:paraId="625DCCDD">
            <w:pPr>
              <w:pStyle w:val="14"/>
              <w:topLinePunct/>
              <w:adjustRightInd w:val="0"/>
              <w:snapToGrid w:val="0"/>
              <w:spacing w:line="560" w:lineRule="exact"/>
              <w:rPr>
                <w:szCs w:val="21"/>
                <w:highlight w:val="none"/>
              </w:rPr>
            </w:pPr>
            <w:r>
              <w:rPr>
                <w:rFonts w:hint="eastAsia"/>
                <w:szCs w:val="21"/>
                <w:highlight w:val="none"/>
              </w:rPr>
              <w:t>（1）投标人应报综合单价及投标总价，综合单价包括但不限于：设备费用、安装费用、调试费用、运输费用、装货费用、保险费用、运输过程中发生的损耗费用、现场交货时按照招标人要求堆放指定地点的卸货堆放费用、人工费、材料费（含主材、辅材及</w:t>
            </w:r>
            <w:r>
              <w:rPr>
                <w:rFonts w:hint="eastAsia"/>
                <w:szCs w:val="21"/>
                <w:highlight w:val="none"/>
                <w:lang w:val="zh-CN"/>
              </w:rPr>
              <w:t>安装配件</w:t>
            </w:r>
            <w:r>
              <w:rPr>
                <w:rFonts w:hint="eastAsia"/>
                <w:szCs w:val="21"/>
                <w:highlight w:val="none"/>
              </w:rPr>
              <w:t>等）、预埋件费用、机械费、招标代理费用、风险费、管理费、利润、后期服务、国家对供应商征收的各种税费及完成本项目所需的所有费用。综合单价今后将不作任何调整。</w:t>
            </w:r>
          </w:p>
          <w:p w14:paraId="43892D13">
            <w:pPr>
              <w:pStyle w:val="14"/>
              <w:topLinePunct/>
              <w:adjustRightInd w:val="0"/>
              <w:snapToGrid w:val="0"/>
              <w:spacing w:line="560" w:lineRule="exact"/>
              <w:rPr>
                <w:rFonts w:hint="eastAsia" w:hAnsi="宋体" w:cs="宋体"/>
                <w:color w:val="000000"/>
                <w:kern w:val="0"/>
                <w:szCs w:val="24"/>
                <w:highlight w:val="none"/>
              </w:rPr>
            </w:pPr>
            <w:r>
              <w:rPr>
                <w:rFonts w:hint="eastAsia"/>
                <w:szCs w:val="21"/>
                <w:highlight w:val="none"/>
              </w:rPr>
              <w:t>（2）投标报价的价格是完成项目全部内容（包括后期的相关服务）交付验收的价格，其单价即为履行合同的固定单价。投标人所报费用为含税费用，在合同履行期间，如遇国家的税率调整或其他政策影响税率的，税率随变化而变化，则合同价款不做调整。</w:t>
            </w:r>
          </w:p>
        </w:tc>
      </w:tr>
      <w:tr w14:paraId="0A895AA0">
        <w:tblPrEx>
          <w:tblCellMar>
            <w:top w:w="0" w:type="dxa"/>
            <w:left w:w="108" w:type="dxa"/>
            <w:bottom w:w="0" w:type="dxa"/>
            <w:right w:w="108" w:type="dxa"/>
          </w:tblCellMar>
        </w:tblPrEx>
        <w:trPr>
          <w:trHeight w:val="681"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25C8B797">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23</w:t>
            </w:r>
          </w:p>
        </w:tc>
        <w:tc>
          <w:tcPr>
            <w:tcW w:w="1984" w:type="dxa"/>
            <w:tcBorders>
              <w:top w:val="single" w:color="auto" w:sz="4" w:space="0"/>
              <w:left w:val="single" w:color="auto" w:sz="4" w:space="0"/>
              <w:bottom w:val="single" w:color="auto" w:sz="4" w:space="0"/>
              <w:right w:val="single" w:color="auto" w:sz="4" w:space="0"/>
            </w:tcBorders>
            <w:vAlign w:val="center"/>
          </w:tcPr>
          <w:p w14:paraId="2037F3C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投标有效期</w:t>
            </w:r>
          </w:p>
        </w:tc>
        <w:tc>
          <w:tcPr>
            <w:tcW w:w="7175" w:type="dxa"/>
            <w:tcBorders>
              <w:top w:val="single" w:color="auto" w:sz="4" w:space="0"/>
              <w:left w:val="single" w:color="auto" w:sz="4" w:space="0"/>
              <w:bottom w:val="single" w:color="auto" w:sz="4" w:space="0"/>
              <w:right w:val="single" w:color="auto" w:sz="4" w:space="0"/>
            </w:tcBorders>
            <w:vAlign w:val="center"/>
          </w:tcPr>
          <w:p w14:paraId="1D8ECE34">
            <w:pPr>
              <w:pStyle w:val="14"/>
              <w:topLinePunct/>
              <w:adjustRightInd w:val="0"/>
              <w:snapToGrid w:val="0"/>
              <w:spacing w:line="560" w:lineRule="exact"/>
              <w:rPr>
                <w:rFonts w:hint="eastAsia" w:hAnsi="宋体" w:cs="宋体"/>
                <w:color w:val="000000"/>
                <w:kern w:val="0"/>
                <w:szCs w:val="24"/>
                <w:highlight w:val="none"/>
              </w:rPr>
            </w:pPr>
            <w:r>
              <w:rPr>
                <w:rFonts w:hint="eastAsia" w:hAnsi="宋体" w:cs="宋体"/>
                <w:color w:val="000000"/>
                <w:kern w:val="0"/>
                <w:szCs w:val="24"/>
                <w:highlight w:val="none"/>
              </w:rPr>
              <w:t>自投标人递交投标文件截止之日起计算90日历天。在此期限内，凡符合本招标文件要求的投标文件均保持有效。</w:t>
            </w:r>
          </w:p>
        </w:tc>
      </w:tr>
      <w:tr w14:paraId="2F9BB0B0">
        <w:tblPrEx>
          <w:tblCellMar>
            <w:top w:w="0" w:type="dxa"/>
            <w:left w:w="108" w:type="dxa"/>
            <w:bottom w:w="0" w:type="dxa"/>
            <w:right w:w="108" w:type="dxa"/>
          </w:tblCellMar>
        </w:tblPrEx>
        <w:trPr>
          <w:trHeight w:val="647"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5266710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24</w:t>
            </w:r>
          </w:p>
        </w:tc>
        <w:tc>
          <w:tcPr>
            <w:tcW w:w="1984" w:type="dxa"/>
            <w:tcBorders>
              <w:top w:val="single" w:color="auto" w:sz="4" w:space="0"/>
              <w:left w:val="single" w:color="auto" w:sz="4" w:space="0"/>
              <w:bottom w:val="single" w:color="auto" w:sz="4" w:space="0"/>
              <w:right w:val="single" w:color="auto" w:sz="4" w:space="0"/>
            </w:tcBorders>
            <w:vAlign w:val="center"/>
          </w:tcPr>
          <w:p w14:paraId="3F0ABA8D">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投标保证金</w:t>
            </w:r>
          </w:p>
        </w:tc>
        <w:tc>
          <w:tcPr>
            <w:tcW w:w="7175" w:type="dxa"/>
            <w:tcBorders>
              <w:top w:val="single" w:color="auto" w:sz="4" w:space="0"/>
              <w:left w:val="single" w:color="auto" w:sz="4" w:space="0"/>
              <w:bottom w:val="single" w:color="auto" w:sz="4" w:space="0"/>
              <w:right w:val="single" w:color="auto" w:sz="4" w:space="0"/>
            </w:tcBorders>
            <w:vAlign w:val="center"/>
          </w:tcPr>
          <w:p w14:paraId="19A37A68">
            <w:pPr>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sz w:val="24"/>
                <w:highlight w:val="none"/>
              </w:rPr>
              <w:t>详见招标公告。</w:t>
            </w:r>
          </w:p>
        </w:tc>
      </w:tr>
      <w:tr w14:paraId="64FF4084">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02D61FA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25</w:t>
            </w:r>
          </w:p>
        </w:tc>
        <w:tc>
          <w:tcPr>
            <w:tcW w:w="1984" w:type="dxa"/>
            <w:tcBorders>
              <w:top w:val="single" w:color="auto" w:sz="4" w:space="0"/>
              <w:left w:val="single" w:color="auto" w:sz="4" w:space="0"/>
              <w:bottom w:val="single" w:color="auto" w:sz="4" w:space="0"/>
              <w:right w:val="single" w:color="auto" w:sz="4" w:space="0"/>
            </w:tcBorders>
            <w:vAlign w:val="center"/>
          </w:tcPr>
          <w:p w14:paraId="6B897A6C">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投标文件份数</w:t>
            </w:r>
          </w:p>
        </w:tc>
        <w:tc>
          <w:tcPr>
            <w:tcW w:w="7175" w:type="dxa"/>
            <w:tcBorders>
              <w:top w:val="single" w:color="auto" w:sz="4" w:space="0"/>
              <w:left w:val="single" w:color="auto" w:sz="4" w:space="0"/>
              <w:bottom w:val="single" w:color="auto" w:sz="4" w:space="0"/>
              <w:right w:val="single" w:color="auto" w:sz="4" w:space="0"/>
            </w:tcBorders>
            <w:vAlign w:val="center"/>
          </w:tcPr>
          <w:p w14:paraId="142A6DE3">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加密电子投标文件应在投标截止时间前通过交易中心电子交易系统上传。</w:t>
            </w:r>
          </w:p>
          <w:p w14:paraId="3AC65031">
            <w:pPr>
              <w:adjustRightInd w:val="0"/>
              <w:snapToGrid w:val="0"/>
              <w:spacing w:line="560" w:lineRule="exact"/>
              <w:rPr>
                <w:rFonts w:hint="eastAsia" w:ascii="宋体" w:hAnsi="宋体" w:cs="宋体"/>
                <w:color w:val="000000"/>
                <w:sz w:val="24"/>
                <w:highlight w:val="none"/>
              </w:rPr>
            </w:pPr>
            <w:r>
              <w:rPr>
                <w:rFonts w:hint="eastAsia" w:ascii="宋体" w:hAnsi="宋体" w:cs="宋体"/>
                <w:b/>
                <w:color w:val="000000"/>
                <w:kern w:val="0"/>
                <w:sz w:val="24"/>
                <w:highlight w:val="none"/>
              </w:rPr>
              <w:t>（投标人中标后须递交与网上电子投标文件完全一致的纸质版投标文件，并按要求加盖单位章；份数：正本</w:t>
            </w:r>
            <w:r>
              <w:rPr>
                <w:rFonts w:hint="eastAsia" w:ascii="宋体" w:hAnsi="宋体" w:cs="宋体"/>
                <w:b/>
                <w:color w:val="000000"/>
                <w:kern w:val="0"/>
                <w:sz w:val="24"/>
                <w:highlight w:val="none"/>
                <w:u w:val="single"/>
              </w:rPr>
              <w:t xml:space="preserve"> 1 </w:t>
            </w:r>
            <w:r>
              <w:rPr>
                <w:rFonts w:hint="eastAsia" w:ascii="宋体" w:hAnsi="宋体" w:cs="宋体"/>
                <w:b/>
                <w:color w:val="000000"/>
                <w:kern w:val="0"/>
                <w:sz w:val="24"/>
                <w:highlight w:val="none"/>
              </w:rPr>
              <w:t>份，副本</w:t>
            </w:r>
            <w:r>
              <w:rPr>
                <w:rFonts w:hint="eastAsia" w:ascii="宋体" w:hAnsi="宋体" w:cs="宋体"/>
                <w:b/>
                <w:color w:val="000000"/>
                <w:kern w:val="0"/>
                <w:sz w:val="24"/>
                <w:highlight w:val="none"/>
                <w:u w:val="single"/>
              </w:rPr>
              <w:t xml:space="preserve"> 2 </w:t>
            </w:r>
            <w:r>
              <w:rPr>
                <w:rFonts w:hint="eastAsia" w:ascii="宋体" w:hAnsi="宋体" w:cs="宋体"/>
                <w:b/>
                <w:color w:val="000000"/>
                <w:kern w:val="0"/>
                <w:sz w:val="24"/>
                <w:highlight w:val="none"/>
              </w:rPr>
              <w:t>份；中标人领取中标通知书时，一并递交给招标代理机构）。</w:t>
            </w:r>
          </w:p>
        </w:tc>
      </w:tr>
      <w:tr w14:paraId="4B35430E">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2F5AE43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26</w:t>
            </w:r>
          </w:p>
        </w:tc>
        <w:tc>
          <w:tcPr>
            <w:tcW w:w="1984" w:type="dxa"/>
            <w:tcBorders>
              <w:top w:val="single" w:color="auto" w:sz="4" w:space="0"/>
              <w:left w:val="single" w:color="auto" w:sz="4" w:space="0"/>
              <w:bottom w:val="single" w:color="auto" w:sz="4" w:space="0"/>
              <w:right w:val="single" w:color="auto" w:sz="4" w:space="0"/>
            </w:tcBorders>
            <w:vAlign w:val="center"/>
          </w:tcPr>
          <w:p w14:paraId="4CF0F647">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是否允许递交备选投标方案</w:t>
            </w:r>
          </w:p>
        </w:tc>
        <w:tc>
          <w:tcPr>
            <w:tcW w:w="7175" w:type="dxa"/>
            <w:tcBorders>
              <w:top w:val="single" w:color="auto" w:sz="4" w:space="0"/>
              <w:left w:val="single" w:color="auto" w:sz="4" w:space="0"/>
              <w:bottom w:val="single" w:color="auto" w:sz="4" w:space="0"/>
              <w:right w:val="single" w:color="auto" w:sz="4" w:space="0"/>
            </w:tcBorders>
            <w:vAlign w:val="center"/>
          </w:tcPr>
          <w:p w14:paraId="5324F0C3">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u w:val="single"/>
              </w:rPr>
              <w:t>不允许</w:t>
            </w:r>
            <w:r>
              <w:rPr>
                <w:rFonts w:hint="eastAsia" w:ascii="宋体" w:hAnsi="宋体" w:cs="宋体"/>
                <w:color w:val="000000"/>
                <w:sz w:val="24"/>
                <w:highlight w:val="none"/>
              </w:rPr>
              <w:t>。</w:t>
            </w:r>
          </w:p>
        </w:tc>
      </w:tr>
      <w:tr w14:paraId="1287F59A">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555A3E3C">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27</w:t>
            </w:r>
          </w:p>
        </w:tc>
        <w:tc>
          <w:tcPr>
            <w:tcW w:w="1984" w:type="dxa"/>
            <w:tcBorders>
              <w:top w:val="single" w:color="auto" w:sz="4" w:space="0"/>
              <w:left w:val="single" w:color="auto" w:sz="4" w:space="0"/>
              <w:bottom w:val="single" w:color="auto" w:sz="4" w:space="0"/>
              <w:right w:val="single" w:color="auto" w:sz="4" w:space="0"/>
            </w:tcBorders>
            <w:vAlign w:val="center"/>
          </w:tcPr>
          <w:p w14:paraId="02126EF3">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是否退还投标文件</w:t>
            </w:r>
          </w:p>
        </w:tc>
        <w:tc>
          <w:tcPr>
            <w:tcW w:w="7175" w:type="dxa"/>
            <w:tcBorders>
              <w:top w:val="single" w:color="auto" w:sz="4" w:space="0"/>
              <w:left w:val="single" w:color="auto" w:sz="4" w:space="0"/>
              <w:bottom w:val="single" w:color="auto" w:sz="4" w:space="0"/>
              <w:right w:val="single" w:color="auto" w:sz="4" w:space="0"/>
            </w:tcBorders>
            <w:vAlign w:val="center"/>
          </w:tcPr>
          <w:p w14:paraId="18370A04">
            <w:pPr>
              <w:adjustRightInd w:val="0"/>
              <w:snapToGrid w:val="0"/>
              <w:spacing w:line="560" w:lineRule="exact"/>
              <w:rPr>
                <w:rFonts w:hint="eastAsia" w:ascii="宋体" w:hAnsi="宋体" w:cs="宋体"/>
                <w:color w:val="000000"/>
                <w:sz w:val="24"/>
                <w:highlight w:val="none"/>
                <w:u w:val="single"/>
              </w:rPr>
            </w:pPr>
            <w:r>
              <w:rPr>
                <w:rFonts w:hint="eastAsia" w:ascii="宋体" w:hAnsi="宋体" w:cs="宋体"/>
                <w:color w:val="000000"/>
                <w:sz w:val="24"/>
                <w:highlight w:val="none"/>
                <w:u w:val="single"/>
              </w:rPr>
              <w:t>否。</w:t>
            </w:r>
          </w:p>
        </w:tc>
      </w:tr>
      <w:tr w14:paraId="4ADE83C2">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04E5DDA1">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28</w:t>
            </w:r>
          </w:p>
        </w:tc>
        <w:tc>
          <w:tcPr>
            <w:tcW w:w="1984" w:type="dxa"/>
            <w:tcBorders>
              <w:top w:val="single" w:color="auto" w:sz="4" w:space="0"/>
              <w:left w:val="single" w:color="auto" w:sz="4" w:space="0"/>
              <w:bottom w:val="single" w:color="auto" w:sz="4" w:space="0"/>
              <w:right w:val="single" w:color="auto" w:sz="4" w:space="0"/>
            </w:tcBorders>
            <w:vAlign w:val="center"/>
          </w:tcPr>
          <w:p w14:paraId="0174245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开标时间和地点</w:t>
            </w:r>
          </w:p>
        </w:tc>
        <w:tc>
          <w:tcPr>
            <w:tcW w:w="7175" w:type="dxa"/>
            <w:tcBorders>
              <w:top w:val="single" w:color="auto" w:sz="4" w:space="0"/>
              <w:left w:val="single" w:color="auto" w:sz="4" w:space="0"/>
              <w:bottom w:val="single" w:color="auto" w:sz="4" w:space="0"/>
              <w:right w:val="single" w:color="auto" w:sz="4" w:space="0"/>
            </w:tcBorders>
            <w:vAlign w:val="center"/>
          </w:tcPr>
          <w:p w14:paraId="5FA1B4BA">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开标时间：同投标截止时间</w:t>
            </w:r>
          </w:p>
          <w:p w14:paraId="599F2F1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开标地点：见招标公告</w:t>
            </w:r>
          </w:p>
        </w:tc>
      </w:tr>
      <w:tr w14:paraId="6F70A040">
        <w:tblPrEx>
          <w:tblCellMar>
            <w:top w:w="0" w:type="dxa"/>
            <w:left w:w="108" w:type="dxa"/>
            <w:bottom w:w="0" w:type="dxa"/>
            <w:right w:w="108" w:type="dxa"/>
          </w:tblCellMar>
        </w:tblPrEx>
        <w:trPr>
          <w:jc w:val="center"/>
        </w:trPr>
        <w:tc>
          <w:tcPr>
            <w:tcW w:w="1016" w:type="dxa"/>
            <w:tcBorders>
              <w:top w:val="single" w:color="auto" w:sz="4" w:space="0"/>
              <w:left w:val="single" w:color="auto" w:sz="4" w:space="0"/>
              <w:bottom w:val="single" w:color="auto" w:sz="4" w:space="0"/>
              <w:right w:val="single" w:color="auto" w:sz="4" w:space="0"/>
            </w:tcBorders>
            <w:vAlign w:val="center"/>
          </w:tcPr>
          <w:p w14:paraId="557193B9">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29</w:t>
            </w:r>
          </w:p>
        </w:tc>
        <w:tc>
          <w:tcPr>
            <w:tcW w:w="1984" w:type="dxa"/>
            <w:tcBorders>
              <w:top w:val="single" w:color="auto" w:sz="4" w:space="0"/>
              <w:left w:val="single" w:color="auto" w:sz="4" w:space="0"/>
              <w:bottom w:val="single" w:color="auto" w:sz="4" w:space="0"/>
              <w:right w:val="single" w:color="auto" w:sz="4" w:space="0"/>
            </w:tcBorders>
            <w:vAlign w:val="center"/>
          </w:tcPr>
          <w:p w14:paraId="013D0FC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开标程序</w:t>
            </w:r>
          </w:p>
        </w:tc>
        <w:tc>
          <w:tcPr>
            <w:tcW w:w="7175" w:type="dxa"/>
            <w:tcBorders>
              <w:top w:val="single" w:color="auto" w:sz="4" w:space="0"/>
              <w:left w:val="single" w:color="auto" w:sz="4" w:space="0"/>
              <w:bottom w:val="single" w:color="auto" w:sz="4" w:space="0"/>
              <w:right w:val="single" w:color="auto" w:sz="4" w:space="0"/>
            </w:tcBorders>
            <w:vAlign w:val="center"/>
          </w:tcPr>
          <w:p w14:paraId="1E930A87">
            <w:pPr>
              <w:adjustRightInd w:val="0"/>
              <w:snapToGrid w:val="0"/>
              <w:spacing w:line="560" w:lineRule="exact"/>
              <w:rPr>
                <w:rFonts w:hint="eastAsia" w:ascii="宋体" w:hAnsi="宋体" w:cs="宋体"/>
                <w:bCs/>
                <w:snapToGrid w:val="0"/>
                <w:color w:val="000000"/>
                <w:kern w:val="0"/>
                <w:sz w:val="24"/>
                <w:highlight w:val="none"/>
              </w:rPr>
            </w:pPr>
            <w:r>
              <w:rPr>
                <w:rFonts w:hint="eastAsia" w:ascii="宋体" w:hAnsi="宋体" w:cs="宋体"/>
                <w:color w:val="000000"/>
                <w:sz w:val="24"/>
                <w:highlight w:val="none"/>
              </w:rPr>
              <w:t>（1）解密时间：解密程序开始后</w:t>
            </w:r>
            <w:r>
              <w:rPr>
                <w:rFonts w:hint="eastAsia" w:ascii="宋体" w:hAnsi="宋体" w:cs="宋体"/>
                <w:color w:val="000000"/>
                <w:sz w:val="24"/>
                <w:highlight w:val="none"/>
                <w:u w:val="single"/>
              </w:rPr>
              <w:t>60</w:t>
            </w:r>
            <w:r>
              <w:rPr>
                <w:rFonts w:hint="eastAsia" w:ascii="宋体" w:hAnsi="宋体" w:cs="宋体"/>
                <w:color w:val="000000"/>
                <w:sz w:val="24"/>
                <w:highlight w:val="none"/>
              </w:rPr>
              <w:t>分钟内</w:t>
            </w:r>
            <w:r>
              <w:rPr>
                <w:rFonts w:hint="eastAsia" w:ascii="宋体" w:hAnsi="宋体" w:cs="宋体"/>
                <w:bCs/>
                <w:snapToGrid w:val="0"/>
                <w:color w:val="000000"/>
                <w:kern w:val="0"/>
                <w:sz w:val="24"/>
                <w:highlight w:val="none"/>
              </w:rPr>
              <w:t>（以电子交易系统解密倒计时为准），</w:t>
            </w:r>
            <w:r>
              <w:rPr>
                <w:rFonts w:hint="eastAsia" w:ascii="宋体" w:hAnsi="宋体" w:cs="宋体"/>
                <w:color w:val="000000"/>
                <w:sz w:val="24"/>
                <w:highlight w:val="none"/>
              </w:rPr>
              <w:t>解密时间为</w:t>
            </w:r>
            <w:r>
              <w:rPr>
                <w:rFonts w:hint="eastAsia" w:ascii="宋体" w:hAnsi="宋体" w:cs="宋体"/>
                <w:color w:val="000000"/>
                <w:sz w:val="24"/>
                <w:highlight w:val="none"/>
                <w:u w:val="single"/>
              </w:rPr>
              <w:t>2026</w:t>
            </w:r>
            <w:r>
              <w:rPr>
                <w:rFonts w:hint="eastAsia" w:ascii="宋体" w:hAnsi="宋体" w:cs="宋体"/>
                <w:color w:val="000000"/>
                <w:sz w:val="24"/>
                <w:highlight w:val="none"/>
              </w:rPr>
              <w:t>年</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10</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月</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15</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日</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8</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时</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50</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分至</w:t>
            </w:r>
            <w:r>
              <w:rPr>
                <w:rFonts w:hint="eastAsia" w:ascii="宋体" w:hAnsi="宋体" w:cs="宋体"/>
                <w:color w:val="000000"/>
                <w:sz w:val="24"/>
                <w:highlight w:val="none"/>
                <w:u w:val="single"/>
              </w:rPr>
              <w:t>2026</w:t>
            </w:r>
            <w:r>
              <w:rPr>
                <w:rFonts w:hint="eastAsia" w:ascii="宋体" w:hAnsi="宋体" w:cs="宋体"/>
                <w:color w:val="000000"/>
                <w:sz w:val="24"/>
                <w:highlight w:val="none"/>
              </w:rPr>
              <w:t>年</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10</w:t>
            </w:r>
            <w:r>
              <w:rPr>
                <w:rFonts w:hint="eastAsia" w:ascii="宋体" w:hAnsi="宋体" w:cs="宋体"/>
                <w:color w:val="000000"/>
                <w:sz w:val="24"/>
                <w:highlight w:val="none"/>
              </w:rPr>
              <w:t>月</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15</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日</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9</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时</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50</w:t>
            </w:r>
            <w:r>
              <w:rPr>
                <w:rFonts w:hint="eastAsia" w:ascii="宋体" w:hAnsi="宋体" w:cs="宋体"/>
                <w:color w:val="000000"/>
                <w:sz w:val="24"/>
                <w:highlight w:val="none"/>
                <w:u w:val="single"/>
              </w:rPr>
              <w:t xml:space="preserve"> </w:t>
            </w:r>
            <w:r>
              <w:rPr>
                <w:rFonts w:hint="eastAsia" w:ascii="宋体" w:hAnsi="宋体" w:cs="宋体"/>
                <w:color w:val="000000"/>
                <w:sz w:val="24"/>
                <w:highlight w:val="none"/>
              </w:rPr>
              <w:t>分。</w:t>
            </w:r>
          </w:p>
          <w:p w14:paraId="0A07B09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（2）公布在投标截止时间前通过电子交易系统完成投标文件递交的投标人名称；</w:t>
            </w:r>
          </w:p>
          <w:p w14:paraId="640E6423">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（3）投标人在投标截止时间后在投标人须知前附表规定的解密时间内完成投标文件的解密工作；</w:t>
            </w:r>
          </w:p>
          <w:p w14:paraId="17247BA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（4）招标人或招标代理机构完成解密工作，导入并读取所有成功解密的投标文件；</w:t>
            </w:r>
          </w:p>
          <w:p w14:paraId="6DA88B3C">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 xml:space="preserve">（5）按投标人须知前附表规定公布投标人名称、标段名称、投标报价、质量目标、工期及其他内容； </w:t>
            </w:r>
          </w:p>
          <w:p w14:paraId="75F26744">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（6）开标结束。</w:t>
            </w:r>
          </w:p>
        </w:tc>
      </w:tr>
      <w:tr w14:paraId="0BE2FAEF">
        <w:tblPrEx>
          <w:tblCellMar>
            <w:top w:w="0" w:type="dxa"/>
            <w:left w:w="108" w:type="dxa"/>
            <w:bottom w:w="0" w:type="dxa"/>
            <w:right w:w="108" w:type="dxa"/>
          </w:tblCellMar>
        </w:tblPrEx>
        <w:trPr>
          <w:trHeight w:val="488"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4EC09D87">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30</w:t>
            </w:r>
          </w:p>
        </w:tc>
        <w:tc>
          <w:tcPr>
            <w:tcW w:w="1984" w:type="dxa"/>
            <w:tcBorders>
              <w:top w:val="single" w:color="auto" w:sz="4" w:space="0"/>
              <w:left w:val="single" w:color="auto" w:sz="4" w:space="0"/>
              <w:bottom w:val="single" w:color="auto" w:sz="4" w:space="0"/>
              <w:right w:val="single" w:color="auto" w:sz="4" w:space="0"/>
            </w:tcBorders>
            <w:vAlign w:val="center"/>
          </w:tcPr>
          <w:p w14:paraId="4E681BA2">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评标委员会的组建</w:t>
            </w:r>
          </w:p>
        </w:tc>
        <w:tc>
          <w:tcPr>
            <w:tcW w:w="7175" w:type="dxa"/>
            <w:tcBorders>
              <w:top w:val="single" w:color="auto" w:sz="4" w:space="0"/>
              <w:left w:val="single" w:color="auto" w:sz="4" w:space="0"/>
              <w:bottom w:val="single" w:color="auto" w:sz="4" w:space="0"/>
              <w:right w:val="single" w:color="auto" w:sz="4" w:space="0"/>
            </w:tcBorders>
            <w:vAlign w:val="center"/>
          </w:tcPr>
          <w:p w14:paraId="0AF8FCA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评标委员会构成：</w:t>
            </w:r>
            <w:r>
              <w:rPr>
                <w:rFonts w:hint="eastAsia" w:ascii="宋体" w:hAnsi="宋体" w:cs="宋体"/>
                <w:color w:val="000000"/>
                <w:sz w:val="24"/>
                <w:highlight w:val="none"/>
                <w:u w:val="single"/>
              </w:rPr>
              <w:t xml:space="preserve"> 9</w:t>
            </w:r>
            <w:r>
              <w:rPr>
                <w:rFonts w:hint="eastAsia" w:ascii="宋体" w:hAnsi="宋体" w:cs="宋体"/>
                <w:color w:val="000000"/>
                <w:sz w:val="24"/>
                <w:highlight w:val="none"/>
              </w:rPr>
              <w:t>人，其中招标人代表</w:t>
            </w:r>
            <w:r>
              <w:rPr>
                <w:rFonts w:hint="eastAsia" w:ascii="宋体" w:hAnsi="宋体" w:cs="宋体"/>
                <w:color w:val="000000"/>
                <w:sz w:val="24"/>
                <w:highlight w:val="none"/>
                <w:u w:val="single"/>
              </w:rPr>
              <w:t xml:space="preserve"> 3 </w:t>
            </w:r>
            <w:r>
              <w:rPr>
                <w:rFonts w:hint="eastAsia" w:ascii="宋体" w:hAnsi="宋体" w:cs="宋体"/>
                <w:color w:val="000000"/>
                <w:sz w:val="24"/>
                <w:highlight w:val="none"/>
              </w:rPr>
              <w:t>人，评标专家</w:t>
            </w:r>
            <w:r>
              <w:rPr>
                <w:rFonts w:hint="eastAsia" w:ascii="宋体" w:hAnsi="宋体" w:cs="宋体"/>
                <w:color w:val="000000"/>
                <w:sz w:val="24"/>
                <w:highlight w:val="none"/>
                <w:u w:val="single"/>
              </w:rPr>
              <w:t>6</w:t>
            </w:r>
            <w:r>
              <w:rPr>
                <w:rFonts w:hint="eastAsia" w:ascii="宋体" w:hAnsi="宋体" w:cs="宋体"/>
                <w:color w:val="000000"/>
                <w:sz w:val="24"/>
                <w:highlight w:val="none"/>
              </w:rPr>
              <w:t>人。</w:t>
            </w:r>
          </w:p>
          <w:p w14:paraId="0D01749A">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评标专家确定方式：评标专家由招标人在评标活动开始前24小时内，通过抽取终端从专家库中随机抽取。</w:t>
            </w:r>
          </w:p>
        </w:tc>
      </w:tr>
      <w:tr w14:paraId="40DD1B41">
        <w:tblPrEx>
          <w:tblCellMar>
            <w:top w:w="0" w:type="dxa"/>
            <w:left w:w="108" w:type="dxa"/>
            <w:bottom w:w="0" w:type="dxa"/>
            <w:right w:w="108" w:type="dxa"/>
          </w:tblCellMar>
        </w:tblPrEx>
        <w:trPr>
          <w:trHeight w:val="880"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1DC16523">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31</w:t>
            </w:r>
          </w:p>
        </w:tc>
        <w:tc>
          <w:tcPr>
            <w:tcW w:w="1984" w:type="dxa"/>
            <w:tcBorders>
              <w:top w:val="single" w:color="auto" w:sz="4" w:space="0"/>
              <w:left w:val="single" w:color="auto" w:sz="4" w:space="0"/>
              <w:bottom w:val="single" w:color="auto" w:sz="4" w:space="0"/>
              <w:right w:val="single" w:color="auto" w:sz="4" w:space="0"/>
            </w:tcBorders>
            <w:vAlign w:val="center"/>
          </w:tcPr>
          <w:p w14:paraId="1F51C00A">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评标委员会确定中标候选人的人数</w:t>
            </w:r>
          </w:p>
        </w:tc>
        <w:tc>
          <w:tcPr>
            <w:tcW w:w="7175" w:type="dxa"/>
            <w:tcBorders>
              <w:top w:val="single" w:color="auto" w:sz="4" w:space="0"/>
              <w:left w:val="single" w:color="auto" w:sz="4" w:space="0"/>
              <w:bottom w:val="single" w:color="auto" w:sz="4" w:space="0"/>
              <w:right w:val="single" w:color="auto" w:sz="4" w:space="0"/>
            </w:tcBorders>
            <w:vAlign w:val="center"/>
          </w:tcPr>
          <w:p w14:paraId="1E410EAF">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 xml:space="preserve"> </w:t>
            </w:r>
            <w:r>
              <w:rPr>
                <w:rFonts w:hint="eastAsia" w:ascii="宋体" w:hAnsi="宋体" w:cs="宋体"/>
                <w:color w:val="000000"/>
                <w:sz w:val="24"/>
                <w:highlight w:val="none"/>
                <w:u w:val="single"/>
              </w:rPr>
              <w:t>3</w:t>
            </w:r>
            <w:r>
              <w:rPr>
                <w:rFonts w:hint="eastAsia" w:ascii="宋体" w:hAnsi="宋体" w:cs="宋体"/>
                <w:color w:val="000000"/>
                <w:sz w:val="24"/>
                <w:highlight w:val="none"/>
              </w:rPr>
              <w:t>名，并标明排序。</w:t>
            </w:r>
          </w:p>
        </w:tc>
      </w:tr>
      <w:tr w14:paraId="7111BED1">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7D6B519E">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32</w:t>
            </w:r>
          </w:p>
        </w:tc>
        <w:tc>
          <w:tcPr>
            <w:tcW w:w="1984" w:type="dxa"/>
            <w:tcBorders>
              <w:top w:val="single" w:color="auto" w:sz="4" w:space="0"/>
              <w:left w:val="single" w:color="auto" w:sz="4" w:space="0"/>
              <w:bottom w:val="single" w:color="auto" w:sz="4" w:space="0"/>
              <w:right w:val="single" w:color="auto" w:sz="4" w:space="0"/>
            </w:tcBorders>
            <w:vAlign w:val="center"/>
          </w:tcPr>
          <w:p w14:paraId="192725C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中标候选人公示媒介及期限</w:t>
            </w:r>
          </w:p>
        </w:tc>
        <w:tc>
          <w:tcPr>
            <w:tcW w:w="7175" w:type="dxa"/>
            <w:tcBorders>
              <w:top w:val="single" w:color="auto" w:sz="4" w:space="0"/>
              <w:left w:val="single" w:color="auto" w:sz="4" w:space="0"/>
              <w:bottom w:val="single" w:color="auto" w:sz="4" w:space="0"/>
              <w:right w:val="single" w:color="auto" w:sz="4" w:space="0"/>
            </w:tcBorders>
            <w:vAlign w:val="center"/>
          </w:tcPr>
          <w:p w14:paraId="0DE0A45A">
            <w:pPr>
              <w:widowControl/>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sz w:val="24"/>
                <w:highlight w:val="none"/>
              </w:rPr>
              <w:t>公示媒介：同招标公告发布媒介</w:t>
            </w:r>
          </w:p>
          <w:p w14:paraId="7E0DC37E">
            <w:pPr>
              <w:widowControl/>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sz w:val="24"/>
                <w:highlight w:val="none"/>
              </w:rPr>
              <w:t>公示期限：公示发布次日起3日（如公示第三日为休息日或节假日，则顺延至休息日或节假日后第一个工作日）</w:t>
            </w:r>
          </w:p>
        </w:tc>
      </w:tr>
      <w:tr w14:paraId="140D41AD">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50D2567B">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33</w:t>
            </w:r>
          </w:p>
        </w:tc>
        <w:tc>
          <w:tcPr>
            <w:tcW w:w="1984" w:type="dxa"/>
            <w:tcBorders>
              <w:top w:val="single" w:color="auto" w:sz="4" w:space="0"/>
              <w:left w:val="single" w:color="auto" w:sz="4" w:space="0"/>
              <w:bottom w:val="single" w:color="auto" w:sz="4" w:space="0"/>
              <w:right w:val="single" w:color="auto" w:sz="4" w:space="0"/>
            </w:tcBorders>
            <w:vAlign w:val="center"/>
          </w:tcPr>
          <w:p w14:paraId="304C7E9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是否授权评标委员会确定中标人</w:t>
            </w:r>
          </w:p>
        </w:tc>
        <w:tc>
          <w:tcPr>
            <w:tcW w:w="7175" w:type="dxa"/>
            <w:tcBorders>
              <w:top w:val="single" w:color="auto" w:sz="4" w:space="0"/>
              <w:left w:val="single" w:color="auto" w:sz="4" w:space="0"/>
              <w:bottom w:val="single" w:color="auto" w:sz="4" w:space="0"/>
              <w:right w:val="single" w:color="auto" w:sz="4" w:space="0"/>
            </w:tcBorders>
            <w:vAlign w:val="center"/>
          </w:tcPr>
          <w:p w14:paraId="01A0E210">
            <w:pPr>
              <w:widowControl/>
              <w:adjustRightInd w:val="0"/>
              <w:snapToGrid w:val="0"/>
              <w:spacing w:line="560" w:lineRule="exact"/>
              <w:jc w:val="left"/>
              <w:rPr>
                <w:rFonts w:hint="eastAsia" w:ascii="宋体" w:hAnsi="宋体" w:cs="宋体"/>
                <w:color w:val="000000"/>
                <w:sz w:val="24"/>
                <w:highlight w:val="none"/>
                <w:u w:val="single"/>
              </w:rPr>
            </w:pPr>
            <w:r>
              <w:rPr>
                <w:rFonts w:hint="eastAsia" w:ascii="宋体" w:hAnsi="宋体" w:cs="宋体"/>
                <w:color w:val="000000"/>
                <w:sz w:val="24"/>
                <w:highlight w:val="none"/>
              </w:rPr>
              <w:t>否</w:t>
            </w:r>
          </w:p>
        </w:tc>
      </w:tr>
      <w:tr w14:paraId="64D9691C">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5B9D56B9">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34</w:t>
            </w:r>
          </w:p>
        </w:tc>
        <w:tc>
          <w:tcPr>
            <w:tcW w:w="1984" w:type="dxa"/>
            <w:tcBorders>
              <w:top w:val="single" w:color="auto" w:sz="4" w:space="0"/>
              <w:left w:val="single" w:color="auto" w:sz="4" w:space="0"/>
              <w:bottom w:val="single" w:color="auto" w:sz="4" w:space="0"/>
              <w:right w:val="single" w:color="auto" w:sz="4" w:space="0"/>
            </w:tcBorders>
            <w:vAlign w:val="center"/>
          </w:tcPr>
          <w:p w14:paraId="3E14EA7C">
            <w:pPr>
              <w:adjustRightInd w:val="0"/>
              <w:snapToGrid w:val="0"/>
              <w:spacing w:line="560" w:lineRule="exact"/>
              <w:jc w:val="center"/>
              <w:rPr>
                <w:rFonts w:hint="eastAsia" w:ascii="宋体" w:hAnsi="宋体" w:cs="宋体"/>
                <w:color w:val="000000"/>
                <w:sz w:val="24"/>
                <w:highlight w:val="none"/>
              </w:rPr>
            </w:pPr>
            <w:r>
              <w:rPr>
                <w:rFonts w:hint="eastAsia"/>
                <w:color w:val="000000"/>
                <w:sz w:val="24"/>
                <w:highlight w:val="none"/>
              </w:rPr>
              <w:t>中标通知书发出形式</w:t>
            </w:r>
          </w:p>
        </w:tc>
        <w:tc>
          <w:tcPr>
            <w:tcW w:w="7175" w:type="dxa"/>
            <w:tcBorders>
              <w:top w:val="single" w:color="auto" w:sz="4" w:space="0"/>
              <w:left w:val="single" w:color="auto" w:sz="4" w:space="0"/>
              <w:bottom w:val="single" w:color="auto" w:sz="4" w:space="0"/>
              <w:right w:val="single" w:color="auto" w:sz="4" w:space="0"/>
            </w:tcBorders>
            <w:vAlign w:val="center"/>
          </w:tcPr>
          <w:p w14:paraId="43746F2A">
            <w:pPr>
              <w:widowControl/>
              <w:adjustRightInd w:val="0"/>
              <w:snapToGrid w:val="0"/>
              <w:spacing w:line="560" w:lineRule="exact"/>
              <w:rPr>
                <w:rFonts w:hint="eastAsia" w:ascii="宋体" w:hAnsi="宋体" w:cs="宋体"/>
                <w:color w:val="000000"/>
                <w:sz w:val="24"/>
                <w:highlight w:val="none"/>
              </w:rPr>
            </w:pPr>
            <w:r>
              <w:rPr>
                <w:rFonts w:hint="eastAsia"/>
                <w:color w:val="000000"/>
                <w:sz w:val="24"/>
                <w:highlight w:val="none"/>
              </w:rPr>
              <w:t>数据电文</w:t>
            </w:r>
          </w:p>
        </w:tc>
      </w:tr>
      <w:tr w14:paraId="58FC51DD">
        <w:tblPrEx>
          <w:tblCellMar>
            <w:top w:w="0" w:type="dxa"/>
            <w:left w:w="108" w:type="dxa"/>
            <w:bottom w:w="0" w:type="dxa"/>
            <w:right w:w="108" w:type="dxa"/>
          </w:tblCellMar>
        </w:tblPrEx>
        <w:trPr>
          <w:trHeight w:val="653"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03A242A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35</w:t>
            </w:r>
          </w:p>
        </w:tc>
        <w:tc>
          <w:tcPr>
            <w:tcW w:w="1984" w:type="dxa"/>
            <w:tcBorders>
              <w:top w:val="single" w:color="auto" w:sz="4" w:space="0"/>
              <w:left w:val="single" w:color="auto" w:sz="4" w:space="0"/>
              <w:bottom w:val="single" w:color="auto" w:sz="4" w:space="0"/>
              <w:right w:val="single" w:color="auto" w:sz="4" w:space="0"/>
            </w:tcBorders>
            <w:vAlign w:val="center"/>
          </w:tcPr>
          <w:p w14:paraId="02E2936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中标结果公示媒介</w:t>
            </w:r>
          </w:p>
        </w:tc>
        <w:tc>
          <w:tcPr>
            <w:tcW w:w="7175" w:type="dxa"/>
            <w:tcBorders>
              <w:top w:val="single" w:color="auto" w:sz="4" w:space="0"/>
              <w:left w:val="single" w:color="auto" w:sz="4" w:space="0"/>
              <w:bottom w:val="single" w:color="auto" w:sz="4" w:space="0"/>
              <w:right w:val="single" w:color="auto" w:sz="4" w:space="0"/>
            </w:tcBorders>
            <w:vAlign w:val="center"/>
          </w:tcPr>
          <w:p w14:paraId="493C7389">
            <w:pPr>
              <w:widowControl/>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sz w:val="24"/>
                <w:highlight w:val="none"/>
              </w:rPr>
              <w:t>公示媒介：同招标公告发布媒介；</w:t>
            </w:r>
          </w:p>
          <w:p w14:paraId="2F292850">
            <w:pPr>
              <w:widowControl/>
              <w:adjustRightInd w:val="0"/>
              <w:snapToGrid w:val="0"/>
              <w:spacing w:line="560" w:lineRule="exact"/>
              <w:jc w:val="left"/>
              <w:rPr>
                <w:color w:val="000000"/>
                <w:highlight w:val="none"/>
              </w:rPr>
            </w:pPr>
            <w:r>
              <w:rPr>
                <w:rFonts w:hint="eastAsia" w:ascii="宋体" w:hAnsi="宋体" w:cs="宋体"/>
                <w:color w:val="000000"/>
                <w:sz w:val="24"/>
                <w:highlight w:val="none"/>
              </w:rPr>
              <w:t>公示期限：1日（公示期截止时间在法定休息日的顺延至首个工作日）。</w:t>
            </w:r>
          </w:p>
        </w:tc>
      </w:tr>
      <w:tr w14:paraId="479A5815">
        <w:tblPrEx>
          <w:tblCellMar>
            <w:top w:w="0" w:type="dxa"/>
            <w:left w:w="108" w:type="dxa"/>
            <w:bottom w:w="0" w:type="dxa"/>
            <w:right w:w="108" w:type="dxa"/>
          </w:tblCellMar>
        </w:tblPrEx>
        <w:trPr>
          <w:trHeight w:val="97"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62DD6C17">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36</w:t>
            </w:r>
          </w:p>
        </w:tc>
        <w:tc>
          <w:tcPr>
            <w:tcW w:w="1984" w:type="dxa"/>
            <w:tcBorders>
              <w:top w:val="single" w:color="auto" w:sz="4" w:space="0"/>
              <w:left w:val="single" w:color="auto" w:sz="4" w:space="0"/>
              <w:bottom w:val="single" w:color="auto" w:sz="4" w:space="0"/>
              <w:right w:val="single" w:color="auto" w:sz="4" w:space="0"/>
            </w:tcBorders>
            <w:vAlign w:val="center"/>
          </w:tcPr>
          <w:p w14:paraId="6388A24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履约担保</w:t>
            </w:r>
          </w:p>
        </w:tc>
        <w:tc>
          <w:tcPr>
            <w:tcW w:w="7175" w:type="dxa"/>
            <w:tcBorders>
              <w:top w:val="single" w:color="auto" w:sz="4" w:space="0"/>
              <w:left w:val="single" w:color="auto" w:sz="4" w:space="0"/>
              <w:bottom w:val="single" w:color="auto" w:sz="4" w:space="0"/>
              <w:right w:val="single" w:color="auto" w:sz="4" w:space="0"/>
            </w:tcBorders>
            <w:vAlign w:val="center"/>
          </w:tcPr>
          <w:p w14:paraId="0BC60AD6">
            <w:pPr>
              <w:widowControl/>
              <w:spacing w:line="560" w:lineRule="exact"/>
              <w:jc w:val="left"/>
              <w:rPr>
                <w:color w:val="000000"/>
                <w:sz w:val="24"/>
                <w:highlight w:val="none"/>
              </w:rPr>
            </w:pPr>
            <w:r>
              <w:rPr>
                <w:rFonts w:hint="eastAsia" w:ascii="宋体" w:hAnsi="宋体" w:cs="宋体"/>
                <w:color w:val="000000"/>
                <w:sz w:val="24"/>
                <w:highlight w:val="none"/>
              </w:rPr>
              <w:t>不要求中标人提交履约保证金。</w:t>
            </w:r>
          </w:p>
        </w:tc>
      </w:tr>
      <w:tr w14:paraId="3D002AE1">
        <w:tblPrEx>
          <w:tblCellMar>
            <w:top w:w="0" w:type="dxa"/>
            <w:left w:w="108" w:type="dxa"/>
            <w:bottom w:w="0" w:type="dxa"/>
            <w:right w:w="108" w:type="dxa"/>
          </w:tblCellMar>
        </w:tblPrEx>
        <w:trPr>
          <w:trHeight w:val="90"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0731FB25">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37</w:t>
            </w:r>
          </w:p>
        </w:tc>
        <w:tc>
          <w:tcPr>
            <w:tcW w:w="1984" w:type="dxa"/>
            <w:tcBorders>
              <w:top w:val="single" w:color="auto" w:sz="4" w:space="0"/>
              <w:left w:val="single" w:color="auto" w:sz="4" w:space="0"/>
              <w:bottom w:val="single" w:color="auto" w:sz="4" w:space="0"/>
              <w:right w:val="single" w:color="auto" w:sz="4" w:space="0"/>
            </w:tcBorders>
            <w:vAlign w:val="center"/>
          </w:tcPr>
          <w:p w14:paraId="237C61EE">
            <w:pPr>
              <w:adjustRightInd w:val="0"/>
              <w:snapToGrid w:val="0"/>
              <w:spacing w:line="560" w:lineRule="exact"/>
              <w:jc w:val="center"/>
              <w:rPr>
                <w:rFonts w:hint="eastAsia" w:ascii="宋体" w:hAnsi="宋体" w:cs="宋体"/>
                <w:color w:val="000000"/>
                <w:sz w:val="24"/>
                <w:highlight w:val="none"/>
              </w:rPr>
            </w:pPr>
            <w:r>
              <w:rPr>
                <w:rFonts w:hint="eastAsia"/>
                <w:color w:val="000000"/>
                <w:sz w:val="24"/>
                <w:highlight w:val="none"/>
              </w:rPr>
              <w:t>签订合同</w:t>
            </w:r>
          </w:p>
        </w:tc>
        <w:tc>
          <w:tcPr>
            <w:tcW w:w="7175" w:type="dxa"/>
            <w:tcBorders>
              <w:top w:val="single" w:color="auto" w:sz="4" w:space="0"/>
              <w:left w:val="single" w:color="auto" w:sz="4" w:space="0"/>
              <w:bottom w:val="single" w:color="auto" w:sz="4" w:space="0"/>
              <w:right w:val="single" w:color="auto" w:sz="4" w:space="0"/>
            </w:tcBorders>
          </w:tcPr>
          <w:p w14:paraId="75C5B6BB">
            <w:pPr>
              <w:adjustRightInd w:val="0"/>
              <w:snapToGrid w:val="0"/>
              <w:spacing w:line="560" w:lineRule="exact"/>
              <w:rPr>
                <w:rFonts w:hint="eastAsia" w:ascii="宋体" w:hAnsi="宋体" w:cs="宋体"/>
                <w:color w:val="000000"/>
                <w:sz w:val="24"/>
                <w:highlight w:val="none"/>
              </w:rPr>
            </w:pPr>
            <w:r>
              <w:rPr>
                <w:rFonts w:hint="eastAsia"/>
                <w:color w:val="000000"/>
                <w:sz w:val="24"/>
                <w:highlight w:val="none"/>
              </w:rPr>
              <w:t>中标通知书发出之日起</w:t>
            </w:r>
            <w:r>
              <w:rPr>
                <w:rFonts w:hint="eastAsia"/>
                <w:color w:val="000000"/>
                <w:sz w:val="24"/>
                <w:highlight w:val="none"/>
                <w:u w:val="single"/>
              </w:rPr>
              <w:t xml:space="preserve"> 7 </w:t>
            </w:r>
            <w:r>
              <w:rPr>
                <w:rFonts w:hint="eastAsia"/>
                <w:color w:val="000000"/>
                <w:sz w:val="24"/>
                <w:highlight w:val="none"/>
              </w:rPr>
              <w:t>日内，应委派代表与招标人联系并商讨书面合同签订事宜。中标人和招标人应在投标有效期内以及中标通知书发出之日起30日内，根据招标文件和中标人的投标文件订立书面合同。</w:t>
            </w:r>
          </w:p>
        </w:tc>
      </w:tr>
      <w:tr w14:paraId="3F7FDD63">
        <w:tblPrEx>
          <w:tblCellMar>
            <w:top w:w="0" w:type="dxa"/>
            <w:left w:w="108" w:type="dxa"/>
            <w:bottom w:w="0" w:type="dxa"/>
            <w:right w:w="108" w:type="dxa"/>
          </w:tblCellMar>
        </w:tblPrEx>
        <w:trPr>
          <w:trHeight w:val="90" w:hRule="atLeast"/>
          <w:jc w:val="center"/>
        </w:trPr>
        <w:tc>
          <w:tcPr>
            <w:tcW w:w="10175" w:type="dxa"/>
            <w:gridSpan w:val="3"/>
            <w:tcBorders>
              <w:top w:val="single" w:color="auto" w:sz="4" w:space="0"/>
              <w:left w:val="single" w:color="auto" w:sz="4" w:space="0"/>
              <w:bottom w:val="single" w:color="auto" w:sz="4" w:space="0"/>
              <w:right w:val="single" w:color="auto" w:sz="4" w:space="0"/>
            </w:tcBorders>
            <w:vAlign w:val="center"/>
          </w:tcPr>
          <w:p w14:paraId="4A79D8D2">
            <w:pPr>
              <w:adjustRightInd w:val="0"/>
              <w:snapToGrid w:val="0"/>
              <w:spacing w:line="560" w:lineRule="exact"/>
              <w:jc w:val="left"/>
              <w:rPr>
                <w:rFonts w:hint="eastAsia" w:ascii="宋体" w:hAnsi="宋体" w:cs="宋体"/>
                <w:color w:val="000000"/>
                <w:sz w:val="24"/>
                <w:highlight w:val="none"/>
              </w:rPr>
            </w:pPr>
            <w:r>
              <w:rPr>
                <w:rFonts w:hint="eastAsia" w:ascii="宋体" w:hAnsi="宋体" w:cs="宋体"/>
                <w:color w:val="000000"/>
                <w:sz w:val="24"/>
                <w:highlight w:val="none"/>
              </w:rPr>
              <w:t>需要补充的其他内容</w:t>
            </w:r>
          </w:p>
        </w:tc>
      </w:tr>
      <w:tr w14:paraId="71317C82">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75CE46D">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招标代理服务费</w:t>
            </w:r>
          </w:p>
        </w:tc>
        <w:tc>
          <w:tcPr>
            <w:tcW w:w="7175" w:type="dxa"/>
            <w:tcBorders>
              <w:top w:val="single" w:color="auto" w:sz="4" w:space="0"/>
              <w:left w:val="single" w:color="auto" w:sz="4" w:space="0"/>
              <w:bottom w:val="single" w:color="auto" w:sz="4" w:space="0"/>
              <w:right w:val="single" w:color="auto" w:sz="4" w:space="0"/>
            </w:tcBorders>
            <w:vAlign w:val="center"/>
          </w:tcPr>
          <w:p w14:paraId="31B3EBB0">
            <w:pPr>
              <w:adjustRightInd w:val="0"/>
              <w:snapToGrid w:val="0"/>
              <w:spacing w:line="560" w:lineRule="exact"/>
              <w:rPr>
                <w:rFonts w:hint="eastAsia" w:ascii="宋体" w:hAnsi="宋体" w:cs="宋体"/>
                <w:color w:val="000000"/>
                <w:kern w:val="0"/>
                <w:sz w:val="24"/>
                <w:highlight w:val="none"/>
              </w:rPr>
            </w:pPr>
            <w:r>
              <w:rPr>
                <w:rFonts w:hint="eastAsia" w:ascii="宋体" w:hAnsi="宋体" w:cs="宋体"/>
                <w:color w:val="000000"/>
                <w:sz w:val="24"/>
                <w:highlight w:val="none"/>
              </w:rPr>
              <w:t>代理服务费具体金额及参考标准：</w:t>
            </w:r>
            <w:r>
              <w:rPr>
                <w:rFonts w:ascii="宋体" w:hAnsi="宋体" w:cs="宋体"/>
                <w:color w:val="000000"/>
                <w:sz w:val="24"/>
                <w:highlight w:val="none"/>
                <w:u w:val="single"/>
              </w:rPr>
              <w:t>82303.69</w:t>
            </w:r>
            <w:r>
              <w:rPr>
                <w:rFonts w:hint="eastAsia" w:ascii="宋体" w:hAnsi="宋体" w:cs="宋体"/>
                <w:color w:val="000000"/>
                <w:sz w:val="24"/>
                <w:highlight w:val="none"/>
              </w:rPr>
              <w:t>元</w:t>
            </w:r>
            <w:r>
              <w:rPr>
                <w:rFonts w:hint="eastAsia" w:ascii="宋体" w:hAnsi="宋体" w:cs="宋体"/>
                <w:color w:val="000000"/>
                <w:kern w:val="0"/>
                <w:sz w:val="24"/>
                <w:highlight w:val="none"/>
              </w:rPr>
              <w:t>；</w:t>
            </w:r>
          </w:p>
          <w:p w14:paraId="5E657A5B">
            <w:pPr>
              <w:adjustRightInd w:val="0"/>
              <w:snapToGrid w:val="0"/>
              <w:spacing w:line="560" w:lineRule="exact"/>
              <w:rPr>
                <w:rFonts w:hint="eastAsia" w:ascii="宋体" w:hAnsi="宋体" w:cs="宋体"/>
                <w:color w:val="000000"/>
                <w:kern w:val="0"/>
                <w:sz w:val="24"/>
                <w:highlight w:val="none"/>
              </w:rPr>
            </w:pPr>
            <w:r>
              <w:rPr>
                <w:rFonts w:hint="eastAsia" w:ascii="宋体" w:hAnsi="宋体" w:cs="宋体"/>
                <w:color w:val="000000"/>
                <w:kern w:val="0"/>
                <w:sz w:val="24"/>
                <w:highlight w:val="none"/>
              </w:rPr>
              <w:t>代理服务费支付主体</w:t>
            </w:r>
            <w:r>
              <w:rPr>
                <w:rStyle w:val="40"/>
                <w:rFonts w:ascii="宋体" w:hAnsi="宋体" w:cs="宋体"/>
                <w:color w:val="000000"/>
                <w:kern w:val="0"/>
                <w:sz w:val="24"/>
                <w:highlight w:val="none"/>
              </w:rPr>
              <w:footnoteReference w:id="1"/>
            </w:r>
            <w:r>
              <w:rPr>
                <w:rFonts w:hint="eastAsia" w:ascii="宋体" w:hAnsi="宋体" w:cs="宋体"/>
                <w:color w:val="000000"/>
                <w:sz w:val="24"/>
                <w:highlight w:val="none"/>
              </w:rPr>
              <w:t>：</w:t>
            </w:r>
            <w:r>
              <w:rPr>
                <w:rFonts w:hint="eastAsia" w:ascii="宋体" w:hAnsi="宋体" w:cs="宋体"/>
                <w:color w:val="000000"/>
                <w:kern w:val="0"/>
                <w:sz w:val="24"/>
                <w:highlight w:val="none"/>
                <w:u w:val="single"/>
              </w:rPr>
              <w:t>中标人</w:t>
            </w:r>
            <w:r>
              <w:rPr>
                <w:rFonts w:hint="eastAsia" w:ascii="宋体" w:hAnsi="宋体" w:cs="宋体"/>
                <w:color w:val="000000"/>
                <w:kern w:val="0"/>
                <w:sz w:val="24"/>
                <w:highlight w:val="none"/>
              </w:rPr>
              <w:t>；</w:t>
            </w:r>
          </w:p>
          <w:p w14:paraId="7613D078">
            <w:pPr>
              <w:adjustRightInd w:val="0"/>
              <w:snapToGrid w:val="0"/>
              <w:spacing w:line="560" w:lineRule="exact"/>
              <w:rPr>
                <w:rFonts w:hint="eastAsia" w:ascii="宋体" w:hAnsi="宋体" w:cs="宋体"/>
                <w:color w:val="000000"/>
                <w:kern w:val="0"/>
                <w:sz w:val="24"/>
                <w:highlight w:val="none"/>
              </w:rPr>
            </w:pPr>
            <w:r>
              <w:rPr>
                <w:rFonts w:hint="eastAsia" w:ascii="宋体" w:hAnsi="宋体" w:cs="宋体"/>
                <w:color w:val="000000"/>
                <w:sz w:val="24"/>
                <w:highlight w:val="none"/>
              </w:rPr>
              <w:t>代理服务费收取方式：</w:t>
            </w:r>
            <w:r>
              <w:rPr>
                <w:rFonts w:hint="eastAsia" w:ascii="宋体" w:hAnsi="宋体" w:cs="宋体"/>
                <w:kern w:val="0"/>
                <w:sz w:val="24"/>
                <w:highlight w:val="none"/>
                <w:u w:val="single"/>
              </w:rPr>
              <w:t>参考《国家计委关于印发〈招标代理服务收费管理暂行办法〉的通知》（计价格〔2002〕1980 号）文件规定的70%计算(以最高投标限价为计算基数)</w:t>
            </w:r>
            <w:r>
              <w:rPr>
                <w:rFonts w:hint="eastAsia" w:ascii="宋体" w:hAnsi="宋体" w:cs="宋体"/>
                <w:color w:val="000000"/>
                <w:kern w:val="0"/>
                <w:sz w:val="24"/>
                <w:highlight w:val="none"/>
              </w:rPr>
              <w:t>。</w:t>
            </w:r>
          </w:p>
        </w:tc>
      </w:tr>
      <w:tr w14:paraId="21ED9F11">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12827D3E">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专家评审劳务费</w:t>
            </w:r>
          </w:p>
        </w:tc>
        <w:tc>
          <w:tcPr>
            <w:tcW w:w="7175" w:type="dxa"/>
            <w:tcBorders>
              <w:top w:val="single" w:color="auto" w:sz="4" w:space="0"/>
              <w:left w:val="single" w:color="auto" w:sz="4" w:space="0"/>
              <w:bottom w:val="single" w:color="auto" w:sz="4" w:space="0"/>
              <w:right w:val="single" w:color="auto" w:sz="4" w:space="0"/>
            </w:tcBorders>
            <w:vAlign w:val="center"/>
          </w:tcPr>
          <w:p w14:paraId="330B6A4C">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费用或支付标准：以实际发生为准</w:t>
            </w:r>
          </w:p>
          <w:p w14:paraId="57F9B6FB">
            <w:pPr>
              <w:adjustRightInd w:val="0"/>
              <w:snapToGrid w:val="0"/>
              <w:spacing w:line="560" w:lineRule="exact"/>
              <w:rPr>
                <w:color w:val="000000"/>
                <w:sz w:val="24"/>
                <w:highlight w:val="none"/>
              </w:rPr>
            </w:pPr>
            <w:r>
              <w:rPr>
                <w:rFonts w:hint="eastAsia" w:ascii="宋体" w:hAnsi="宋体" w:cs="宋体"/>
                <w:color w:val="000000"/>
                <w:sz w:val="24"/>
                <w:highlight w:val="none"/>
              </w:rPr>
              <w:t xml:space="preserve">支付主体：招标代理机构    </w:t>
            </w:r>
          </w:p>
        </w:tc>
      </w:tr>
      <w:tr w14:paraId="7221CFE3">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33FC0786">
            <w:pPr>
              <w:adjustRightInd w:val="0"/>
              <w:snapToGrid w:val="0"/>
              <w:spacing w:line="560" w:lineRule="exact"/>
              <w:jc w:val="center"/>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电子招投标</w:t>
            </w:r>
          </w:p>
        </w:tc>
        <w:tc>
          <w:tcPr>
            <w:tcW w:w="7175" w:type="dxa"/>
            <w:tcBorders>
              <w:top w:val="single" w:color="auto" w:sz="4" w:space="0"/>
              <w:left w:val="single" w:color="auto" w:sz="4" w:space="0"/>
              <w:bottom w:val="single" w:color="auto" w:sz="4" w:space="0"/>
              <w:right w:val="single" w:color="auto" w:sz="4" w:space="0"/>
            </w:tcBorders>
            <w:vAlign w:val="center"/>
          </w:tcPr>
          <w:p w14:paraId="66B969EE">
            <w:pPr>
              <w:adjustRightInd w:val="0"/>
              <w:snapToGrid w:val="0"/>
              <w:spacing w:line="560" w:lineRule="exact"/>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本项目采用电子招标投标方式。</w:t>
            </w:r>
          </w:p>
        </w:tc>
      </w:tr>
      <w:tr w14:paraId="2618EA67">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16311E0B">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图纸获取说明</w:t>
            </w:r>
          </w:p>
        </w:tc>
        <w:tc>
          <w:tcPr>
            <w:tcW w:w="7175" w:type="dxa"/>
            <w:tcBorders>
              <w:top w:val="single" w:color="auto" w:sz="4" w:space="0"/>
              <w:left w:val="single" w:color="auto" w:sz="4" w:space="0"/>
              <w:bottom w:val="single" w:color="auto" w:sz="4" w:space="0"/>
              <w:right w:val="single" w:color="auto" w:sz="4" w:space="0"/>
            </w:tcBorders>
            <w:vAlign w:val="center"/>
          </w:tcPr>
          <w:p w14:paraId="755A5918">
            <w:pPr>
              <w:adjustRightInd w:val="0"/>
              <w:snapToGrid w:val="0"/>
              <w:spacing w:line="560" w:lineRule="exact"/>
              <w:rPr>
                <w:rFonts w:hint="eastAsia" w:ascii="宋体" w:hAnsi="宋体" w:cs="宋体"/>
                <w:color w:val="000000"/>
                <w:sz w:val="24"/>
                <w:highlight w:val="none"/>
              </w:rPr>
            </w:pPr>
            <w:r>
              <w:rPr>
                <w:rFonts w:hint="eastAsia" w:ascii="宋体" w:hAnsi="宋体" w:cs="宋体"/>
                <w:color w:val="000000"/>
                <w:sz w:val="24"/>
                <w:highlight w:val="none"/>
              </w:rPr>
              <w:t>通过滁州市公共资源交易中心网站发布，投标人应自行下载。投标人应当及时登录滁州市公共资源交易中心交易系统查看。</w:t>
            </w:r>
          </w:p>
        </w:tc>
      </w:tr>
      <w:tr w14:paraId="1D0B87AF">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4E52E7D">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获取与查看通知</w:t>
            </w:r>
          </w:p>
        </w:tc>
        <w:tc>
          <w:tcPr>
            <w:tcW w:w="7175" w:type="dxa"/>
            <w:tcBorders>
              <w:top w:val="single" w:color="auto" w:sz="4" w:space="0"/>
              <w:left w:val="single" w:color="auto" w:sz="4" w:space="0"/>
              <w:bottom w:val="single" w:color="auto" w:sz="4" w:space="0"/>
              <w:right w:val="single" w:color="auto" w:sz="4" w:space="0"/>
            </w:tcBorders>
            <w:vAlign w:val="center"/>
          </w:tcPr>
          <w:p w14:paraId="07352650">
            <w:pPr>
              <w:adjustRightInd w:val="0"/>
              <w:snapToGrid w:val="0"/>
              <w:spacing w:line="560" w:lineRule="exact"/>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本项目的招标文件、最高投标限价、澄清及修改等相关资料均通过</w:t>
            </w:r>
            <w:r>
              <w:rPr>
                <w:rFonts w:hint="eastAsia" w:ascii="宋体" w:hAnsi="宋体" w:cs="宋体"/>
                <w:bCs/>
                <w:snapToGrid w:val="0"/>
                <w:color w:val="000000"/>
                <w:kern w:val="0"/>
                <w:sz w:val="24"/>
                <w:highlight w:val="none"/>
                <w:u w:val="single"/>
              </w:rPr>
              <w:t>滁州市公共资源交易中心网站</w:t>
            </w:r>
            <w:r>
              <w:rPr>
                <w:rFonts w:hint="eastAsia" w:ascii="宋体" w:hAnsi="宋体" w:cs="宋体"/>
                <w:bCs/>
                <w:snapToGrid w:val="0"/>
                <w:color w:val="000000"/>
                <w:kern w:val="0"/>
                <w:sz w:val="24"/>
                <w:highlight w:val="none"/>
              </w:rPr>
              <w:t>发布，投标人应自行下载。投标人应当及时登录</w:t>
            </w:r>
            <w:r>
              <w:rPr>
                <w:rFonts w:hint="eastAsia" w:ascii="宋体" w:hAnsi="宋体" w:cs="宋体"/>
                <w:bCs/>
                <w:snapToGrid w:val="0"/>
                <w:color w:val="000000"/>
                <w:kern w:val="0"/>
                <w:sz w:val="24"/>
                <w:highlight w:val="none"/>
                <w:u w:val="single"/>
              </w:rPr>
              <w:t>滁州市公共资源交易中心交易</w:t>
            </w:r>
            <w:r>
              <w:rPr>
                <w:rFonts w:hint="eastAsia" w:ascii="宋体" w:hAnsi="宋体" w:cs="宋体"/>
                <w:bCs/>
                <w:snapToGrid w:val="0"/>
                <w:color w:val="000000"/>
                <w:kern w:val="0"/>
                <w:sz w:val="24"/>
                <w:highlight w:val="none"/>
              </w:rPr>
              <w:t>系统查看。</w:t>
            </w:r>
          </w:p>
        </w:tc>
      </w:tr>
      <w:tr w14:paraId="385EBD09">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5E60F606">
            <w:pPr>
              <w:adjustRightInd w:val="0"/>
              <w:snapToGrid w:val="0"/>
              <w:spacing w:line="560" w:lineRule="exact"/>
              <w:jc w:val="center"/>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付款方式</w:t>
            </w:r>
          </w:p>
        </w:tc>
        <w:tc>
          <w:tcPr>
            <w:tcW w:w="7175" w:type="dxa"/>
            <w:tcBorders>
              <w:top w:val="single" w:color="auto" w:sz="4" w:space="0"/>
              <w:left w:val="single" w:color="auto" w:sz="4" w:space="0"/>
              <w:bottom w:val="single" w:color="auto" w:sz="4" w:space="0"/>
              <w:right w:val="single" w:color="auto" w:sz="4" w:space="0"/>
            </w:tcBorders>
            <w:vAlign w:val="center"/>
          </w:tcPr>
          <w:p w14:paraId="48CB3FE3">
            <w:pPr>
              <w:adjustRightInd w:val="0"/>
              <w:snapToGrid w:val="0"/>
              <w:spacing w:line="560" w:lineRule="exact"/>
              <w:jc w:val="left"/>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设备安装调试完成</w:t>
            </w:r>
            <w:r>
              <w:rPr>
                <w:rFonts w:hint="eastAsia" w:ascii="宋体" w:hAnsi="宋体" w:cs="宋体"/>
                <w:bCs/>
                <w:snapToGrid w:val="0"/>
                <w:kern w:val="0"/>
                <w:sz w:val="24"/>
                <w:highlight w:val="none"/>
              </w:rPr>
              <w:t>并</w:t>
            </w:r>
            <w:r>
              <w:rPr>
                <w:rFonts w:hint="eastAsia" w:ascii="宋体" w:hAnsi="宋体" w:cs="宋体"/>
                <w:bCs/>
                <w:snapToGrid w:val="0"/>
                <w:color w:val="000000"/>
                <w:kern w:val="0"/>
                <w:sz w:val="24"/>
                <w:highlight w:val="none"/>
              </w:rPr>
              <w:t>通过招标单位和建设单位组织的验收后，支付至通过验收设备总金额的85%；滁州市琅琊区重点流域农业面源污染治理项目EPC工程竣工结算审核完成后付至合格设备总金额的98%；剩余2%作为本项目的质量保证金，质保期（自竣工验收合格之日起满2年。如相关设备或材料有国标或行标要求的质保期超过2年的，按相关标准执行。）满后扣除因设备质量问题而发生的费用后（如有）付清余款。质量保证金支持保函（银行保函、担保机构担保、保证保险）使用。采用保函的不再扣留质量保证金，保函有效期须与质保期截止时间保持一致。</w:t>
            </w:r>
          </w:p>
        </w:tc>
      </w:tr>
      <w:tr w14:paraId="36581691">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586C662">
            <w:pPr>
              <w:adjustRightInd w:val="0"/>
              <w:snapToGrid w:val="0"/>
              <w:spacing w:line="560" w:lineRule="exact"/>
              <w:jc w:val="center"/>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总承包服务配合费</w:t>
            </w:r>
          </w:p>
        </w:tc>
        <w:tc>
          <w:tcPr>
            <w:tcW w:w="7175" w:type="dxa"/>
            <w:tcBorders>
              <w:top w:val="single" w:color="auto" w:sz="4" w:space="0"/>
              <w:left w:val="single" w:color="auto" w:sz="4" w:space="0"/>
              <w:bottom w:val="single" w:color="auto" w:sz="4" w:space="0"/>
              <w:right w:val="single" w:color="auto" w:sz="4" w:space="0"/>
            </w:tcBorders>
            <w:vAlign w:val="center"/>
          </w:tcPr>
          <w:p w14:paraId="3E755559">
            <w:pPr>
              <w:adjustRightInd w:val="0"/>
              <w:snapToGrid w:val="0"/>
              <w:spacing w:line="560" w:lineRule="exact"/>
              <w:jc w:val="left"/>
              <w:rPr>
                <w:rFonts w:hint="eastAsia" w:ascii="宋体" w:hAnsi="宋体" w:cs="宋体"/>
                <w:bCs/>
                <w:snapToGrid w:val="0"/>
                <w:color w:val="000000"/>
                <w:kern w:val="0"/>
                <w:sz w:val="24"/>
                <w:highlight w:val="none"/>
              </w:rPr>
            </w:pPr>
            <w:r>
              <w:rPr>
                <w:rFonts w:hint="eastAsia" w:ascii="宋体" w:hAnsi="宋体" w:cs="宋体"/>
                <w:bCs/>
                <w:snapToGrid w:val="0"/>
                <w:color w:val="000000"/>
                <w:kern w:val="0"/>
                <w:sz w:val="24"/>
                <w:highlight w:val="none"/>
              </w:rPr>
              <w:t>本项目的中标单位向招标人支付合同价款的3%总承包服务配合费：中标单位进场时一次性付清。此费用含在投标报价中，投标人在投标报价让利中考虑上述费用。</w:t>
            </w:r>
          </w:p>
        </w:tc>
      </w:tr>
      <w:tr w14:paraId="7C7165E4">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6C668D5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bCs/>
                <w:snapToGrid w:val="0"/>
                <w:color w:val="000000"/>
                <w:kern w:val="0"/>
                <w:sz w:val="24"/>
                <w:highlight w:val="none"/>
              </w:rPr>
              <w:t>相关要求</w:t>
            </w:r>
          </w:p>
        </w:tc>
        <w:tc>
          <w:tcPr>
            <w:tcW w:w="7175" w:type="dxa"/>
            <w:tcBorders>
              <w:top w:val="single" w:color="auto" w:sz="4" w:space="0"/>
              <w:left w:val="single" w:color="auto" w:sz="4" w:space="0"/>
              <w:bottom w:val="single" w:color="auto" w:sz="4" w:space="0"/>
              <w:right w:val="single" w:color="auto" w:sz="4" w:space="0"/>
            </w:tcBorders>
            <w:vAlign w:val="center"/>
          </w:tcPr>
          <w:p w14:paraId="35494C8D">
            <w:pPr>
              <w:adjustRightInd w:val="0"/>
              <w:snapToGrid w:val="0"/>
              <w:spacing w:line="560" w:lineRule="exact"/>
              <w:rPr>
                <w:rFonts w:hint="eastAsia" w:ascii="宋体" w:hAnsi="宋体" w:cs="宋体"/>
                <w:b/>
                <w:bCs/>
                <w:color w:val="000000"/>
                <w:sz w:val="24"/>
                <w:highlight w:val="none"/>
              </w:rPr>
            </w:pPr>
            <w:r>
              <w:rPr>
                <w:rFonts w:hint="eastAsia" w:ascii="宋体" w:hAnsi="宋体" w:cs="宋体"/>
                <w:b/>
                <w:bCs/>
                <w:color w:val="000000"/>
                <w:sz w:val="24"/>
                <w:highlight w:val="none"/>
              </w:rPr>
              <w:t>1、本项目投标保证金、质量保证金、均支持保函使用。以现金形式提交保证金的，应当同时退还保证金本金和银行同期存款利息。</w:t>
            </w:r>
          </w:p>
          <w:p w14:paraId="580A8022">
            <w:pPr>
              <w:adjustRightInd w:val="0"/>
              <w:snapToGrid w:val="0"/>
              <w:spacing w:line="560" w:lineRule="exact"/>
              <w:rPr>
                <w:rFonts w:hint="eastAsia" w:ascii="宋体" w:hAnsi="宋体" w:cs="宋体"/>
                <w:bCs/>
                <w:color w:val="000000"/>
                <w:sz w:val="24"/>
                <w:highlight w:val="none"/>
              </w:rPr>
            </w:pPr>
            <w:r>
              <w:rPr>
                <w:rFonts w:hint="eastAsia" w:ascii="宋体" w:hAnsi="宋体" w:cs="宋体"/>
                <w:bCs/>
                <w:color w:val="000000"/>
                <w:sz w:val="24"/>
                <w:highlight w:val="none"/>
              </w:rPr>
              <w:t xml:space="preserve">2、省外建设工程企业按照《关于优化进皖建设工程企业信息登记服务和管理有关工作的通知》（建市函〔2022〕580号）进行相关信息登记。 </w:t>
            </w:r>
          </w:p>
          <w:p w14:paraId="25E27A0F">
            <w:pPr>
              <w:adjustRightInd w:val="0"/>
              <w:snapToGrid w:val="0"/>
              <w:spacing w:line="560" w:lineRule="exact"/>
              <w:rPr>
                <w:color w:val="000000"/>
                <w:highlight w:val="none"/>
              </w:rPr>
            </w:pPr>
            <w:r>
              <w:rPr>
                <w:rFonts w:hint="eastAsia" w:ascii="宋体" w:hAnsi="宋体" w:cs="宋体"/>
                <w:bCs/>
                <w:color w:val="000000"/>
                <w:sz w:val="24"/>
                <w:highlight w:val="none"/>
              </w:rPr>
              <w:t>3、保证保险产品应按《中国银保监会办公厅关于进一步加强和改进财产保险公司产品监管有关问题的通知》执行。</w:t>
            </w:r>
          </w:p>
        </w:tc>
      </w:tr>
      <w:tr w14:paraId="58A7ED53">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55ED0DE">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评标过程中的澄清、说明或补正</w:t>
            </w:r>
          </w:p>
        </w:tc>
        <w:tc>
          <w:tcPr>
            <w:tcW w:w="7175" w:type="dxa"/>
            <w:tcBorders>
              <w:top w:val="single" w:color="auto" w:sz="4" w:space="0"/>
              <w:left w:val="single" w:color="auto" w:sz="4" w:space="0"/>
              <w:bottom w:val="single" w:color="auto" w:sz="4" w:space="0"/>
              <w:right w:val="single" w:color="auto" w:sz="4" w:space="0"/>
            </w:tcBorders>
            <w:vAlign w:val="center"/>
          </w:tcPr>
          <w:p w14:paraId="417FA3FF">
            <w:pPr>
              <w:pStyle w:val="47"/>
              <w:tabs>
                <w:tab w:val="left" w:pos="636"/>
              </w:tabs>
              <w:adjustRightInd w:val="0"/>
              <w:snapToGrid w:val="0"/>
              <w:spacing w:line="560" w:lineRule="exact"/>
              <w:jc w:val="left"/>
              <w:rPr>
                <w:rFonts w:hint="eastAsia"/>
                <w:color w:val="000000"/>
                <w:sz w:val="24"/>
                <w:highlight w:val="none"/>
              </w:rPr>
            </w:pPr>
            <w:r>
              <w:rPr>
                <w:rFonts w:hint="eastAsia"/>
                <w:color w:val="000000"/>
                <w:sz w:val="24"/>
                <w:highlight w:val="none"/>
              </w:rPr>
              <w:t>1、</w:t>
            </w:r>
            <w:r>
              <w:rPr>
                <w:color w:val="000000"/>
                <w:sz w:val="24"/>
                <w:highlight w:val="none"/>
              </w:rPr>
              <w:t>评标委员会通过</w:t>
            </w:r>
            <w:r>
              <w:rPr>
                <w:rFonts w:hint="eastAsia"/>
                <w:color w:val="000000"/>
                <w:sz w:val="24"/>
                <w:highlight w:val="none"/>
                <w:lang w:val="en-US"/>
              </w:rPr>
              <w:t>网上开评标系统</w:t>
            </w:r>
            <w:r>
              <w:rPr>
                <w:color w:val="000000"/>
                <w:sz w:val="24"/>
                <w:highlight w:val="none"/>
              </w:rPr>
              <w:t>将需要澄清、说明或补正</w:t>
            </w:r>
            <w:r>
              <w:rPr>
                <w:color w:val="000000"/>
                <w:spacing w:val="-7"/>
                <w:sz w:val="24"/>
                <w:highlight w:val="none"/>
              </w:rPr>
              <w:t>的内容以询标函的形式发送给投标人，投标人应安排专人登录</w:t>
            </w:r>
            <w:r>
              <w:rPr>
                <w:rFonts w:hint="eastAsia"/>
                <w:color w:val="000000"/>
                <w:spacing w:val="-9"/>
                <w:sz w:val="24"/>
                <w:highlight w:val="none"/>
                <w:lang w:val="en-US"/>
              </w:rPr>
              <w:t>网上开评标系统</w:t>
            </w:r>
            <w:r>
              <w:rPr>
                <w:color w:val="000000"/>
                <w:spacing w:val="-9"/>
                <w:sz w:val="24"/>
                <w:highlight w:val="none"/>
              </w:rPr>
              <w:t>并保持在线状态</w:t>
            </w:r>
            <w:r>
              <w:rPr>
                <w:rFonts w:hint="eastAsia"/>
                <w:color w:val="000000"/>
                <w:spacing w:val="-9"/>
                <w:sz w:val="24"/>
                <w:highlight w:val="none"/>
              </w:rPr>
              <w:t>，并确保联系方式有效</w:t>
            </w:r>
            <w:r>
              <w:rPr>
                <w:color w:val="000000"/>
                <w:spacing w:val="-9"/>
                <w:sz w:val="24"/>
                <w:highlight w:val="none"/>
              </w:rPr>
              <w:t>，以便及时接收评标委员会可能</w:t>
            </w:r>
            <w:r>
              <w:rPr>
                <w:color w:val="000000"/>
                <w:spacing w:val="-5"/>
                <w:sz w:val="24"/>
                <w:highlight w:val="none"/>
              </w:rPr>
              <w:t>发出的询标函。</w:t>
            </w:r>
          </w:p>
          <w:p w14:paraId="58C35530">
            <w:pPr>
              <w:pStyle w:val="47"/>
              <w:tabs>
                <w:tab w:val="left" w:pos="636"/>
              </w:tabs>
              <w:adjustRightInd w:val="0"/>
              <w:snapToGrid w:val="0"/>
              <w:spacing w:line="560" w:lineRule="exact"/>
              <w:jc w:val="left"/>
              <w:rPr>
                <w:rFonts w:hint="eastAsia"/>
                <w:color w:val="000000"/>
                <w:spacing w:val="-3"/>
                <w:sz w:val="24"/>
                <w:highlight w:val="none"/>
              </w:rPr>
            </w:pPr>
            <w:r>
              <w:rPr>
                <w:rFonts w:hint="eastAsia"/>
                <w:color w:val="000000"/>
                <w:sz w:val="24"/>
                <w:highlight w:val="none"/>
              </w:rPr>
              <w:t>2、</w:t>
            </w:r>
            <w:r>
              <w:rPr>
                <w:color w:val="000000"/>
                <w:sz w:val="24"/>
                <w:highlight w:val="none"/>
              </w:rPr>
              <w:t>因投标人未登录</w:t>
            </w:r>
            <w:r>
              <w:rPr>
                <w:rFonts w:hint="eastAsia"/>
                <w:color w:val="000000"/>
                <w:sz w:val="24"/>
                <w:highlight w:val="none"/>
                <w:lang w:val="en-US"/>
              </w:rPr>
              <w:t>网上开评标系统</w:t>
            </w:r>
            <w:r>
              <w:rPr>
                <w:color w:val="000000"/>
                <w:sz w:val="24"/>
                <w:highlight w:val="none"/>
              </w:rPr>
              <w:t>导致无法及时接收询标函（</w:t>
            </w:r>
            <w:r>
              <w:rPr>
                <w:color w:val="000000"/>
                <w:spacing w:val="-3"/>
                <w:sz w:val="24"/>
                <w:highlight w:val="none"/>
              </w:rPr>
              <w:t>远程网上询标</w:t>
            </w:r>
            <w:r>
              <w:rPr>
                <w:color w:val="000000"/>
                <w:spacing w:val="-56"/>
                <w:sz w:val="24"/>
                <w:highlight w:val="none"/>
              </w:rPr>
              <w:t>）</w:t>
            </w:r>
            <w:r>
              <w:rPr>
                <w:color w:val="000000"/>
                <w:spacing w:val="-3"/>
                <w:sz w:val="24"/>
                <w:highlight w:val="none"/>
              </w:rPr>
              <w:t>或未在规定时间内按评标委员会要求进行澄</w:t>
            </w:r>
            <w:r>
              <w:rPr>
                <w:color w:val="000000"/>
                <w:spacing w:val="-8"/>
                <w:sz w:val="24"/>
                <w:highlight w:val="none"/>
              </w:rPr>
              <w:t>清、说明或补正内容的视同投标人放弃澄清、说明或补正内容</w:t>
            </w:r>
            <w:r>
              <w:rPr>
                <w:color w:val="000000"/>
                <w:spacing w:val="-5"/>
                <w:sz w:val="24"/>
                <w:highlight w:val="none"/>
              </w:rPr>
              <w:t>的权利，评标委员会可按对投标人不利的解释进行判定。</w:t>
            </w:r>
          </w:p>
        </w:tc>
      </w:tr>
      <w:tr w14:paraId="126E6574">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3D486FA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解释权</w:t>
            </w:r>
          </w:p>
        </w:tc>
        <w:tc>
          <w:tcPr>
            <w:tcW w:w="7175" w:type="dxa"/>
            <w:tcBorders>
              <w:top w:val="single" w:color="auto" w:sz="4" w:space="0"/>
              <w:left w:val="single" w:color="auto" w:sz="4" w:space="0"/>
              <w:bottom w:val="single" w:color="auto" w:sz="4" w:space="0"/>
              <w:right w:val="single" w:color="auto" w:sz="4" w:space="0"/>
            </w:tcBorders>
            <w:vAlign w:val="center"/>
          </w:tcPr>
          <w:p w14:paraId="1EF04617">
            <w:pPr>
              <w:pStyle w:val="47"/>
              <w:adjustRightInd w:val="0"/>
              <w:snapToGrid w:val="0"/>
              <w:spacing w:line="560" w:lineRule="exact"/>
              <w:rPr>
                <w:rFonts w:hint="eastAsia"/>
                <w:color w:val="000000"/>
                <w:spacing w:val="-3"/>
                <w:sz w:val="24"/>
                <w:highlight w:val="none"/>
              </w:rPr>
            </w:pPr>
            <w:r>
              <w:rPr>
                <w:rFonts w:hint="eastAsia"/>
                <w:color w:val="000000"/>
                <w:spacing w:val="-3"/>
                <w:sz w:val="24"/>
                <w:highlight w:val="none"/>
              </w:rPr>
              <w:t>1、</w:t>
            </w:r>
            <w:r>
              <w:rPr>
                <w:color w:val="000000"/>
                <w:spacing w:val="-3"/>
                <w:sz w:val="24"/>
                <w:highlight w:val="none"/>
              </w:rPr>
              <w:t>构成本招标文件的各个组成文件应互为解释，互为说明；</w:t>
            </w:r>
          </w:p>
          <w:p w14:paraId="02BDB3D4">
            <w:pPr>
              <w:pStyle w:val="47"/>
              <w:adjustRightInd w:val="0"/>
              <w:snapToGrid w:val="0"/>
              <w:spacing w:line="560" w:lineRule="exact"/>
              <w:rPr>
                <w:rFonts w:hint="eastAsia"/>
                <w:color w:val="000000"/>
                <w:sz w:val="24"/>
                <w:highlight w:val="none"/>
              </w:rPr>
            </w:pPr>
            <w:r>
              <w:rPr>
                <w:rFonts w:hint="eastAsia"/>
                <w:color w:val="000000"/>
                <w:spacing w:val="-3"/>
                <w:sz w:val="24"/>
                <w:highlight w:val="none"/>
              </w:rPr>
              <w:t>2、</w:t>
            </w:r>
            <w:r>
              <w:rPr>
                <w:color w:val="000000"/>
                <w:spacing w:val="-7"/>
                <w:sz w:val="24"/>
                <w:highlight w:val="none"/>
              </w:rPr>
              <w:t>同一组成文件中就同一事项的规定或约定不一致的，以编排</w:t>
            </w:r>
            <w:r>
              <w:rPr>
                <w:color w:val="000000"/>
                <w:spacing w:val="-5"/>
                <w:sz w:val="24"/>
                <w:highlight w:val="none"/>
              </w:rPr>
              <w:t>顺序在后者为准；</w:t>
            </w:r>
          </w:p>
          <w:p w14:paraId="42A88CD4">
            <w:pPr>
              <w:pStyle w:val="47"/>
              <w:tabs>
                <w:tab w:val="left" w:pos="351"/>
              </w:tabs>
              <w:adjustRightInd w:val="0"/>
              <w:snapToGrid w:val="0"/>
              <w:spacing w:line="560" w:lineRule="exact"/>
              <w:rPr>
                <w:rFonts w:hint="eastAsia"/>
                <w:color w:val="000000"/>
                <w:sz w:val="24"/>
                <w:highlight w:val="none"/>
              </w:rPr>
            </w:pPr>
            <w:r>
              <w:rPr>
                <w:rFonts w:hint="eastAsia"/>
                <w:color w:val="000000"/>
                <w:spacing w:val="-10"/>
                <w:sz w:val="24"/>
                <w:highlight w:val="none"/>
              </w:rPr>
              <w:t>3、</w:t>
            </w:r>
            <w:r>
              <w:rPr>
                <w:color w:val="000000"/>
                <w:spacing w:val="-10"/>
                <w:sz w:val="24"/>
                <w:highlight w:val="none"/>
              </w:rPr>
              <w:t>如有不明确或不一致，构成合同文件组成内容的，以合同文件约定内容为准，且以专用合同条款约定的合同文件优先顺序解释；</w:t>
            </w:r>
          </w:p>
          <w:p w14:paraId="572F7F6D">
            <w:pPr>
              <w:pStyle w:val="47"/>
              <w:tabs>
                <w:tab w:val="left" w:pos="354"/>
              </w:tabs>
              <w:adjustRightInd w:val="0"/>
              <w:snapToGrid w:val="0"/>
              <w:spacing w:line="560" w:lineRule="exact"/>
              <w:rPr>
                <w:rFonts w:hint="eastAsia"/>
                <w:color w:val="000000"/>
                <w:spacing w:val="-2"/>
                <w:sz w:val="24"/>
                <w:highlight w:val="none"/>
              </w:rPr>
            </w:pPr>
            <w:r>
              <w:rPr>
                <w:rFonts w:hint="eastAsia"/>
                <w:color w:val="000000"/>
                <w:spacing w:val="-2"/>
                <w:sz w:val="24"/>
                <w:highlight w:val="none"/>
              </w:rPr>
              <w:t>4、</w:t>
            </w:r>
            <w:r>
              <w:rPr>
                <w:rFonts w:hint="eastAsia"/>
                <w:color w:val="000000"/>
                <w:sz w:val="24"/>
                <w:highlight w:val="none"/>
              </w:rPr>
              <w:t>系统中提供的表格（或格式文件）与招标文件中不一致时，以招标文件中提供的为准；</w:t>
            </w:r>
          </w:p>
          <w:p w14:paraId="54386458">
            <w:pPr>
              <w:pStyle w:val="47"/>
              <w:tabs>
                <w:tab w:val="left" w:pos="636"/>
              </w:tabs>
              <w:adjustRightInd w:val="0"/>
              <w:snapToGrid w:val="0"/>
              <w:spacing w:line="560" w:lineRule="exact"/>
              <w:jc w:val="left"/>
              <w:rPr>
                <w:rFonts w:hint="eastAsia"/>
                <w:color w:val="000000"/>
                <w:sz w:val="24"/>
                <w:highlight w:val="none"/>
              </w:rPr>
            </w:pPr>
            <w:r>
              <w:rPr>
                <w:rFonts w:hint="eastAsia"/>
                <w:color w:val="000000"/>
                <w:spacing w:val="-3"/>
                <w:sz w:val="24"/>
                <w:highlight w:val="none"/>
              </w:rPr>
              <w:t>5、</w:t>
            </w:r>
            <w:r>
              <w:rPr>
                <w:color w:val="000000"/>
                <w:spacing w:val="-3"/>
                <w:sz w:val="24"/>
                <w:highlight w:val="none"/>
              </w:rPr>
              <w:t>按本款前述规定仍不能形成结论的，由招标人负责解释。</w:t>
            </w:r>
          </w:p>
        </w:tc>
      </w:tr>
      <w:tr w14:paraId="41A3BD53">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3036D2AE">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同义词语</w:t>
            </w:r>
          </w:p>
        </w:tc>
        <w:tc>
          <w:tcPr>
            <w:tcW w:w="7175" w:type="dxa"/>
            <w:tcBorders>
              <w:top w:val="single" w:color="auto" w:sz="4" w:space="0"/>
              <w:left w:val="single" w:color="auto" w:sz="4" w:space="0"/>
              <w:bottom w:val="single" w:color="auto" w:sz="4" w:space="0"/>
              <w:right w:val="single" w:color="auto" w:sz="4" w:space="0"/>
            </w:tcBorders>
            <w:vAlign w:val="center"/>
          </w:tcPr>
          <w:p w14:paraId="423D3840">
            <w:pPr>
              <w:pStyle w:val="47"/>
              <w:adjustRightInd w:val="0"/>
              <w:snapToGrid w:val="0"/>
              <w:spacing w:line="560" w:lineRule="exact"/>
              <w:rPr>
                <w:rFonts w:hint="eastAsia"/>
                <w:color w:val="000000"/>
                <w:spacing w:val="-3"/>
                <w:sz w:val="24"/>
                <w:highlight w:val="none"/>
              </w:rPr>
            </w:pPr>
            <w:r>
              <w:rPr>
                <w:rFonts w:hint="eastAsia"/>
                <w:color w:val="000000"/>
                <w:sz w:val="24"/>
                <w:highlight w:val="none"/>
              </w:rPr>
              <w:t>构成招标文件组成部分的“通用合同条款”、“专用合同条款”、“技术标准和要求”和“工程量清单”等章节中 “发包人”和“承包人”，等同于招标投标阶段的“招标人”和“投标人/中标人”。</w:t>
            </w:r>
          </w:p>
        </w:tc>
      </w:tr>
      <w:tr w14:paraId="5FA1F137">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41A2FD55">
            <w:pPr>
              <w:pStyle w:val="47"/>
              <w:adjustRightInd w:val="0"/>
              <w:snapToGrid w:val="0"/>
              <w:spacing w:line="560" w:lineRule="exact"/>
              <w:jc w:val="center"/>
              <w:rPr>
                <w:rFonts w:hint="eastAsia"/>
                <w:color w:val="000000"/>
                <w:sz w:val="24"/>
                <w:highlight w:val="none"/>
              </w:rPr>
            </w:pPr>
            <w:r>
              <w:rPr>
                <w:rFonts w:hint="eastAsia"/>
                <w:color w:val="000000"/>
                <w:sz w:val="24"/>
                <w:highlight w:val="none"/>
              </w:rPr>
              <w:t>关于招标工程量清单、最高投标限价及投标报价编制特别说明</w:t>
            </w:r>
          </w:p>
        </w:tc>
        <w:tc>
          <w:tcPr>
            <w:tcW w:w="7175" w:type="dxa"/>
            <w:tcBorders>
              <w:top w:val="single" w:color="auto" w:sz="4" w:space="0"/>
              <w:left w:val="single" w:color="auto" w:sz="4" w:space="0"/>
              <w:bottom w:val="single" w:color="auto" w:sz="4" w:space="0"/>
              <w:right w:val="single" w:color="auto" w:sz="4" w:space="0"/>
            </w:tcBorders>
            <w:vAlign w:val="center"/>
          </w:tcPr>
          <w:p w14:paraId="24DD7A1A">
            <w:pPr>
              <w:pStyle w:val="47"/>
              <w:adjustRightInd w:val="0"/>
              <w:snapToGrid w:val="0"/>
              <w:spacing w:line="560" w:lineRule="exact"/>
              <w:rPr>
                <w:rFonts w:hint="eastAsia"/>
                <w:color w:val="000000"/>
                <w:sz w:val="24"/>
                <w:highlight w:val="none"/>
              </w:rPr>
            </w:pPr>
            <w:r>
              <w:rPr>
                <w:rFonts w:hint="eastAsia"/>
                <w:color w:val="000000"/>
                <w:sz w:val="24"/>
                <w:highlight w:val="none"/>
                <w:lang w:val="en-US"/>
              </w:rPr>
              <w:t>本项目最高投标限价材料、设备价格依据市场价格，并结合企业自身实力理性报价。</w:t>
            </w:r>
          </w:p>
        </w:tc>
      </w:tr>
      <w:tr w14:paraId="10F0A637">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62AFA68B">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其他</w:t>
            </w:r>
          </w:p>
        </w:tc>
        <w:tc>
          <w:tcPr>
            <w:tcW w:w="7175" w:type="dxa"/>
            <w:tcBorders>
              <w:top w:val="single" w:color="auto" w:sz="4" w:space="0"/>
              <w:left w:val="single" w:color="auto" w:sz="4" w:space="0"/>
              <w:bottom w:val="single" w:color="auto" w:sz="4" w:space="0"/>
              <w:right w:val="single" w:color="auto" w:sz="4" w:space="0"/>
            </w:tcBorders>
            <w:vAlign w:val="center"/>
          </w:tcPr>
          <w:p w14:paraId="0794FAFD">
            <w:pPr>
              <w:pStyle w:val="47"/>
              <w:adjustRightInd w:val="0"/>
              <w:snapToGrid w:val="0"/>
              <w:spacing w:line="560" w:lineRule="exact"/>
              <w:jc w:val="left"/>
              <w:rPr>
                <w:rFonts w:hint="eastAsia"/>
                <w:color w:val="000000"/>
                <w:sz w:val="24"/>
                <w:highlight w:val="none"/>
                <w:lang w:val="en-US"/>
              </w:rPr>
            </w:pPr>
            <w:r>
              <w:rPr>
                <w:rFonts w:hint="eastAsia"/>
                <w:color w:val="000000"/>
                <w:sz w:val="24"/>
                <w:highlight w:val="none"/>
                <w:lang w:val="en-US"/>
              </w:rPr>
              <w:t>1、</w:t>
            </w:r>
            <w:r>
              <w:rPr>
                <w:rFonts w:hint="eastAsia"/>
                <w:bCs/>
                <w:snapToGrid w:val="0"/>
                <w:color w:val="000000"/>
                <w:kern w:val="0"/>
                <w:sz w:val="24"/>
                <w:highlight w:val="none"/>
              </w:rPr>
              <w:t>如本项目招标文件中出现特定性、唯一性品牌的表述，该品牌仅作为参考，施工过程中不具有限定性。</w:t>
            </w:r>
          </w:p>
          <w:p w14:paraId="796D833D">
            <w:pPr>
              <w:pStyle w:val="47"/>
              <w:tabs>
                <w:tab w:val="left" w:pos="636"/>
              </w:tabs>
              <w:adjustRightInd w:val="0"/>
              <w:snapToGrid w:val="0"/>
              <w:spacing w:line="560" w:lineRule="exact"/>
              <w:jc w:val="left"/>
              <w:rPr>
                <w:rFonts w:hint="eastAsia"/>
                <w:color w:val="000000"/>
                <w:sz w:val="24"/>
                <w:highlight w:val="none"/>
              </w:rPr>
            </w:pPr>
            <w:r>
              <w:rPr>
                <w:rFonts w:hint="eastAsia"/>
                <w:color w:val="000000"/>
                <w:sz w:val="24"/>
                <w:highlight w:val="none"/>
                <w:lang w:val="en-US"/>
              </w:rPr>
              <w:t>2、</w:t>
            </w:r>
            <w:r>
              <w:rPr>
                <w:color w:val="000000"/>
                <w:sz w:val="24"/>
                <w:highlight w:val="none"/>
              </w:rPr>
              <w:t>中标人未履行下述义务的，</w:t>
            </w:r>
            <w:r>
              <w:rPr>
                <w:rFonts w:hint="eastAsia"/>
                <w:color w:val="000000"/>
                <w:sz w:val="24"/>
                <w:highlight w:val="none"/>
                <w:lang w:val="en-US"/>
              </w:rPr>
              <w:t>滁州市</w:t>
            </w:r>
            <w:r>
              <w:rPr>
                <w:color w:val="000000"/>
                <w:sz w:val="24"/>
                <w:highlight w:val="none"/>
              </w:rPr>
              <w:t>公共资源交</w:t>
            </w:r>
            <w:r>
              <w:rPr>
                <w:color w:val="000000"/>
                <w:spacing w:val="-7"/>
                <w:sz w:val="24"/>
                <w:highlight w:val="none"/>
              </w:rPr>
              <w:t>易监督管理局</w:t>
            </w:r>
            <w:r>
              <w:rPr>
                <w:rFonts w:hint="eastAsia"/>
                <w:color w:val="000000"/>
                <w:spacing w:val="-7"/>
                <w:sz w:val="24"/>
                <w:highlight w:val="none"/>
              </w:rPr>
              <w:t>或各县（市、区）公管局）</w:t>
            </w:r>
            <w:r>
              <w:rPr>
                <w:color w:val="000000"/>
                <w:spacing w:val="-7"/>
                <w:sz w:val="24"/>
                <w:highlight w:val="none"/>
              </w:rPr>
              <w:t>将依法对中标人进行处理，追究相关责</w:t>
            </w:r>
            <w:r>
              <w:rPr>
                <w:color w:val="000000"/>
                <w:sz w:val="24"/>
                <w:highlight w:val="none"/>
              </w:rPr>
              <w:t>任：</w:t>
            </w:r>
          </w:p>
          <w:p w14:paraId="7950B85D">
            <w:pPr>
              <w:pStyle w:val="47"/>
              <w:adjustRightInd w:val="0"/>
              <w:snapToGrid w:val="0"/>
              <w:spacing w:line="560" w:lineRule="exact"/>
              <w:jc w:val="left"/>
              <w:rPr>
                <w:rFonts w:hint="eastAsia"/>
                <w:color w:val="000000"/>
                <w:sz w:val="24"/>
                <w:highlight w:val="none"/>
              </w:rPr>
            </w:pPr>
            <w:r>
              <w:rPr>
                <w:rFonts w:hint="eastAsia"/>
                <w:color w:val="000000"/>
                <w:sz w:val="24"/>
                <w:highlight w:val="none"/>
              </w:rPr>
              <w:t>①中标人无正当理由不与招标人订立合同，在签订合同时向招标人提出附加条件，或者不按照招标文件要求提交履约保证金的</w:t>
            </w:r>
            <w:r>
              <w:rPr>
                <w:color w:val="000000"/>
                <w:spacing w:val="-7"/>
                <w:sz w:val="24"/>
                <w:highlight w:val="none"/>
              </w:rPr>
              <w:t>，招标人有权取</w:t>
            </w:r>
            <w:r>
              <w:rPr>
                <w:color w:val="000000"/>
                <w:spacing w:val="-9"/>
                <w:sz w:val="24"/>
                <w:highlight w:val="none"/>
              </w:rPr>
              <w:t>消中标人中标资格，并将相关违约行为报送监管部门</w:t>
            </w:r>
            <w:r>
              <w:rPr>
                <w:rFonts w:hint="eastAsia"/>
                <w:color w:val="000000"/>
                <w:spacing w:val="-9"/>
                <w:sz w:val="24"/>
                <w:highlight w:val="none"/>
              </w:rPr>
              <w:t>处理</w:t>
            </w:r>
            <w:r>
              <w:rPr>
                <w:color w:val="000000"/>
                <w:spacing w:val="-6"/>
                <w:sz w:val="24"/>
                <w:highlight w:val="none"/>
              </w:rPr>
              <w:t>；</w:t>
            </w:r>
          </w:p>
          <w:p w14:paraId="28BDB5B5">
            <w:pPr>
              <w:pStyle w:val="47"/>
              <w:adjustRightInd w:val="0"/>
              <w:snapToGrid w:val="0"/>
              <w:spacing w:line="560" w:lineRule="exact"/>
              <w:jc w:val="left"/>
              <w:rPr>
                <w:rFonts w:hint="eastAsia" w:ascii="MS Mincho" w:hAnsi="MS Mincho" w:cs="MS Mincho"/>
                <w:color w:val="000000"/>
                <w:sz w:val="24"/>
                <w:highlight w:val="none"/>
                <w:lang w:val="en-US"/>
              </w:rPr>
            </w:pPr>
            <w:r>
              <w:rPr>
                <w:color w:val="000000"/>
                <w:spacing w:val="-4"/>
                <w:sz w:val="24"/>
                <w:highlight w:val="none"/>
              </w:rPr>
              <w:t>②</w:t>
            </w:r>
            <w:r>
              <w:rPr>
                <w:color w:val="000000"/>
                <w:spacing w:val="-3"/>
                <w:sz w:val="24"/>
                <w:highlight w:val="none"/>
              </w:rPr>
              <w:t>合同签订后，中标人存在规定时间内不组织人员进场开工、</w:t>
            </w:r>
            <w:r>
              <w:rPr>
                <w:color w:val="000000"/>
                <w:spacing w:val="-6"/>
                <w:sz w:val="24"/>
                <w:highlight w:val="none"/>
              </w:rPr>
              <w:t>不履行供货安装义务等情况，招标人有权解除合同，并追究违</w:t>
            </w:r>
            <w:r>
              <w:rPr>
                <w:color w:val="000000"/>
                <w:spacing w:val="-16"/>
                <w:sz w:val="24"/>
                <w:highlight w:val="none"/>
              </w:rPr>
              <w:t xml:space="preserve">约责任，同时将相关违约行为报送监管部门，记不良行为记录， </w:t>
            </w:r>
            <w:r>
              <w:rPr>
                <w:color w:val="000000"/>
                <w:spacing w:val="-6"/>
                <w:sz w:val="24"/>
                <w:highlight w:val="none"/>
              </w:rPr>
              <w:t>实施信用惩戒</w:t>
            </w:r>
            <w:r>
              <w:rPr>
                <w:rFonts w:hint="eastAsia"/>
                <w:color w:val="000000"/>
                <w:spacing w:val="-5"/>
                <w:sz w:val="24"/>
                <w:highlight w:val="none"/>
              </w:rPr>
              <w:t>。</w:t>
            </w:r>
          </w:p>
        </w:tc>
      </w:tr>
      <w:tr w14:paraId="26DA697E">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7B254E10">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重点项目约谈</w:t>
            </w:r>
          </w:p>
        </w:tc>
        <w:tc>
          <w:tcPr>
            <w:tcW w:w="7175" w:type="dxa"/>
            <w:tcBorders>
              <w:top w:val="single" w:color="auto" w:sz="4" w:space="0"/>
              <w:left w:val="single" w:color="auto" w:sz="4" w:space="0"/>
              <w:bottom w:val="single" w:color="auto" w:sz="4" w:space="0"/>
              <w:right w:val="single" w:color="auto" w:sz="4" w:space="0"/>
            </w:tcBorders>
            <w:vAlign w:val="center"/>
          </w:tcPr>
          <w:p w14:paraId="6130C3F5">
            <w:pPr>
              <w:adjustRightInd w:val="0"/>
              <w:snapToGrid w:val="0"/>
              <w:spacing w:line="520" w:lineRule="exact"/>
              <w:rPr>
                <w:rFonts w:hint="eastAsia" w:ascii="宋体" w:hAnsi="宋体" w:cs="宋体"/>
                <w:b/>
                <w:bCs/>
                <w:color w:val="000000"/>
                <w:sz w:val="24"/>
                <w:highlight w:val="none"/>
              </w:rPr>
            </w:pPr>
            <w:r>
              <w:rPr>
                <w:rFonts w:hint="eastAsia" w:ascii="宋体" w:hAnsi="宋体" w:cs="宋体"/>
                <w:color w:val="000000"/>
                <w:sz w:val="24"/>
                <w:highlight w:val="none"/>
                <w:lang w:bidi="zh-CN"/>
              </w:rPr>
              <w:t>实行重点工程项目考察约谈机制。项目单位牵头负责，公管等部门参与对预中标单位进行考察约谈、警醒提示，防止非法转包、违法分包、挂靠及出借资质的情况发生。</w:t>
            </w:r>
          </w:p>
        </w:tc>
      </w:tr>
      <w:tr w14:paraId="3928E748">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40DD84C">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变更招标方式</w:t>
            </w:r>
          </w:p>
        </w:tc>
        <w:tc>
          <w:tcPr>
            <w:tcW w:w="7175" w:type="dxa"/>
            <w:tcBorders>
              <w:top w:val="single" w:color="auto" w:sz="4" w:space="0"/>
              <w:left w:val="single" w:color="auto" w:sz="4" w:space="0"/>
              <w:bottom w:val="single" w:color="auto" w:sz="4" w:space="0"/>
              <w:right w:val="single" w:color="auto" w:sz="4" w:space="0"/>
            </w:tcBorders>
            <w:vAlign w:val="center"/>
          </w:tcPr>
          <w:p w14:paraId="422FA710">
            <w:pPr>
              <w:pStyle w:val="15"/>
              <w:adjustRightInd w:val="0"/>
              <w:snapToGrid w:val="0"/>
              <w:spacing w:after="0" w:line="560" w:lineRule="exact"/>
              <w:rPr>
                <w:color w:val="000000"/>
                <w:sz w:val="22"/>
                <w:highlight w:val="none"/>
              </w:rPr>
            </w:pPr>
            <w:r>
              <w:rPr>
                <w:rFonts w:hint="eastAsia" w:ascii="宋体" w:hAnsi="宋体" w:cs="宋体"/>
                <w:color w:val="000000"/>
                <w:sz w:val="24"/>
                <w:highlight w:val="none"/>
                <w:lang w:bidi="zh-CN"/>
              </w:rPr>
              <w:t>按照滁州市公共资源交易监督管理局现行规定执行。</w:t>
            </w:r>
          </w:p>
        </w:tc>
      </w:tr>
      <w:tr w14:paraId="109D00DB">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713D8028">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招标人补充的其他内容</w:t>
            </w:r>
          </w:p>
        </w:tc>
        <w:tc>
          <w:tcPr>
            <w:tcW w:w="7175" w:type="dxa"/>
            <w:tcBorders>
              <w:top w:val="single" w:color="auto" w:sz="4" w:space="0"/>
              <w:left w:val="single" w:color="auto" w:sz="4" w:space="0"/>
              <w:bottom w:val="single" w:color="auto" w:sz="4" w:space="0"/>
              <w:right w:val="single" w:color="auto" w:sz="4" w:space="0"/>
            </w:tcBorders>
            <w:vAlign w:val="center"/>
          </w:tcPr>
          <w:p w14:paraId="5F6A77EA">
            <w:pPr>
              <w:adjustRightInd w:val="0"/>
              <w:snapToGrid w:val="0"/>
              <w:spacing w:line="520" w:lineRule="exact"/>
              <w:rPr>
                <w:rFonts w:hint="eastAsia" w:ascii="宋体" w:hAnsi="宋体" w:cs="宋体"/>
                <w:b/>
                <w:bCs/>
                <w:color w:val="000000"/>
                <w:sz w:val="24"/>
                <w:highlight w:val="none"/>
              </w:rPr>
            </w:pPr>
            <w:r>
              <w:rPr>
                <w:rFonts w:hint="eastAsia" w:ascii="宋体" w:hAnsi="宋体" w:cs="宋体"/>
                <w:b/>
                <w:bCs/>
                <w:color w:val="000000"/>
                <w:sz w:val="24"/>
                <w:highlight w:val="none"/>
              </w:rPr>
              <w:t>（1）创建优质工程（如有）</w:t>
            </w:r>
          </w:p>
          <w:p w14:paraId="12872FBE">
            <w:pPr>
              <w:spacing w:line="520" w:lineRule="exact"/>
              <w:ind w:firstLine="480" w:firstLineChars="200"/>
              <w:rPr>
                <w:rFonts w:ascii="Calibri" w:hAnsi="Calibri" w:cs="Calibri"/>
                <w:color w:val="000000"/>
                <w:sz w:val="24"/>
                <w:highlight w:val="none"/>
              </w:rPr>
            </w:pPr>
            <w:r>
              <w:rPr>
                <w:rFonts w:hint="eastAsia" w:ascii="Calibri" w:hAnsi="Calibri" w:cs="Calibri"/>
                <w:color w:val="000000"/>
                <w:sz w:val="24"/>
                <w:highlight w:val="none"/>
              </w:rPr>
              <w:t>①创建优质工程奖励要求：</w:t>
            </w:r>
          </w:p>
          <w:p w14:paraId="673F366E">
            <w:pPr>
              <w:spacing w:line="520" w:lineRule="exact"/>
              <w:ind w:firstLine="480" w:firstLineChars="200"/>
              <w:rPr>
                <w:rFonts w:ascii="Calibri" w:hAnsi="Calibri" w:cs="Calibri"/>
                <w:color w:val="000000"/>
                <w:sz w:val="24"/>
                <w:highlight w:val="none"/>
              </w:rPr>
            </w:pPr>
            <w:r>
              <w:rPr>
                <w:rFonts w:hint="eastAsia" w:ascii="Calibri" w:hAnsi="Calibri" w:cs="Calibri"/>
                <w:color w:val="000000"/>
                <w:sz w:val="24"/>
                <w:highlight w:val="none"/>
              </w:rPr>
              <w:t>获得市级优质工程奖项，给予工程结算金额的</w:t>
            </w:r>
            <w:r>
              <w:rPr>
                <w:rFonts w:hint="eastAsia" w:ascii="Calibri" w:hAnsi="Calibri" w:cs="Calibri"/>
                <w:color w:val="000000"/>
                <w:sz w:val="24"/>
                <w:highlight w:val="none"/>
                <w:u w:val="single"/>
              </w:rPr>
              <w:t xml:space="preserve">   /    </w:t>
            </w:r>
            <w:r>
              <w:rPr>
                <w:rFonts w:hint="eastAsia" w:ascii="Calibri" w:hAnsi="Calibri" w:cs="Calibri"/>
                <w:color w:val="000000"/>
                <w:sz w:val="24"/>
                <w:highlight w:val="none"/>
              </w:rPr>
              <w:t>奖励；</w:t>
            </w:r>
          </w:p>
          <w:p w14:paraId="7F1812D1">
            <w:pPr>
              <w:spacing w:line="520" w:lineRule="exact"/>
              <w:ind w:firstLine="480" w:firstLineChars="200"/>
              <w:rPr>
                <w:rFonts w:ascii="Calibri" w:hAnsi="Calibri" w:cs="Calibri"/>
                <w:color w:val="000000"/>
                <w:sz w:val="24"/>
                <w:highlight w:val="none"/>
              </w:rPr>
            </w:pPr>
            <w:r>
              <w:rPr>
                <w:rFonts w:hint="eastAsia" w:ascii="Calibri" w:hAnsi="Calibri" w:cs="Calibri"/>
                <w:color w:val="000000"/>
                <w:sz w:val="24"/>
                <w:highlight w:val="none"/>
              </w:rPr>
              <w:t>获得省级优质工程奖项，给予工程结算金额的</w:t>
            </w:r>
            <w:r>
              <w:rPr>
                <w:rFonts w:hint="eastAsia" w:ascii="Calibri" w:hAnsi="Calibri" w:cs="Calibri"/>
                <w:color w:val="000000"/>
                <w:sz w:val="24"/>
                <w:highlight w:val="none"/>
                <w:u w:val="single"/>
              </w:rPr>
              <w:t xml:space="preserve">   /    </w:t>
            </w:r>
            <w:r>
              <w:rPr>
                <w:rFonts w:hint="eastAsia" w:ascii="Calibri" w:hAnsi="Calibri" w:cs="Calibri"/>
                <w:color w:val="000000"/>
                <w:sz w:val="24"/>
                <w:highlight w:val="none"/>
              </w:rPr>
              <w:t>奖励；</w:t>
            </w:r>
          </w:p>
          <w:p w14:paraId="5996DB9A">
            <w:pPr>
              <w:spacing w:line="520" w:lineRule="exact"/>
              <w:ind w:firstLine="480" w:firstLineChars="200"/>
              <w:rPr>
                <w:rFonts w:ascii="Calibri" w:hAnsi="Calibri" w:cs="Calibri"/>
                <w:color w:val="000000"/>
                <w:sz w:val="24"/>
                <w:highlight w:val="none"/>
              </w:rPr>
            </w:pPr>
            <w:r>
              <w:rPr>
                <w:rFonts w:hint="eastAsia" w:ascii="Calibri" w:hAnsi="Calibri" w:cs="Calibri"/>
                <w:color w:val="000000"/>
                <w:sz w:val="24"/>
                <w:highlight w:val="none"/>
              </w:rPr>
              <w:t>获得国家级优质工程奖项，给予工程结算金额的</w:t>
            </w:r>
            <w:r>
              <w:rPr>
                <w:rFonts w:hint="eastAsia" w:ascii="Calibri" w:hAnsi="Calibri" w:cs="Calibri"/>
                <w:color w:val="000000"/>
                <w:sz w:val="24"/>
                <w:highlight w:val="none"/>
                <w:u w:val="single"/>
              </w:rPr>
              <w:t xml:space="preserve">   /  </w:t>
            </w:r>
            <w:r>
              <w:rPr>
                <w:rFonts w:hint="eastAsia" w:ascii="Calibri" w:hAnsi="Calibri" w:cs="Calibri"/>
                <w:color w:val="000000"/>
                <w:sz w:val="24"/>
                <w:highlight w:val="none"/>
              </w:rPr>
              <w:t>奖励；</w:t>
            </w:r>
          </w:p>
          <w:p w14:paraId="0B739092">
            <w:pPr>
              <w:spacing w:line="520" w:lineRule="exact"/>
              <w:ind w:firstLine="480" w:firstLineChars="200"/>
              <w:rPr>
                <w:rFonts w:ascii="Calibri" w:hAnsi="Calibri" w:cs="Calibri"/>
                <w:color w:val="000000"/>
                <w:sz w:val="24"/>
                <w:highlight w:val="none"/>
              </w:rPr>
            </w:pPr>
            <w:r>
              <w:rPr>
                <w:rFonts w:hint="eastAsia" w:ascii="Calibri" w:hAnsi="Calibri" w:cs="Calibri"/>
                <w:color w:val="000000"/>
                <w:sz w:val="24"/>
                <w:highlight w:val="none"/>
              </w:rPr>
              <w:t>②创建优质工程其他要求：</w:t>
            </w:r>
            <w:r>
              <w:rPr>
                <w:rFonts w:hint="eastAsia" w:ascii="Calibri" w:hAnsi="Calibri" w:cs="Calibri"/>
                <w:color w:val="000000"/>
                <w:sz w:val="24"/>
                <w:highlight w:val="none"/>
                <w:u w:val="single"/>
              </w:rPr>
              <w:t xml:space="preserve">            /              </w:t>
            </w:r>
            <w:r>
              <w:rPr>
                <w:rFonts w:hint="eastAsia" w:ascii="Calibri" w:hAnsi="Calibri" w:cs="Calibri"/>
                <w:color w:val="000000"/>
                <w:sz w:val="24"/>
                <w:highlight w:val="none"/>
              </w:rPr>
              <w:t>。</w:t>
            </w:r>
          </w:p>
          <w:p w14:paraId="6B7DDA8C">
            <w:pPr>
              <w:keepNext/>
              <w:keepLines/>
              <w:adjustRightInd w:val="0"/>
              <w:snapToGrid w:val="0"/>
              <w:spacing w:line="520" w:lineRule="exact"/>
              <w:outlineLvl w:val="3"/>
              <w:rPr>
                <w:rFonts w:hint="eastAsia" w:ascii="宋体" w:hAnsi="宋体" w:cs="宋体"/>
                <w:b/>
                <w:color w:val="000000"/>
                <w:sz w:val="24"/>
                <w:highlight w:val="none"/>
              </w:rPr>
            </w:pPr>
            <w:r>
              <w:rPr>
                <w:rFonts w:hint="eastAsia" w:ascii="宋体" w:hAnsi="宋体" w:cs="宋体"/>
                <w:b/>
                <w:color w:val="000000"/>
                <w:sz w:val="24"/>
                <w:highlight w:val="none"/>
              </w:rPr>
              <w:t>（2）暂估价</w:t>
            </w:r>
          </w:p>
          <w:p w14:paraId="56361ED3">
            <w:pPr>
              <w:adjustRightInd w:val="0"/>
              <w:snapToGrid w:val="0"/>
              <w:spacing w:line="520" w:lineRule="exact"/>
              <w:ind w:firstLine="720" w:firstLineChars="300"/>
              <w:rPr>
                <w:rFonts w:hint="eastAsia" w:ascii="宋体" w:hAnsi="宋体" w:cs="宋体"/>
                <w:color w:val="000000"/>
                <w:sz w:val="24"/>
                <w:highlight w:val="none"/>
                <w:u w:val="single"/>
              </w:rPr>
            </w:pPr>
            <w:r>
              <w:rPr>
                <w:rFonts w:hint="eastAsia" w:ascii="宋体" w:hAnsi="宋体" w:cs="宋体"/>
                <w:color w:val="000000"/>
                <w:kern w:val="0"/>
                <w:sz w:val="24"/>
                <w:highlight w:val="none"/>
              </w:rPr>
              <w:t xml:space="preserve">暂估价材料、工程设备及专业工程约定： </w:t>
            </w:r>
            <w:r>
              <w:rPr>
                <w:rFonts w:hint="eastAsia" w:ascii="宋体" w:hAnsi="宋体" w:cs="宋体"/>
                <w:color w:val="000000"/>
                <w:kern w:val="0"/>
                <w:sz w:val="24"/>
                <w:highlight w:val="none"/>
                <w:u w:val="single"/>
              </w:rPr>
              <w:t xml:space="preserve">     /      </w:t>
            </w:r>
            <w:r>
              <w:rPr>
                <w:rFonts w:hint="eastAsia" w:ascii="宋体" w:hAnsi="宋体" w:cs="宋体"/>
                <w:color w:val="000000"/>
                <w:kern w:val="0"/>
                <w:sz w:val="24"/>
                <w:highlight w:val="none"/>
              </w:rPr>
              <w:t>。</w:t>
            </w:r>
          </w:p>
          <w:p w14:paraId="75496921">
            <w:pPr>
              <w:spacing w:line="520" w:lineRule="exact"/>
              <w:rPr>
                <w:rFonts w:hint="eastAsia" w:ascii="宋体" w:hAnsi="宋体" w:cs="宋体"/>
                <w:b/>
                <w:bCs/>
                <w:color w:val="000000"/>
                <w:sz w:val="24"/>
                <w:highlight w:val="none"/>
              </w:rPr>
            </w:pPr>
            <w:r>
              <w:rPr>
                <w:rFonts w:hint="eastAsia" w:ascii="宋体" w:hAnsi="宋体" w:cs="宋体"/>
                <w:b/>
                <w:bCs/>
                <w:color w:val="000000"/>
                <w:sz w:val="24"/>
                <w:highlight w:val="none"/>
              </w:rPr>
              <w:t>（3）安全生产</w:t>
            </w:r>
          </w:p>
          <w:p w14:paraId="1C530715">
            <w:pPr>
              <w:spacing w:line="520" w:lineRule="exact"/>
              <w:ind w:firstLine="480" w:firstLineChars="200"/>
              <w:rPr>
                <w:rFonts w:hint="eastAsia" w:ascii="宋体" w:hAnsi="宋体" w:cs="宋体"/>
                <w:color w:val="000000"/>
                <w:sz w:val="24"/>
                <w:highlight w:val="none"/>
              </w:rPr>
            </w:pPr>
            <w:r>
              <w:rPr>
                <w:rFonts w:ascii="Calibri" w:hAnsi="Calibri" w:cs="Calibri"/>
                <w:color w:val="000000"/>
                <w:sz w:val="24"/>
                <w:highlight w:val="none"/>
              </w:rPr>
              <w:t>①</w:t>
            </w:r>
            <w:r>
              <w:rPr>
                <w:rFonts w:hint="eastAsia" w:ascii="宋体" w:hAnsi="宋体" w:cs="宋体"/>
                <w:color w:val="000000"/>
                <w:sz w:val="24"/>
                <w:highlight w:val="none"/>
              </w:rPr>
              <w:t>须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8438047">
            <w:pPr>
              <w:spacing w:line="520" w:lineRule="exact"/>
              <w:ind w:firstLine="480" w:firstLineChars="200"/>
              <w:rPr>
                <w:rFonts w:hint="eastAsia" w:ascii="宋体" w:hAnsi="宋体" w:cs="宋体"/>
                <w:color w:val="000000"/>
                <w:sz w:val="24"/>
                <w:highlight w:val="none"/>
              </w:rPr>
            </w:pPr>
            <w:r>
              <w:rPr>
                <w:rFonts w:ascii="Calibri" w:hAnsi="Calibri" w:cs="Calibri"/>
                <w:color w:val="000000"/>
                <w:sz w:val="24"/>
                <w:highlight w:val="none"/>
              </w:rPr>
              <w:t>②</w:t>
            </w:r>
            <w:r>
              <w:rPr>
                <w:rFonts w:hint="eastAsia" w:ascii="宋体" w:hAnsi="宋体" w:cs="宋体"/>
                <w:color w:val="000000"/>
                <w:sz w:val="24"/>
                <w:highlight w:val="none"/>
              </w:rPr>
              <w:t>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tc>
      </w:tr>
      <w:tr w14:paraId="2D43E379">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72369BF6">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color w:val="000000"/>
                <w:sz w:val="24"/>
                <w:highlight w:val="none"/>
              </w:rPr>
              <w:t>采用“实名认证”投标</w:t>
            </w:r>
          </w:p>
        </w:tc>
        <w:tc>
          <w:tcPr>
            <w:tcW w:w="7175" w:type="dxa"/>
            <w:tcBorders>
              <w:top w:val="single" w:color="auto" w:sz="4" w:space="0"/>
              <w:left w:val="single" w:color="auto" w:sz="4" w:space="0"/>
              <w:bottom w:val="single" w:color="auto" w:sz="4" w:space="0"/>
              <w:right w:val="single" w:color="auto" w:sz="4" w:space="0"/>
            </w:tcBorders>
            <w:vAlign w:val="center"/>
          </w:tcPr>
          <w:p w14:paraId="340A145E">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是，本项目采用“实名认证”投标，相关要求如下：</w:t>
            </w:r>
          </w:p>
          <w:p w14:paraId="01BC387D">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1、“实名认证”投标是指应用“人脸识别”技术，对法定代表人或对投标联系人身份进行实名验证的投标活动。投标联系人或法定代表人在下载招标文件、上传投标文件前，在电子交易系统中完成实名认证比对。</w:t>
            </w:r>
          </w:p>
          <w:p w14:paraId="2CCFBAD3">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2、“实名认证”投标基于“皖企通”APP完成，各投标人提前在手机上下载、安装、调试好“皖企通”APP（具体操作详见滁州市公共资源交易中心网/网上课堂/全部课程/《滁州市公共资源交易系统操作手册（投标人）》）。</w:t>
            </w:r>
          </w:p>
          <w:p w14:paraId="383EF8F6">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3、“人脸识别”身份认证出现异常情况的，作如下处理：</w:t>
            </w:r>
          </w:p>
          <w:p w14:paraId="62E1CAB5">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（1）下载招标文件人脸比对：未参与“人脸识别”身份认证或“人脸识别”身份认证失败的，将无法下载招标文件。</w:t>
            </w:r>
          </w:p>
          <w:p w14:paraId="0B2A7DB0">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color w:val="000000"/>
                <w:sz w:val="24"/>
                <w:szCs w:val="22"/>
                <w:highlight w:val="none"/>
              </w:rPr>
              <w:t>（2）上传投标文件人脸比对：未参与“人脸识别”身份认证或“人脸识别”身份认证失败的，将无法上传投标文件。</w:t>
            </w:r>
          </w:p>
          <w:p w14:paraId="78248D0B">
            <w:pPr>
              <w:adjustRightInd w:val="0"/>
              <w:snapToGrid w:val="0"/>
              <w:spacing w:line="520" w:lineRule="exact"/>
              <w:rPr>
                <w:rFonts w:hint="eastAsia" w:ascii="宋体" w:hAnsi="宋体" w:cs="宋体"/>
                <w:b/>
                <w:bCs/>
                <w:color w:val="000000"/>
                <w:sz w:val="24"/>
                <w:highlight w:val="none"/>
              </w:rPr>
            </w:pPr>
            <w:r>
              <w:rPr>
                <w:rFonts w:hint="eastAsia" w:ascii="宋体" w:hAnsi="宋体" w:cs="宋体"/>
                <w:color w:val="000000"/>
                <w:sz w:val="24"/>
                <w:szCs w:val="22"/>
                <w:highlight w:val="none"/>
              </w:rPr>
              <w:t>注：投标联系人是指下载招标文件、上传投标文件等参与投标活动的经办人。在投标活动中，投标联系人可以不为同一人。</w:t>
            </w:r>
          </w:p>
        </w:tc>
      </w:tr>
      <w:tr w14:paraId="06B309CF">
        <w:tblPrEx>
          <w:tblCellMar>
            <w:top w:w="0" w:type="dxa"/>
            <w:left w:w="108" w:type="dxa"/>
            <w:bottom w:w="0" w:type="dxa"/>
            <w:right w:w="108" w:type="dxa"/>
          </w:tblCellMar>
        </w:tblPrEx>
        <w:trPr>
          <w:trHeight w:val="90" w:hRule="atLeast"/>
          <w:jc w:val="center"/>
        </w:trPr>
        <w:tc>
          <w:tcPr>
            <w:tcW w:w="3000" w:type="dxa"/>
            <w:gridSpan w:val="2"/>
            <w:tcBorders>
              <w:top w:val="single" w:color="auto" w:sz="4" w:space="0"/>
              <w:left w:val="single" w:color="auto" w:sz="4" w:space="0"/>
              <w:bottom w:val="single" w:color="auto" w:sz="4" w:space="0"/>
              <w:right w:val="single" w:color="auto" w:sz="4" w:space="0"/>
            </w:tcBorders>
            <w:vAlign w:val="center"/>
          </w:tcPr>
          <w:p w14:paraId="207A51D4">
            <w:pPr>
              <w:adjustRightInd w:val="0"/>
              <w:snapToGrid w:val="0"/>
              <w:spacing w:line="560" w:lineRule="exact"/>
              <w:jc w:val="center"/>
              <w:rPr>
                <w:rFonts w:hint="eastAsia" w:ascii="宋体" w:hAnsi="宋体" w:cs="宋体"/>
                <w:color w:val="000000"/>
                <w:sz w:val="24"/>
                <w:highlight w:val="none"/>
              </w:rPr>
            </w:pPr>
            <w:r>
              <w:rPr>
                <w:rFonts w:hint="eastAsia" w:ascii="宋体" w:hAnsi="宋体" w:cs="宋体"/>
                <w:sz w:val="24"/>
                <w:highlight w:val="none"/>
              </w:rPr>
              <w:t>政府采购政策</w:t>
            </w:r>
          </w:p>
        </w:tc>
        <w:tc>
          <w:tcPr>
            <w:tcW w:w="7175" w:type="dxa"/>
            <w:tcBorders>
              <w:top w:val="single" w:color="auto" w:sz="4" w:space="0"/>
              <w:left w:val="single" w:color="auto" w:sz="4" w:space="0"/>
              <w:bottom w:val="single" w:color="auto" w:sz="4" w:space="0"/>
              <w:right w:val="single" w:color="auto" w:sz="4" w:space="0"/>
            </w:tcBorders>
            <w:vAlign w:val="center"/>
          </w:tcPr>
          <w:p w14:paraId="0FA206B0">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☑不适用</w:t>
            </w:r>
          </w:p>
          <w:p w14:paraId="55E74B27">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□适用，具体要求如下：</w:t>
            </w:r>
          </w:p>
          <w:p w14:paraId="253B005F">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（1）落实节能产品采购政策：本工程中包含属于《节能产品政府采购品目清单》中政府强制采购的节能产品</w:t>
            </w:r>
            <w:r>
              <w:rPr>
                <w:rStyle w:val="40"/>
                <w:rFonts w:hint="eastAsia" w:ascii="宋体" w:hAnsi="宋体" w:cs="宋体"/>
                <w:sz w:val="24"/>
                <w:szCs w:val="24"/>
                <w:highlight w:val="none"/>
              </w:rPr>
              <w:footnoteReference w:id="2"/>
            </w:r>
            <w:r>
              <w:rPr>
                <w:rFonts w:hint="eastAsia" w:ascii="宋体" w:hAnsi="宋体" w:cs="宋体"/>
                <w:sz w:val="24"/>
                <w:szCs w:val="24"/>
                <w:highlight w:val="none"/>
              </w:rPr>
              <w:t>，投标人施工过程中提供的产品须具有市场监管总局公布的《参与实施政府采购节能产品认证机构目录》中的认证机构出具的、处于有效期内的节能（节水）产品认证证书。</w:t>
            </w:r>
          </w:p>
          <w:p w14:paraId="6389F0E2">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2）加大绿色建材产品在政府采购工程中使用。按照《财政部住房和城乡建设部关于政府采购支持绿色建材促进建筑品质提升试点工作的通知》(财库〔2020〕31号)要求，鼓励工程中优先采购可循环可利用建材、高强度高耐久建材、绿色部品部件、绿色装饰装修材料、节水节能建材等绿色建材产品。</w:t>
            </w:r>
          </w:p>
          <w:p w14:paraId="3DEB0D08">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3）落实绿色包装政府采购需求标准。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D5FBA34">
            <w:pPr>
              <w:pStyle w:val="45"/>
              <w:spacing w:line="520" w:lineRule="exact"/>
              <w:rPr>
                <w:rFonts w:hint="eastAsia" w:ascii="宋体" w:hAnsi="宋体" w:cs="宋体"/>
                <w:sz w:val="24"/>
                <w:szCs w:val="24"/>
                <w:highlight w:val="none"/>
              </w:rPr>
            </w:pPr>
            <w:r>
              <w:rPr>
                <w:rFonts w:hint="eastAsia" w:ascii="宋体" w:hAnsi="宋体" w:cs="宋体"/>
                <w:sz w:val="24"/>
                <w:szCs w:val="24"/>
                <w:highlight w:val="none"/>
              </w:rPr>
              <w:t>（4）《政府采购促进中小企业发展管理办法》政策执行：①对于经主管预算单位统筹后未预留份额专门面向中小企业采购的采购项目，以及预留份额项目中的非预留部分采购包，工程项目应当对小微企业报价给予【选填3%-5%】的扣除，用扣除后的价格参加评审。适用招标投标法的政府采购工程建设项目，采用综合评估法但未采用低价优先法计算价格分的，评标时应当在采用原报价进行评分的基础上增加其价格得分的 【选填3%-5%】作为其价格分。②接受大中型企业与小微企业组成联合体或者允许大中型企业向一家或者多家小微企业分包的采购项目，对于联合协议或者分包意向协议约定小微企业的合同份额占到合同总金额 30%以上的，工程项目应当对联合体或者大中型企业的报价给予 【选填1%-2%】的扣除，用扣除后的价格参加评审。适用招标投标法的政府采购工程建设项目，采用综合评估法但未采用低价优先法计算价格分的，评标时应当在采用原报价进行评分的基础上增加其价格得分的 【选填1%-2%】作为其价格分。组成联合体或者接受分包的小微企业与联合体内其他企业、分包企业之间存在直接控股、管理关系的，不享受价格扣除优惠政策。</w:t>
            </w:r>
          </w:p>
          <w:p w14:paraId="5C7755F9">
            <w:pPr>
              <w:adjustRightInd w:val="0"/>
              <w:snapToGrid w:val="0"/>
              <w:spacing w:line="520" w:lineRule="exact"/>
              <w:rPr>
                <w:rFonts w:hint="eastAsia" w:ascii="宋体" w:hAnsi="宋体" w:cs="宋体"/>
                <w:sz w:val="24"/>
                <w:highlight w:val="none"/>
              </w:rPr>
            </w:pPr>
            <w:r>
              <w:rPr>
                <w:rFonts w:hint="eastAsia" w:ascii="宋体" w:hAnsi="宋体" w:cs="宋体"/>
                <w:sz w:val="24"/>
                <w:highlight w:val="none"/>
              </w:rPr>
              <w:t>（5）监狱企业视同小型、微型企业。监狱企业参加招标活动时，应当提供由省级以上监狱管理局、戒毒管理局（含新疆生产建设兵团）出具的属于监狱企业的证明文件，材料不全的不享受政策。</w:t>
            </w:r>
          </w:p>
          <w:p w14:paraId="692A1FAD">
            <w:pPr>
              <w:adjustRightInd w:val="0"/>
              <w:snapToGrid w:val="0"/>
              <w:spacing w:line="520" w:lineRule="exact"/>
              <w:rPr>
                <w:rFonts w:hint="eastAsia" w:ascii="宋体" w:hAnsi="宋体" w:cs="宋体"/>
                <w:sz w:val="24"/>
                <w:highlight w:val="none"/>
              </w:rPr>
            </w:pPr>
            <w:r>
              <w:rPr>
                <w:rFonts w:hint="eastAsia" w:ascii="宋体" w:hAnsi="宋体" w:cs="宋体"/>
                <w:sz w:val="24"/>
                <w:highlight w:val="none"/>
              </w:rPr>
              <w:t>（6）残疾人福利性单位视同小型、微型企业。符合条件的残疾人福利性单位在参加招标活动时，应当提供《残疾人福利性单位声明函》，并对声明的真实性负责，未提供声明函的不享受政策。</w:t>
            </w:r>
          </w:p>
          <w:p w14:paraId="100E111C">
            <w:pPr>
              <w:adjustRightInd w:val="0"/>
              <w:snapToGrid w:val="0"/>
              <w:spacing w:line="520" w:lineRule="exact"/>
              <w:rPr>
                <w:rFonts w:hint="eastAsia" w:ascii="宋体" w:hAnsi="宋体" w:cs="宋体"/>
                <w:color w:val="000000"/>
                <w:sz w:val="24"/>
                <w:szCs w:val="22"/>
                <w:highlight w:val="none"/>
              </w:rPr>
            </w:pPr>
            <w:r>
              <w:rPr>
                <w:rFonts w:hint="eastAsia" w:ascii="宋体" w:hAnsi="宋体" w:cs="宋体"/>
                <w:sz w:val="24"/>
                <w:highlight w:val="none"/>
              </w:rPr>
              <w:t>（7）其他要求：</w:t>
            </w:r>
            <w:r>
              <w:rPr>
                <w:rFonts w:hint="eastAsia" w:ascii="宋体" w:hAnsi="宋体" w:cs="宋体"/>
                <w:sz w:val="24"/>
                <w:highlight w:val="none"/>
                <w:u w:val="single"/>
              </w:rPr>
              <w:t xml:space="preserve">      /       </w:t>
            </w:r>
            <w:r>
              <w:rPr>
                <w:rFonts w:hint="eastAsia" w:ascii="宋体" w:hAnsi="宋体" w:cs="宋体"/>
                <w:b/>
                <w:bCs/>
                <w:color w:val="000000"/>
                <w:sz w:val="24"/>
                <w:highlight w:val="none"/>
              </w:rPr>
              <w:t xml:space="preserve">  </w:t>
            </w:r>
          </w:p>
        </w:tc>
      </w:tr>
    </w:tbl>
    <w:p w14:paraId="1D8C0B3D">
      <w:pPr>
        <w:keepNext/>
        <w:keepLines/>
        <w:spacing w:before="260" w:after="260" w:line="500" w:lineRule="exact"/>
        <w:outlineLvl w:val="2"/>
        <w:rPr>
          <w:rFonts w:hint="eastAsia" w:ascii="宋体" w:hAnsi="宋体" w:cs="宋体"/>
          <w:bCs/>
          <w:smallCaps/>
          <w:snapToGrid w:val="0"/>
          <w:color w:val="000000"/>
          <w:kern w:val="0"/>
          <w:sz w:val="30"/>
          <w:szCs w:val="30"/>
          <w:highlight w:val="none"/>
        </w:rPr>
        <w:sectPr>
          <w:footerReference r:id="rId5" w:type="default"/>
          <w:pgSz w:w="11910" w:h="16850"/>
          <w:pgMar w:top="1600" w:right="660" w:bottom="1100" w:left="1120" w:header="0" w:footer="746" w:gutter="0"/>
          <w:pgNumType w:start="1"/>
          <w:cols w:space="720" w:num="1"/>
        </w:sectPr>
      </w:pPr>
      <w:bookmarkStart w:id="72" w:name="_Toc283798422"/>
      <w:bookmarkStart w:id="73" w:name="_Toc95223335"/>
      <w:bookmarkStart w:id="74" w:name="_Toc38879323"/>
      <w:bookmarkStart w:id="75" w:name="_Toc25869"/>
    </w:p>
    <w:p w14:paraId="2097F01D">
      <w:pPr>
        <w:keepNext/>
        <w:keepLines/>
        <w:spacing w:before="260" w:after="260" w:line="500" w:lineRule="exact"/>
        <w:jc w:val="center"/>
        <w:outlineLvl w:val="2"/>
        <w:rPr>
          <w:rFonts w:hint="eastAsia" w:ascii="宋体" w:hAnsi="宋体" w:cs="宋体"/>
          <w:smallCaps/>
          <w:snapToGrid w:val="0"/>
          <w:color w:val="000000"/>
          <w:kern w:val="0"/>
          <w:sz w:val="30"/>
          <w:szCs w:val="30"/>
          <w:highlight w:val="none"/>
        </w:rPr>
      </w:pPr>
      <w:r>
        <w:rPr>
          <w:rFonts w:hint="eastAsia" w:ascii="宋体" w:hAnsi="宋体" w:cs="宋体"/>
          <w:bCs/>
          <w:smallCaps/>
          <w:snapToGrid w:val="0"/>
          <w:color w:val="000000"/>
          <w:kern w:val="0"/>
          <w:sz w:val="30"/>
          <w:szCs w:val="30"/>
          <w:highlight w:val="none"/>
        </w:rPr>
        <w:t>投标人须知</w:t>
      </w:r>
      <w:bookmarkEnd w:id="72"/>
      <w:r>
        <w:rPr>
          <w:rFonts w:hint="eastAsia" w:ascii="宋体" w:hAnsi="宋体" w:cs="宋体"/>
          <w:bCs/>
          <w:smallCaps/>
          <w:snapToGrid w:val="0"/>
          <w:color w:val="000000"/>
          <w:kern w:val="0"/>
          <w:sz w:val="30"/>
          <w:szCs w:val="30"/>
          <w:highlight w:val="none"/>
        </w:rPr>
        <w:t>正文修改一览表</w:t>
      </w:r>
      <w:bookmarkEnd w:id="73"/>
      <w:bookmarkEnd w:id="74"/>
      <w:bookmarkEnd w:id="75"/>
    </w:p>
    <w:p w14:paraId="7FE350EA">
      <w:pPr>
        <w:autoSpaceDE w:val="0"/>
        <w:autoSpaceDN w:val="0"/>
        <w:adjustRightInd w:val="0"/>
        <w:snapToGrid w:val="0"/>
        <w:spacing w:line="240" w:lineRule="atLeast"/>
        <w:jc w:val="center"/>
        <w:rPr>
          <w:rFonts w:hint="eastAsia" w:ascii="宋体" w:hAnsi="宋体" w:cs="宋体"/>
          <w:b/>
          <w:color w:val="000000"/>
          <w:sz w:val="31"/>
          <w:szCs w:val="49"/>
          <w:highlight w:val="none"/>
        </w:rPr>
      </w:pPr>
    </w:p>
    <w:p w14:paraId="4EA40CAE">
      <w:pPr>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投标人须知正文条款内容修改如下：</w:t>
      </w:r>
    </w:p>
    <w:p w14:paraId="068749CE">
      <w:pPr>
        <w:autoSpaceDE w:val="0"/>
        <w:autoSpaceDN w:val="0"/>
        <w:adjustRightInd w:val="0"/>
        <w:snapToGrid w:val="0"/>
        <w:spacing w:line="240" w:lineRule="atLeast"/>
        <w:ind w:firstLine="190" w:firstLineChars="100"/>
        <w:rPr>
          <w:rFonts w:hint="eastAsia" w:ascii="宋体" w:hAnsi="宋体" w:cs="宋体"/>
          <w:color w:val="000000"/>
          <w:spacing w:val="-10"/>
          <w:kern w:val="0"/>
          <w:highlight w:val="none"/>
        </w:rPr>
      </w:pP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2501"/>
        <w:gridCol w:w="4406"/>
      </w:tblGrid>
      <w:tr w14:paraId="0593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0F27081B">
            <w:pPr>
              <w:jc w:val="center"/>
              <w:rPr>
                <w:rFonts w:hint="eastAsia" w:ascii="宋体" w:hAnsi="宋体" w:cs="宋体"/>
                <w:b/>
                <w:color w:val="000000"/>
                <w:highlight w:val="none"/>
              </w:rPr>
            </w:pPr>
            <w:r>
              <w:rPr>
                <w:rFonts w:hint="eastAsia" w:ascii="宋体" w:hAnsi="宋体" w:cs="宋体"/>
                <w:b/>
                <w:color w:val="000000"/>
                <w:highlight w:val="none"/>
              </w:rPr>
              <w:t>条款编号</w:t>
            </w:r>
          </w:p>
        </w:tc>
        <w:tc>
          <w:tcPr>
            <w:tcW w:w="2501" w:type="dxa"/>
            <w:tcBorders>
              <w:top w:val="single" w:color="auto" w:sz="4" w:space="0"/>
              <w:left w:val="single" w:color="auto" w:sz="4" w:space="0"/>
              <w:bottom w:val="single" w:color="auto" w:sz="4" w:space="0"/>
              <w:right w:val="single" w:color="auto" w:sz="4" w:space="0"/>
            </w:tcBorders>
            <w:vAlign w:val="center"/>
          </w:tcPr>
          <w:p w14:paraId="676EA3FC">
            <w:pPr>
              <w:jc w:val="center"/>
              <w:rPr>
                <w:rFonts w:hint="eastAsia" w:ascii="宋体" w:hAnsi="宋体" w:cs="宋体"/>
                <w:b/>
                <w:color w:val="000000"/>
                <w:highlight w:val="none"/>
              </w:rPr>
            </w:pPr>
            <w:r>
              <w:rPr>
                <w:rFonts w:hint="eastAsia" w:ascii="宋体" w:hAnsi="宋体" w:cs="宋体"/>
                <w:b/>
                <w:color w:val="000000"/>
                <w:highlight w:val="none"/>
              </w:rPr>
              <w:t>示范文本中条款内容</w:t>
            </w:r>
          </w:p>
        </w:tc>
        <w:tc>
          <w:tcPr>
            <w:tcW w:w="4406" w:type="dxa"/>
            <w:tcBorders>
              <w:top w:val="single" w:color="auto" w:sz="4" w:space="0"/>
              <w:left w:val="single" w:color="auto" w:sz="4" w:space="0"/>
              <w:bottom w:val="single" w:color="auto" w:sz="4" w:space="0"/>
              <w:right w:val="single" w:color="auto" w:sz="4" w:space="0"/>
            </w:tcBorders>
            <w:vAlign w:val="center"/>
          </w:tcPr>
          <w:p w14:paraId="1A95F2E2">
            <w:pPr>
              <w:jc w:val="center"/>
              <w:rPr>
                <w:rFonts w:hint="eastAsia" w:ascii="宋体" w:hAnsi="宋体" w:cs="宋体"/>
                <w:b/>
                <w:color w:val="000000"/>
                <w:highlight w:val="none"/>
              </w:rPr>
            </w:pPr>
            <w:r>
              <w:rPr>
                <w:rFonts w:hint="eastAsia" w:ascii="宋体" w:hAnsi="宋体" w:cs="宋体"/>
                <w:b/>
                <w:color w:val="000000"/>
                <w:highlight w:val="none"/>
              </w:rPr>
              <w:t>修改后条款内容</w:t>
            </w:r>
          </w:p>
        </w:tc>
      </w:tr>
      <w:tr w14:paraId="1AE8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0A14BF1C">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58F43C0F">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2CB0EFB4">
            <w:pPr>
              <w:jc w:val="center"/>
              <w:rPr>
                <w:rFonts w:hint="eastAsia" w:ascii="宋体" w:hAnsi="宋体" w:cs="宋体"/>
                <w:color w:val="000000"/>
                <w:highlight w:val="none"/>
              </w:rPr>
            </w:pPr>
          </w:p>
        </w:tc>
      </w:tr>
      <w:tr w14:paraId="1754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6A71B4C6">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2731123B">
            <w:pPr>
              <w:snapToGrid w:val="0"/>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20953668">
            <w:pPr>
              <w:jc w:val="center"/>
              <w:rPr>
                <w:rFonts w:hint="eastAsia" w:ascii="宋体" w:hAnsi="宋体" w:cs="宋体"/>
                <w:b/>
                <w:color w:val="000000"/>
                <w:highlight w:val="none"/>
              </w:rPr>
            </w:pPr>
          </w:p>
        </w:tc>
      </w:tr>
      <w:tr w14:paraId="4CA8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2F1BE1F1">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5BB7B6C9">
            <w:pPr>
              <w:snapToGrid w:val="0"/>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31EC2DDD">
            <w:pPr>
              <w:jc w:val="center"/>
              <w:rPr>
                <w:rFonts w:hint="eastAsia" w:ascii="宋体" w:hAnsi="宋体" w:cs="宋体"/>
                <w:b/>
                <w:color w:val="000000"/>
                <w:highlight w:val="none"/>
              </w:rPr>
            </w:pPr>
          </w:p>
        </w:tc>
      </w:tr>
      <w:tr w14:paraId="2DE3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6DA7E80A">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5D7DBC25">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3BA7C2AA">
            <w:pPr>
              <w:snapToGrid w:val="0"/>
              <w:jc w:val="center"/>
              <w:rPr>
                <w:rFonts w:hint="eastAsia" w:ascii="宋体" w:hAnsi="宋体" w:cs="宋体"/>
                <w:color w:val="000000"/>
                <w:highlight w:val="none"/>
              </w:rPr>
            </w:pPr>
          </w:p>
        </w:tc>
      </w:tr>
      <w:tr w14:paraId="2168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16E8DD0B">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7E74A10B">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5B533016">
            <w:pPr>
              <w:jc w:val="center"/>
              <w:rPr>
                <w:rFonts w:hint="eastAsia" w:ascii="宋体" w:hAnsi="宋体" w:cs="宋体"/>
                <w:color w:val="000000"/>
                <w:highlight w:val="none"/>
              </w:rPr>
            </w:pPr>
          </w:p>
        </w:tc>
      </w:tr>
      <w:tr w14:paraId="022C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4476DBFB">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1EE2105D">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619A9401">
            <w:pPr>
              <w:jc w:val="center"/>
              <w:rPr>
                <w:rFonts w:hint="eastAsia" w:ascii="宋体" w:hAnsi="宋体" w:cs="宋体"/>
                <w:color w:val="000000"/>
                <w:highlight w:val="none"/>
              </w:rPr>
            </w:pPr>
          </w:p>
        </w:tc>
      </w:tr>
      <w:tr w14:paraId="1A8A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0B6145B4">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2DBBBC85">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163C18A5">
            <w:pPr>
              <w:jc w:val="center"/>
              <w:rPr>
                <w:rFonts w:hint="eastAsia" w:ascii="宋体" w:hAnsi="宋体" w:cs="宋体"/>
                <w:color w:val="000000"/>
                <w:highlight w:val="none"/>
              </w:rPr>
            </w:pPr>
          </w:p>
        </w:tc>
      </w:tr>
      <w:tr w14:paraId="1CB8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42724878">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3552EFC2">
            <w:pPr>
              <w:jc w:val="center"/>
              <w:rPr>
                <w:rFonts w:hint="eastAsia" w:ascii="宋体" w:hAnsi="宋体" w:cs="宋体"/>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49C4C4A3">
            <w:pPr>
              <w:jc w:val="center"/>
              <w:rPr>
                <w:rFonts w:hint="eastAsia" w:ascii="宋体" w:hAnsi="宋体" w:cs="宋体"/>
                <w:color w:val="000000"/>
                <w:highlight w:val="none"/>
              </w:rPr>
            </w:pPr>
          </w:p>
        </w:tc>
      </w:tr>
      <w:tr w14:paraId="536B1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597" w:type="dxa"/>
            <w:tcBorders>
              <w:top w:val="single" w:color="auto" w:sz="4" w:space="0"/>
              <w:left w:val="single" w:color="auto" w:sz="4" w:space="0"/>
              <w:bottom w:val="single" w:color="auto" w:sz="4" w:space="0"/>
              <w:right w:val="single" w:color="auto" w:sz="4" w:space="0"/>
            </w:tcBorders>
            <w:vAlign w:val="center"/>
          </w:tcPr>
          <w:p w14:paraId="6A83EEB5">
            <w:pPr>
              <w:jc w:val="center"/>
              <w:rPr>
                <w:rFonts w:hint="eastAsia" w:ascii="宋体" w:hAnsi="宋体" w:cs="宋体"/>
                <w:color w:val="000000"/>
                <w:highlight w:val="none"/>
              </w:rPr>
            </w:pPr>
          </w:p>
        </w:tc>
        <w:tc>
          <w:tcPr>
            <w:tcW w:w="2501" w:type="dxa"/>
            <w:tcBorders>
              <w:top w:val="single" w:color="auto" w:sz="4" w:space="0"/>
              <w:left w:val="single" w:color="auto" w:sz="4" w:space="0"/>
              <w:bottom w:val="single" w:color="auto" w:sz="4" w:space="0"/>
              <w:right w:val="single" w:color="auto" w:sz="4" w:space="0"/>
            </w:tcBorders>
            <w:vAlign w:val="center"/>
          </w:tcPr>
          <w:p w14:paraId="62697E94">
            <w:pPr>
              <w:jc w:val="center"/>
              <w:rPr>
                <w:rFonts w:hint="eastAsia" w:ascii="宋体" w:hAnsi="宋体" w:cs="宋体"/>
                <w:b/>
                <w:color w:val="000000"/>
                <w:highlight w:val="none"/>
              </w:rPr>
            </w:pPr>
          </w:p>
        </w:tc>
        <w:tc>
          <w:tcPr>
            <w:tcW w:w="4406" w:type="dxa"/>
            <w:tcBorders>
              <w:top w:val="single" w:color="auto" w:sz="4" w:space="0"/>
              <w:left w:val="single" w:color="auto" w:sz="4" w:space="0"/>
              <w:bottom w:val="single" w:color="auto" w:sz="4" w:space="0"/>
              <w:right w:val="single" w:color="auto" w:sz="4" w:space="0"/>
            </w:tcBorders>
            <w:vAlign w:val="center"/>
          </w:tcPr>
          <w:p w14:paraId="0429D208">
            <w:pPr>
              <w:jc w:val="center"/>
              <w:rPr>
                <w:rFonts w:hint="eastAsia" w:ascii="宋体" w:hAnsi="宋体" w:cs="宋体"/>
                <w:b/>
                <w:color w:val="000000"/>
                <w:highlight w:val="none"/>
              </w:rPr>
            </w:pPr>
          </w:p>
        </w:tc>
      </w:tr>
    </w:tbl>
    <w:p w14:paraId="4F51D21F">
      <w:pPr>
        <w:pStyle w:val="15"/>
        <w:adjustRightInd w:val="0"/>
        <w:snapToGrid w:val="0"/>
        <w:spacing w:after="0" w:line="560" w:lineRule="exact"/>
        <w:rPr>
          <w:color w:val="000000"/>
          <w:sz w:val="22"/>
          <w:highlight w:val="none"/>
        </w:rPr>
        <w:sectPr>
          <w:pgSz w:w="11910" w:h="16850"/>
          <w:pgMar w:top="1600" w:right="660" w:bottom="1100" w:left="1120" w:header="0" w:footer="746" w:gutter="0"/>
          <w:pgNumType w:start="1"/>
          <w:cols w:space="720" w:num="1"/>
        </w:sectPr>
      </w:pPr>
    </w:p>
    <w:p w14:paraId="10F6D398">
      <w:pPr>
        <w:pStyle w:val="4"/>
        <w:pageBreakBefore/>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6" w:name="_Toc95223336"/>
      <w:bookmarkStart w:id="77" w:name="_Toc60061433"/>
      <w:bookmarkStart w:id="78" w:name="_Toc83301688"/>
      <w:r>
        <w:rPr>
          <w:rFonts w:hint="eastAsia" w:ascii="黑体" w:hAnsi="黑体" w:cs="黑体"/>
          <w:color w:val="000000"/>
          <w:sz w:val="21"/>
          <w:szCs w:val="21"/>
          <w:highlight w:val="none"/>
        </w:rPr>
        <w:t>1. 总则</w:t>
      </w:r>
      <w:bookmarkEnd w:id="62"/>
      <w:bookmarkEnd w:id="63"/>
      <w:bookmarkEnd w:id="64"/>
      <w:bookmarkEnd w:id="65"/>
      <w:bookmarkEnd w:id="66"/>
      <w:bookmarkEnd w:id="67"/>
      <w:bookmarkEnd w:id="68"/>
      <w:bookmarkEnd w:id="69"/>
      <w:bookmarkEnd w:id="70"/>
      <w:bookmarkEnd w:id="71"/>
      <w:bookmarkEnd w:id="76"/>
      <w:bookmarkEnd w:id="77"/>
      <w:bookmarkEnd w:id="78"/>
    </w:p>
    <w:p w14:paraId="68202A0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79" w:name="_Toc247085690"/>
      <w:bookmarkStart w:id="80" w:name="_Toc60061434"/>
      <w:bookmarkStart w:id="81" w:name="_Toc296602421"/>
      <w:bookmarkStart w:id="82" w:name="_Toc179632547"/>
      <w:bookmarkStart w:id="83" w:name="_Toc324404816"/>
      <w:bookmarkStart w:id="84" w:name="_Toc506107270"/>
      <w:bookmarkStart w:id="85" w:name="_Toc83301689"/>
      <w:bookmarkStart w:id="86" w:name="_Toc152045530"/>
      <w:bookmarkStart w:id="87" w:name="_Toc152042306"/>
      <w:bookmarkStart w:id="88" w:name="_Toc15058847"/>
      <w:bookmarkStart w:id="89" w:name="_Toc95223337"/>
      <w:bookmarkStart w:id="90" w:name="_Toc246996176"/>
      <w:bookmarkStart w:id="91" w:name="_Toc144974498"/>
      <w:bookmarkStart w:id="92" w:name="_Toc246996919"/>
      <w:r>
        <w:rPr>
          <w:rFonts w:hint="eastAsia" w:ascii="黑体" w:hAnsi="黑体" w:eastAsia="黑体" w:cs="黑体"/>
          <w:color w:val="000000"/>
          <w:sz w:val="21"/>
          <w:szCs w:val="21"/>
          <w:highlight w:val="none"/>
        </w:rPr>
        <w:t>1.1 项目概况</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34F88CF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1.1.1根据《中华人民共和国招标投标法》《中华人民共和国招标投标法实施条例》等有关法律、法规和规章的规定，本招标项目已具备招标条件，现对本项目施工进行招标。</w:t>
      </w:r>
    </w:p>
    <w:p w14:paraId="3E45557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1.1.2 本招标项目招标人：见投标人须知前附表。</w:t>
      </w:r>
    </w:p>
    <w:p w14:paraId="04EDBA9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1.1.3 本招标项目招标代理机构：见投标人须知前附表。</w:t>
      </w:r>
    </w:p>
    <w:p w14:paraId="2F1BD0F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1.1.4 本招标项目名称：见投标人须知前附表。</w:t>
      </w:r>
    </w:p>
    <w:p w14:paraId="592CE16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1.1.5 本招标项目建设地点：见投标人须知前附表。</w:t>
      </w:r>
    </w:p>
    <w:p w14:paraId="29D043C6">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93" w:name="_Toc60061435"/>
      <w:bookmarkStart w:id="94" w:name="_Toc152042307"/>
      <w:bookmarkStart w:id="95" w:name="_Toc152045531"/>
      <w:bookmarkStart w:id="96" w:name="_Toc144974499"/>
      <w:bookmarkStart w:id="97" w:name="_Toc95223338"/>
      <w:bookmarkStart w:id="98" w:name="_Toc324404817"/>
      <w:bookmarkStart w:id="99" w:name="_Toc83301690"/>
      <w:bookmarkStart w:id="100" w:name="_Toc246996920"/>
      <w:bookmarkStart w:id="101" w:name="_Toc247085691"/>
      <w:bookmarkStart w:id="102" w:name="_Toc15058848"/>
      <w:bookmarkStart w:id="103" w:name="_Toc179632548"/>
      <w:bookmarkStart w:id="104" w:name="_Toc296602422"/>
      <w:bookmarkStart w:id="105" w:name="_Toc506107271"/>
      <w:bookmarkStart w:id="106" w:name="_Toc246996177"/>
      <w:r>
        <w:rPr>
          <w:rFonts w:hint="eastAsia" w:ascii="黑体" w:hAnsi="黑体" w:eastAsia="黑体" w:cs="黑体"/>
          <w:color w:val="000000"/>
          <w:sz w:val="21"/>
          <w:szCs w:val="21"/>
          <w:highlight w:val="none"/>
        </w:rPr>
        <w:t>1.2 资金来源和落实情况</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35C4D97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1.2.1 本招标项目的资金来源及出资比例：见投标人须知前附表。</w:t>
      </w:r>
    </w:p>
    <w:p w14:paraId="5BD7C8E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1.2.2 本招标项目的资金落实情况：见投标人须知前附表。</w:t>
      </w:r>
    </w:p>
    <w:p w14:paraId="0044215D">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07" w:name="_Toc179632549"/>
      <w:bookmarkStart w:id="108" w:name="_Toc246996921"/>
      <w:bookmarkStart w:id="109" w:name="_Toc246996178"/>
      <w:bookmarkStart w:id="110" w:name="_Toc83301691"/>
      <w:bookmarkStart w:id="111" w:name="_Toc152045532"/>
      <w:bookmarkStart w:id="112" w:name="_Toc95223339"/>
      <w:bookmarkStart w:id="113" w:name="_Toc324404818"/>
      <w:bookmarkStart w:id="114" w:name="_Toc144974500"/>
      <w:bookmarkStart w:id="115" w:name="_Toc60061436"/>
      <w:bookmarkStart w:id="116" w:name="_Toc15058849"/>
      <w:bookmarkStart w:id="117" w:name="_Toc296602423"/>
      <w:bookmarkStart w:id="118" w:name="_Toc152042308"/>
      <w:bookmarkStart w:id="119" w:name="_Toc247085692"/>
      <w:bookmarkStart w:id="120" w:name="_Toc506107272"/>
      <w:r>
        <w:rPr>
          <w:rFonts w:hint="eastAsia" w:ascii="黑体" w:hAnsi="黑体" w:eastAsia="黑体" w:cs="黑体"/>
          <w:color w:val="000000"/>
          <w:sz w:val="21"/>
          <w:szCs w:val="21"/>
          <w:highlight w:val="none"/>
        </w:rPr>
        <w:t>1.3 招标范围、计划工期、质量要求</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50C0AA8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1.3.1 本次招标范围：见投标人须知前附表。</w:t>
      </w:r>
    </w:p>
    <w:p w14:paraId="0A5ACA4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1.3.2 本招标项目的计划工期：见投标人须知前附表。</w:t>
      </w:r>
    </w:p>
    <w:p w14:paraId="580F91E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1.3.3 本招标项目的质量要求：见投标人须知前附表。</w:t>
      </w:r>
    </w:p>
    <w:p w14:paraId="685C87DB">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21" w:name="_Toc152042310"/>
      <w:bookmarkStart w:id="122" w:name="_Toc179632551"/>
      <w:bookmarkStart w:id="123" w:name="_Toc324404819"/>
      <w:bookmarkStart w:id="124" w:name="_Toc247085693"/>
      <w:bookmarkStart w:id="125" w:name="_Toc506107273"/>
      <w:bookmarkStart w:id="126" w:name="_Toc144974502"/>
      <w:bookmarkStart w:id="127" w:name="_Toc246996922"/>
      <w:bookmarkStart w:id="128" w:name="_Toc15058850"/>
      <w:bookmarkStart w:id="129" w:name="_Toc60061437"/>
      <w:bookmarkStart w:id="130" w:name="_Toc296602424"/>
      <w:bookmarkStart w:id="131" w:name="_Toc246996179"/>
      <w:bookmarkStart w:id="132" w:name="_Toc95223340"/>
      <w:bookmarkStart w:id="133" w:name="_Toc152045534"/>
      <w:bookmarkStart w:id="134" w:name="_Toc83301692"/>
      <w:r>
        <w:rPr>
          <w:rFonts w:hint="eastAsia" w:ascii="黑体" w:hAnsi="黑体" w:eastAsia="黑体" w:cs="黑体"/>
          <w:color w:val="000000"/>
          <w:sz w:val="21"/>
          <w:szCs w:val="21"/>
          <w:highlight w:val="none"/>
        </w:rPr>
        <w:t>1.4 投标人资格要求</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40D4C6F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1.4.1 投标人应具备承担本项目施工的资质条件、能力和信誉。</w:t>
      </w:r>
    </w:p>
    <w:p w14:paraId="3DE17C2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（1）资质条件：见投标人须知前附表；</w:t>
      </w:r>
    </w:p>
    <w:p w14:paraId="0E647AC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（2）信誉要求：见投标人须知前附表；</w:t>
      </w:r>
    </w:p>
    <w:p w14:paraId="3FC7B86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（3）项目经理（建造师）资格：见投标人须知前附表；</w:t>
      </w:r>
    </w:p>
    <w:p w14:paraId="6BFA2E8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（4）其他要求：见投标人须知前附表。</w:t>
      </w:r>
    </w:p>
    <w:p w14:paraId="77D77BC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1.4.2 投标人须知前附表规定接受联合体投标的，除应符合本章第1.4.1项和投标人须知前附表的要求外，还应遵守以下规定： </w:t>
      </w:r>
    </w:p>
    <w:p w14:paraId="20B39A6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（1）联合体各方应按招标文件提供的格式签订联合体协议书，明确联合体各方权利义务</w:t>
      </w:r>
      <w:r>
        <w:rPr>
          <w:color w:val="000000"/>
          <w:spacing w:val="-3"/>
          <w:highlight w:val="none"/>
        </w:rPr>
        <w:t>，并承诺就中标项目向招标人承担连带责任</w:t>
      </w:r>
      <w:r>
        <w:rPr>
          <w:rFonts w:hint="eastAsia" w:ascii="宋体" w:hAnsi="宋体" w:cs="宋体"/>
          <w:color w:val="000000"/>
          <w:szCs w:val="21"/>
          <w:highlight w:val="none"/>
        </w:rPr>
        <w:t>；</w:t>
      </w:r>
    </w:p>
    <w:p w14:paraId="2537C5BA">
      <w:pPr>
        <w:adjustRightInd w:val="0"/>
        <w:snapToGrid w:val="0"/>
        <w:spacing w:line="560" w:lineRule="exact"/>
        <w:ind w:firstLine="420" w:firstLineChars="200"/>
        <w:rPr>
          <w:color w:val="000000"/>
          <w:highlight w:val="none"/>
        </w:rPr>
      </w:pPr>
      <w:r>
        <w:rPr>
          <w:rFonts w:hint="eastAsia" w:ascii="宋体" w:hAnsi="宋体" w:cs="宋体"/>
          <w:color w:val="000000"/>
          <w:szCs w:val="21"/>
          <w:highlight w:val="none"/>
        </w:rPr>
        <w:t>（2）联合体各方不得再以自己名义单独或参加其他联合体在同一标段中投标。</w:t>
      </w:r>
    </w:p>
    <w:p w14:paraId="67A935A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1.4.3</w:t>
      </w:r>
      <w:bookmarkStart w:id="135" w:name="_Toc95223341"/>
      <w:bookmarkStart w:id="136" w:name="_Toc246996923"/>
      <w:bookmarkStart w:id="137" w:name="_Toc152042311"/>
      <w:bookmarkStart w:id="138" w:name="_Toc83301693"/>
      <w:bookmarkStart w:id="139" w:name="_Toc246996180"/>
      <w:bookmarkStart w:id="140" w:name="_Toc324404820"/>
      <w:bookmarkStart w:id="141" w:name="_Toc296602425"/>
      <w:bookmarkStart w:id="142" w:name="_Toc60061438"/>
      <w:bookmarkStart w:id="143" w:name="_Toc144974503"/>
      <w:bookmarkStart w:id="144" w:name="_Toc179632552"/>
      <w:bookmarkStart w:id="145" w:name="_Toc152045535"/>
      <w:bookmarkStart w:id="146" w:name="_Toc247085694"/>
      <w:bookmarkStart w:id="147" w:name="_Toc15058851"/>
      <w:bookmarkStart w:id="148" w:name="_Toc506107274"/>
      <w:r>
        <w:rPr>
          <w:rFonts w:hint="eastAsia" w:ascii="宋体" w:hAnsi="宋体" w:cs="宋体"/>
          <w:color w:val="000000"/>
          <w:szCs w:val="21"/>
          <w:highlight w:val="none"/>
        </w:rPr>
        <w:t>投标人（包括联合体各成员）不得存在以下情形：</w:t>
      </w:r>
    </w:p>
    <w:p w14:paraId="617C33A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（1）为招标人不具有独立法人资格的附属机构（单位）；</w:t>
      </w:r>
    </w:p>
    <w:p w14:paraId="74D5EA9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（2）与招标人存在利害关系且可能影响招标公正性；</w:t>
      </w:r>
    </w:p>
    <w:p w14:paraId="4D95EF7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（3）与本标段的其他投标人同为一个单位负责人；</w:t>
      </w:r>
    </w:p>
    <w:p w14:paraId="0C11444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（4）与本标段的其他投标人存在控股、管理关系；</w:t>
      </w:r>
    </w:p>
    <w:p w14:paraId="0D756F0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（5）为本标段前期准备提供设计或咨询服务的法人或其任何附属机构（单位）</w:t>
      </w:r>
      <w:r>
        <w:rPr>
          <w:rFonts w:hint="eastAsia" w:ascii="宋体" w:hAnsi="宋体" w:cs="宋体"/>
          <w:b/>
          <w:color w:val="000000"/>
          <w:szCs w:val="21"/>
          <w:highlight w:val="none"/>
        </w:rPr>
        <w:t>(本项目不采用)</w:t>
      </w:r>
      <w:r>
        <w:rPr>
          <w:rFonts w:hint="eastAsia" w:ascii="宋体" w:hAnsi="宋体" w:cs="宋体"/>
          <w:color w:val="000000"/>
          <w:szCs w:val="21"/>
          <w:highlight w:val="none"/>
        </w:rPr>
        <w:t>；</w:t>
      </w:r>
    </w:p>
    <w:p w14:paraId="6D301B9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（6）为本标段的监理人；</w:t>
      </w:r>
    </w:p>
    <w:p w14:paraId="699FE38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（7）为本标段的代建人；</w:t>
      </w:r>
    </w:p>
    <w:p w14:paraId="35E859D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（8）为本标段的招标代理机构；</w:t>
      </w:r>
    </w:p>
    <w:p w14:paraId="2DCB052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（9）与本标段的监理人或代建人或招标代理机构同为一个法定代表人；</w:t>
      </w:r>
    </w:p>
    <w:p w14:paraId="6091EC5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（10）与本标段的监理人或代建人或招标代理机构存在控股或参股关系；</w:t>
      </w:r>
    </w:p>
    <w:p w14:paraId="59253F9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（11）被依法取消投标资格，且在处罚期和处罚范围内（以有关行政管理部门的行政处罚决定或司法机关出具的有关法律文书为准）；</w:t>
      </w:r>
    </w:p>
    <w:p w14:paraId="050475B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（12）在最近三年内（自投标截止之日向前追溯3年）有骗取中标或串通投标或严重违约或重大工程质量事故</w:t>
      </w:r>
      <w:r>
        <w:rPr>
          <w:rFonts w:hint="eastAsia" w:ascii="宋体" w:hAnsi="宋体" w:cs="宋体"/>
          <w:color w:val="000000"/>
          <w:szCs w:val="21"/>
          <w:highlight w:val="none"/>
        </w:rPr>
        <w:footnoteReference w:id="3"/>
      </w:r>
      <w:r>
        <w:rPr>
          <w:rFonts w:hint="eastAsia" w:ascii="宋体" w:hAnsi="宋体" w:cs="宋体"/>
          <w:color w:val="000000"/>
          <w:szCs w:val="21"/>
          <w:highlight w:val="none"/>
        </w:rPr>
        <w:t>或重大生产安全事故</w:t>
      </w:r>
      <w:r>
        <w:rPr>
          <w:rFonts w:hint="eastAsia" w:ascii="宋体" w:hAnsi="宋体" w:cs="宋体"/>
          <w:color w:val="000000"/>
          <w:szCs w:val="21"/>
          <w:highlight w:val="none"/>
        </w:rPr>
        <w:footnoteReference w:id="4"/>
      </w:r>
      <w:r>
        <w:rPr>
          <w:rFonts w:hint="eastAsia" w:ascii="宋体" w:hAnsi="宋体" w:cs="宋体"/>
          <w:color w:val="000000"/>
          <w:szCs w:val="21"/>
          <w:highlight w:val="none"/>
        </w:rPr>
        <w:t>的（以相关行业主管部门的行政处罚决定或司法机关出具的有关法律文书为准）。上述情形已完成信用修复的除外；</w:t>
      </w:r>
    </w:p>
    <w:p w14:paraId="1724D7B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（13）被责令停业，暂扣或吊销执照、安全生产许可证，或吊销资质证书；</w:t>
      </w:r>
    </w:p>
    <w:p w14:paraId="7B74EA2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（14）进入清算程序，或被宣告破产，或其他丧失履约能力的情形；</w:t>
      </w:r>
    </w:p>
    <w:p w14:paraId="4F472C5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（15）投标人或其法定代表人、项目经理在最近三年内（自投标截止之日向前追溯3年）有行贿犯罪行为；</w:t>
      </w:r>
    </w:p>
    <w:p w14:paraId="787BCC9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（16）法律法规或投标人须知前附表规定的其他情形。</w:t>
      </w:r>
    </w:p>
    <w:p w14:paraId="40654474">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r>
        <w:rPr>
          <w:rFonts w:hint="eastAsia" w:ascii="黑体" w:hAnsi="黑体" w:eastAsia="黑体" w:cs="黑体"/>
          <w:color w:val="000000"/>
          <w:sz w:val="21"/>
          <w:szCs w:val="21"/>
          <w:highlight w:val="none"/>
        </w:rPr>
        <w:t>1.5 费用承担</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7FFF09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投标人准备和参加投标活动发生的费用自理。</w:t>
      </w:r>
    </w:p>
    <w:p w14:paraId="00BD40D3">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49" w:name="_Toc324404821"/>
      <w:bookmarkStart w:id="150" w:name="_Toc179632553"/>
      <w:bookmarkStart w:id="151" w:name="_Toc83301694"/>
      <w:bookmarkStart w:id="152" w:name="_Toc246996924"/>
      <w:bookmarkStart w:id="153" w:name="_Toc144974504"/>
      <w:bookmarkStart w:id="154" w:name="_Toc246996181"/>
      <w:bookmarkStart w:id="155" w:name="_Toc247085695"/>
      <w:bookmarkStart w:id="156" w:name="_Toc95223342"/>
      <w:bookmarkStart w:id="157" w:name="_Toc506107275"/>
      <w:bookmarkStart w:id="158" w:name="_Toc152045536"/>
      <w:bookmarkStart w:id="159" w:name="_Toc296602426"/>
      <w:bookmarkStart w:id="160" w:name="_Toc152042312"/>
      <w:bookmarkStart w:id="161" w:name="_Toc60061439"/>
      <w:bookmarkStart w:id="162" w:name="_Toc15058852"/>
      <w:r>
        <w:rPr>
          <w:rFonts w:hint="eastAsia" w:ascii="黑体" w:hAnsi="黑体" w:eastAsia="黑体" w:cs="黑体"/>
          <w:color w:val="000000"/>
          <w:sz w:val="21"/>
          <w:szCs w:val="21"/>
          <w:highlight w:val="none"/>
        </w:rPr>
        <w:t>1.6 保密</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776C971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参与招标投标活动的各方应对招标文件和投标文件中的商业和技术等秘密保密，违者应对由此造成的后果承担法律责任。 </w:t>
      </w:r>
    </w:p>
    <w:p w14:paraId="1BEC8521">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63" w:name="_Toc144974505"/>
      <w:bookmarkStart w:id="164" w:name="_Toc246996925"/>
      <w:bookmarkStart w:id="165" w:name="_Toc95223343"/>
      <w:bookmarkStart w:id="166" w:name="_Toc83301695"/>
      <w:bookmarkStart w:id="167" w:name="_Toc247085696"/>
      <w:bookmarkStart w:id="168" w:name="_Toc152045537"/>
      <w:bookmarkStart w:id="169" w:name="_Toc246996182"/>
      <w:bookmarkStart w:id="170" w:name="_Toc60061440"/>
      <w:bookmarkStart w:id="171" w:name="_Toc15058853"/>
      <w:bookmarkStart w:id="172" w:name="_Toc152042313"/>
      <w:bookmarkStart w:id="173" w:name="_Toc506107276"/>
      <w:bookmarkStart w:id="174" w:name="_Toc296602427"/>
      <w:bookmarkStart w:id="175" w:name="_Toc324404822"/>
      <w:bookmarkStart w:id="176" w:name="_Toc179632554"/>
      <w:r>
        <w:rPr>
          <w:rFonts w:hint="eastAsia" w:ascii="黑体" w:hAnsi="黑体" w:eastAsia="黑体" w:cs="黑体"/>
          <w:color w:val="000000"/>
          <w:sz w:val="21"/>
          <w:szCs w:val="21"/>
          <w:highlight w:val="none"/>
        </w:rPr>
        <w:t>1.7 语言</w:t>
      </w:r>
      <w:bookmarkEnd w:id="163"/>
      <w:r>
        <w:rPr>
          <w:rFonts w:hint="eastAsia" w:ascii="黑体" w:hAnsi="黑体" w:eastAsia="黑体" w:cs="黑体"/>
          <w:color w:val="000000"/>
          <w:sz w:val="21"/>
          <w:szCs w:val="21"/>
          <w:highlight w:val="none"/>
        </w:rPr>
        <w:t>文字</w:t>
      </w:r>
      <w:bookmarkEnd w:id="164"/>
      <w:bookmarkEnd w:id="165"/>
      <w:bookmarkEnd w:id="166"/>
      <w:bookmarkEnd w:id="167"/>
      <w:bookmarkEnd w:id="168"/>
      <w:bookmarkEnd w:id="169"/>
      <w:bookmarkEnd w:id="170"/>
      <w:bookmarkEnd w:id="171"/>
      <w:bookmarkEnd w:id="172"/>
      <w:bookmarkEnd w:id="173"/>
      <w:bookmarkEnd w:id="174"/>
      <w:bookmarkEnd w:id="175"/>
      <w:bookmarkEnd w:id="176"/>
    </w:p>
    <w:p w14:paraId="5BBBFE1B">
      <w:pPr>
        <w:adjustRightInd w:val="0"/>
        <w:snapToGrid w:val="0"/>
        <w:spacing w:line="560" w:lineRule="exact"/>
        <w:ind w:firstLine="420" w:firstLineChars="200"/>
        <w:rPr>
          <w:rFonts w:hint="eastAsia" w:ascii="宋体" w:hAnsi="宋体" w:cs="宋体"/>
          <w:color w:val="000000"/>
          <w:szCs w:val="21"/>
          <w:highlight w:val="none"/>
        </w:rPr>
      </w:pPr>
      <w:bookmarkStart w:id="177" w:name="_Toc247085697"/>
      <w:bookmarkStart w:id="178" w:name="_Toc152045538"/>
      <w:bookmarkStart w:id="179" w:name="_Toc246996183"/>
      <w:bookmarkStart w:id="180" w:name="_Toc152042314"/>
      <w:bookmarkStart w:id="181" w:name="_Toc179632555"/>
      <w:bookmarkStart w:id="182" w:name="_Toc144974506"/>
      <w:bookmarkStart w:id="183" w:name="_Toc246996926"/>
      <w:r>
        <w:rPr>
          <w:rFonts w:hint="eastAsia" w:ascii="宋体" w:hAnsi="宋体" w:cs="宋体"/>
          <w:color w:val="000000"/>
          <w:szCs w:val="21"/>
          <w:highlight w:val="none"/>
        </w:rPr>
        <w:t>招标投标文件使用的语言文字为中文。专用术语使用外文的，应附有中文注释。</w:t>
      </w:r>
    </w:p>
    <w:p w14:paraId="561037B6">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84" w:name="_Toc83301696"/>
      <w:bookmarkStart w:id="185" w:name="_Toc324404823"/>
      <w:bookmarkStart w:id="186" w:name="_Toc296602428"/>
      <w:bookmarkStart w:id="187" w:name="_Toc506107277"/>
      <w:bookmarkStart w:id="188" w:name="_Toc95223344"/>
      <w:bookmarkStart w:id="189" w:name="_Toc15058854"/>
      <w:bookmarkStart w:id="190" w:name="_Toc60061441"/>
      <w:r>
        <w:rPr>
          <w:rFonts w:hint="eastAsia" w:ascii="黑体" w:hAnsi="黑体" w:eastAsia="黑体" w:cs="黑体"/>
          <w:color w:val="000000"/>
          <w:sz w:val="21"/>
          <w:szCs w:val="21"/>
          <w:highlight w:val="none"/>
        </w:rPr>
        <w:t>1.8 计量单位</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47361C2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所有计量均采用中华人民共和国法定计量单位。</w:t>
      </w:r>
    </w:p>
    <w:p w14:paraId="01E2F89C">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191" w:name="_Toc144974507"/>
      <w:bookmarkStart w:id="192" w:name="_Toc247513962"/>
      <w:bookmarkStart w:id="193" w:name="_Toc15058855"/>
      <w:bookmarkStart w:id="194" w:name="_Toc324404824"/>
      <w:bookmarkStart w:id="195" w:name="_Toc83301697"/>
      <w:bookmarkStart w:id="196" w:name="_Toc60061442"/>
      <w:bookmarkStart w:id="197" w:name="_Toc247592876"/>
      <w:bookmarkStart w:id="198" w:name="_Toc95223345"/>
      <w:bookmarkStart w:id="199" w:name="_Toc247527563"/>
      <w:bookmarkStart w:id="200" w:name="_Toc506107278"/>
      <w:bookmarkStart w:id="201" w:name="_Toc296602429"/>
      <w:bookmarkStart w:id="202" w:name="_Toc152045539"/>
      <w:bookmarkStart w:id="203" w:name="_Toc152042315"/>
      <w:r>
        <w:rPr>
          <w:rFonts w:hint="eastAsia" w:ascii="黑体" w:hAnsi="黑体" w:eastAsia="黑体" w:cs="黑体"/>
          <w:color w:val="000000"/>
          <w:sz w:val="21"/>
          <w:szCs w:val="21"/>
          <w:highlight w:val="none"/>
        </w:rPr>
        <w:t>1.9 踏勘现场</w:t>
      </w:r>
      <w:bookmarkEnd w:id="191"/>
      <w:bookmarkEnd w:id="192"/>
      <w:bookmarkEnd w:id="193"/>
      <w:bookmarkEnd w:id="194"/>
      <w:bookmarkEnd w:id="195"/>
      <w:bookmarkEnd w:id="196"/>
      <w:bookmarkEnd w:id="197"/>
      <w:bookmarkEnd w:id="198"/>
      <w:bookmarkEnd w:id="199"/>
      <w:bookmarkEnd w:id="200"/>
      <w:bookmarkEnd w:id="201"/>
      <w:bookmarkEnd w:id="202"/>
      <w:bookmarkEnd w:id="203"/>
    </w:p>
    <w:p w14:paraId="7B68367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1.9.1前附表规定组织踏勘现场的，招标人按投标人须知前附表规定的时间、地点组织投标人踏勘项目现场。</w:t>
      </w:r>
      <w:r>
        <w:rPr>
          <w:color w:val="000000"/>
          <w:spacing w:val="-7"/>
          <w:highlight w:val="none"/>
        </w:rPr>
        <w:t>部分投标人未按时参加踏勘现场的，不影响踏勘现场的正常进行。招标</w:t>
      </w:r>
      <w:r>
        <w:rPr>
          <w:color w:val="000000"/>
          <w:spacing w:val="-5"/>
          <w:highlight w:val="none"/>
        </w:rPr>
        <w:t>人不得组织单个或部分投标人踏勘项目现场。</w:t>
      </w:r>
      <w:r>
        <w:rPr>
          <w:rFonts w:hint="eastAsia" w:ascii="宋体" w:hAnsi="宋体" w:cs="宋体"/>
          <w:color w:val="000000"/>
          <w:szCs w:val="21"/>
          <w:highlight w:val="none"/>
        </w:rPr>
        <w:t xml:space="preserve"> </w:t>
      </w:r>
    </w:p>
    <w:p w14:paraId="67FF2DA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1.9.2 投标人踏勘现场发生的费用自理。</w:t>
      </w:r>
    </w:p>
    <w:p w14:paraId="438670B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1.9.3 除招标人的原因外，投标人自行负责在踏勘现场中所发生的人员伤亡和财产损失。</w:t>
      </w:r>
    </w:p>
    <w:p w14:paraId="179E5C7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1.9.4 招标人在踏勘现场中介绍的工程场地和相关的周边环境情况，供投标人在编制投标文件时参考，招标人不对投标人据此作出的判断和决策负责。</w:t>
      </w:r>
      <w:bookmarkStart w:id="204" w:name="_Toc506107279"/>
      <w:bookmarkStart w:id="205" w:name="_Toc60061443"/>
      <w:bookmarkStart w:id="206" w:name="_Toc296602430"/>
      <w:bookmarkStart w:id="207" w:name="_Toc15058856"/>
      <w:bookmarkStart w:id="208" w:name="_Toc247527564"/>
      <w:bookmarkStart w:id="209" w:name="_Toc247513963"/>
      <w:bookmarkStart w:id="210" w:name="_Toc152042316"/>
      <w:bookmarkStart w:id="211" w:name="_Toc152045540"/>
      <w:bookmarkStart w:id="212" w:name="_Toc247592877"/>
      <w:bookmarkStart w:id="213" w:name="_Toc324404825"/>
      <w:bookmarkStart w:id="214" w:name="_Toc144974508"/>
    </w:p>
    <w:p w14:paraId="314F22F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43FD4BBA">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15" w:name="_Toc95223346"/>
      <w:bookmarkStart w:id="216" w:name="_Toc83301698"/>
      <w:r>
        <w:rPr>
          <w:rFonts w:hint="eastAsia" w:ascii="黑体" w:hAnsi="黑体" w:eastAsia="黑体" w:cs="黑体"/>
          <w:color w:val="000000"/>
          <w:sz w:val="21"/>
          <w:szCs w:val="21"/>
          <w:highlight w:val="none"/>
        </w:rPr>
        <w:t>1.10 投标预备会</w:t>
      </w:r>
      <w:bookmarkEnd w:id="204"/>
      <w:bookmarkEnd w:id="205"/>
      <w:bookmarkEnd w:id="206"/>
      <w:bookmarkEnd w:id="207"/>
      <w:bookmarkEnd w:id="208"/>
      <w:bookmarkEnd w:id="209"/>
      <w:bookmarkEnd w:id="210"/>
      <w:bookmarkEnd w:id="211"/>
      <w:bookmarkEnd w:id="212"/>
      <w:bookmarkEnd w:id="213"/>
      <w:bookmarkEnd w:id="214"/>
      <w:bookmarkEnd w:id="215"/>
      <w:bookmarkEnd w:id="216"/>
    </w:p>
    <w:p w14:paraId="674EEAE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1.10.1投标人须知前附表规定召开投标预备会的，招标人按投标人须知前附表规定的时间和地点召开投标预备会，澄清投标人提出的问题。</w:t>
      </w:r>
    </w:p>
    <w:p w14:paraId="59973D1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1.10.2投标人应在投标人须知前附表规定的时间前，将提出的问题送达招标人，以便招标人澄清。</w:t>
      </w:r>
    </w:p>
    <w:p w14:paraId="1A0FA800">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17" w:name="_Toc296602431"/>
      <w:bookmarkStart w:id="218" w:name="_Toc506107280"/>
      <w:bookmarkStart w:id="219" w:name="_Toc324404826"/>
      <w:bookmarkStart w:id="220" w:name="_Toc15058857"/>
      <w:bookmarkStart w:id="221" w:name="_Toc60061444"/>
      <w:bookmarkStart w:id="222" w:name="_Toc83301699"/>
      <w:bookmarkStart w:id="223" w:name="_Toc95223347"/>
      <w:r>
        <w:rPr>
          <w:rFonts w:hint="eastAsia" w:ascii="黑体" w:hAnsi="黑体" w:eastAsia="黑体" w:cs="黑体"/>
          <w:color w:val="000000"/>
          <w:sz w:val="21"/>
          <w:szCs w:val="21"/>
          <w:highlight w:val="none"/>
        </w:rPr>
        <w:t xml:space="preserve">1.11 </w:t>
      </w:r>
      <w:bookmarkEnd w:id="217"/>
      <w:bookmarkEnd w:id="218"/>
      <w:bookmarkEnd w:id="219"/>
      <w:bookmarkEnd w:id="220"/>
      <w:r>
        <w:rPr>
          <w:rFonts w:hint="eastAsia" w:ascii="黑体" w:hAnsi="黑体" w:eastAsia="黑体" w:cs="黑体"/>
          <w:color w:val="000000"/>
          <w:sz w:val="21"/>
          <w:szCs w:val="21"/>
          <w:highlight w:val="none"/>
        </w:rPr>
        <w:t>分包</w:t>
      </w:r>
      <w:bookmarkEnd w:id="221"/>
      <w:bookmarkEnd w:id="222"/>
      <w:bookmarkEnd w:id="223"/>
    </w:p>
    <w:p w14:paraId="65ACB927">
      <w:pPr>
        <w:adjustRightInd w:val="0"/>
        <w:snapToGrid w:val="0"/>
        <w:spacing w:line="600" w:lineRule="exact"/>
        <w:ind w:firstLine="54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1.11.1 投标人拟在中标后将中标项目的部分非主体、非关键性工作进行分包的，应符合以下规定：</w:t>
      </w:r>
    </w:p>
    <w:p w14:paraId="2E47ED01">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（1）分包内容要求：招标人允许分包或不允许分包的专业工程（如有）应在投标人须知前附表中载明；</w:t>
      </w:r>
    </w:p>
    <w:p w14:paraId="185BFF0E">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（2）接受分包的第三人资格要求：分包人的资格能力应与其分包工程的标准和规模相适应，且具备投标人须知前附表中规定的资格条件；</w:t>
      </w:r>
    </w:p>
    <w:p w14:paraId="1C547EB3">
      <w:pPr>
        <w:tabs>
          <w:tab w:val="left" w:pos="1030"/>
        </w:tabs>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（3）其他要求：投标人如有分包计划，应按第九章“投标文件格式”的要求填写“拟分包项目情况表”，明确拟分包的工程及规模，且投标人中标后的分包应满足合同条款的相关要求。</w:t>
      </w:r>
    </w:p>
    <w:p w14:paraId="708D5EDC">
      <w:pPr>
        <w:pStyle w:val="26"/>
        <w:adjustRightInd w:val="0"/>
        <w:snapToGrid w:val="0"/>
        <w:spacing w:after="0" w:line="560" w:lineRule="exact"/>
        <w:ind w:left="0" w:leftChars="0" w:firstLine="0" w:firstLineChars="0"/>
        <w:rPr>
          <w:rFonts w:hint="eastAsia" w:ascii="宋体" w:hAnsi="宋体" w:cs="宋体"/>
          <w:color w:val="000000"/>
          <w:szCs w:val="21"/>
          <w:highlight w:val="none"/>
        </w:rPr>
      </w:pPr>
      <w:r>
        <w:rPr>
          <w:rFonts w:hint="eastAsia" w:ascii="宋体" w:hAnsi="宋体" w:cs="宋体"/>
          <w:color w:val="000000"/>
          <w:szCs w:val="21"/>
          <w:highlight w:val="none"/>
        </w:rPr>
        <w:t xml:space="preserve">   1.11.2中标人不得向他人转让中标项目，接受分包的人不得再次分包。中标人应就分包项目</w:t>
      </w:r>
    </w:p>
    <w:p w14:paraId="7A7D02D9">
      <w:pPr>
        <w:pStyle w:val="26"/>
        <w:adjustRightInd w:val="0"/>
        <w:snapToGrid w:val="0"/>
        <w:spacing w:after="0" w:line="560" w:lineRule="exact"/>
        <w:ind w:left="0" w:leftChars="0" w:firstLine="0" w:firstLineChars="0"/>
        <w:rPr>
          <w:color w:val="000000"/>
          <w:highlight w:val="none"/>
        </w:rPr>
      </w:pPr>
      <w:r>
        <w:rPr>
          <w:rFonts w:hint="eastAsia" w:ascii="宋体" w:hAnsi="宋体" w:cs="宋体"/>
          <w:color w:val="000000"/>
          <w:szCs w:val="21"/>
          <w:highlight w:val="none"/>
        </w:rPr>
        <w:t>向招标人负责，接受分包的人就分包项目承担连带责任。</w:t>
      </w:r>
    </w:p>
    <w:p w14:paraId="28E33273">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24" w:name="_Toc95223348"/>
      <w:bookmarkStart w:id="225" w:name="_Toc60061445"/>
      <w:bookmarkStart w:id="226" w:name="_Toc83301700"/>
      <w:r>
        <w:rPr>
          <w:rFonts w:hint="eastAsia" w:ascii="黑体" w:hAnsi="黑体" w:eastAsia="黑体" w:cs="黑体"/>
          <w:color w:val="000000"/>
          <w:sz w:val="21"/>
          <w:szCs w:val="21"/>
          <w:highlight w:val="none"/>
        </w:rPr>
        <w:t>1.12 偏离</w:t>
      </w:r>
      <w:bookmarkEnd w:id="224"/>
      <w:bookmarkEnd w:id="225"/>
      <w:bookmarkEnd w:id="226"/>
    </w:p>
    <w:p w14:paraId="2F1323B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1.12.1投标文件偏离招标文件某些要求，视为投标文件存在偏差。偏差包括重大偏差和细微偏差。</w:t>
      </w:r>
    </w:p>
    <w:p w14:paraId="0C4F122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1.12.2投标文件应对招标文件的实质性要求和条件作出满足性或更有利于招标人的响应，否则，视为投标文件存在重大偏差，投标人的投标将被否决。</w:t>
      </w:r>
    </w:p>
    <w:p w14:paraId="5079469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投标文件存在第四章“评标办法”中所列任一无效投标情形的，均属于存在重大偏差。</w:t>
      </w:r>
    </w:p>
    <w:p w14:paraId="57965E4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1.12.3投标文件中的下列偏差为细微偏差：</w:t>
      </w:r>
    </w:p>
    <w:p w14:paraId="3EAADB6D">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3BB0A915">
      <w:pPr>
        <w:tabs>
          <w:tab w:val="left" w:pos="1014"/>
        </w:tabs>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（2）投标文件个别文字有遗漏错误等不影响投标文件实质性内容的偏差。</w:t>
      </w:r>
    </w:p>
    <w:p w14:paraId="0353653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1.12.4评标委员会对投标文件中的细微偏差按如下规定处理：</w:t>
      </w:r>
    </w:p>
    <w:p w14:paraId="315EDFF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对于本章第 1.12.3 项（1）目所述的细微偏差，按照第四章“评标办法”的规定予以修正并要求投标人进行澄清；</w:t>
      </w:r>
    </w:p>
    <w:p w14:paraId="1FC32A0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对于本章第 1.12.3 项（2）目所述的细微偏差，可要求投标人对细微偏差进行澄清。</w:t>
      </w:r>
    </w:p>
    <w:p w14:paraId="1D2F2AFA">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227" w:name="_Toc246996930"/>
      <w:bookmarkStart w:id="228" w:name="_Toc95223349"/>
      <w:bookmarkStart w:id="229" w:name="_Toc506107281"/>
      <w:bookmarkStart w:id="230" w:name="_Toc144974510"/>
      <w:bookmarkStart w:id="231" w:name="_Toc247085701"/>
      <w:bookmarkStart w:id="232" w:name="_Toc152045542"/>
      <w:bookmarkStart w:id="233" w:name="_Toc152042318"/>
      <w:bookmarkStart w:id="234" w:name="_Toc179632560"/>
      <w:bookmarkStart w:id="235" w:name="_Toc83301701"/>
      <w:bookmarkStart w:id="236" w:name="_Toc60061446"/>
      <w:bookmarkStart w:id="237" w:name="_Toc324404827"/>
      <w:bookmarkStart w:id="238" w:name="_Toc246996187"/>
      <w:bookmarkStart w:id="239" w:name="_Toc15058858"/>
      <w:r>
        <w:rPr>
          <w:rFonts w:hint="eastAsia" w:ascii="黑体" w:hAnsi="黑体" w:cs="黑体"/>
          <w:color w:val="000000"/>
          <w:sz w:val="21"/>
          <w:szCs w:val="21"/>
          <w:highlight w:val="none"/>
        </w:rPr>
        <w:t>2. 招标文件</w:t>
      </w:r>
      <w:bookmarkEnd w:id="227"/>
      <w:bookmarkEnd w:id="228"/>
      <w:bookmarkEnd w:id="229"/>
      <w:bookmarkEnd w:id="230"/>
      <w:bookmarkEnd w:id="231"/>
      <w:bookmarkEnd w:id="232"/>
      <w:bookmarkEnd w:id="233"/>
      <w:bookmarkEnd w:id="234"/>
      <w:bookmarkEnd w:id="235"/>
      <w:bookmarkEnd w:id="236"/>
      <w:bookmarkEnd w:id="237"/>
      <w:bookmarkEnd w:id="238"/>
      <w:bookmarkEnd w:id="239"/>
    </w:p>
    <w:p w14:paraId="35907EA8">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40" w:name="_Toc246996931"/>
      <w:bookmarkStart w:id="241" w:name="_Toc152045543"/>
      <w:bookmarkStart w:id="242" w:name="_Toc60061447"/>
      <w:bookmarkStart w:id="243" w:name="_Toc152042319"/>
      <w:bookmarkStart w:id="244" w:name="_Toc95223350"/>
      <w:bookmarkStart w:id="245" w:name="_Toc247085702"/>
      <w:bookmarkStart w:id="246" w:name="_Toc83301702"/>
      <w:bookmarkStart w:id="247" w:name="_Toc179632561"/>
      <w:bookmarkStart w:id="248" w:name="_Toc296602433"/>
      <w:bookmarkStart w:id="249" w:name="_Toc144974511"/>
      <w:bookmarkStart w:id="250" w:name="_Toc506107282"/>
      <w:bookmarkStart w:id="251" w:name="_Toc246996188"/>
      <w:bookmarkStart w:id="252" w:name="_Toc15058859"/>
      <w:bookmarkStart w:id="253" w:name="_Toc324404828"/>
      <w:r>
        <w:rPr>
          <w:rFonts w:hint="eastAsia" w:ascii="黑体" w:hAnsi="黑体" w:eastAsia="黑体" w:cs="黑体"/>
          <w:color w:val="000000"/>
          <w:sz w:val="21"/>
          <w:szCs w:val="21"/>
          <w:highlight w:val="none"/>
        </w:rPr>
        <w:t>2.1 招标文件的组成</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0357B19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2.1.1 本招标文件包括：</w:t>
      </w:r>
    </w:p>
    <w:p w14:paraId="564507C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（1）招标公告；</w:t>
      </w:r>
    </w:p>
    <w:p w14:paraId="31477AC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（2）投标人须知；</w:t>
      </w:r>
    </w:p>
    <w:p w14:paraId="1E3D6A2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（3）资格审查办法</w:t>
      </w:r>
    </w:p>
    <w:p w14:paraId="351E0F7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（4）评标办法；</w:t>
      </w:r>
    </w:p>
    <w:p w14:paraId="5D43418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（5）合同条款及格式；</w:t>
      </w:r>
    </w:p>
    <w:p w14:paraId="783501C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（6）工程量清单； </w:t>
      </w:r>
    </w:p>
    <w:p w14:paraId="2492ECB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（7）图纸；</w:t>
      </w:r>
    </w:p>
    <w:p w14:paraId="338F064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（8）技术标准和要求； </w:t>
      </w:r>
    </w:p>
    <w:p w14:paraId="10F0088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（9）投标文件格式；</w:t>
      </w:r>
    </w:p>
    <w:p w14:paraId="6383711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（10）投标人须知前附表规定的其他材料。</w:t>
      </w:r>
    </w:p>
    <w:p w14:paraId="44956D1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2.1.2 根据本章第1.10款、第2.2款和第2.3款对招标文件所作的澄清、修改，构成招标文件的组成部分。</w:t>
      </w:r>
    </w:p>
    <w:p w14:paraId="33871C58">
      <w:pPr>
        <w:pStyle w:val="15"/>
        <w:adjustRightInd w:val="0"/>
        <w:snapToGrid w:val="0"/>
        <w:spacing w:after="0"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2.1.3当招标文件、招标文件的澄清或修改等在同一内容的表述上不一致时，以最后发出的文件为准。</w:t>
      </w:r>
    </w:p>
    <w:p w14:paraId="615721A6">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54" w:name="_Toc152045544"/>
      <w:bookmarkStart w:id="255" w:name="_Toc144974512"/>
      <w:bookmarkStart w:id="256" w:name="_Toc15058860"/>
      <w:bookmarkStart w:id="257" w:name="_Toc246996189"/>
      <w:bookmarkStart w:id="258" w:name="_Toc95223351"/>
      <w:bookmarkStart w:id="259" w:name="_Toc246996932"/>
      <w:bookmarkStart w:id="260" w:name="_Toc179632562"/>
      <w:bookmarkStart w:id="261" w:name="_Toc506107283"/>
      <w:bookmarkStart w:id="262" w:name="_Toc247085703"/>
      <w:bookmarkStart w:id="263" w:name="_Toc152042320"/>
      <w:bookmarkStart w:id="264" w:name="_Toc324404829"/>
      <w:bookmarkStart w:id="265" w:name="_Toc60061448"/>
      <w:bookmarkStart w:id="266" w:name="_Toc296602434"/>
      <w:bookmarkStart w:id="267" w:name="_Toc83301703"/>
      <w:bookmarkStart w:id="268" w:name="_Toc95223354"/>
      <w:bookmarkStart w:id="269" w:name="_Toc246996191"/>
      <w:bookmarkStart w:id="270" w:name="_Toc152045546"/>
      <w:bookmarkStart w:id="271" w:name="_Toc247085705"/>
      <w:bookmarkStart w:id="272" w:name="_Toc179632564"/>
      <w:bookmarkStart w:id="273" w:name="_Toc506107285"/>
      <w:bookmarkStart w:id="274" w:name="_Toc152042322"/>
      <w:bookmarkStart w:id="275" w:name="_Toc83301706"/>
      <w:bookmarkStart w:id="276" w:name="_Toc15058863"/>
      <w:bookmarkStart w:id="277" w:name="_Toc144974514"/>
      <w:bookmarkStart w:id="278" w:name="_Toc324404832"/>
      <w:bookmarkStart w:id="279" w:name="_Toc60061451"/>
      <w:bookmarkStart w:id="280" w:name="_Toc246996934"/>
      <w:r>
        <w:rPr>
          <w:rFonts w:hint="eastAsia" w:ascii="黑体" w:hAnsi="黑体" w:eastAsia="黑体" w:cs="黑体"/>
          <w:color w:val="000000"/>
          <w:sz w:val="21"/>
          <w:szCs w:val="21"/>
          <w:highlight w:val="none"/>
        </w:rPr>
        <w:t>2.2招标文件的异议</w:t>
      </w:r>
    </w:p>
    <w:p w14:paraId="66B2DAA8">
      <w:pPr>
        <w:pStyle w:val="26"/>
        <w:adjustRightInd w:val="0"/>
        <w:snapToGrid w:val="0"/>
        <w:spacing w:after="0" w:line="560" w:lineRule="exact"/>
        <w:ind w:left="0" w:leftChars="0" w:firstLine="0" w:firstLineChars="0"/>
        <w:rPr>
          <w:color w:val="000000"/>
          <w:highlight w:val="none"/>
        </w:rPr>
      </w:pPr>
      <w:r>
        <w:rPr>
          <w:rFonts w:hint="eastAsia"/>
          <w:color w:val="000000"/>
          <w:highlight w:val="none"/>
        </w:rPr>
        <w:t xml:space="preserve"> </w:t>
      </w:r>
      <w:r>
        <w:rPr>
          <w:rFonts w:hint="eastAsia" w:ascii="宋体" w:hAnsi="宋体" w:cs="宋体"/>
          <w:color w:val="000000"/>
          <w:szCs w:val="21"/>
          <w:highlight w:val="none"/>
        </w:rPr>
        <w:t xml:space="preserve">  </w:t>
      </w:r>
      <w:r>
        <w:rPr>
          <w:rFonts w:hint="eastAsia"/>
          <w:color w:val="000000"/>
          <w:highlight w:val="none"/>
        </w:rPr>
        <w:t>投标人或其他利害关系人投标人应仔细阅读和检查招标文件的全部内容，对招标文件有异议的，应在投标截止时间 10 日前</w:t>
      </w:r>
      <w:r>
        <w:rPr>
          <w:rFonts w:hint="eastAsia" w:ascii="宋体" w:hAnsi="宋体" w:cs="宋体"/>
          <w:color w:val="000000"/>
          <w:szCs w:val="21"/>
          <w:highlight w:val="none"/>
        </w:rPr>
        <w:t>以投标人须知前附表规定的网上留言或书面形式</w:t>
      </w:r>
      <w:r>
        <w:rPr>
          <w:rFonts w:hint="eastAsia"/>
          <w:color w:val="000000"/>
          <w:highlight w:val="none"/>
        </w:rPr>
        <w:t>提出。招标人将在收到异议之日起 3 日内作出答复；作出答复前，将暂停招标投标活动。</w:t>
      </w:r>
    </w:p>
    <w:p w14:paraId="767B5ACF">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r>
        <w:rPr>
          <w:rFonts w:ascii="黑体" w:hAnsi="黑体" w:eastAsia="黑体" w:cs="黑体"/>
          <w:color w:val="000000"/>
          <w:sz w:val="21"/>
          <w:szCs w:val="21"/>
          <w:highlight w:val="none"/>
        </w:rPr>
        <w:t>2.3</w:t>
      </w:r>
      <w:r>
        <w:rPr>
          <w:rFonts w:hint="eastAsia" w:ascii="黑体" w:hAnsi="黑体" w:eastAsia="黑体" w:cs="黑体"/>
          <w:color w:val="000000"/>
          <w:sz w:val="21"/>
          <w:szCs w:val="21"/>
          <w:highlight w:val="none"/>
        </w:rPr>
        <w:t>招标文件的澄清</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Fonts w:hint="eastAsia" w:ascii="黑体" w:hAnsi="黑体" w:eastAsia="黑体" w:cs="黑体"/>
          <w:color w:val="000000"/>
          <w:sz w:val="21"/>
          <w:szCs w:val="21"/>
          <w:highlight w:val="none"/>
        </w:rPr>
        <w:t xml:space="preserve"> </w:t>
      </w:r>
    </w:p>
    <w:p w14:paraId="7557BA19">
      <w:pPr>
        <w:adjustRightInd w:val="0"/>
        <w:snapToGrid w:val="0"/>
        <w:spacing w:line="560" w:lineRule="exact"/>
        <w:ind w:firstLine="420" w:firstLineChars="200"/>
        <w:rPr>
          <w:color w:val="000000"/>
          <w:highlight w:val="none"/>
        </w:rPr>
      </w:pPr>
      <w:r>
        <w:rPr>
          <w:rFonts w:hint="eastAsia" w:ascii="宋体" w:hAnsi="宋体" w:cs="宋体"/>
          <w:color w:val="000000"/>
          <w:szCs w:val="21"/>
          <w:highlight w:val="none"/>
        </w:rPr>
        <w:t>招标人可以澄清招标文件，并以投标人须知前附表规定澄清的方式在滁州市公共资源交易中心网站发布。但如果修改招标文件的时间距投标截止时间不足15天，并且修改内容影响投标文件编制的，将相应延长投标截止时间。</w:t>
      </w:r>
    </w:p>
    <w:p w14:paraId="418B3782">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 投标文件</w:t>
      </w:r>
      <w:bookmarkEnd w:id="268"/>
      <w:bookmarkEnd w:id="269"/>
      <w:bookmarkEnd w:id="270"/>
      <w:bookmarkEnd w:id="271"/>
      <w:bookmarkEnd w:id="272"/>
      <w:bookmarkEnd w:id="273"/>
      <w:bookmarkEnd w:id="274"/>
      <w:bookmarkEnd w:id="275"/>
      <w:bookmarkEnd w:id="276"/>
      <w:bookmarkEnd w:id="277"/>
      <w:bookmarkEnd w:id="278"/>
      <w:bookmarkEnd w:id="279"/>
      <w:bookmarkEnd w:id="280"/>
    </w:p>
    <w:p w14:paraId="14DD5BC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281" w:name="_Toc179632565"/>
      <w:bookmarkStart w:id="282" w:name="_Toc246996192"/>
      <w:bookmarkStart w:id="283" w:name="_Toc95223355"/>
      <w:bookmarkStart w:id="284" w:name="_Toc246996935"/>
      <w:bookmarkStart w:id="285" w:name="_Toc506107286"/>
      <w:bookmarkStart w:id="286" w:name="_Toc247085706"/>
      <w:bookmarkStart w:id="287" w:name="_Toc15058864"/>
      <w:bookmarkStart w:id="288" w:name="_Toc152045547"/>
      <w:bookmarkStart w:id="289" w:name="_Toc324404833"/>
      <w:bookmarkStart w:id="290" w:name="_Toc152042323"/>
      <w:bookmarkStart w:id="291" w:name="_Toc144974515"/>
      <w:bookmarkStart w:id="292" w:name="_Toc60061452"/>
      <w:bookmarkStart w:id="293" w:name="_Toc296602437"/>
      <w:bookmarkStart w:id="294" w:name="_Toc83301707"/>
      <w:r>
        <w:rPr>
          <w:rFonts w:hint="eastAsia" w:ascii="黑体" w:hAnsi="黑体" w:eastAsia="黑体" w:cs="黑体"/>
          <w:color w:val="000000"/>
          <w:sz w:val="21"/>
          <w:szCs w:val="21"/>
          <w:highlight w:val="none"/>
        </w:rPr>
        <w:t>3.1 投标文件的组成</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0B15D9A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3.1.1 投标文件应包括下列内容：</w:t>
      </w:r>
    </w:p>
    <w:p w14:paraId="604C7E2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资信证明文件：</w:t>
      </w:r>
    </w:p>
    <w:p w14:paraId="7190F390">
      <w:pPr>
        <w:adjustRightInd w:val="0"/>
        <w:snapToGrid w:val="0"/>
        <w:spacing w:line="560" w:lineRule="exact"/>
        <w:ind w:firstLine="840" w:firstLineChars="400"/>
        <w:rPr>
          <w:rFonts w:hint="eastAsia" w:ascii="宋体" w:hAnsi="宋体" w:cs="宋体"/>
          <w:color w:val="000000"/>
          <w:szCs w:val="21"/>
          <w:highlight w:val="none"/>
        </w:rPr>
      </w:pPr>
      <w:r>
        <w:rPr>
          <w:rFonts w:hint="eastAsia" w:ascii="宋体" w:hAnsi="宋体" w:cs="宋体"/>
          <w:color w:val="000000"/>
          <w:szCs w:val="21"/>
          <w:highlight w:val="none"/>
        </w:rPr>
        <w:t>（1）投标人基本情况表；</w:t>
      </w:r>
    </w:p>
    <w:p w14:paraId="60DCC123">
      <w:pPr>
        <w:adjustRightInd w:val="0"/>
        <w:snapToGrid w:val="0"/>
        <w:spacing w:line="560" w:lineRule="exact"/>
        <w:jc w:val="left"/>
        <w:rPr>
          <w:color w:val="000000"/>
          <w:highlight w:val="none"/>
        </w:rPr>
        <w:sectPr>
          <w:pgSz w:w="11910" w:h="16850"/>
          <w:pgMar w:top="1520" w:right="660" w:bottom="1100" w:left="1120" w:header="0" w:footer="746" w:gutter="0"/>
          <w:cols w:space="720" w:num="1"/>
        </w:sectPr>
      </w:pPr>
    </w:p>
    <w:p w14:paraId="0FEA563A">
      <w:pPr>
        <w:adjustRightInd w:val="0"/>
        <w:snapToGrid w:val="0"/>
        <w:spacing w:line="560" w:lineRule="exact"/>
        <w:ind w:firstLine="420" w:firstLineChars="200"/>
        <w:rPr>
          <w:rFonts w:hint="eastAsia" w:ascii="宋体" w:hAnsi="宋体" w:cs="宋体"/>
          <w:color w:val="000000"/>
          <w:szCs w:val="21"/>
          <w:highlight w:val="none"/>
        </w:rPr>
      </w:pPr>
      <w:bookmarkStart w:id="295" w:name="_Toc60061453"/>
      <w:bookmarkStart w:id="296" w:name="_Toc296602438"/>
      <w:bookmarkStart w:id="297" w:name="_Toc83301708"/>
      <w:bookmarkStart w:id="298" w:name="_Toc246996193"/>
      <w:bookmarkStart w:id="299" w:name="_Toc15058865"/>
      <w:bookmarkStart w:id="300" w:name="_Toc247085707"/>
      <w:bookmarkStart w:id="301" w:name="_Toc179632566"/>
      <w:bookmarkStart w:id="302" w:name="_Toc324404834"/>
      <w:bookmarkStart w:id="303" w:name="_Toc246996936"/>
      <w:bookmarkStart w:id="304" w:name="_Toc506107287"/>
      <w:bookmarkStart w:id="305" w:name="_Toc152042324"/>
      <w:bookmarkStart w:id="306" w:name="_Toc144974516"/>
      <w:bookmarkStart w:id="307" w:name="_Toc152045548"/>
      <w:bookmarkStart w:id="308" w:name="_Toc95223356"/>
      <w:r>
        <w:rPr>
          <w:rFonts w:hint="eastAsia" w:ascii="宋体" w:hAnsi="宋体" w:cs="宋体"/>
          <w:color w:val="000000"/>
          <w:szCs w:val="21"/>
          <w:highlight w:val="none"/>
        </w:rPr>
        <w:t>（2）近年财务状况表；</w:t>
      </w:r>
    </w:p>
    <w:p w14:paraId="2BFAA1E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（3）近年完成的类似项目情况表；</w:t>
      </w:r>
    </w:p>
    <w:p w14:paraId="4920C7B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（4）正在实施的和新承接的项目情况表；</w:t>
      </w:r>
    </w:p>
    <w:p w14:paraId="0999CFC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（5）联合体协议书 （如有）；</w:t>
      </w:r>
    </w:p>
    <w:p w14:paraId="6CC4F68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（6）项目管理机构；</w:t>
      </w:r>
    </w:p>
    <w:p w14:paraId="5B31C4A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（7）其他资格审查资料。</w:t>
      </w:r>
    </w:p>
    <w:p w14:paraId="1F52E69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技术标文件：</w:t>
      </w:r>
    </w:p>
    <w:p w14:paraId="4A65A64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（1）施工组织设计；</w:t>
      </w:r>
    </w:p>
    <w:p w14:paraId="38A8765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（2）技术标评审所需其他材料。</w:t>
      </w:r>
    </w:p>
    <w:p w14:paraId="31D1AAB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商务标文件：</w:t>
      </w:r>
    </w:p>
    <w:p w14:paraId="538E517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（1）投标函；</w:t>
      </w:r>
    </w:p>
    <w:p w14:paraId="15D93F0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（2）工程量清单报价书；</w:t>
      </w:r>
    </w:p>
    <w:p w14:paraId="4A535A0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（3）招标人推荐的材料品牌响应表（如有）；</w:t>
      </w:r>
    </w:p>
    <w:p w14:paraId="7AB2067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（4）全国建筑市场监管公共服务平台(四库一平台)企业注册人员网页截图；</w:t>
      </w:r>
    </w:p>
    <w:p w14:paraId="1AAE5B4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（5）商务标评审所需其他材料。</w:t>
      </w:r>
    </w:p>
    <w:p w14:paraId="2DF12D48">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3.1.2 投标人须知前附表规定不接受联合体投标的，或投标人没有组成联合体的，投标文件不包括本章第3.1.1（5）目所指的联合体协议书。</w:t>
      </w:r>
    </w:p>
    <w:p w14:paraId="1862DF40">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r>
        <w:rPr>
          <w:rFonts w:hint="eastAsia" w:ascii="黑体" w:hAnsi="黑体" w:eastAsia="黑体" w:cs="黑体"/>
          <w:color w:val="000000"/>
          <w:sz w:val="21"/>
          <w:szCs w:val="21"/>
          <w:highlight w:val="none"/>
        </w:rPr>
        <w:t>3.2 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41B67A7">
      <w:pPr>
        <w:adjustRightInd w:val="0"/>
        <w:snapToGrid w:val="0"/>
        <w:spacing w:line="560" w:lineRule="exact"/>
        <w:ind w:firstLine="420" w:firstLineChars="200"/>
        <w:rPr>
          <w:rFonts w:hint="eastAsia" w:ascii="宋体" w:hAnsi="宋体" w:cs="宋体"/>
          <w:color w:val="000000"/>
          <w:szCs w:val="21"/>
          <w:highlight w:val="none"/>
        </w:rPr>
      </w:pPr>
      <w:bookmarkStart w:id="309" w:name="_Toc246996194"/>
      <w:bookmarkStart w:id="310" w:name="_Toc296602439"/>
      <w:bookmarkStart w:id="311" w:name="_Toc152042325"/>
      <w:bookmarkStart w:id="312" w:name="_Toc179632567"/>
      <w:bookmarkStart w:id="313" w:name="_Toc324404835"/>
      <w:bookmarkStart w:id="314" w:name="_Toc152045549"/>
      <w:bookmarkStart w:id="315" w:name="_Toc144974517"/>
      <w:bookmarkStart w:id="316" w:name="_Toc247085708"/>
      <w:bookmarkStart w:id="317" w:name="_Toc246996937"/>
      <w:r>
        <w:rPr>
          <w:rFonts w:hint="eastAsia" w:ascii="宋体" w:hAnsi="宋体" w:cs="宋体"/>
          <w:color w:val="000000"/>
          <w:szCs w:val="21"/>
          <w:highlight w:val="none"/>
        </w:rPr>
        <w:t>3.2.1投标报价应包括国家规定的增值税税金，除投标人须知前附表另有规定外，增值税税金按一般计税方法计算。投标人应按第九章“投标文件格式”的要求在投标函中进行报价并填写工程量清单相应表格。</w:t>
      </w:r>
    </w:p>
    <w:p w14:paraId="4A643D7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3.2.2投标人应充分了解本项目的总体情况以及影响投标报价的其他要素。</w:t>
      </w:r>
    </w:p>
    <w:p w14:paraId="02980416">
      <w:pPr>
        <w:pStyle w:val="26"/>
        <w:adjustRightInd w:val="0"/>
        <w:snapToGrid w:val="0"/>
        <w:spacing w:after="0" w:line="560" w:lineRule="exact"/>
        <w:ind w:left="0" w:leftChars="0" w:firstLineChars="0"/>
        <w:rPr>
          <w:rFonts w:hint="eastAsia" w:ascii="宋体" w:hAnsi="宋体" w:cs="宋体"/>
          <w:color w:val="000000"/>
          <w:szCs w:val="21"/>
          <w:highlight w:val="none"/>
        </w:rPr>
      </w:pPr>
      <w:r>
        <w:rPr>
          <w:rFonts w:hint="eastAsia" w:ascii="宋体" w:hAnsi="宋体" w:cs="宋体"/>
          <w:color w:val="000000"/>
          <w:szCs w:val="21"/>
          <w:highlight w:val="none"/>
        </w:rPr>
        <w:t>3.2.3投标人在投标截止时间前修改投标函中的投标报价总额，应同时修改“已标价工程量清单”中的相应报价，投标报价总额为各分项金额之和。此修改须符合本章第4.4款的有关要求。</w:t>
      </w:r>
    </w:p>
    <w:p w14:paraId="1CE17665">
      <w:pPr>
        <w:adjustRightInd w:val="0"/>
        <w:snapToGrid w:val="0"/>
        <w:spacing w:line="560" w:lineRule="exact"/>
        <w:ind w:firstLine="420"/>
        <w:rPr>
          <w:color w:val="000000"/>
          <w:highlight w:val="none"/>
        </w:rPr>
      </w:pPr>
      <w:r>
        <w:rPr>
          <w:rFonts w:hint="eastAsia" w:ascii="宋体" w:hAnsi="宋体" w:cs="宋体"/>
          <w:color w:val="000000"/>
          <w:szCs w:val="21"/>
          <w:highlight w:val="none"/>
        </w:rPr>
        <w:t>3.2.4招</w:t>
      </w:r>
      <w:r>
        <w:rPr>
          <w:rFonts w:hint="eastAsia"/>
          <w:color w:val="000000"/>
          <w:highlight w:val="none"/>
        </w:rPr>
        <w:t>标人设有最高投标限价的，投标人的投标报价不得超过最高投标限价，最高投标限价在投标人须知前附表中载明。</w:t>
      </w:r>
    </w:p>
    <w:p w14:paraId="1087AF3A">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color w:val="000000"/>
          <w:highlight w:val="none"/>
        </w:rPr>
        <w:t xml:space="preserve">3.2.5 </w:t>
      </w:r>
      <w:r>
        <w:rPr>
          <w:rFonts w:hint="eastAsia" w:ascii="宋体" w:hAnsi="宋体" w:cs="宋体"/>
          <w:bCs/>
          <w:snapToGrid w:val="0"/>
          <w:color w:val="000000"/>
          <w:kern w:val="0"/>
          <w:szCs w:val="21"/>
          <w:highlight w:val="none"/>
        </w:rPr>
        <w:t>投标报价的其他要求见投标人须知前附表。</w:t>
      </w:r>
    </w:p>
    <w:p w14:paraId="405A06D5">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18" w:name="_Toc15058866"/>
      <w:bookmarkStart w:id="319" w:name="_Toc95223357"/>
      <w:bookmarkStart w:id="320" w:name="_Toc60061454"/>
      <w:bookmarkStart w:id="321" w:name="_Toc506107288"/>
      <w:bookmarkStart w:id="322" w:name="_Toc83301709"/>
      <w:r>
        <w:rPr>
          <w:rFonts w:hint="eastAsia" w:ascii="黑体" w:hAnsi="黑体" w:eastAsia="黑体" w:cs="黑体"/>
          <w:color w:val="000000"/>
          <w:sz w:val="21"/>
          <w:szCs w:val="21"/>
          <w:highlight w:val="none"/>
        </w:rPr>
        <w:t>3.3 投标有效期</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8C4ED2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3.3.1 除投标人须知前附表另有规定外，投标有效期为 90天。</w:t>
      </w:r>
    </w:p>
    <w:p w14:paraId="15CAA77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3.3.2在投标有效期内，投标人撤销或修改其投标文件的，应承担招标文件和法律规定的责任。</w:t>
      </w:r>
    </w:p>
    <w:p w14:paraId="1A885AB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C0C5B44">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23" w:name="_Toc83301710"/>
      <w:bookmarkStart w:id="324" w:name="_Toc95223358"/>
      <w:bookmarkStart w:id="325" w:name="_Toc152042326"/>
      <w:bookmarkStart w:id="326" w:name="_Toc246996195"/>
      <w:bookmarkStart w:id="327" w:name="_Toc60061455"/>
      <w:bookmarkStart w:id="328" w:name="_Toc296602440"/>
      <w:bookmarkStart w:id="329" w:name="_Toc144974518"/>
      <w:bookmarkStart w:id="330" w:name="_Toc15058867"/>
      <w:bookmarkStart w:id="331" w:name="_Toc246996938"/>
      <w:bookmarkStart w:id="332" w:name="_Toc152045550"/>
      <w:bookmarkStart w:id="333" w:name="_Toc324404836"/>
      <w:bookmarkStart w:id="334" w:name="_Toc506107289"/>
      <w:bookmarkStart w:id="335" w:name="_Toc247085709"/>
      <w:bookmarkStart w:id="336" w:name="_Toc179632568"/>
      <w:r>
        <w:rPr>
          <w:rFonts w:hint="eastAsia" w:ascii="黑体" w:hAnsi="黑体" w:eastAsia="黑体" w:cs="黑体"/>
          <w:color w:val="000000"/>
          <w:sz w:val="21"/>
          <w:szCs w:val="21"/>
          <w:highlight w:val="none"/>
        </w:rPr>
        <w:t>3.4 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0116428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3.4.1 投标人须知前附表规定递交投标保证金的，投标人在递交投标文件的同时，应按投标人须知前附表规定的金额、担保形式和第九章“投标文件格式”规定的或者事先经过招标人认可的保证金格式递交保证金，并作为其投标文件的组成部分。联合体投标的，其投标保证金由牵头人递交，并应符合投标人须知前附表的规定。</w:t>
      </w:r>
    </w:p>
    <w:p w14:paraId="4E031493">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无论采取何种形式的投标保证金，投标保证金有效期均应与投标有效期一致（</w:t>
      </w:r>
      <w:r>
        <w:rPr>
          <w:rFonts w:hint="eastAsia"/>
          <w:color w:val="000000"/>
          <w:highlight w:val="none"/>
        </w:rPr>
        <w:t>采用投标电子保函的保证期截止时间不得早于该项目投标有效期的截止时间</w:t>
      </w:r>
      <w:r>
        <w:rPr>
          <w:rFonts w:hint="eastAsia" w:ascii="宋体" w:hAnsi="宋体" w:cs="宋体"/>
          <w:color w:val="000000"/>
          <w:szCs w:val="21"/>
          <w:highlight w:val="none"/>
        </w:rPr>
        <w:t>）。招标人如果按本章第 3.3.3 项的规定延长了投标有效期，则投标保证金的有效期也相应延长。</w:t>
      </w:r>
    </w:p>
    <w:p w14:paraId="67393BF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3.4.2 投标人不按本章第3.4.1项要求提交投标保证金的，评标委员会将否决其投标。</w:t>
      </w:r>
    </w:p>
    <w:p w14:paraId="19BD917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3.4.3 未中标投标人的投标保证金，中标通知书同步推送至交易中心服务端，银行接到退还指令后一个工作日内退还保证金到达原交纳的基本账户；中标人的投标保证金，在中标人与招标人签订合同并将公开信息推送至交易中心服务端，银行接到退还指令后一个工作日内退付保证金到达原交纳的基本账户。</w:t>
      </w:r>
    </w:p>
    <w:p w14:paraId="1882B1A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3.4.4 有下列情形之一的，投标保证金将不予退还： </w:t>
      </w:r>
    </w:p>
    <w:p w14:paraId="68E59C8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（1）投标截止后投标人撤销投标文件的；</w:t>
      </w:r>
    </w:p>
    <w:p w14:paraId="4BB2802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（2）中标人无正当理由不与招标人订立合同，在签订合同时向招标人提出附加条件，或者不按照招标文件要求提交履约保证金的。</w:t>
      </w:r>
    </w:p>
    <w:p w14:paraId="19EADF8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3.4.5 投标保证金按《</w:t>
      </w:r>
      <w:r>
        <w:rPr>
          <w:highlight w:val="none"/>
        </w:rPr>
        <w:fldChar w:fldCharType="begin"/>
      </w:r>
      <w:r>
        <w:rPr>
          <w:highlight w:val="none"/>
        </w:rPr>
        <w:instrText xml:space="preserve"> HYPERLINK "https://www.chuzhou.gov.cn/group1/M00/12/83/CpYI8mGDiKqAD_IkAAEIAMLVghw186.doc" \t "_blank" </w:instrText>
      </w:r>
      <w:r>
        <w:rPr>
          <w:highlight w:val="none"/>
        </w:rPr>
        <w:fldChar w:fldCharType="separate"/>
      </w:r>
      <w:r>
        <w:rPr>
          <w:rFonts w:hint="eastAsia" w:ascii="宋体" w:hAnsi="宋体" w:cs="宋体"/>
          <w:color w:val="000000"/>
          <w:szCs w:val="21"/>
          <w:highlight w:val="none"/>
        </w:rPr>
        <w:t>滁州市公共资源交易投标保证金管理规定</w:t>
      </w:r>
      <w:r>
        <w:rPr>
          <w:rFonts w:hint="eastAsia" w:ascii="宋体" w:hAnsi="宋体" w:cs="宋体"/>
          <w:color w:val="000000"/>
          <w:szCs w:val="21"/>
          <w:highlight w:val="none"/>
        </w:rPr>
        <w:fldChar w:fldCharType="end"/>
      </w:r>
      <w:r>
        <w:rPr>
          <w:rFonts w:hint="eastAsia" w:ascii="宋体" w:hAnsi="宋体" w:cs="宋体"/>
          <w:color w:val="000000"/>
          <w:szCs w:val="21"/>
          <w:highlight w:val="none"/>
        </w:rPr>
        <w:t>》（滁公管〔2021〕7号）规定执行。</w:t>
      </w:r>
    </w:p>
    <w:p w14:paraId="628D76C9">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37" w:name="_Toc60061456"/>
      <w:bookmarkStart w:id="338" w:name="_Toc324404837"/>
      <w:bookmarkStart w:id="339" w:name="_Toc83301711"/>
      <w:bookmarkStart w:id="340" w:name="_Toc15058868"/>
      <w:bookmarkStart w:id="341" w:name="_Toc95223359"/>
      <w:bookmarkStart w:id="342" w:name="_Toc296602442"/>
      <w:bookmarkStart w:id="343" w:name="_Toc506107290"/>
      <w:bookmarkStart w:id="344" w:name="_Toc144974521"/>
      <w:bookmarkStart w:id="345" w:name="_Toc179632571"/>
      <w:bookmarkStart w:id="346" w:name="_Toc152042329"/>
      <w:bookmarkStart w:id="347" w:name="_Toc246996197"/>
      <w:bookmarkStart w:id="348" w:name="_Toc246996940"/>
      <w:bookmarkStart w:id="349" w:name="_Toc152045553"/>
      <w:bookmarkStart w:id="350" w:name="_Toc247085711"/>
      <w:r>
        <w:rPr>
          <w:rFonts w:hint="eastAsia" w:ascii="黑体" w:hAnsi="黑体" w:eastAsia="黑体" w:cs="黑体"/>
          <w:color w:val="000000"/>
          <w:sz w:val="21"/>
          <w:szCs w:val="21"/>
          <w:highlight w:val="none"/>
        </w:rPr>
        <w:t>3.5投标文件的编制</w:t>
      </w:r>
      <w:bookmarkEnd w:id="337"/>
      <w:bookmarkEnd w:id="338"/>
      <w:bookmarkEnd w:id="339"/>
      <w:bookmarkEnd w:id="340"/>
      <w:bookmarkEnd w:id="341"/>
      <w:bookmarkEnd w:id="342"/>
      <w:bookmarkEnd w:id="343"/>
    </w:p>
    <w:p w14:paraId="6812E0D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3.5.1投标文件应按第九章“投标文件格式”进行编写，如有必要，可以增加附页，作为投标文件的组成部分。其中，投标函在满足招标文件实质性要求的基础上，可以提出比招标文件要求更有利于招标人的承诺。施工组织设计编制的特殊要求见投标人须知前附表。</w:t>
      </w:r>
    </w:p>
    <w:p w14:paraId="3747D66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3.5.2本次投标不需要提供纸质投标文件，投标人应按照电子招标投标的要求，在投标人的电子系统中制作、签章、上传加密的电子投标文件。</w:t>
      </w:r>
    </w:p>
    <w:p w14:paraId="59F8AF1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3.5.3 投标文件应当对招标文件有关工期、投标有效期、质量要求、技术标准和要求、招标范围等实质性内容作出响应。</w:t>
      </w:r>
    </w:p>
    <w:bookmarkEnd w:id="344"/>
    <w:bookmarkEnd w:id="345"/>
    <w:bookmarkEnd w:id="346"/>
    <w:bookmarkEnd w:id="347"/>
    <w:bookmarkEnd w:id="348"/>
    <w:bookmarkEnd w:id="349"/>
    <w:bookmarkEnd w:id="350"/>
    <w:p w14:paraId="3460F8DE">
      <w:pPr>
        <w:adjustRightInd w:val="0"/>
        <w:snapToGrid w:val="0"/>
        <w:spacing w:line="600" w:lineRule="exact"/>
        <w:ind w:firstLine="420" w:firstLineChars="200"/>
        <w:rPr>
          <w:rFonts w:hint="eastAsia" w:ascii="宋体" w:hAnsi="宋体" w:cs="宋体"/>
          <w:bCs/>
          <w:snapToGrid w:val="0"/>
          <w:color w:val="000000"/>
          <w:kern w:val="0"/>
          <w:szCs w:val="21"/>
          <w:highlight w:val="none"/>
        </w:rPr>
      </w:pPr>
      <w:bookmarkStart w:id="351" w:name="_Toc246996942"/>
      <w:bookmarkStart w:id="352" w:name="_Toc246996199"/>
      <w:bookmarkStart w:id="353" w:name="_Toc152045555"/>
      <w:bookmarkStart w:id="354" w:name="_Toc179632573"/>
      <w:bookmarkStart w:id="355" w:name="_Toc324404838"/>
      <w:bookmarkStart w:id="356" w:name="_Toc247085713"/>
      <w:bookmarkStart w:id="357" w:name="_Toc152042331"/>
      <w:bookmarkStart w:id="358" w:name="_Toc144974523"/>
      <w:r>
        <w:rPr>
          <w:rFonts w:hint="eastAsia" w:ascii="宋体" w:hAnsi="宋体" w:cs="宋体"/>
          <w:bCs/>
          <w:snapToGrid w:val="0"/>
          <w:color w:val="000000"/>
          <w:kern w:val="0"/>
          <w:szCs w:val="21"/>
          <w:highlight w:val="none"/>
        </w:rPr>
        <w:t>3.5.4 投标人须知前附表规定接受联合体投标的，资格审查资料应包括联合体各方相关情况 。</w:t>
      </w:r>
    </w:p>
    <w:p w14:paraId="07382063">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3.5.5招标人有权核查投标人在投标文件中提供的资料，若发现投标人以他人名义投标或者以其他方式弄虚作假骗取中标的，中标无效；</w:t>
      </w:r>
      <w:r>
        <w:rPr>
          <w:rFonts w:hint="eastAsia" w:ascii="宋体" w:hAnsi="宋体" w:cs="宋体"/>
          <w:b/>
          <w:snapToGrid w:val="0"/>
          <w:color w:val="000000"/>
          <w:kern w:val="0"/>
          <w:szCs w:val="21"/>
          <w:highlight w:val="none"/>
        </w:rPr>
        <w:t>如果签订合同后发现中标人提供了虚假材料，招标人有权解除合同</w:t>
      </w:r>
      <w:r>
        <w:rPr>
          <w:rFonts w:hint="eastAsia" w:ascii="宋体" w:hAnsi="宋体" w:cs="宋体"/>
          <w:bCs/>
          <w:snapToGrid w:val="0"/>
          <w:color w:val="000000"/>
          <w:kern w:val="0"/>
          <w:szCs w:val="21"/>
          <w:highlight w:val="none"/>
        </w:rPr>
        <w:t>。同时招标人将投标人上述弄虚作假行为上报公共资源交易监督管理部门处理。</w:t>
      </w:r>
    </w:p>
    <w:p w14:paraId="0F3F313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3.5.6投标文件的制作应满足以下规定：</w:t>
      </w:r>
    </w:p>
    <w:p w14:paraId="0650984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（1）投标文件由投标人使用电子交易系统提供的“投标文件制作工具”制作生成。“投标文件制作工具”可以通过电子交易系统下载。</w:t>
      </w:r>
    </w:p>
    <w:p w14:paraId="5CEE883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w:t>
      </w:r>
      <w:r>
        <w:rPr>
          <w:rFonts w:hint="eastAsia" w:ascii="宋体" w:hAnsi="宋体" w:cs="宋体"/>
          <w:b/>
          <w:color w:val="000000"/>
          <w:szCs w:val="21"/>
          <w:highlight w:val="none"/>
        </w:rPr>
        <w:t>招标文件中“签章”是指签字或盖章。</w:t>
      </w:r>
      <w:r>
        <w:rPr>
          <w:rFonts w:hint="eastAsia" w:ascii="宋体" w:hAnsi="宋体" w:cs="宋体"/>
          <w:color w:val="000000"/>
          <w:szCs w:val="21"/>
          <w:highlight w:val="none"/>
        </w:rPr>
        <w:t>在第九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45ECE7E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2C89195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（4）投标文件制作的具体方法详见“投标文件制作工具”中的帮助文档。</w:t>
      </w:r>
    </w:p>
    <w:p w14:paraId="229D7CE4">
      <w:pPr>
        <w:adjustRightInd w:val="0"/>
        <w:snapToGrid w:val="0"/>
        <w:spacing w:line="560" w:lineRule="exact"/>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3.5.7 因投标人自身原因而导致投标文件无法导入电子交易系统电子开标、评标系统，该投标视为无效投标，投标人自行承担由此导致的全部责任。</w:t>
      </w:r>
    </w:p>
    <w:p w14:paraId="0ECCF459">
      <w:pPr>
        <w:adjustRightInd w:val="0"/>
        <w:snapToGrid w:val="0"/>
        <w:spacing w:line="560" w:lineRule="exact"/>
        <w:ind w:firstLine="420" w:firstLineChars="200"/>
        <w:rPr>
          <w:rFonts w:hint="eastAsia" w:ascii="宋体" w:hAnsi="宋体" w:cs="宋体"/>
          <w:color w:val="000000"/>
          <w:kern w:val="0"/>
          <w:szCs w:val="21"/>
          <w:highlight w:val="none"/>
        </w:rPr>
      </w:pPr>
      <w:r>
        <w:rPr>
          <w:rFonts w:hint="eastAsia" w:ascii="宋体" w:hAnsi="宋体" w:cs="宋体"/>
          <w:color w:val="000000"/>
          <w:kern w:val="0"/>
          <w:szCs w:val="21"/>
          <w:highlight w:val="none"/>
        </w:rPr>
        <w:t>3.5.8 投标人中标后须递交与网上电子投标文件完全一致的纸质版投标文件，在领取中标通知书时，一并递交给招标代理机构。</w:t>
      </w:r>
    </w:p>
    <w:p w14:paraId="67C6B2AD">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r>
        <w:rPr>
          <w:rFonts w:hint="eastAsia" w:ascii="黑体" w:hAnsi="黑体" w:eastAsia="黑体" w:cs="黑体"/>
          <w:color w:val="000000"/>
          <w:sz w:val="21"/>
          <w:szCs w:val="21"/>
          <w:highlight w:val="none"/>
        </w:rPr>
        <w:t>3.6 备选投标方案</w:t>
      </w:r>
    </w:p>
    <w:p w14:paraId="4CC18777">
      <w:pPr>
        <w:adjustRightInd w:val="0"/>
        <w:snapToGrid w:val="0"/>
        <w:spacing w:line="600" w:lineRule="exact"/>
        <w:ind w:firstLine="420" w:firstLineChars="200"/>
        <w:rPr>
          <w:rFonts w:hint="eastAsia" w:ascii="宋体" w:hAnsi="宋体" w:cs="宋体"/>
          <w:color w:val="000000"/>
          <w:highlight w:val="none"/>
        </w:rPr>
      </w:pPr>
      <w:r>
        <w:rPr>
          <w:rFonts w:hint="eastAsia" w:ascii="宋体" w:hAnsi="宋体" w:cs="宋体"/>
          <w:color w:val="000000"/>
          <w:highlight w:val="none"/>
        </w:rPr>
        <w:t xml:space="preserve">3.6.1 </w:t>
      </w:r>
      <w:r>
        <w:rPr>
          <w:rFonts w:hint="eastAsia" w:ascii="宋体" w:hAnsi="宋体" w:cs="宋体"/>
          <w:bCs/>
          <w:snapToGrid w:val="0"/>
          <w:color w:val="000000"/>
          <w:kern w:val="0"/>
          <w:szCs w:val="21"/>
          <w:highlight w:val="none"/>
        </w:rPr>
        <w:t>除投标人须知前附表规定允许外，投标人不得递交备选投标方案，否则其投标将被否决。</w:t>
      </w:r>
    </w:p>
    <w:p w14:paraId="3776BA4C">
      <w:pPr>
        <w:adjustRightInd w:val="0"/>
        <w:snapToGrid w:val="0"/>
        <w:spacing w:line="600" w:lineRule="exact"/>
        <w:ind w:firstLine="420" w:firstLineChars="200"/>
        <w:rPr>
          <w:rFonts w:hint="eastAsia" w:ascii="宋体" w:hAnsi="宋体" w:cs="宋体"/>
          <w:color w:val="000000"/>
          <w:highlight w:val="none"/>
        </w:rPr>
      </w:pPr>
      <w:r>
        <w:rPr>
          <w:rFonts w:hint="eastAsia" w:ascii="宋体" w:hAnsi="宋体" w:cs="宋体"/>
          <w:color w:val="000000"/>
          <w:highlight w:val="none"/>
        </w:rPr>
        <w:t xml:space="preserve">3.6.2 </w:t>
      </w:r>
      <w:r>
        <w:rPr>
          <w:rFonts w:hint="eastAsia" w:ascii="宋体" w:hAnsi="宋体" w:cs="宋体"/>
          <w:bCs/>
          <w:snapToGrid w:val="0"/>
          <w:color w:val="000000"/>
          <w:kern w:val="0"/>
          <w:szCs w:val="21"/>
          <w:highlight w:val="none"/>
        </w:rPr>
        <w:t>允许投标人递交备选投标方案的，只有中标人所递交的备选投标方案方可予以考虑。评标委员会认为中标人的备选投标方案优于其按照招标文件要求编制的投标方案的，招标人可以接受该备选投标方案。</w:t>
      </w:r>
    </w:p>
    <w:p w14:paraId="60D5B5D2">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color w:val="000000"/>
          <w:highlight w:val="none"/>
        </w:rPr>
        <w:t xml:space="preserve">3.6.3 </w:t>
      </w:r>
      <w:r>
        <w:rPr>
          <w:rFonts w:hint="eastAsia" w:ascii="宋体" w:hAnsi="宋体" w:cs="宋体"/>
          <w:bCs/>
          <w:snapToGrid w:val="0"/>
          <w:color w:val="000000"/>
          <w:kern w:val="0"/>
          <w:szCs w:val="21"/>
          <w:highlight w:val="none"/>
        </w:rPr>
        <w:t>投标人提供两个或两个以上投标报价，或在投标文件中提供一个报价，但同时提供两个或两个以上施工组织设计的，视为提供备选方案。</w:t>
      </w:r>
    </w:p>
    <w:p w14:paraId="01AD2CAF">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359" w:name="_Toc506107291"/>
      <w:bookmarkStart w:id="360" w:name="_Toc95223360"/>
      <w:bookmarkStart w:id="361" w:name="_Toc60061457"/>
      <w:bookmarkStart w:id="362" w:name="_Toc83301712"/>
      <w:bookmarkStart w:id="363" w:name="_Toc15058869"/>
      <w:r>
        <w:rPr>
          <w:rFonts w:hint="eastAsia" w:ascii="黑体" w:hAnsi="黑体" w:cs="黑体"/>
          <w:color w:val="000000"/>
          <w:sz w:val="21"/>
          <w:szCs w:val="21"/>
          <w:highlight w:val="none"/>
        </w:rPr>
        <w:t>4.投标</w:t>
      </w:r>
      <w:bookmarkEnd w:id="359"/>
      <w:bookmarkEnd w:id="360"/>
      <w:bookmarkEnd w:id="361"/>
      <w:bookmarkEnd w:id="362"/>
      <w:bookmarkEnd w:id="363"/>
    </w:p>
    <w:p w14:paraId="6B97DE8F">
      <w:pPr>
        <w:pStyle w:val="5"/>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364" w:name="_Toc60061458"/>
      <w:bookmarkStart w:id="365" w:name="_Toc95223361"/>
      <w:bookmarkStart w:id="366" w:name="_Toc83301713"/>
      <w:bookmarkStart w:id="367" w:name="_Toc15058870"/>
      <w:r>
        <w:rPr>
          <w:rFonts w:hint="eastAsia" w:ascii="黑体" w:hAnsi="黑体" w:eastAsia="黑体" w:cs="黑体"/>
          <w:color w:val="000000"/>
          <w:sz w:val="21"/>
          <w:szCs w:val="21"/>
          <w:highlight w:val="none"/>
        </w:rPr>
        <w:t>4.1投标文件上传</w:t>
      </w:r>
      <w:bookmarkEnd w:id="364"/>
      <w:bookmarkEnd w:id="365"/>
      <w:bookmarkEnd w:id="366"/>
      <w:bookmarkEnd w:id="367"/>
    </w:p>
    <w:p w14:paraId="3C41FB8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4.1.1请投标人通过系统下载投标工具制作投标文件，并利用CA数字证书进行上传投标文件，上传已加密的投标文件，务必通过此方式上传投标文件。</w:t>
      </w:r>
    </w:p>
    <w:p w14:paraId="4A5A4F7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4.1.2投标人在投标文件编制、签章、上传过程中如有任何操作的疑问请及时联系技术支持，电话：0550-3801701。</w:t>
      </w:r>
    </w:p>
    <w:p w14:paraId="05A76CA3">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68" w:name="_Toc506107292"/>
      <w:bookmarkStart w:id="369" w:name="_Toc95223362"/>
      <w:bookmarkStart w:id="370" w:name="_Toc246996943"/>
      <w:bookmarkStart w:id="371" w:name="_Toc296602444"/>
      <w:bookmarkStart w:id="372" w:name="_Toc179632574"/>
      <w:bookmarkStart w:id="373" w:name="_Toc247085714"/>
      <w:bookmarkStart w:id="374" w:name="_Toc15058871"/>
      <w:bookmarkStart w:id="375" w:name="_Toc152042332"/>
      <w:bookmarkStart w:id="376" w:name="_Toc60061459"/>
      <w:bookmarkStart w:id="377" w:name="_Toc144974524"/>
      <w:bookmarkStart w:id="378" w:name="_Toc83301714"/>
      <w:bookmarkStart w:id="379" w:name="_Toc246996200"/>
      <w:bookmarkStart w:id="380" w:name="_Toc324404839"/>
      <w:bookmarkStart w:id="381" w:name="_Toc152045556"/>
      <w:r>
        <w:rPr>
          <w:rFonts w:hint="eastAsia" w:ascii="黑体" w:hAnsi="黑体" w:eastAsia="黑体" w:cs="黑体"/>
          <w:color w:val="000000"/>
          <w:sz w:val="21"/>
          <w:szCs w:val="21"/>
          <w:highlight w:val="none"/>
        </w:rPr>
        <w:t>4.2投标文件的密封和标记</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02FF6BFB">
      <w:pPr>
        <w:adjustRightInd w:val="0"/>
        <w:snapToGrid w:val="0"/>
        <w:spacing w:line="560" w:lineRule="exact"/>
        <w:ind w:firstLine="420" w:firstLineChars="200"/>
        <w:rPr>
          <w:rFonts w:hint="eastAsia" w:ascii="宋体" w:hAnsi="宋体" w:cs="宋体"/>
          <w:color w:val="000000"/>
          <w:szCs w:val="21"/>
          <w:highlight w:val="none"/>
        </w:rPr>
      </w:pPr>
      <w:bookmarkStart w:id="382" w:name="_Toc324404840"/>
      <w:bookmarkStart w:id="383" w:name="_Toc247085715"/>
      <w:bookmarkStart w:id="384" w:name="_Toc246996201"/>
      <w:bookmarkStart w:id="385" w:name="_Toc144974525"/>
      <w:bookmarkStart w:id="386" w:name="_Toc152042333"/>
      <w:bookmarkStart w:id="387" w:name="_Toc152045557"/>
      <w:bookmarkStart w:id="388" w:name="_Toc296602445"/>
      <w:bookmarkStart w:id="389" w:name="_Toc246996944"/>
      <w:bookmarkStart w:id="390" w:name="_Toc179632575"/>
      <w:r>
        <w:rPr>
          <w:rFonts w:hint="eastAsia" w:ascii="宋体" w:hAnsi="宋体" w:cs="宋体"/>
          <w:color w:val="000000"/>
          <w:szCs w:val="21"/>
          <w:highlight w:val="none"/>
        </w:rPr>
        <w:t>4.2.1投标文件应按照本章第3.5.6项要求制作并加密，未按要求加密的投标文件将被拒绝接收。以投标人在投标截止时间前网上递交的电子投标文件为准。</w:t>
      </w:r>
    </w:p>
    <w:p w14:paraId="1BDE2998">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91" w:name="_Toc60061460"/>
      <w:bookmarkStart w:id="392" w:name="_Toc83301715"/>
      <w:bookmarkStart w:id="393" w:name="_Toc506107293"/>
      <w:bookmarkStart w:id="394" w:name="_Toc95223363"/>
      <w:bookmarkStart w:id="395" w:name="_Toc15058872"/>
      <w:r>
        <w:rPr>
          <w:rFonts w:hint="eastAsia" w:ascii="黑体" w:hAnsi="黑体" w:eastAsia="黑体" w:cs="黑体"/>
          <w:color w:val="000000"/>
          <w:sz w:val="21"/>
          <w:szCs w:val="21"/>
          <w:highlight w:val="none"/>
        </w:rPr>
        <w:t>4.3 投标文件的递交</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34EE628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4.3.1 投标人应当在第一章“招标公告”规定的投标截止时间前，将加密投标文件上传至电子交易系统。</w:t>
      </w:r>
    </w:p>
    <w:p w14:paraId="3847536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4.3.2 除投标人须知前附表另有规定外，投标人所递交的投标文件不予退还。</w:t>
      </w:r>
    </w:p>
    <w:p w14:paraId="235849C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4.3.3 </w:t>
      </w:r>
      <w:r>
        <w:rPr>
          <w:rFonts w:ascii="宋体" w:hAnsi="宋体" w:cs="宋体"/>
          <w:color w:val="000000"/>
          <w:szCs w:val="21"/>
          <w:highlight w:val="none"/>
        </w:rPr>
        <w:t>投标人应当在投标截止时间前完成投标文件的</w:t>
      </w:r>
      <w:r>
        <w:rPr>
          <w:rFonts w:hint="eastAsia" w:ascii="宋体" w:hAnsi="宋体" w:cs="宋体"/>
          <w:color w:val="000000"/>
          <w:szCs w:val="21"/>
          <w:highlight w:val="none"/>
        </w:rPr>
        <w:t>网上递交，</w:t>
      </w:r>
      <w:r>
        <w:rPr>
          <w:rFonts w:ascii="宋体" w:hAnsi="宋体" w:cs="宋体"/>
          <w:color w:val="000000"/>
          <w:szCs w:val="21"/>
          <w:highlight w:val="none"/>
        </w:rPr>
        <w:t xml:space="preserve"> 并可以补充、修改或者撤回投标文件。投标截止时间前未完成投标文件</w:t>
      </w:r>
      <w:r>
        <w:rPr>
          <w:rFonts w:hint="eastAsia" w:ascii="宋体" w:hAnsi="宋体" w:cs="宋体"/>
          <w:color w:val="000000"/>
          <w:szCs w:val="21"/>
          <w:highlight w:val="none"/>
        </w:rPr>
        <w:t>网上递交</w:t>
      </w:r>
      <w:r>
        <w:rPr>
          <w:rFonts w:ascii="宋体" w:hAnsi="宋体" w:cs="宋体"/>
          <w:color w:val="000000"/>
          <w:szCs w:val="21"/>
          <w:highlight w:val="none"/>
        </w:rPr>
        <w:t>的，视为撤回投标文件。未按规定加密或投标截止时间后</w:t>
      </w:r>
      <w:r>
        <w:rPr>
          <w:rFonts w:hint="eastAsia" w:ascii="宋体" w:hAnsi="宋体" w:cs="宋体"/>
          <w:color w:val="000000"/>
          <w:szCs w:val="21"/>
          <w:highlight w:val="none"/>
        </w:rPr>
        <w:t>通过网上招标投标系统递交电子投标文件的</w:t>
      </w:r>
      <w:r>
        <w:rPr>
          <w:rFonts w:ascii="宋体" w:hAnsi="宋体" w:cs="宋体"/>
          <w:color w:val="000000"/>
          <w:szCs w:val="21"/>
          <w:highlight w:val="none"/>
        </w:rPr>
        <w:t>，电子交易系统应当拒收</w:t>
      </w:r>
      <w:r>
        <w:rPr>
          <w:rFonts w:hint="eastAsia" w:ascii="宋体" w:hAnsi="宋体" w:cs="宋体"/>
          <w:color w:val="000000"/>
          <w:szCs w:val="21"/>
          <w:highlight w:val="none"/>
        </w:rPr>
        <w:t>，投标无效。</w:t>
      </w:r>
    </w:p>
    <w:p w14:paraId="0D130E38">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396" w:name="_Toc247085716"/>
      <w:bookmarkStart w:id="397" w:name="_Toc83301716"/>
      <w:bookmarkStart w:id="398" w:name="_Toc324404841"/>
      <w:bookmarkStart w:id="399" w:name="_Toc95223364"/>
      <w:bookmarkStart w:id="400" w:name="_Toc296602446"/>
      <w:bookmarkStart w:id="401" w:name="_Toc179632576"/>
      <w:bookmarkStart w:id="402" w:name="_Toc246996202"/>
      <w:bookmarkStart w:id="403" w:name="_Toc60061461"/>
      <w:bookmarkStart w:id="404" w:name="_Toc506107294"/>
      <w:bookmarkStart w:id="405" w:name="_Toc152045558"/>
      <w:bookmarkStart w:id="406" w:name="_Toc246996945"/>
      <w:bookmarkStart w:id="407" w:name="_Toc15058873"/>
      <w:bookmarkStart w:id="408" w:name="_Toc144974526"/>
      <w:bookmarkStart w:id="409" w:name="_Toc152042334"/>
      <w:r>
        <w:rPr>
          <w:rFonts w:hint="eastAsia" w:ascii="黑体" w:hAnsi="黑体" w:eastAsia="黑体" w:cs="黑体"/>
          <w:color w:val="000000"/>
          <w:sz w:val="21"/>
          <w:szCs w:val="21"/>
          <w:highlight w:val="none"/>
        </w:rPr>
        <w:t>4.4 投标文件的修改与撤回</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2F15334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4.4.1在第一章“招标公告”规定的投标截止时间前，投标人可以自行从网上开评标系统撤回已递交的投标文件，并可修改后重新加密上传，开标时以投标截止时间前投标人最终上传的投标文件为准。</w:t>
      </w:r>
    </w:p>
    <w:p w14:paraId="5B5D7985">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410" w:name="_Toc324404842"/>
      <w:bookmarkStart w:id="411" w:name="_Toc83301717"/>
      <w:bookmarkStart w:id="412" w:name="_Toc152042335"/>
      <w:bookmarkStart w:id="413" w:name="_Toc152045559"/>
      <w:bookmarkStart w:id="414" w:name="_Toc60061462"/>
      <w:bookmarkStart w:id="415" w:name="_Toc506107295"/>
      <w:bookmarkStart w:id="416" w:name="_Toc144974527"/>
      <w:bookmarkStart w:id="417" w:name="_Toc15058874"/>
      <w:bookmarkStart w:id="418" w:name="_Toc247085717"/>
      <w:bookmarkStart w:id="419" w:name="_Toc246996946"/>
      <w:bookmarkStart w:id="420" w:name="_Toc95223365"/>
      <w:bookmarkStart w:id="421" w:name="_Toc246996203"/>
      <w:bookmarkStart w:id="422" w:name="_Toc179632577"/>
      <w:r>
        <w:rPr>
          <w:rFonts w:hint="eastAsia" w:ascii="黑体" w:hAnsi="黑体" w:cs="黑体"/>
          <w:color w:val="000000"/>
          <w:sz w:val="21"/>
          <w:szCs w:val="21"/>
          <w:highlight w:val="none"/>
        </w:rPr>
        <w:t>5. 开标</w:t>
      </w:r>
      <w:bookmarkEnd w:id="410"/>
      <w:bookmarkEnd w:id="411"/>
      <w:bookmarkEnd w:id="412"/>
      <w:bookmarkEnd w:id="413"/>
      <w:bookmarkEnd w:id="414"/>
      <w:bookmarkEnd w:id="415"/>
      <w:bookmarkEnd w:id="416"/>
      <w:bookmarkEnd w:id="417"/>
      <w:bookmarkEnd w:id="418"/>
      <w:bookmarkEnd w:id="419"/>
      <w:bookmarkEnd w:id="420"/>
      <w:bookmarkEnd w:id="421"/>
      <w:bookmarkEnd w:id="422"/>
    </w:p>
    <w:p w14:paraId="2C0BC2C7">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23" w:name="_Toc324404843"/>
      <w:bookmarkStart w:id="424" w:name="_Toc506107296"/>
      <w:bookmarkStart w:id="425" w:name="_Toc152042336"/>
      <w:bookmarkStart w:id="426" w:name="_Toc95223366"/>
      <w:bookmarkStart w:id="427" w:name="_Toc144974528"/>
      <w:bookmarkStart w:id="428" w:name="_Toc296602448"/>
      <w:bookmarkStart w:id="429" w:name="_Toc60061463"/>
      <w:bookmarkStart w:id="430" w:name="_Toc152045560"/>
      <w:bookmarkStart w:id="431" w:name="_Toc15058875"/>
      <w:bookmarkStart w:id="432" w:name="_Toc179632578"/>
      <w:bookmarkStart w:id="433" w:name="_Toc246996204"/>
      <w:bookmarkStart w:id="434" w:name="_Toc83301718"/>
      <w:bookmarkStart w:id="435" w:name="_Toc246996947"/>
      <w:bookmarkStart w:id="436" w:name="_Toc247085718"/>
      <w:r>
        <w:rPr>
          <w:rFonts w:hint="eastAsia" w:ascii="黑体" w:hAnsi="黑体" w:eastAsia="黑体" w:cs="黑体"/>
          <w:color w:val="000000"/>
          <w:sz w:val="21"/>
          <w:szCs w:val="21"/>
          <w:highlight w:val="none"/>
        </w:rPr>
        <w:t>5.1 开标时间和地点</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5A3C0F8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招标人在第一章“招标公告”规定的投标截止时间前（开标时间）和地点</w:t>
      </w:r>
      <w:r>
        <w:rPr>
          <w:color w:val="000000"/>
          <w:highlight w:val="none"/>
        </w:rPr>
        <w:t>通过电子交易系统公开开标</w:t>
      </w:r>
      <w:r>
        <w:rPr>
          <w:rFonts w:hint="eastAsia" w:ascii="宋体" w:hAnsi="宋体" w:cs="宋体"/>
          <w:color w:val="000000"/>
          <w:szCs w:val="21"/>
          <w:highlight w:val="none"/>
        </w:rPr>
        <w:t>。</w:t>
      </w:r>
    </w:p>
    <w:p w14:paraId="4D2B9F14">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37" w:name="_Toc296602449"/>
      <w:bookmarkStart w:id="438" w:name="_Toc15058876"/>
      <w:bookmarkStart w:id="439" w:name="_Toc247085719"/>
      <w:bookmarkStart w:id="440" w:name="_Toc179632579"/>
      <w:bookmarkStart w:id="441" w:name="_Toc246996948"/>
      <w:bookmarkStart w:id="442" w:name="_Toc506107297"/>
      <w:bookmarkStart w:id="443" w:name="_Toc152042337"/>
      <w:bookmarkStart w:id="444" w:name="_Toc246996205"/>
      <w:bookmarkStart w:id="445" w:name="_Toc83301719"/>
      <w:bookmarkStart w:id="446" w:name="_Toc324404844"/>
      <w:bookmarkStart w:id="447" w:name="_Toc60061464"/>
      <w:bookmarkStart w:id="448" w:name="_Toc144974529"/>
      <w:bookmarkStart w:id="449" w:name="_Toc95223367"/>
      <w:bookmarkStart w:id="450" w:name="_Toc152045561"/>
      <w:r>
        <w:rPr>
          <w:rFonts w:hint="eastAsia" w:ascii="黑体" w:hAnsi="黑体" w:eastAsia="黑体" w:cs="黑体"/>
          <w:color w:val="000000"/>
          <w:sz w:val="21"/>
          <w:szCs w:val="21"/>
          <w:highlight w:val="none"/>
        </w:rPr>
        <w:t>5.2 开标程序</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1D82AC9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主持人按下列程序进行开标：</w:t>
      </w:r>
    </w:p>
    <w:p w14:paraId="3923ED08">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（1）公布在投标截止时间前通过电子交易系统完成投标文件递交的投标人名称；</w:t>
      </w:r>
    </w:p>
    <w:p w14:paraId="32490D05">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（2）投标人在投标截止时间后在投标人须知前附表规定的解密时间内完成投标文件的解密工作；</w:t>
      </w:r>
    </w:p>
    <w:p w14:paraId="37854CBD">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（3）</w:t>
      </w:r>
      <w:r>
        <w:rPr>
          <w:rFonts w:hint="eastAsia" w:ascii="宋体" w:hAnsi="宋体" w:cs="宋体"/>
          <w:bCs/>
          <w:snapToGrid w:val="0"/>
          <w:color w:val="000000"/>
          <w:kern w:val="0"/>
          <w:szCs w:val="21"/>
          <w:highlight w:val="none"/>
        </w:rPr>
        <w:t>招标人或招标代理机构完成解密工作，导入并读取所有成功解密的投标文件；</w:t>
      </w:r>
    </w:p>
    <w:p w14:paraId="0FDDB2EC">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（4）按投标人须知前附表规定公布投标人名称、标段名称、投标报价、质量目标、工期及其他内容；</w:t>
      </w:r>
    </w:p>
    <w:p w14:paraId="4725CD6B">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（5）开标结束。</w:t>
      </w:r>
    </w:p>
    <w:bookmarkEnd w:id="351"/>
    <w:bookmarkEnd w:id="352"/>
    <w:bookmarkEnd w:id="353"/>
    <w:bookmarkEnd w:id="354"/>
    <w:bookmarkEnd w:id="355"/>
    <w:bookmarkEnd w:id="356"/>
    <w:bookmarkEnd w:id="357"/>
    <w:bookmarkEnd w:id="358"/>
    <w:p w14:paraId="104658DE">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51" w:name="_Toc15058883"/>
      <w:bookmarkStart w:id="452" w:name="_Toc324404845"/>
      <w:bookmarkStart w:id="453" w:name="_Toc296602450"/>
      <w:bookmarkStart w:id="454" w:name="_Toc60061465"/>
      <w:bookmarkStart w:id="455" w:name="_Toc506107298"/>
      <w:bookmarkStart w:id="456" w:name="_Toc95223368"/>
      <w:bookmarkStart w:id="457" w:name="_Toc83301720"/>
      <w:r>
        <w:rPr>
          <w:rFonts w:hint="eastAsia" w:ascii="黑体" w:hAnsi="黑体" w:eastAsia="黑体" w:cs="黑体"/>
          <w:color w:val="000000"/>
          <w:sz w:val="21"/>
          <w:szCs w:val="21"/>
          <w:highlight w:val="none"/>
        </w:rPr>
        <w:t>5.3 开标异议</w:t>
      </w:r>
      <w:bookmarkEnd w:id="451"/>
      <w:bookmarkEnd w:id="452"/>
      <w:bookmarkEnd w:id="453"/>
      <w:bookmarkEnd w:id="454"/>
      <w:bookmarkEnd w:id="455"/>
      <w:bookmarkEnd w:id="456"/>
      <w:bookmarkEnd w:id="457"/>
    </w:p>
    <w:p w14:paraId="75CBEBB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投标人对开标有异议的，应当在开标过程中提出，招标人在开标过程中作出答复，并制作记录。</w:t>
      </w:r>
      <w:r>
        <w:rPr>
          <w:color w:val="000000"/>
          <w:spacing w:val="-5"/>
          <w:highlight w:val="none"/>
        </w:rPr>
        <w:t>异议与答复应通过电子交易系统进行。</w:t>
      </w:r>
    </w:p>
    <w:p w14:paraId="2B1E34EE">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458" w:name="_Toc324404846"/>
      <w:bookmarkStart w:id="459" w:name="_Toc152045562"/>
      <w:bookmarkStart w:id="460" w:name="_Toc246996206"/>
      <w:bookmarkStart w:id="461" w:name="_Toc144974530"/>
      <w:bookmarkStart w:id="462" w:name="_Toc15058884"/>
      <w:bookmarkStart w:id="463" w:name="_Toc246996949"/>
      <w:bookmarkStart w:id="464" w:name="_Toc95223369"/>
      <w:bookmarkStart w:id="465" w:name="_Toc179632580"/>
      <w:bookmarkStart w:id="466" w:name="_Toc83301721"/>
      <w:bookmarkStart w:id="467" w:name="_Toc60061466"/>
      <w:bookmarkStart w:id="468" w:name="_Toc506107299"/>
      <w:bookmarkStart w:id="469" w:name="_Toc152042338"/>
      <w:bookmarkStart w:id="470" w:name="_Toc247085720"/>
      <w:r>
        <w:rPr>
          <w:rFonts w:hint="eastAsia" w:ascii="黑体" w:hAnsi="黑体" w:cs="黑体"/>
          <w:color w:val="000000"/>
          <w:sz w:val="21"/>
          <w:szCs w:val="21"/>
          <w:highlight w:val="none"/>
        </w:rPr>
        <w:t>6. 评标</w:t>
      </w:r>
      <w:bookmarkEnd w:id="458"/>
      <w:bookmarkEnd w:id="459"/>
      <w:bookmarkEnd w:id="460"/>
      <w:bookmarkEnd w:id="461"/>
      <w:bookmarkEnd w:id="462"/>
      <w:bookmarkEnd w:id="463"/>
      <w:bookmarkEnd w:id="464"/>
      <w:bookmarkEnd w:id="465"/>
      <w:bookmarkEnd w:id="466"/>
      <w:bookmarkEnd w:id="467"/>
      <w:bookmarkEnd w:id="468"/>
      <w:bookmarkEnd w:id="469"/>
      <w:bookmarkEnd w:id="470"/>
    </w:p>
    <w:p w14:paraId="40E14E86">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71" w:name="_Toc15058885"/>
      <w:bookmarkStart w:id="472" w:name="_Toc144974531"/>
      <w:bookmarkStart w:id="473" w:name="_Toc152042339"/>
      <w:bookmarkStart w:id="474" w:name="_Toc152045563"/>
      <w:bookmarkStart w:id="475" w:name="_Toc246996950"/>
      <w:bookmarkStart w:id="476" w:name="_Toc60061467"/>
      <w:bookmarkStart w:id="477" w:name="_Toc95223370"/>
      <w:bookmarkStart w:id="478" w:name="_Toc324404847"/>
      <w:bookmarkStart w:id="479" w:name="_Toc83301722"/>
      <w:bookmarkStart w:id="480" w:name="_Toc506107300"/>
      <w:bookmarkStart w:id="481" w:name="_Toc179632581"/>
      <w:bookmarkStart w:id="482" w:name="_Toc246996207"/>
      <w:bookmarkStart w:id="483" w:name="_Toc296602452"/>
      <w:bookmarkStart w:id="484" w:name="_Toc247085721"/>
      <w:r>
        <w:rPr>
          <w:rFonts w:hint="eastAsia" w:ascii="黑体" w:hAnsi="黑体" w:eastAsia="黑体" w:cs="黑体"/>
          <w:color w:val="000000"/>
          <w:sz w:val="21"/>
          <w:szCs w:val="21"/>
          <w:highlight w:val="none"/>
        </w:rPr>
        <w:t>6.1 评标委员会</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1E8E502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54A4FFF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6.1.2 评标委员会成员有下列情形之一的，应当回避：</w:t>
      </w:r>
    </w:p>
    <w:p w14:paraId="58FBA75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（1）项目主管部门或行政监督管理部门，项目属地的公共资源交易综合管理部门、交易中心的工作人员；</w:t>
      </w:r>
      <w:r>
        <w:rPr>
          <w:rFonts w:ascii="宋体" w:hAnsi="宋体" w:cs="宋体"/>
          <w:color w:val="000000"/>
          <w:szCs w:val="21"/>
          <w:highlight w:val="none"/>
        </w:rPr>
        <w:t xml:space="preserve"> </w:t>
      </w:r>
    </w:p>
    <w:p w14:paraId="495009A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（2）与竞争主体主要负责人或者授权参与交易的代理人有近亲属关系的人员；</w:t>
      </w:r>
      <w:r>
        <w:rPr>
          <w:rFonts w:ascii="宋体" w:hAnsi="宋体" w:cs="宋体"/>
          <w:color w:val="000000"/>
          <w:szCs w:val="21"/>
          <w:highlight w:val="none"/>
        </w:rPr>
        <w:t xml:space="preserve"> </w:t>
      </w:r>
    </w:p>
    <w:p w14:paraId="1E8E287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（3）竞争主体的工作人员或者退休人员；</w:t>
      </w:r>
      <w:r>
        <w:rPr>
          <w:rFonts w:ascii="宋体" w:hAnsi="宋体" w:cs="宋体"/>
          <w:color w:val="000000"/>
          <w:szCs w:val="21"/>
          <w:highlight w:val="none"/>
        </w:rPr>
        <w:t xml:space="preserve"> </w:t>
      </w:r>
    </w:p>
    <w:p w14:paraId="4EB392A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（4）竞争主体的上级主管、控股或者被控股单位等相关利害关系的人员，或任职单位与竞争主体单位为同一法定代表人的；</w:t>
      </w:r>
      <w:r>
        <w:rPr>
          <w:rFonts w:ascii="宋体" w:hAnsi="宋体" w:cs="宋体"/>
          <w:color w:val="000000"/>
          <w:szCs w:val="21"/>
          <w:highlight w:val="none"/>
        </w:rPr>
        <w:t xml:space="preserve"> </w:t>
      </w:r>
    </w:p>
    <w:p w14:paraId="5A0D212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（5）存在其他法定回避情形的。</w:t>
      </w:r>
    </w:p>
    <w:p w14:paraId="44BE8A6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项目实施主体及其子公司、下属单位、上级主管部门或者控股公司的工作人员或者退休人员不得以专家身份参与本单位或者代理项目的评标评审。</w:t>
      </w:r>
      <w:r>
        <w:rPr>
          <w:rFonts w:ascii="宋体" w:hAnsi="宋体" w:cs="宋体"/>
          <w:color w:val="000000"/>
          <w:szCs w:val="21"/>
          <w:highlight w:val="none"/>
        </w:rPr>
        <w:t xml:space="preserve"> </w:t>
      </w:r>
    </w:p>
    <w:p w14:paraId="5CD036B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评标委员会或评审机构成员有前两款规定情形的，应当主动提出回避；已经进入的应当更换，被更换的成员评标评审意见无效。</w:t>
      </w:r>
      <w:r>
        <w:rPr>
          <w:rFonts w:ascii="宋体" w:hAnsi="宋体" w:cs="宋体"/>
          <w:color w:val="000000"/>
          <w:szCs w:val="21"/>
          <w:highlight w:val="none"/>
        </w:rPr>
        <w:t xml:space="preserve"> </w:t>
      </w:r>
    </w:p>
    <w:p w14:paraId="3AD08F4E">
      <w:pPr>
        <w:pStyle w:val="26"/>
        <w:adjustRightInd w:val="0"/>
        <w:snapToGrid w:val="0"/>
        <w:spacing w:after="0" w:line="560" w:lineRule="exact"/>
        <w:ind w:left="0" w:leftChars="0"/>
        <w:rPr>
          <w:color w:val="000000"/>
          <w:highlight w:val="none"/>
        </w:rPr>
      </w:pPr>
      <w:r>
        <w:rPr>
          <w:rFonts w:hint="eastAsia" w:ascii="宋体" w:hAnsi="宋体" w:cs="宋体"/>
          <w:color w:val="000000"/>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E168856">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85" w:name="_Toc95223371"/>
      <w:bookmarkStart w:id="486" w:name="_Toc83301723"/>
      <w:bookmarkStart w:id="487" w:name="_Toc152042340"/>
      <w:bookmarkStart w:id="488" w:name="_Toc246996951"/>
      <w:bookmarkStart w:id="489" w:name="_Toc152045564"/>
      <w:bookmarkStart w:id="490" w:name="_Toc247085722"/>
      <w:bookmarkStart w:id="491" w:name="_Toc60061468"/>
      <w:bookmarkStart w:id="492" w:name="_Toc144974532"/>
      <w:bookmarkStart w:id="493" w:name="_Toc179632582"/>
      <w:bookmarkStart w:id="494" w:name="_Toc15058886"/>
      <w:bookmarkStart w:id="495" w:name="_Toc296602453"/>
      <w:bookmarkStart w:id="496" w:name="_Toc506107301"/>
      <w:bookmarkStart w:id="497" w:name="_Toc324404848"/>
      <w:bookmarkStart w:id="498" w:name="_Toc246996208"/>
      <w:r>
        <w:rPr>
          <w:rFonts w:hint="eastAsia" w:ascii="黑体" w:hAnsi="黑体" w:eastAsia="黑体" w:cs="黑体"/>
          <w:color w:val="000000"/>
          <w:sz w:val="21"/>
          <w:szCs w:val="21"/>
          <w:highlight w:val="none"/>
        </w:rPr>
        <w:t>6.2 评标原则</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717945B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评标活动遵循公平、公正、科学和择优的原则。</w:t>
      </w:r>
    </w:p>
    <w:p w14:paraId="5475AFFD">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499" w:name="_Toc246996952"/>
      <w:bookmarkStart w:id="500" w:name="_Toc60061469"/>
      <w:bookmarkStart w:id="501" w:name="_Toc95223372"/>
      <w:bookmarkStart w:id="502" w:name="_Toc179632583"/>
      <w:bookmarkStart w:id="503" w:name="_Toc247085723"/>
      <w:bookmarkStart w:id="504" w:name="_Toc15058887"/>
      <w:bookmarkStart w:id="505" w:name="_Toc246996209"/>
      <w:bookmarkStart w:id="506" w:name="_Toc296602454"/>
      <w:bookmarkStart w:id="507" w:name="_Toc83301724"/>
      <w:bookmarkStart w:id="508" w:name="_Toc152045565"/>
      <w:bookmarkStart w:id="509" w:name="_Toc506107302"/>
      <w:bookmarkStart w:id="510" w:name="_Toc324404849"/>
      <w:bookmarkStart w:id="511" w:name="_Toc152042341"/>
      <w:bookmarkStart w:id="512" w:name="_Toc144974533"/>
      <w:r>
        <w:rPr>
          <w:rFonts w:hint="eastAsia" w:ascii="黑体" w:hAnsi="黑体" w:eastAsia="黑体" w:cs="黑体"/>
          <w:color w:val="000000"/>
          <w:sz w:val="21"/>
          <w:szCs w:val="21"/>
          <w:highlight w:val="none"/>
        </w:rPr>
        <w:t>6.3 评标</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Start w:id="513" w:name="_Toc152045566"/>
      <w:bookmarkStart w:id="514" w:name="_Toc247085724"/>
      <w:bookmarkStart w:id="515" w:name="_Toc15058888"/>
      <w:bookmarkStart w:id="516" w:name="_Toc506107303"/>
      <w:bookmarkStart w:id="517" w:name="_Toc246996210"/>
      <w:bookmarkStart w:id="518" w:name="_Toc246996953"/>
      <w:bookmarkStart w:id="519" w:name="_Toc152042342"/>
      <w:bookmarkStart w:id="520" w:name="_Toc60061470"/>
      <w:bookmarkStart w:id="521" w:name="_Toc144974534"/>
      <w:bookmarkStart w:id="522" w:name="_Toc179632584"/>
      <w:bookmarkStart w:id="523" w:name="_Toc324404850"/>
      <w:r>
        <w:rPr>
          <w:rFonts w:hint="eastAsia" w:ascii="黑体" w:hAnsi="黑体" w:eastAsia="黑体" w:cs="黑体"/>
          <w:color w:val="000000"/>
          <w:sz w:val="21"/>
          <w:szCs w:val="21"/>
          <w:highlight w:val="none"/>
        </w:rPr>
        <w:t xml:space="preserve">    </w:t>
      </w:r>
    </w:p>
    <w:p w14:paraId="41ED63A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6.3.1评标委员会按照第四章“评标办法”规定的方法、评审因素、标准和程序对投标文件进行评审。第四章“评标办法”没有规定的方法、评审因素和标准，不作为评标依据。</w:t>
      </w:r>
    </w:p>
    <w:p w14:paraId="4B143F2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6.3.2评标完成后，评标委员会应向招标人提交书面评标报告和中标候选人名单。评标委员会推荐中标候选人的人数见投标人须知前附表。</w:t>
      </w:r>
    </w:p>
    <w:p w14:paraId="62C88ED1">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524" w:name="_Toc95223373"/>
      <w:bookmarkStart w:id="525" w:name="_Toc83301725"/>
      <w:r>
        <w:rPr>
          <w:rFonts w:hint="eastAsia" w:ascii="黑体" w:hAnsi="黑体" w:cs="黑体"/>
          <w:color w:val="000000"/>
          <w:sz w:val="21"/>
          <w:szCs w:val="21"/>
          <w:highlight w:val="none"/>
        </w:rPr>
        <w:t>7. 合同授予</w:t>
      </w:r>
      <w:bookmarkEnd w:id="513"/>
      <w:bookmarkEnd w:id="514"/>
      <w:bookmarkEnd w:id="515"/>
      <w:bookmarkEnd w:id="516"/>
      <w:bookmarkEnd w:id="517"/>
      <w:bookmarkEnd w:id="518"/>
      <w:bookmarkEnd w:id="519"/>
      <w:bookmarkEnd w:id="520"/>
      <w:bookmarkEnd w:id="521"/>
      <w:bookmarkEnd w:id="522"/>
      <w:bookmarkEnd w:id="523"/>
      <w:bookmarkEnd w:id="524"/>
      <w:bookmarkEnd w:id="525"/>
    </w:p>
    <w:p w14:paraId="431BD03A">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26" w:name="_Toc60061472"/>
      <w:bookmarkStart w:id="527" w:name="_Toc324404852"/>
      <w:bookmarkStart w:id="528" w:name="_Toc15058890"/>
      <w:bookmarkStart w:id="529" w:name="_Toc95223374"/>
      <w:bookmarkStart w:id="530" w:name="_Toc506107305"/>
      <w:bookmarkStart w:id="531" w:name="_Toc296602457"/>
      <w:bookmarkStart w:id="532" w:name="_Toc83301726"/>
      <w:r>
        <w:rPr>
          <w:rFonts w:hint="eastAsia" w:ascii="黑体" w:hAnsi="黑体" w:eastAsia="黑体" w:cs="黑体"/>
          <w:color w:val="000000"/>
          <w:sz w:val="21"/>
          <w:szCs w:val="21"/>
          <w:highlight w:val="none"/>
        </w:rPr>
        <w:t>7.1 中标候选人公示</w:t>
      </w:r>
      <w:bookmarkEnd w:id="526"/>
      <w:bookmarkEnd w:id="527"/>
      <w:bookmarkEnd w:id="528"/>
      <w:bookmarkEnd w:id="529"/>
      <w:bookmarkEnd w:id="530"/>
      <w:bookmarkEnd w:id="531"/>
      <w:bookmarkEnd w:id="532"/>
    </w:p>
    <w:p w14:paraId="1D1014EB">
      <w:pPr>
        <w:adjustRightInd w:val="0"/>
        <w:snapToGrid w:val="0"/>
        <w:spacing w:line="560" w:lineRule="exact"/>
        <w:ind w:firstLine="420" w:firstLineChars="200"/>
        <w:rPr>
          <w:rFonts w:hint="eastAsia" w:ascii="宋体" w:hAnsi="宋体" w:cs="宋体"/>
          <w:color w:val="000000"/>
          <w:szCs w:val="21"/>
          <w:highlight w:val="none"/>
        </w:rPr>
      </w:pPr>
      <w:bookmarkStart w:id="533" w:name="_Toc60061473"/>
      <w:bookmarkStart w:id="534" w:name="_Toc144974536"/>
      <w:bookmarkStart w:id="535" w:name="_Toc246996955"/>
      <w:bookmarkStart w:id="536" w:name="_Toc324404853"/>
      <w:bookmarkStart w:id="537" w:name="_Toc179632586"/>
      <w:bookmarkStart w:id="538" w:name="_Toc152042344"/>
      <w:bookmarkStart w:id="539" w:name="_Toc152045568"/>
      <w:bookmarkStart w:id="540" w:name="_Toc247085726"/>
      <w:bookmarkStart w:id="541" w:name="_Toc296602458"/>
      <w:bookmarkStart w:id="542" w:name="_Toc246996212"/>
      <w:r>
        <w:rPr>
          <w:rFonts w:hint="eastAsia" w:ascii="宋体" w:hAnsi="宋体" w:cs="宋体"/>
          <w:color w:val="000000"/>
          <w:szCs w:val="21"/>
          <w:highlight w:val="none"/>
        </w:rPr>
        <w:t>招标人在收到评标报告之日起 3 日内，按照投标人须知前附表规定的公示媒介和期限依法公示。中标候选人公示期不得少于 3 日。</w:t>
      </w:r>
    </w:p>
    <w:p w14:paraId="0CFF38AA">
      <w:pPr>
        <w:adjustRightInd w:val="0"/>
        <w:snapToGrid w:val="0"/>
        <w:spacing w:line="560" w:lineRule="exact"/>
        <w:ind w:firstLine="422" w:firstLineChars="200"/>
        <w:rPr>
          <w:rFonts w:hint="eastAsia" w:ascii="黑体" w:hAnsi="黑体" w:eastAsia="黑体" w:cs="黑体"/>
          <w:bCs/>
          <w:color w:val="000000"/>
          <w:kern w:val="0"/>
          <w:szCs w:val="21"/>
          <w:highlight w:val="none"/>
        </w:rPr>
      </w:pPr>
      <w:r>
        <w:rPr>
          <w:rFonts w:hint="eastAsia" w:ascii="黑体" w:hAnsi="黑体" w:eastAsia="黑体" w:cs="黑体"/>
          <w:b/>
          <w:bCs/>
          <w:color w:val="000000"/>
          <w:kern w:val="0"/>
          <w:szCs w:val="21"/>
          <w:highlight w:val="none"/>
        </w:rPr>
        <w:t>7.2 评标结果异议</w:t>
      </w:r>
    </w:p>
    <w:p w14:paraId="362D9B9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投标人或其他利害关系人对评标结果有异议的，应在中标候选人公示期内提出。招标人将在收到异议之日起 3 日内作出答复；作出答复前，将暂停招标投标活动。</w:t>
      </w:r>
    </w:p>
    <w:p w14:paraId="0EB5B9EF">
      <w:pPr>
        <w:adjustRightInd w:val="0"/>
        <w:snapToGrid w:val="0"/>
        <w:spacing w:line="560" w:lineRule="exact"/>
        <w:ind w:firstLine="422" w:firstLineChars="200"/>
        <w:rPr>
          <w:rFonts w:hint="eastAsia" w:ascii="黑体" w:hAnsi="黑体" w:eastAsia="黑体" w:cs="黑体"/>
          <w:b/>
          <w:bCs/>
          <w:color w:val="000000"/>
          <w:kern w:val="0"/>
          <w:szCs w:val="21"/>
          <w:highlight w:val="none"/>
        </w:rPr>
      </w:pPr>
      <w:r>
        <w:rPr>
          <w:rFonts w:hint="eastAsia" w:ascii="黑体" w:hAnsi="黑体" w:eastAsia="黑体" w:cs="黑体"/>
          <w:b/>
          <w:bCs/>
          <w:color w:val="000000"/>
          <w:kern w:val="0"/>
          <w:szCs w:val="21"/>
          <w:highlight w:val="none"/>
        </w:rPr>
        <w:t>7.3 中标候选人履约能力审查</w:t>
      </w:r>
    </w:p>
    <w:p w14:paraId="6CAAB86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p w14:paraId="6C711232">
      <w:pPr>
        <w:adjustRightInd w:val="0"/>
        <w:snapToGrid w:val="0"/>
        <w:spacing w:line="560" w:lineRule="exact"/>
        <w:ind w:firstLine="422" w:firstLineChars="200"/>
        <w:rPr>
          <w:rFonts w:hint="eastAsia" w:ascii="黑体" w:hAnsi="黑体" w:eastAsia="黑体" w:cs="黑体"/>
          <w:b/>
          <w:bCs/>
          <w:color w:val="000000"/>
          <w:kern w:val="0"/>
          <w:szCs w:val="21"/>
          <w:highlight w:val="none"/>
        </w:rPr>
      </w:pPr>
      <w:r>
        <w:rPr>
          <w:rFonts w:hint="eastAsia" w:ascii="黑体" w:hAnsi="黑体" w:eastAsia="黑体" w:cs="黑体"/>
          <w:b/>
          <w:bCs/>
          <w:color w:val="000000"/>
          <w:kern w:val="0"/>
          <w:szCs w:val="21"/>
          <w:highlight w:val="none"/>
        </w:rPr>
        <w:t>7.4 业绩奖项公示</w:t>
      </w:r>
      <w:bookmarkEnd w:id="533"/>
    </w:p>
    <w:p w14:paraId="48D3ECC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招标人对中标候选人的得分业绩和奖项进行公示</w:t>
      </w:r>
      <w:r>
        <w:rPr>
          <w:rStyle w:val="40"/>
          <w:rFonts w:ascii="宋体" w:hAnsi="宋体" w:cs="宋体"/>
          <w:color w:val="000000"/>
          <w:szCs w:val="21"/>
          <w:highlight w:val="none"/>
        </w:rPr>
        <w:footnoteReference w:id="5"/>
      </w:r>
      <w:r>
        <w:rPr>
          <w:rFonts w:hint="eastAsia" w:ascii="宋体" w:hAnsi="宋体" w:cs="宋体"/>
          <w:color w:val="000000"/>
          <w:szCs w:val="21"/>
          <w:highlight w:val="none"/>
        </w:rPr>
        <w:t>。</w:t>
      </w:r>
    </w:p>
    <w:p w14:paraId="052FFF7E">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43" w:name="_Toc83301727"/>
      <w:bookmarkStart w:id="544" w:name="_Toc95223375"/>
      <w:bookmarkStart w:id="545" w:name="_Toc506107306"/>
      <w:bookmarkStart w:id="546" w:name="_Toc15058891"/>
      <w:bookmarkStart w:id="547" w:name="_Toc60061474"/>
      <w:r>
        <w:rPr>
          <w:rFonts w:hint="eastAsia" w:ascii="黑体" w:hAnsi="黑体" w:eastAsia="黑体" w:cs="黑体"/>
          <w:color w:val="000000"/>
          <w:sz w:val="21"/>
          <w:szCs w:val="21"/>
          <w:highlight w:val="none"/>
        </w:rPr>
        <w:t>7.5 定标</w:t>
      </w:r>
      <w:bookmarkEnd w:id="543"/>
      <w:bookmarkEnd w:id="544"/>
    </w:p>
    <w:p w14:paraId="1D692CC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6E7F4B5">
      <w:pPr>
        <w:adjustRightInd w:val="0"/>
        <w:snapToGrid w:val="0"/>
        <w:spacing w:line="560" w:lineRule="exact"/>
        <w:ind w:firstLine="420" w:firstLineChars="200"/>
        <w:rPr>
          <w:rFonts w:hint="eastAsia" w:ascii="黑体" w:hAnsi="黑体" w:eastAsia="黑体" w:cs="黑体"/>
          <w:color w:val="000000"/>
          <w:szCs w:val="21"/>
          <w:highlight w:val="none"/>
        </w:rPr>
      </w:pPr>
      <w:r>
        <w:rPr>
          <w:rFonts w:hint="eastAsia" w:ascii="宋体" w:hAnsi="宋体" w:cs="宋体"/>
          <w:color w:val="000000"/>
          <w:szCs w:val="21"/>
          <w:highlight w:val="none"/>
        </w:rPr>
        <w:t xml:space="preserve"> </w:t>
      </w:r>
      <w:bookmarkStart w:id="548" w:name="_Toc83301728"/>
      <w:bookmarkStart w:id="549" w:name="_Toc95223376"/>
      <w:r>
        <w:rPr>
          <w:rFonts w:hint="eastAsia" w:ascii="黑体" w:hAnsi="黑体" w:eastAsia="黑体" w:cs="黑体"/>
          <w:color w:val="000000"/>
          <w:szCs w:val="21"/>
          <w:highlight w:val="none"/>
        </w:rPr>
        <w:t>7.6 中标通知</w:t>
      </w:r>
      <w:bookmarkEnd w:id="534"/>
      <w:bookmarkEnd w:id="535"/>
      <w:bookmarkEnd w:id="536"/>
      <w:bookmarkEnd w:id="537"/>
      <w:bookmarkEnd w:id="538"/>
      <w:bookmarkEnd w:id="539"/>
      <w:bookmarkEnd w:id="540"/>
      <w:bookmarkEnd w:id="541"/>
      <w:bookmarkEnd w:id="542"/>
      <w:bookmarkEnd w:id="545"/>
      <w:bookmarkEnd w:id="546"/>
      <w:bookmarkEnd w:id="547"/>
      <w:bookmarkEnd w:id="548"/>
      <w:bookmarkEnd w:id="549"/>
    </w:p>
    <w:p w14:paraId="6BA3ADD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在本招标文件规定的投标有效期内，招标人以数据电文向中标人发出中标通知书，同时将中标结果通知未中标的投标人。</w:t>
      </w:r>
    </w:p>
    <w:p w14:paraId="015165D5">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50" w:name="_Toc95223377"/>
      <w:r>
        <w:rPr>
          <w:rFonts w:hint="eastAsia" w:ascii="黑体" w:hAnsi="黑体" w:eastAsia="黑体" w:cs="黑体"/>
          <w:color w:val="000000"/>
          <w:sz w:val="21"/>
          <w:szCs w:val="21"/>
          <w:highlight w:val="none"/>
        </w:rPr>
        <w:t>7.7 中标结果公示</w:t>
      </w:r>
      <w:bookmarkEnd w:id="550"/>
    </w:p>
    <w:p w14:paraId="2ABC4391">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招标人在确定中标人之日起3日内，按照投标人须知前附表规定的公示媒介和期限依法公示中标结果。</w:t>
      </w:r>
    </w:p>
    <w:p w14:paraId="1378EB7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51" w:name="_Toc60061476"/>
      <w:bookmarkStart w:id="552" w:name="_Toc324404854"/>
      <w:bookmarkStart w:id="553" w:name="_Toc83301730"/>
      <w:bookmarkStart w:id="554" w:name="_Toc95223378"/>
      <w:bookmarkStart w:id="555" w:name="_Toc506107307"/>
      <w:bookmarkStart w:id="556" w:name="_Toc144974537"/>
      <w:bookmarkStart w:id="557" w:name="_Toc179632587"/>
      <w:bookmarkStart w:id="558" w:name="_Toc246996956"/>
      <w:bookmarkStart w:id="559" w:name="_Toc152045569"/>
      <w:bookmarkStart w:id="560" w:name="_Toc246996213"/>
      <w:bookmarkStart w:id="561" w:name="_Toc152042345"/>
      <w:bookmarkStart w:id="562" w:name="_Toc15058892"/>
      <w:bookmarkStart w:id="563" w:name="_Toc296602459"/>
      <w:bookmarkStart w:id="564" w:name="_Toc247085727"/>
      <w:r>
        <w:rPr>
          <w:rFonts w:hint="eastAsia" w:ascii="黑体" w:hAnsi="黑体" w:eastAsia="黑体" w:cs="黑体"/>
          <w:color w:val="000000"/>
          <w:sz w:val="21"/>
          <w:szCs w:val="21"/>
          <w:highlight w:val="none"/>
        </w:rPr>
        <w:t>7.8 履约担保</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20ED2442">
      <w:pPr>
        <w:adjustRightInd w:val="0"/>
        <w:snapToGrid w:val="0"/>
        <w:spacing w:line="560" w:lineRule="exact"/>
        <w:ind w:firstLine="420" w:firstLineChars="200"/>
        <w:rPr>
          <w:rFonts w:hint="eastAsia" w:ascii="宋体" w:hAnsi="宋体" w:cs="宋体"/>
          <w:b/>
          <w:color w:val="000000"/>
          <w:szCs w:val="21"/>
          <w:highlight w:val="none"/>
        </w:rPr>
      </w:pPr>
      <w:r>
        <w:rPr>
          <w:rFonts w:hint="eastAsia" w:ascii="宋体" w:hAnsi="宋体" w:cs="宋体"/>
          <w:color w:val="000000"/>
          <w:szCs w:val="21"/>
          <w:highlight w:val="none"/>
        </w:rPr>
        <w:t>7.8.1在签订合同前，中标人应按投标人须知前附表规定的担保形式和招标文件第五章“合同条款及格式”规定的或者事先经过招标人书面认可的履约担保格式向招标人提交履约担保。</w:t>
      </w:r>
      <w:r>
        <w:rPr>
          <w:rFonts w:hint="eastAsia"/>
          <w:color w:val="000000"/>
          <w:highlight w:val="none"/>
        </w:rPr>
        <w:t>联合体中标的，其履约担保应符合投标人须知前附表规定的金额、担保形式和招标文件第五章“合同条款及格式”规定的履约担保格式要求。</w:t>
      </w:r>
    </w:p>
    <w:p w14:paraId="4494BDC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7.8.2 中标人不能按本章第7.8.1项要求提交履约担保的，视为放弃中标，其投标保证金不予退还，给招标人造成的损失超过投标保证金数额的，中标人还应当对超过部分予以赔偿。</w:t>
      </w:r>
    </w:p>
    <w:p w14:paraId="1941233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65" w:name="_Toc15058893"/>
      <w:bookmarkStart w:id="566" w:name="_Toc246996957"/>
      <w:bookmarkStart w:id="567" w:name="_Toc324404855"/>
      <w:bookmarkStart w:id="568" w:name="_Toc152042346"/>
      <w:bookmarkStart w:id="569" w:name="_Toc83301731"/>
      <w:bookmarkStart w:id="570" w:name="_Toc247085728"/>
      <w:bookmarkStart w:id="571" w:name="_Toc179632588"/>
      <w:bookmarkStart w:id="572" w:name="_Toc246996214"/>
      <w:bookmarkStart w:id="573" w:name="_Toc506107308"/>
      <w:bookmarkStart w:id="574" w:name="_Toc95223379"/>
      <w:bookmarkStart w:id="575" w:name="_Toc296602460"/>
      <w:bookmarkStart w:id="576" w:name="_Toc152045570"/>
      <w:bookmarkStart w:id="577" w:name="_Toc60061477"/>
      <w:bookmarkStart w:id="578" w:name="_Toc144974538"/>
      <w:r>
        <w:rPr>
          <w:rFonts w:hint="eastAsia" w:ascii="黑体" w:hAnsi="黑体" w:eastAsia="黑体" w:cs="黑体"/>
          <w:color w:val="000000"/>
          <w:sz w:val="21"/>
          <w:szCs w:val="21"/>
          <w:highlight w:val="none"/>
        </w:rPr>
        <w:t>7.9 签订合同</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72EFF141">
      <w:pPr>
        <w:adjustRightInd w:val="0"/>
        <w:snapToGrid w:val="0"/>
        <w:spacing w:line="560" w:lineRule="exact"/>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7.9.1本招标工程的施工合同将授予按本须知第7.6款规定所确定的中标人。</w:t>
      </w:r>
    </w:p>
    <w:p w14:paraId="7A073E60">
      <w:pPr>
        <w:adjustRightInd w:val="0"/>
        <w:snapToGrid w:val="0"/>
        <w:spacing w:line="560" w:lineRule="exact"/>
        <w:ind w:firstLine="420" w:firstLineChars="200"/>
        <w:rPr>
          <w:rFonts w:hint="eastAsia" w:ascii="宋体" w:hAnsi="宋体" w:cs="宋体"/>
          <w:bCs/>
          <w:color w:val="000000"/>
          <w:szCs w:val="21"/>
          <w:highlight w:val="none"/>
        </w:rPr>
      </w:pPr>
      <w:r>
        <w:rPr>
          <w:rFonts w:hint="eastAsia" w:ascii="宋体" w:hAnsi="宋体" w:cs="宋体"/>
          <w:color w:val="000000"/>
          <w:szCs w:val="21"/>
          <w:highlight w:val="none"/>
        </w:rPr>
        <w:t>投标人所派出项目经理（建造师）须不得有在其他尚未完工（以竣工、交工、完工验收报告等手续为准）项目或已中标项目（以发放中标通知书为准）中担任项目经理（建造师）情形。如有，项目在滁州市区域内的，中标无效，记入不良行为记录；项目在滁州市区域外的，须在中标候选人公示期第一日起开始计算7日内，提供经行政主管部门备案的变更证明材料，否则视为弄虚作假材料骗取中标，中标无效，按有关规定进行处理</w:t>
      </w:r>
      <w:r>
        <w:rPr>
          <w:rFonts w:hint="eastAsia" w:ascii="宋体" w:hAnsi="宋体" w:cs="宋体"/>
          <w:bCs/>
          <w:color w:val="000000"/>
          <w:szCs w:val="21"/>
          <w:highlight w:val="none"/>
        </w:rPr>
        <w:t>。</w:t>
      </w:r>
    </w:p>
    <w:p w14:paraId="02F0DB25">
      <w:pPr>
        <w:adjustRightInd w:val="0"/>
        <w:snapToGrid w:val="0"/>
        <w:spacing w:line="560" w:lineRule="exact"/>
        <w:ind w:firstLine="420" w:firstLineChars="200"/>
        <w:rPr>
          <w:rFonts w:hint="eastAsia" w:ascii="宋体" w:hAnsi="宋体" w:cs="宋体"/>
          <w:bCs/>
          <w:color w:val="000000"/>
          <w:szCs w:val="21"/>
          <w:highlight w:val="none"/>
        </w:rPr>
      </w:pPr>
      <w:bookmarkStart w:id="579" w:name="_Toc324404856"/>
      <w:r>
        <w:rPr>
          <w:rFonts w:hint="eastAsia" w:ascii="宋体" w:hAnsi="宋体" w:cs="宋体"/>
          <w:bCs/>
          <w:color w:val="000000"/>
          <w:szCs w:val="21"/>
          <w:highlight w:val="none"/>
        </w:rPr>
        <w:t>7.9.2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其投标保证金不予退还；给招标人造成的损失超过投标保证金数额的，中标人还应当对超过部分予以赔偿。</w:t>
      </w:r>
    </w:p>
    <w:p w14:paraId="6D13CE11">
      <w:pPr>
        <w:adjustRightInd w:val="0"/>
        <w:snapToGrid w:val="0"/>
        <w:spacing w:line="560" w:lineRule="exact"/>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7.9.3 发出中标通知书后，招标人无正当理由拒签合同的，招标人向中标人退还投标保证金；给中标人造成损失的，还应当赔偿损失。</w:t>
      </w:r>
    </w:p>
    <w:p w14:paraId="2BD541CA">
      <w:pPr>
        <w:adjustRightInd w:val="0"/>
        <w:snapToGrid w:val="0"/>
        <w:spacing w:line="560" w:lineRule="exact"/>
        <w:ind w:firstLine="420" w:firstLineChars="200"/>
        <w:rPr>
          <w:rFonts w:hint="eastAsia" w:ascii="宋体" w:hAnsi="宋体" w:cs="宋体"/>
          <w:bCs/>
          <w:color w:val="000000"/>
          <w:szCs w:val="21"/>
          <w:highlight w:val="none"/>
        </w:rPr>
      </w:pPr>
      <w:r>
        <w:rPr>
          <w:rFonts w:hint="eastAsia" w:ascii="宋体" w:hAnsi="宋体" w:cs="宋体"/>
          <w:bCs/>
          <w:color w:val="000000"/>
          <w:szCs w:val="21"/>
          <w:highlight w:val="none"/>
        </w:rPr>
        <w:t>7.9.4  除法定情形外，建设工程合同履行期间项目经理（建造师）不得更换。项目经理（建造师）确需变更的，应根据招标文件要求，变更后的项目经理（建造师）不低于投标文件中拟派项目经理（建造师）的资格条件。</w:t>
      </w:r>
    </w:p>
    <w:p w14:paraId="2F49A43F">
      <w:pPr>
        <w:adjustRightInd w:val="0"/>
        <w:snapToGrid w:val="0"/>
        <w:spacing w:line="600" w:lineRule="exact"/>
        <w:ind w:firstLine="420" w:firstLineChars="200"/>
        <w:rPr>
          <w:rFonts w:hint="eastAsia" w:ascii="宋体" w:hAnsi="宋体" w:cs="宋体"/>
          <w:bCs/>
          <w:snapToGrid w:val="0"/>
          <w:color w:val="000000"/>
          <w:kern w:val="0"/>
          <w:szCs w:val="21"/>
          <w:highlight w:val="none"/>
        </w:rPr>
      </w:pPr>
      <w:r>
        <w:rPr>
          <w:rFonts w:hint="eastAsia" w:ascii="宋体" w:hAnsi="宋体" w:cs="宋体"/>
          <w:color w:val="000000"/>
          <w:highlight w:val="none"/>
        </w:rPr>
        <w:t xml:space="preserve">7.9.5 </w:t>
      </w:r>
      <w:r>
        <w:rPr>
          <w:rFonts w:hint="eastAsia" w:ascii="宋体" w:hAnsi="宋体" w:cs="宋体"/>
          <w:bCs/>
          <w:snapToGrid w:val="0"/>
          <w:color w:val="000000"/>
          <w:kern w:val="0"/>
          <w:szCs w:val="21"/>
          <w:highlight w:val="none"/>
        </w:rPr>
        <w:t>联合体中标的，联合体各方应当共同与招标人签订合同，就中标项目向招标人承担连带责任。</w:t>
      </w:r>
    </w:p>
    <w:p w14:paraId="372ED1C4">
      <w:pPr>
        <w:pStyle w:val="4"/>
        <w:adjustRightInd w:val="0"/>
        <w:snapToGrid w:val="0"/>
        <w:spacing w:before="0" w:after="0" w:line="560" w:lineRule="exact"/>
        <w:ind w:firstLine="422" w:firstLineChars="200"/>
        <w:rPr>
          <w:color w:val="000000"/>
          <w:highlight w:val="none"/>
        </w:rPr>
      </w:pPr>
      <w:bookmarkStart w:id="580" w:name="_Toc95223381"/>
      <w:bookmarkStart w:id="581" w:name="_Toc83301732"/>
      <w:bookmarkStart w:id="582" w:name="_Toc60061478"/>
      <w:bookmarkStart w:id="583" w:name="_Toc152045571"/>
      <w:bookmarkStart w:id="584" w:name="_Toc179632589"/>
      <w:bookmarkStart w:id="585" w:name="_Toc144974539"/>
      <w:bookmarkStart w:id="586" w:name="_Toc152042347"/>
      <w:r>
        <w:rPr>
          <w:rFonts w:hint="eastAsia" w:ascii="黑体" w:hAnsi="黑体" w:cs="黑体"/>
          <w:color w:val="000000"/>
          <w:sz w:val="21"/>
          <w:szCs w:val="21"/>
          <w:highlight w:val="none"/>
        </w:rPr>
        <w:t>8. 重新招标和不再招标</w:t>
      </w:r>
      <w:bookmarkEnd w:id="580"/>
      <w:bookmarkEnd w:id="581"/>
      <w:bookmarkEnd w:id="582"/>
      <w:bookmarkEnd w:id="583"/>
      <w:bookmarkEnd w:id="584"/>
      <w:bookmarkEnd w:id="585"/>
      <w:bookmarkEnd w:id="586"/>
    </w:p>
    <w:p w14:paraId="1A320D9E">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587" w:name="_Toc152042348"/>
      <w:bookmarkStart w:id="588" w:name="_Toc83301733"/>
      <w:bookmarkStart w:id="589" w:name="_Toc179632590"/>
      <w:bookmarkStart w:id="590" w:name="_Toc95223382"/>
      <w:bookmarkStart w:id="591" w:name="_Toc60061479"/>
      <w:bookmarkStart w:id="592" w:name="_Toc144974540"/>
      <w:bookmarkStart w:id="593" w:name="_Toc152045572"/>
      <w:r>
        <w:rPr>
          <w:rFonts w:hint="eastAsia" w:ascii="黑体" w:hAnsi="黑体" w:eastAsia="黑体" w:cs="黑体"/>
          <w:color w:val="000000"/>
          <w:sz w:val="21"/>
          <w:szCs w:val="21"/>
          <w:highlight w:val="none"/>
        </w:rPr>
        <w:t>8.1 重新招标</w:t>
      </w:r>
      <w:bookmarkEnd w:id="587"/>
      <w:bookmarkEnd w:id="588"/>
      <w:bookmarkEnd w:id="589"/>
      <w:bookmarkEnd w:id="590"/>
      <w:bookmarkEnd w:id="591"/>
      <w:bookmarkEnd w:id="592"/>
      <w:bookmarkEnd w:id="593"/>
    </w:p>
    <w:p w14:paraId="0D412FD5">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依法必须招标的项目有下列情形之一的，招标人将重新招标：</w:t>
      </w:r>
    </w:p>
    <w:p w14:paraId="18D4B228">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（1）投标截止时间止，投标人少于3个的；</w:t>
      </w:r>
    </w:p>
    <w:p w14:paraId="32C36FB7">
      <w:pPr>
        <w:adjustRightInd w:val="0"/>
        <w:snapToGrid w:val="0"/>
        <w:spacing w:line="600" w:lineRule="exact"/>
        <w:ind w:firstLine="359" w:firstLineChars="171"/>
        <w:rPr>
          <w:rFonts w:hint="eastAsia" w:ascii="宋体" w:hAnsi="宋体" w:cs="宋体"/>
          <w:color w:val="000000"/>
          <w:highlight w:val="none"/>
        </w:rPr>
      </w:pPr>
      <w:r>
        <w:rPr>
          <w:rFonts w:hint="eastAsia" w:ascii="宋体" w:hAnsi="宋体" w:cs="宋体"/>
          <w:color w:val="000000"/>
          <w:highlight w:val="none"/>
        </w:rPr>
        <w:t>（2）经评标委员会评审后否决所有投标的；</w:t>
      </w:r>
    </w:p>
    <w:p w14:paraId="0EA18864">
      <w:pPr>
        <w:adjustRightInd w:val="0"/>
        <w:snapToGrid w:val="0"/>
        <w:spacing w:line="600" w:lineRule="exact"/>
        <w:ind w:firstLine="359" w:firstLineChars="171"/>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（3）中标候选人均未与招标人签订合同的；</w:t>
      </w:r>
    </w:p>
    <w:p w14:paraId="65FA0DB0">
      <w:pPr>
        <w:adjustRightInd w:val="0"/>
        <w:snapToGrid w:val="0"/>
        <w:spacing w:line="600" w:lineRule="exact"/>
        <w:ind w:firstLine="359" w:firstLineChars="171"/>
        <w:rPr>
          <w:rFonts w:hint="eastAsia" w:ascii="宋体" w:hAnsi="宋体" w:cs="宋体"/>
          <w:bCs/>
          <w:snapToGrid w:val="0"/>
          <w:color w:val="000000"/>
          <w:kern w:val="0"/>
          <w:szCs w:val="21"/>
          <w:highlight w:val="none"/>
        </w:rPr>
      </w:pPr>
      <w:r>
        <w:rPr>
          <w:rFonts w:hint="eastAsia" w:ascii="宋体" w:hAnsi="宋体" w:cs="宋体"/>
          <w:bCs/>
          <w:snapToGrid w:val="0"/>
          <w:color w:val="000000"/>
          <w:kern w:val="0"/>
          <w:szCs w:val="21"/>
          <w:highlight w:val="none"/>
        </w:rPr>
        <w:t>（4）法律、法规规定的其他情形。</w:t>
      </w:r>
    </w:p>
    <w:p w14:paraId="44EBFCF7">
      <w:pPr>
        <w:pStyle w:val="5"/>
        <w:adjustRightInd w:val="0"/>
        <w:snapToGrid w:val="0"/>
        <w:spacing w:before="0" w:after="0" w:line="560" w:lineRule="exact"/>
        <w:ind w:firstLine="422" w:firstLineChars="200"/>
        <w:rPr>
          <w:color w:val="000000"/>
          <w:highlight w:val="none"/>
        </w:rPr>
      </w:pPr>
      <w:bookmarkStart w:id="594" w:name="_Toc60061480"/>
      <w:bookmarkStart w:id="595" w:name="_Toc83301734"/>
      <w:bookmarkStart w:id="596" w:name="_Toc179632591"/>
      <w:bookmarkStart w:id="597" w:name="_Toc152045573"/>
      <w:bookmarkStart w:id="598" w:name="_Toc152042349"/>
      <w:bookmarkStart w:id="599" w:name="_Toc144974541"/>
      <w:bookmarkStart w:id="600" w:name="_Toc95223383"/>
      <w:r>
        <w:rPr>
          <w:rFonts w:hint="eastAsia" w:ascii="黑体" w:hAnsi="黑体" w:eastAsia="黑体" w:cs="黑体"/>
          <w:color w:val="000000"/>
          <w:sz w:val="21"/>
          <w:szCs w:val="21"/>
          <w:highlight w:val="none"/>
        </w:rPr>
        <w:t>8.2 不再招标</w:t>
      </w:r>
      <w:bookmarkEnd w:id="594"/>
      <w:bookmarkEnd w:id="595"/>
      <w:bookmarkEnd w:id="596"/>
      <w:bookmarkEnd w:id="597"/>
      <w:bookmarkEnd w:id="598"/>
      <w:bookmarkEnd w:id="599"/>
      <w:bookmarkEnd w:id="600"/>
    </w:p>
    <w:p w14:paraId="2C547C6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重新招标后投标人仍少于3个或者所有投标被否决的，属于必须审批或核准的工程建设项目，经原审批或核准部门批准后不再进行招标。</w:t>
      </w:r>
    </w:p>
    <w:p w14:paraId="40345740">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601" w:name="_Toc95223384"/>
      <w:bookmarkStart w:id="602" w:name="_Toc60061481"/>
      <w:bookmarkStart w:id="603" w:name="_Toc83301735"/>
      <w:bookmarkStart w:id="604" w:name="_Toc15058894"/>
      <w:bookmarkStart w:id="605" w:name="_Toc506107309"/>
      <w:r>
        <w:rPr>
          <w:rFonts w:hint="eastAsia" w:ascii="黑体" w:hAnsi="黑体" w:cs="黑体"/>
          <w:color w:val="000000"/>
          <w:sz w:val="21"/>
          <w:szCs w:val="21"/>
          <w:highlight w:val="none"/>
        </w:rPr>
        <w:t>9. 纪律和监督</w:t>
      </w:r>
      <w:bookmarkEnd w:id="579"/>
      <w:bookmarkEnd w:id="601"/>
      <w:bookmarkEnd w:id="602"/>
      <w:bookmarkEnd w:id="603"/>
      <w:bookmarkEnd w:id="604"/>
      <w:bookmarkEnd w:id="605"/>
    </w:p>
    <w:p w14:paraId="33040D10">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606" w:name="_Toc296602462"/>
      <w:bookmarkStart w:id="607" w:name="_Toc144974543"/>
      <w:bookmarkStart w:id="608" w:name="_Toc95223385"/>
      <w:bookmarkStart w:id="609" w:name="_Toc246996219"/>
      <w:bookmarkStart w:id="610" w:name="_Toc83301736"/>
      <w:bookmarkStart w:id="611" w:name="_Toc152042351"/>
      <w:bookmarkStart w:id="612" w:name="_Toc247085733"/>
      <w:bookmarkStart w:id="613" w:name="_Toc179632593"/>
      <w:bookmarkStart w:id="614" w:name="_Toc60061482"/>
      <w:bookmarkStart w:id="615" w:name="_Toc15058895"/>
      <w:bookmarkStart w:id="616" w:name="_Toc506107310"/>
      <w:bookmarkStart w:id="617" w:name="_Toc246996962"/>
      <w:bookmarkStart w:id="618" w:name="_Toc152045575"/>
      <w:bookmarkStart w:id="619" w:name="_Toc324404857"/>
      <w:bookmarkStart w:id="620" w:name="_Toc296590983"/>
      <w:r>
        <w:rPr>
          <w:rFonts w:hint="eastAsia" w:ascii="黑体" w:hAnsi="黑体" w:eastAsia="黑体" w:cs="黑体"/>
          <w:color w:val="000000"/>
          <w:sz w:val="21"/>
          <w:szCs w:val="21"/>
          <w:highlight w:val="none"/>
        </w:rPr>
        <w:t>9.1 对招标人的纪律要求</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3D75FE5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招标人不得泄漏招标投标活动中应当保密的情况和资料，不得与投标人串通损害国家利益、社会公共利益或者他人合法权益。</w:t>
      </w:r>
    </w:p>
    <w:p w14:paraId="72AB668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621" w:name="_Toc179632594"/>
      <w:bookmarkStart w:id="622" w:name="_Toc144974544"/>
      <w:bookmarkStart w:id="623" w:name="_Toc15058896"/>
      <w:bookmarkStart w:id="624" w:name="_Toc83301737"/>
      <w:bookmarkStart w:id="625" w:name="_Toc152045576"/>
      <w:bookmarkStart w:id="626" w:name="_Toc246996220"/>
      <w:bookmarkStart w:id="627" w:name="_Toc247085734"/>
      <w:bookmarkStart w:id="628" w:name="_Toc246996963"/>
      <w:bookmarkStart w:id="629" w:name="_Toc60061483"/>
      <w:bookmarkStart w:id="630" w:name="_Toc95223386"/>
      <w:bookmarkStart w:id="631" w:name="_Toc296602463"/>
      <w:bookmarkStart w:id="632" w:name="_Toc324404858"/>
      <w:bookmarkStart w:id="633" w:name="_Toc152042352"/>
      <w:bookmarkStart w:id="634" w:name="_Toc506107311"/>
      <w:r>
        <w:rPr>
          <w:rFonts w:hint="eastAsia" w:ascii="黑体" w:hAnsi="黑体" w:eastAsia="黑体" w:cs="黑体"/>
          <w:color w:val="000000"/>
          <w:sz w:val="21"/>
          <w:szCs w:val="21"/>
          <w:highlight w:val="none"/>
        </w:rPr>
        <w:t>9.2 对投标人的纪律要求</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348882B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40A5E58">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635" w:name="_Toc296602464"/>
      <w:bookmarkStart w:id="636" w:name="_Toc179632595"/>
      <w:bookmarkStart w:id="637" w:name="_Toc246996964"/>
      <w:bookmarkStart w:id="638" w:name="_Toc95223387"/>
      <w:bookmarkStart w:id="639" w:name="_Toc60061484"/>
      <w:bookmarkStart w:id="640" w:name="_Toc83301738"/>
      <w:bookmarkStart w:id="641" w:name="_Toc246996221"/>
      <w:bookmarkStart w:id="642" w:name="_Toc15058897"/>
      <w:bookmarkStart w:id="643" w:name="_Toc247085735"/>
      <w:bookmarkStart w:id="644" w:name="_Toc144974545"/>
      <w:bookmarkStart w:id="645" w:name="_Toc324404859"/>
      <w:bookmarkStart w:id="646" w:name="_Toc152045577"/>
      <w:bookmarkStart w:id="647" w:name="_Toc152042353"/>
      <w:bookmarkStart w:id="648" w:name="_Toc506107312"/>
      <w:r>
        <w:rPr>
          <w:rFonts w:hint="eastAsia" w:ascii="黑体" w:hAnsi="黑体" w:eastAsia="黑体" w:cs="黑体"/>
          <w:color w:val="000000"/>
          <w:sz w:val="21"/>
          <w:szCs w:val="21"/>
          <w:highlight w:val="none"/>
        </w:rPr>
        <w:t>9.3 对评标委员会成员的纪律要求</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4CD24FF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14:paraId="3B521264">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649" w:name="_Toc296602465"/>
      <w:bookmarkStart w:id="650" w:name="_Toc15058898"/>
      <w:bookmarkStart w:id="651" w:name="_Toc179632596"/>
      <w:bookmarkStart w:id="652" w:name="_Toc246996222"/>
      <w:bookmarkStart w:id="653" w:name="_Toc247085736"/>
      <w:bookmarkStart w:id="654" w:name="_Toc152045578"/>
      <w:bookmarkStart w:id="655" w:name="_Toc95223388"/>
      <w:bookmarkStart w:id="656" w:name="_Toc246996965"/>
      <w:bookmarkStart w:id="657" w:name="_Toc60061485"/>
      <w:bookmarkStart w:id="658" w:name="_Toc506107313"/>
      <w:bookmarkStart w:id="659" w:name="_Toc83301739"/>
      <w:bookmarkStart w:id="660" w:name="_Toc324404860"/>
      <w:bookmarkStart w:id="661" w:name="_Toc152042354"/>
      <w:bookmarkStart w:id="662" w:name="_Toc144974546"/>
      <w:r>
        <w:rPr>
          <w:rFonts w:hint="eastAsia" w:ascii="黑体" w:hAnsi="黑体" w:eastAsia="黑体" w:cs="黑体"/>
          <w:color w:val="000000"/>
          <w:sz w:val="21"/>
          <w:szCs w:val="21"/>
          <w:highlight w:val="none"/>
        </w:rPr>
        <w:t>9.4 对与评标活动有关的工作人员的纪律要求</w:t>
      </w:r>
      <w:bookmarkEnd w:id="649"/>
      <w:bookmarkEnd w:id="650"/>
      <w:bookmarkEnd w:id="651"/>
      <w:bookmarkEnd w:id="652"/>
      <w:bookmarkEnd w:id="653"/>
      <w:bookmarkEnd w:id="654"/>
      <w:bookmarkEnd w:id="655"/>
      <w:bookmarkEnd w:id="656"/>
      <w:bookmarkEnd w:id="657"/>
      <w:bookmarkEnd w:id="658"/>
      <w:bookmarkEnd w:id="659"/>
      <w:bookmarkEnd w:id="660"/>
      <w:bookmarkEnd w:id="661"/>
    </w:p>
    <w:p w14:paraId="56985C7F">
      <w:pPr>
        <w:adjustRightInd w:val="0"/>
        <w:snapToGrid w:val="0"/>
        <w:spacing w:line="560" w:lineRule="exact"/>
        <w:ind w:firstLine="420" w:firstLineChars="200"/>
        <w:rPr>
          <w:rFonts w:hint="eastAsia" w:ascii="宋体" w:hAnsi="宋体" w:cs="宋体"/>
          <w:color w:val="000000"/>
          <w:szCs w:val="21"/>
          <w:highlight w:val="none"/>
        </w:rPr>
      </w:pPr>
      <w:bookmarkStart w:id="663" w:name="_Toc152042355"/>
      <w:r>
        <w:rPr>
          <w:rFonts w:hint="eastAsia" w:ascii="宋体" w:hAnsi="宋体" w:cs="宋体"/>
          <w:color w:val="000000"/>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63"/>
    </w:p>
    <w:p w14:paraId="2E2149A2">
      <w:pPr>
        <w:pStyle w:val="5"/>
        <w:adjustRightInd w:val="0"/>
        <w:snapToGrid w:val="0"/>
        <w:spacing w:before="0" w:after="0" w:line="560" w:lineRule="exact"/>
        <w:ind w:firstLine="422" w:firstLineChars="200"/>
        <w:rPr>
          <w:rFonts w:hint="eastAsia" w:ascii="黑体" w:hAnsi="黑体" w:eastAsia="黑体" w:cs="黑体"/>
          <w:color w:val="000000"/>
          <w:sz w:val="21"/>
          <w:szCs w:val="21"/>
          <w:highlight w:val="none"/>
        </w:rPr>
      </w:pPr>
      <w:bookmarkStart w:id="664" w:name="_Toc83301740"/>
      <w:bookmarkStart w:id="665" w:name="_Toc246996966"/>
      <w:bookmarkStart w:id="666" w:name="_Toc152042356"/>
      <w:bookmarkStart w:id="667" w:name="_Toc60061486"/>
      <w:bookmarkStart w:id="668" w:name="_Toc324404861"/>
      <w:bookmarkStart w:id="669" w:name="_Toc179632597"/>
      <w:bookmarkStart w:id="670" w:name="_Toc247085737"/>
      <w:bookmarkStart w:id="671" w:name="_Toc95223389"/>
      <w:bookmarkStart w:id="672" w:name="_Toc506107314"/>
      <w:bookmarkStart w:id="673" w:name="_Toc246996223"/>
      <w:bookmarkStart w:id="674" w:name="_Toc152045579"/>
      <w:bookmarkStart w:id="675" w:name="_Toc15058899"/>
      <w:bookmarkStart w:id="676" w:name="_Toc296602466"/>
      <w:r>
        <w:rPr>
          <w:rFonts w:hint="eastAsia" w:ascii="黑体" w:hAnsi="黑体" w:eastAsia="黑体" w:cs="黑体"/>
          <w:color w:val="000000"/>
          <w:sz w:val="21"/>
          <w:szCs w:val="21"/>
          <w:highlight w:val="none"/>
        </w:rPr>
        <w:t>9.5 投诉</w:t>
      </w:r>
      <w:bookmarkEnd w:id="662"/>
      <w:bookmarkEnd w:id="664"/>
      <w:bookmarkEnd w:id="665"/>
      <w:bookmarkEnd w:id="666"/>
      <w:bookmarkEnd w:id="667"/>
      <w:bookmarkEnd w:id="668"/>
      <w:bookmarkEnd w:id="669"/>
      <w:bookmarkEnd w:id="670"/>
      <w:bookmarkEnd w:id="671"/>
      <w:bookmarkEnd w:id="672"/>
      <w:bookmarkEnd w:id="673"/>
      <w:bookmarkEnd w:id="674"/>
      <w:bookmarkEnd w:id="675"/>
      <w:bookmarkEnd w:id="676"/>
    </w:p>
    <w:p w14:paraId="4E1288F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9.5.1投标人或者其他利害关系人认为招标投标活动违反法律、法规和规章规定的，有权向相关行政监督部门投诉。投诉应当有明确的请求和必要的证明材料。</w:t>
      </w:r>
    </w:p>
    <w:p w14:paraId="381E5A8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9.5.2投标人和其他利害关系人对招标文件、开标和评标结果事项投诉的，应当按照投标人须知的规定先向招标人提出异议。异议答复期间不计算在第9.5.1</w:t>
      </w:r>
      <w:r>
        <w:rPr>
          <w:rFonts w:hint="eastAsia"/>
          <w:color w:val="000000"/>
          <w:highlight w:val="none"/>
        </w:rPr>
        <w:t>项</w:t>
      </w:r>
      <w:r>
        <w:rPr>
          <w:rFonts w:hint="eastAsia" w:ascii="宋体" w:hAnsi="宋体" w:cs="宋体"/>
          <w:color w:val="000000"/>
          <w:szCs w:val="21"/>
          <w:highlight w:val="none"/>
        </w:rPr>
        <w:t>规定的期限内。</w:t>
      </w:r>
    </w:p>
    <w:p w14:paraId="7F82E5B8">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677" w:name="_Toc247085738"/>
      <w:bookmarkStart w:id="678" w:name="_Toc324404862"/>
      <w:bookmarkStart w:id="679" w:name="_Toc144974547"/>
      <w:bookmarkStart w:id="680" w:name="_Toc179632598"/>
      <w:bookmarkStart w:id="681" w:name="_Toc152045580"/>
      <w:bookmarkStart w:id="682" w:name="_Toc152042357"/>
      <w:bookmarkStart w:id="683" w:name="_Toc506107315"/>
      <w:bookmarkStart w:id="684" w:name="_Toc83301741"/>
      <w:bookmarkStart w:id="685" w:name="_Toc246996967"/>
      <w:bookmarkStart w:id="686" w:name="_Toc15058900"/>
      <w:bookmarkStart w:id="687" w:name="_Toc246996224"/>
      <w:bookmarkStart w:id="688" w:name="_Toc60061487"/>
      <w:bookmarkStart w:id="689" w:name="_Toc95223390"/>
      <w:r>
        <w:rPr>
          <w:rFonts w:hint="eastAsia" w:ascii="黑体" w:hAnsi="黑体" w:cs="黑体"/>
          <w:color w:val="000000"/>
          <w:sz w:val="21"/>
          <w:szCs w:val="21"/>
          <w:highlight w:val="none"/>
        </w:rPr>
        <w:t>10.需要补充的其他内容</w:t>
      </w:r>
      <w:bookmarkEnd w:id="677"/>
      <w:bookmarkEnd w:id="678"/>
      <w:bookmarkEnd w:id="679"/>
      <w:bookmarkEnd w:id="680"/>
      <w:bookmarkEnd w:id="681"/>
      <w:bookmarkEnd w:id="682"/>
      <w:bookmarkEnd w:id="683"/>
      <w:bookmarkEnd w:id="684"/>
      <w:bookmarkEnd w:id="685"/>
      <w:bookmarkEnd w:id="686"/>
      <w:bookmarkEnd w:id="687"/>
      <w:bookmarkEnd w:id="688"/>
      <w:bookmarkEnd w:id="689"/>
      <w:bookmarkStart w:id="690" w:name="_Toc60061488"/>
      <w:bookmarkStart w:id="691" w:name="_Toc15058901"/>
    </w:p>
    <w:p w14:paraId="5BB3C26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需要补充的其他内容：见投标人须知前附表。</w:t>
      </w:r>
      <w:bookmarkEnd w:id="690"/>
      <w:bookmarkEnd w:id="691"/>
    </w:p>
    <w:p w14:paraId="1A3594F4">
      <w:pPr>
        <w:pStyle w:val="3"/>
        <w:spacing w:before="0" w:after="0" w:line="240" w:lineRule="auto"/>
        <w:rPr>
          <w:color w:val="000000"/>
          <w:highlight w:val="none"/>
        </w:rPr>
        <w:sectPr>
          <w:footnotePr>
            <w:numFmt w:val="decimalEnclosedCircleChinese"/>
            <w:numRestart w:val="eachPage"/>
          </w:footnotePr>
          <w:pgSz w:w="11907" w:h="16840"/>
          <w:pgMar w:top="1474" w:right="1474" w:bottom="1474" w:left="1474" w:header="799" w:footer="907" w:gutter="0"/>
          <w:cols w:space="720" w:num="1"/>
          <w:docGrid w:linePitch="271" w:charSpace="0"/>
        </w:sectPr>
      </w:pPr>
      <w:bookmarkStart w:id="692" w:name="_Toc15058903"/>
      <w:bookmarkStart w:id="693" w:name="_Toc296602475"/>
      <w:bookmarkStart w:id="694" w:name="_Toc506107318"/>
      <w:bookmarkStart w:id="695" w:name="_Toc95223393"/>
      <w:bookmarkStart w:id="696" w:name="_Toc324404865"/>
      <w:bookmarkStart w:id="697" w:name="_Toc60061490"/>
    </w:p>
    <w:p w14:paraId="14A01C93">
      <w:pPr>
        <w:pStyle w:val="3"/>
        <w:spacing w:before="0" w:after="0" w:line="240" w:lineRule="auto"/>
        <w:jc w:val="center"/>
        <w:rPr>
          <w:color w:val="000000"/>
          <w:highlight w:val="none"/>
        </w:rPr>
      </w:pPr>
      <w:r>
        <w:rPr>
          <w:rFonts w:hint="eastAsia"/>
          <w:color w:val="000000"/>
          <w:highlight w:val="none"/>
        </w:rPr>
        <w:t>第三章 资格审查办法（综合评估法）</w:t>
      </w:r>
    </w:p>
    <w:p w14:paraId="5D74F543">
      <w:pPr>
        <w:pStyle w:val="4"/>
        <w:tabs>
          <w:tab w:val="left" w:pos="2796"/>
          <w:tab w:val="center" w:pos="4479"/>
        </w:tabs>
        <w:adjustRightInd w:val="0"/>
        <w:snapToGrid w:val="0"/>
        <w:spacing w:before="0" w:after="0" w:line="560" w:lineRule="exact"/>
        <w:jc w:val="center"/>
        <w:rPr>
          <w:sz w:val="28"/>
          <w:szCs w:val="28"/>
          <w:highlight w:val="none"/>
        </w:rPr>
      </w:pPr>
      <w:r>
        <w:rPr>
          <w:rFonts w:hint="eastAsia"/>
          <w:color w:val="000000"/>
          <w:sz w:val="28"/>
          <w:szCs w:val="28"/>
          <w:highlight w:val="none"/>
        </w:rPr>
        <w:t>资格审查办法前附表</w:t>
      </w:r>
    </w:p>
    <w:tbl>
      <w:tblPr>
        <w:tblStyle w:val="2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044"/>
        <w:gridCol w:w="1999"/>
      </w:tblGrid>
      <w:tr w14:paraId="52ED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023" w:type="dxa"/>
            <w:gridSpan w:val="2"/>
            <w:vAlign w:val="center"/>
          </w:tcPr>
          <w:p w14:paraId="6AF1FE94">
            <w:pPr>
              <w:adjustRightInd w:val="0"/>
              <w:snapToGrid w:val="0"/>
              <w:spacing w:line="560" w:lineRule="exact"/>
              <w:jc w:val="center"/>
              <w:rPr>
                <w:rFonts w:hint="eastAsia" w:ascii="黑体" w:hAnsi="黑体" w:eastAsia="黑体" w:cs="宋体"/>
                <w:b/>
                <w:bCs/>
                <w:color w:val="000000"/>
                <w:szCs w:val="21"/>
                <w:highlight w:val="none"/>
              </w:rPr>
            </w:pPr>
            <w:r>
              <w:rPr>
                <w:rFonts w:hint="eastAsia" w:ascii="黑体" w:hAnsi="黑体" w:eastAsia="黑体" w:cs="宋体"/>
                <w:b/>
                <w:bCs/>
                <w:color w:val="000000"/>
                <w:szCs w:val="21"/>
                <w:highlight w:val="none"/>
              </w:rPr>
              <w:t>条款号</w:t>
            </w:r>
          </w:p>
        </w:tc>
        <w:tc>
          <w:tcPr>
            <w:tcW w:w="6044" w:type="dxa"/>
            <w:vAlign w:val="center"/>
          </w:tcPr>
          <w:p w14:paraId="60C05B8A">
            <w:pPr>
              <w:adjustRightInd w:val="0"/>
              <w:snapToGrid w:val="0"/>
              <w:spacing w:line="560" w:lineRule="exact"/>
              <w:jc w:val="center"/>
              <w:rPr>
                <w:rFonts w:hint="eastAsia" w:ascii="黑体" w:hAnsi="黑体" w:eastAsia="黑体" w:cs="宋体"/>
                <w:b/>
                <w:bCs/>
                <w:color w:val="000000"/>
                <w:szCs w:val="21"/>
                <w:highlight w:val="none"/>
              </w:rPr>
            </w:pPr>
            <w:r>
              <w:rPr>
                <w:rFonts w:hint="eastAsia" w:ascii="黑体" w:hAnsi="黑体" w:eastAsia="黑体" w:cs="宋体"/>
                <w:b/>
                <w:bCs/>
                <w:color w:val="000000"/>
                <w:szCs w:val="21"/>
                <w:highlight w:val="none"/>
              </w:rPr>
              <w:t>审查内容</w:t>
            </w:r>
          </w:p>
        </w:tc>
        <w:tc>
          <w:tcPr>
            <w:tcW w:w="1999" w:type="dxa"/>
            <w:vAlign w:val="center"/>
          </w:tcPr>
          <w:p w14:paraId="4E84AD00">
            <w:pPr>
              <w:adjustRightInd w:val="0"/>
              <w:snapToGrid w:val="0"/>
              <w:spacing w:line="560" w:lineRule="exact"/>
              <w:jc w:val="center"/>
              <w:rPr>
                <w:rFonts w:hint="eastAsia" w:ascii="黑体" w:hAnsi="黑体" w:eastAsia="黑体" w:cs="宋体"/>
                <w:b/>
                <w:bCs/>
                <w:color w:val="000000"/>
                <w:szCs w:val="21"/>
                <w:highlight w:val="none"/>
              </w:rPr>
            </w:pPr>
            <w:r>
              <w:rPr>
                <w:rFonts w:hint="eastAsia" w:ascii="黑体" w:hAnsi="黑体" w:eastAsia="黑体" w:cs="宋体"/>
                <w:b/>
                <w:bCs/>
                <w:color w:val="000000"/>
                <w:szCs w:val="21"/>
                <w:highlight w:val="none"/>
              </w:rPr>
              <w:t>评审标准</w:t>
            </w:r>
          </w:p>
        </w:tc>
      </w:tr>
      <w:tr w14:paraId="46A1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0509873D">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1258" w:type="dxa"/>
            <w:vMerge w:val="restart"/>
            <w:vAlign w:val="center"/>
          </w:tcPr>
          <w:p w14:paraId="5995D213">
            <w:pPr>
              <w:adjustRightInd w:val="0"/>
              <w:snapToGrid w:val="0"/>
              <w:spacing w:line="560" w:lineRule="exact"/>
              <w:jc w:val="center"/>
              <w:rPr>
                <w:rFonts w:hint="eastAsia" w:ascii="宋体" w:hAnsi="宋体" w:cs="宋体"/>
                <w:b/>
                <w:bCs/>
                <w:color w:val="000000"/>
                <w:szCs w:val="21"/>
                <w:highlight w:val="none"/>
              </w:rPr>
            </w:pPr>
            <w:r>
              <w:rPr>
                <w:rFonts w:hint="eastAsia" w:ascii="宋体" w:hAnsi="宋体" w:cs="宋体"/>
                <w:b/>
                <w:bCs/>
                <w:color w:val="000000"/>
                <w:szCs w:val="21"/>
                <w:highlight w:val="none"/>
              </w:rPr>
              <w:t>审查资料</w:t>
            </w:r>
          </w:p>
        </w:tc>
        <w:tc>
          <w:tcPr>
            <w:tcW w:w="6044" w:type="dxa"/>
          </w:tcPr>
          <w:p w14:paraId="63A91577">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法定代表人身份证明和本人有效身份证(或法定代表人授权委托书和委托代理人有效身份证)</w:t>
            </w:r>
          </w:p>
        </w:tc>
        <w:tc>
          <w:tcPr>
            <w:tcW w:w="1999" w:type="dxa"/>
            <w:vMerge w:val="restart"/>
            <w:vAlign w:val="center"/>
          </w:tcPr>
          <w:p w14:paraId="68A96C04">
            <w:pPr>
              <w:adjustRightInd w:val="0"/>
              <w:snapToGrid w:val="0"/>
              <w:spacing w:line="56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检验电子标书</w:t>
            </w:r>
          </w:p>
        </w:tc>
      </w:tr>
      <w:tr w14:paraId="3C00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6E7FE39">
            <w:pPr>
              <w:adjustRightInd w:val="0"/>
              <w:snapToGrid w:val="0"/>
              <w:spacing w:line="560" w:lineRule="exact"/>
              <w:jc w:val="center"/>
              <w:rPr>
                <w:rFonts w:hint="eastAsia" w:ascii="宋体" w:hAnsi="宋体" w:cs="宋体"/>
                <w:color w:val="000000"/>
                <w:szCs w:val="21"/>
                <w:highlight w:val="none"/>
              </w:rPr>
            </w:pPr>
          </w:p>
        </w:tc>
        <w:tc>
          <w:tcPr>
            <w:tcW w:w="1258" w:type="dxa"/>
            <w:vMerge w:val="continue"/>
            <w:vAlign w:val="center"/>
          </w:tcPr>
          <w:p w14:paraId="4D10B795">
            <w:pPr>
              <w:adjustRightInd w:val="0"/>
              <w:snapToGrid w:val="0"/>
              <w:spacing w:line="560" w:lineRule="exact"/>
              <w:jc w:val="center"/>
              <w:rPr>
                <w:rFonts w:hint="eastAsia" w:ascii="宋体" w:hAnsi="宋体" w:cs="宋体"/>
                <w:b/>
                <w:bCs/>
                <w:color w:val="000000"/>
                <w:szCs w:val="21"/>
                <w:highlight w:val="none"/>
              </w:rPr>
            </w:pPr>
          </w:p>
        </w:tc>
        <w:tc>
          <w:tcPr>
            <w:tcW w:w="6044" w:type="dxa"/>
          </w:tcPr>
          <w:p w14:paraId="155FB808">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诚信投标承诺书（或《公共信用信息报告（无违法违规证明版或核查版）》）</w:t>
            </w:r>
          </w:p>
        </w:tc>
        <w:tc>
          <w:tcPr>
            <w:tcW w:w="1999" w:type="dxa"/>
            <w:vMerge w:val="continue"/>
            <w:vAlign w:val="center"/>
          </w:tcPr>
          <w:p w14:paraId="1423C9C6">
            <w:pPr>
              <w:adjustRightInd w:val="0"/>
              <w:snapToGrid w:val="0"/>
              <w:spacing w:line="560" w:lineRule="exact"/>
              <w:jc w:val="center"/>
              <w:rPr>
                <w:rFonts w:hint="eastAsia" w:ascii="宋体" w:hAnsi="宋体" w:cs="宋体"/>
                <w:b/>
                <w:color w:val="000000"/>
                <w:szCs w:val="21"/>
                <w:highlight w:val="none"/>
              </w:rPr>
            </w:pPr>
          </w:p>
        </w:tc>
      </w:tr>
      <w:tr w14:paraId="433C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65" w:type="dxa"/>
            <w:vMerge w:val="continue"/>
            <w:vAlign w:val="center"/>
          </w:tcPr>
          <w:p w14:paraId="78604132">
            <w:pPr>
              <w:adjustRightInd w:val="0"/>
              <w:snapToGrid w:val="0"/>
              <w:spacing w:line="560" w:lineRule="exact"/>
              <w:jc w:val="center"/>
              <w:rPr>
                <w:rFonts w:hint="eastAsia" w:ascii="宋体" w:hAnsi="宋体" w:cs="宋体"/>
                <w:color w:val="000000"/>
                <w:szCs w:val="21"/>
                <w:highlight w:val="none"/>
              </w:rPr>
            </w:pPr>
          </w:p>
        </w:tc>
        <w:tc>
          <w:tcPr>
            <w:tcW w:w="1258" w:type="dxa"/>
            <w:vMerge w:val="continue"/>
            <w:vAlign w:val="center"/>
          </w:tcPr>
          <w:p w14:paraId="1FB22256">
            <w:pPr>
              <w:adjustRightInd w:val="0"/>
              <w:snapToGrid w:val="0"/>
              <w:spacing w:line="560" w:lineRule="exact"/>
              <w:jc w:val="center"/>
              <w:rPr>
                <w:rFonts w:hint="eastAsia" w:ascii="宋体" w:hAnsi="宋体" w:cs="宋体"/>
                <w:b/>
                <w:bCs/>
                <w:color w:val="000000"/>
                <w:szCs w:val="21"/>
                <w:highlight w:val="none"/>
              </w:rPr>
            </w:pPr>
          </w:p>
        </w:tc>
        <w:tc>
          <w:tcPr>
            <w:tcW w:w="6044" w:type="dxa"/>
          </w:tcPr>
          <w:p w14:paraId="0FDC0ACC">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企业法人营业执照</w:t>
            </w:r>
          </w:p>
        </w:tc>
        <w:tc>
          <w:tcPr>
            <w:tcW w:w="1999" w:type="dxa"/>
            <w:vMerge w:val="continue"/>
            <w:vAlign w:val="center"/>
          </w:tcPr>
          <w:p w14:paraId="0796E784">
            <w:pPr>
              <w:adjustRightInd w:val="0"/>
              <w:snapToGrid w:val="0"/>
              <w:spacing w:line="560" w:lineRule="exact"/>
              <w:jc w:val="center"/>
              <w:rPr>
                <w:rFonts w:hint="eastAsia" w:ascii="宋体" w:hAnsi="宋体" w:cs="宋体"/>
                <w:b/>
                <w:color w:val="000000"/>
                <w:szCs w:val="21"/>
                <w:highlight w:val="none"/>
              </w:rPr>
            </w:pPr>
          </w:p>
        </w:tc>
      </w:tr>
    </w:tbl>
    <w:p w14:paraId="7CEDB5C1">
      <w:pPr>
        <w:adjustRightInd w:val="0"/>
        <w:snapToGrid w:val="0"/>
        <w:spacing w:line="560" w:lineRule="exact"/>
        <w:ind w:firstLine="422" w:firstLineChars="200"/>
        <w:jc w:val="left"/>
        <w:rPr>
          <w:rFonts w:hint="eastAsia" w:ascii="黑体" w:hAnsi="黑体" w:eastAsia="黑体" w:cs="黑体"/>
          <w:b/>
          <w:bCs/>
          <w:color w:val="000000"/>
          <w:szCs w:val="21"/>
          <w:highlight w:val="none"/>
        </w:rPr>
      </w:pPr>
      <w:r>
        <w:rPr>
          <w:rFonts w:hint="eastAsia" w:ascii="黑体" w:hAnsi="黑体" w:eastAsia="黑体" w:cs="黑体"/>
          <w:b/>
          <w:bCs/>
          <w:color w:val="000000"/>
          <w:szCs w:val="21"/>
          <w:highlight w:val="none"/>
        </w:rPr>
        <w:t>重要提示：</w:t>
      </w:r>
    </w:p>
    <w:p w14:paraId="4662A154">
      <w:pPr>
        <w:adjustRightInd w:val="0"/>
        <w:snapToGrid w:val="0"/>
        <w:spacing w:line="560" w:lineRule="exact"/>
        <w:ind w:firstLine="422" w:firstLineChars="200"/>
        <w:jc w:val="left"/>
        <w:rPr>
          <w:rFonts w:hint="eastAsia" w:ascii="黑体" w:hAnsi="黑体" w:eastAsia="黑体" w:cs="黑体"/>
          <w:b/>
          <w:bCs/>
          <w:color w:val="000000"/>
          <w:szCs w:val="21"/>
          <w:highlight w:val="none"/>
        </w:rPr>
      </w:pPr>
      <w:r>
        <w:rPr>
          <w:rFonts w:hint="eastAsia" w:ascii="黑体" w:hAnsi="黑体" w:eastAsia="黑体" w:cs="黑体"/>
          <w:b/>
          <w:bCs/>
          <w:color w:val="000000"/>
          <w:szCs w:val="21"/>
          <w:highlight w:val="none"/>
        </w:rPr>
        <w:t>（1）资格审查材料可以选择①上传到安徽省公共资源交易市场主体库中，制作投标文件时插上CA数字证书，从安徽省公共资源交易市场主体库中挑选相关材料，或按招标文件要求上传至指定位置；若所需材料无对应栏目，则将该材料上传至“其他所需材料”里，做电子投标文件时从“其他所需材料”里获取。请各投标人自行完善安徽省公共资源交易市场主体库中的单位信息，保证信息最新且有效。②或使用国家企业信用信息公示系统和全国建筑市场监管公共服务平台接口获取营业执照、建设工程相关证书等政务数据，投标人自行核验政务数据的准确性，对引用的政务数据承担责任。</w:t>
      </w:r>
    </w:p>
    <w:p w14:paraId="50D3E2DD">
      <w:pPr>
        <w:adjustRightInd w:val="0"/>
        <w:snapToGrid w:val="0"/>
        <w:spacing w:line="560" w:lineRule="exact"/>
        <w:ind w:firstLine="422" w:firstLineChars="200"/>
        <w:jc w:val="left"/>
        <w:rPr>
          <w:rFonts w:hint="eastAsia" w:ascii="黑体" w:hAnsi="黑体" w:eastAsia="黑体" w:cs="黑体"/>
          <w:b/>
          <w:bCs/>
          <w:color w:val="000000"/>
          <w:szCs w:val="21"/>
          <w:highlight w:val="none"/>
        </w:rPr>
      </w:pPr>
      <w:r>
        <w:rPr>
          <w:rFonts w:hint="eastAsia" w:ascii="黑体" w:hAnsi="黑体" w:eastAsia="黑体" w:cs="黑体"/>
          <w:b/>
          <w:bCs/>
          <w:color w:val="000000"/>
          <w:szCs w:val="21"/>
          <w:highlight w:val="none"/>
        </w:rPr>
        <w:t>（2）评标专家在检验电子投标文件过程中，如果由于投标人自身原因导致评标专家无法查看并检验电子投标文件中相关资料的，视为无效标处理。即使投标人将原件携带至现场的，同样按无效标处理。</w:t>
      </w:r>
    </w:p>
    <w:p w14:paraId="6BB31FD5">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1.审查资料</w:t>
      </w:r>
    </w:p>
    <w:p w14:paraId="51D92FA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（1）法定代表人身份证明和本人有效身份证(或法定代表人授权委托书和委托代理人有效身份证)；</w:t>
      </w:r>
    </w:p>
    <w:p w14:paraId="14051A1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（2）诚信投标承诺书（或《</w:t>
      </w:r>
      <w:r>
        <w:rPr>
          <w:rFonts w:hint="eastAsia" w:ascii="宋体" w:hAnsi="宋体" w:cs="宋体"/>
          <w:color w:val="000000"/>
          <w:kern w:val="0"/>
          <w:szCs w:val="21"/>
          <w:highlight w:val="none"/>
        </w:rPr>
        <w:t>公共信用信息报告（无违法违规证明版或核查版）</w:t>
      </w:r>
      <w:r>
        <w:rPr>
          <w:rFonts w:hint="eastAsia" w:ascii="宋体" w:hAnsi="宋体" w:cs="宋体"/>
          <w:color w:val="000000"/>
          <w:szCs w:val="21"/>
          <w:highlight w:val="none"/>
        </w:rPr>
        <w:t>》）；</w:t>
      </w:r>
    </w:p>
    <w:p w14:paraId="22C5CB3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（3）企业法人营业执照。</w:t>
      </w:r>
    </w:p>
    <w:p w14:paraId="1911593E">
      <w:pPr>
        <w:adjustRightInd w:val="0"/>
        <w:snapToGrid w:val="0"/>
        <w:spacing w:line="560" w:lineRule="exact"/>
        <w:ind w:firstLine="422" w:firstLineChars="200"/>
        <w:jc w:val="left"/>
        <w:rPr>
          <w:rFonts w:hint="eastAsia" w:ascii="黑体" w:hAnsi="黑体" w:eastAsia="黑体" w:cs="黑体"/>
          <w:b/>
          <w:color w:val="000000"/>
          <w:szCs w:val="21"/>
          <w:highlight w:val="none"/>
        </w:rPr>
      </w:pPr>
      <w:r>
        <w:rPr>
          <w:rFonts w:hint="eastAsia" w:ascii="黑体" w:hAnsi="黑体" w:eastAsia="黑体" w:cs="黑体"/>
          <w:b/>
          <w:color w:val="000000"/>
          <w:szCs w:val="21"/>
          <w:highlight w:val="none"/>
        </w:rPr>
        <w:t>温馨提示：</w:t>
      </w:r>
    </w:p>
    <w:p w14:paraId="499960B6">
      <w:pPr>
        <w:adjustRightInd w:val="0"/>
        <w:snapToGrid w:val="0"/>
        <w:spacing w:line="560" w:lineRule="exact"/>
        <w:ind w:firstLine="422" w:firstLineChars="200"/>
        <w:jc w:val="left"/>
        <w:rPr>
          <w:rFonts w:hint="eastAsia" w:ascii="黑体" w:hAnsi="黑体" w:eastAsia="黑体" w:cs="黑体"/>
          <w:b/>
          <w:color w:val="000000"/>
          <w:szCs w:val="21"/>
          <w:highlight w:val="none"/>
        </w:rPr>
      </w:pPr>
      <w:r>
        <w:rPr>
          <w:rFonts w:hint="eastAsia" w:ascii="黑体" w:hAnsi="黑体" w:eastAsia="黑体" w:cs="黑体"/>
          <w:b/>
          <w:color w:val="000000"/>
          <w:szCs w:val="21"/>
          <w:highlight w:val="none"/>
        </w:rPr>
        <w:t>（1）请各投标人自行完善安徽省公共资源交易市场主体库中的单位基本信息，保证信息最新且有效。</w:t>
      </w:r>
    </w:p>
    <w:p w14:paraId="1C200102">
      <w:pPr>
        <w:adjustRightInd w:val="0"/>
        <w:snapToGrid w:val="0"/>
        <w:spacing w:line="560" w:lineRule="exact"/>
        <w:ind w:firstLine="422" w:firstLineChars="200"/>
        <w:jc w:val="left"/>
        <w:rPr>
          <w:rFonts w:hint="eastAsia" w:ascii="黑体" w:hAnsi="黑体" w:eastAsia="黑体" w:cs="黑体"/>
          <w:b/>
          <w:color w:val="000000"/>
          <w:szCs w:val="21"/>
          <w:highlight w:val="none"/>
        </w:rPr>
      </w:pPr>
      <w:r>
        <w:rPr>
          <w:rFonts w:hint="eastAsia" w:ascii="黑体" w:hAnsi="黑体" w:eastAsia="黑体" w:cs="黑体"/>
          <w:b/>
          <w:color w:val="000000"/>
          <w:szCs w:val="21"/>
          <w:highlight w:val="none"/>
        </w:rPr>
        <w:t>（2）请投标人认真准备投标文件资格审查资料,如评标专家在检验电子标书过程中，如果由于投标人自身原因导致评标专家无法查看并检验电子标书中相关资料的，视为无效标处理。即使投标人将原件携带至现场的，同样按无效标处理。</w:t>
      </w:r>
    </w:p>
    <w:p w14:paraId="12D369DE">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2.审查办法</w:t>
      </w:r>
    </w:p>
    <w:p w14:paraId="53912FB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由资格审查委员会（评标委员会）按资格审查办法前附表中资格审查必要合格条件评审表要求对投标人审查资料进行核验。</w:t>
      </w:r>
    </w:p>
    <w:p w14:paraId="03E0063A">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3.资格审查委员会和审查标准</w:t>
      </w:r>
    </w:p>
    <w:p w14:paraId="445B9FE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3.1资格审查由招标人依法组建的资格审查委员会（或评标委员会）负责。审查标准见资格审查办法前附表。</w:t>
      </w:r>
    </w:p>
    <w:p w14:paraId="0A117F8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3.2由资格审查委员会（评标委员会）按资格审查办法前附表要求对投标人的审查资料进行核验。投标申请人有下列情形之一的，其资格审查为不合格： </w:t>
      </w:r>
    </w:p>
    <w:p w14:paraId="5C55995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（1）未上传电子标书或电子标书经审查不合格；</w:t>
      </w:r>
    </w:p>
    <w:p w14:paraId="5AE83C6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（2）联合体投标人没有提交联合体协议书；</w:t>
      </w:r>
    </w:p>
    <w:p w14:paraId="1A6306A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 xml:space="preserve">（3）保证金不按第二章“投标人须知”及其前附表要求提交投标保证金的； </w:t>
      </w:r>
    </w:p>
    <w:p w14:paraId="6403F5F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（4）投标人未办理省主体库登记入库手续的；</w:t>
      </w:r>
    </w:p>
    <w:p w14:paraId="06FFB36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（5）投标人投标 MAC 地址一致的；</w:t>
      </w:r>
    </w:p>
    <w:p w14:paraId="1A92A33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（6）投标人申请开具电子保函 MAC 地址一致的；</w:t>
      </w:r>
    </w:p>
    <w:p w14:paraId="068BD67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（7）投标人投标文件制作机器码、文件创建标识码及造价软件加密锁号信息雷同的；</w:t>
      </w:r>
    </w:p>
    <w:p w14:paraId="3DB02FA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（8）法律、法规规定的其他情形。</w:t>
      </w:r>
    </w:p>
    <w:p w14:paraId="2B212D5A">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4.审查结果</w:t>
      </w:r>
    </w:p>
    <w:p w14:paraId="32D5B00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只有通过资格审查的投标人才能进入下一步的评标程序。</w:t>
      </w:r>
    </w:p>
    <w:bookmarkEnd w:id="692"/>
    <w:bookmarkEnd w:id="693"/>
    <w:bookmarkEnd w:id="694"/>
    <w:bookmarkEnd w:id="695"/>
    <w:bookmarkEnd w:id="696"/>
    <w:bookmarkEnd w:id="697"/>
    <w:p w14:paraId="4AD00B89">
      <w:pPr>
        <w:pStyle w:val="3"/>
        <w:adjustRightInd w:val="0"/>
        <w:snapToGrid w:val="0"/>
        <w:spacing w:before="0" w:after="0" w:line="560" w:lineRule="exact"/>
        <w:jc w:val="center"/>
        <w:rPr>
          <w:color w:val="000000"/>
          <w:highlight w:val="none"/>
        </w:rPr>
      </w:pPr>
      <w:bookmarkStart w:id="698" w:name="_Toc95223428"/>
      <w:r>
        <w:rPr>
          <w:rFonts w:hint="eastAsia"/>
          <w:color w:val="000000"/>
          <w:highlight w:val="none"/>
        </w:rPr>
        <w:t>第四章 评标办法（综合评估法）</w:t>
      </w:r>
      <w:bookmarkEnd w:id="698"/>
    </w:p>
    <w:p w14:paraId="2A5769AD">
      <w:pPr>
        <w:numPr>
          <w:ilvl w:val="0"/>
          <w:numId w:val="1"/>
        </w:numPr>
        <w:spacing w:line="560" w:lineRule="exact"/>
        <w:ind w:left="0"/>
        <w:jc w:val="center"/>
        <w:rPr>
          <w:b/>
          <w:color w:val="000000"/>
          <w:sz w:val="28"/>
          <w:szCs w:val="21"/>
          <w:highlight w:val="none"/>
        </w:rPr>
      </w:pPr>
      <w:r>
        <w:rPr>
          <w:rFonts w:hint="eastAsia"/>
          <w:b/>
          <w:color w:val="000000"/>
          <w:sz w:val="28"/>
          <w:szCs w:val="21"/>
          <w:highlight w:val="none"/>
        </w:rPr>
        <w:t>中标候选人的确定</w:t>
      </w:r>
    </w:p>
    <w:p w14:paraId="767DE2B1">
      <w:pPr>
        <w:pStyle w:val="26"/>
        <w:spacing w:after="0" w:line="560" w:lineRule="exact"/>
        <w:ind w:left="0" w:leftChars="0"/>
        <w:rPr>
          <w:highlight w:val="none"/>
        </w:rPr>
      </w:pPr>
      <w:r>
        <w:rPr>
          <w:rFonts w:hint="eastAsia"/>
          <w:highlight w:val="none"/>
        </w:rPr>
        <w:t>第一阶段，评标委员会对投标人依次进行资信、技术文件审查，对均满足要求的投标人先进行除投标报价之外的评审因素打分，汇总后的得分按照从高到低进行排序（</w:t>
      </w:r>
      <w:r>
        <w:rPr>
          <w:rFonts w:hint="eastAsia"/>
          <w:b/>
          <w:highlight w:val="none"/>
        </w:rPr>
        <w:t>得分相同的并列，下一个排名顺延。如2个投标人并列第一，则第3个排名为第三名</w:t>
      </w:r>
      <w:r>
        <w:rPr>
          <w:rFonts w:hint="eastAsia"/>
          <w:highlight w:val="none"/>
        </w:rPr>
        <w:t>），选择总得分排前N个的投标人进入第二阶段评标，N取值为</w:t>
      </w:r>
      <w:r>
        <w:rPr>
          <w:rFonts w:hint="eastAsia"/>
          <w:highlight w:val="none"/>
          <w:u w:val="single"/>
        </w:rPr>
        <w:t xml:space="preserve">  5   </w:t>
      </w:r>
      <w:r>
        <w:rPr>
          <w:rFonts w:hint="eastAsia"/>
          <w:highlight w:val="none"/>
        </w:rPr>
        <w:t>（不少于5个），</w:t>
      </w:r>
      <w:r>
        <w:rPr>
          <w:rFonts w:hint="eastAsia"/>
          <w:b/>
          <w:highlight w:val="none"/>
        </w:rPr>
        <w:t>与第N个得分相同的一并进入第二阶段评标</w:t>
      </w:r>
      <w:r>
        <w:rPr>
          <w:rFonts w:hint="eastAsia"/>
          <w:highlight w:val="none"/>
        </w:rPr>
        <w:t>。不少于3个但不足N个的，全部进入第二阶段评标；不足3个的，本项目流标。</w:t>
      </w:r>
    </w:p>
    <w:p w14:paraId="566EA021">
      <w:pPr>
        <w:pStyle w:val="26"/>
        <w:spacing w:after="0" w:line="560" w:lineRule="exact"/>
        <w:ind w:left="0" w:leftChars="0"/>
        <w:rPr>
          <w:color w:val="000000"/>
          <w:highlight w:val="none"/>
        </w:rPr>
      </w:pPr>
      <w:r>
        <w:rPr>
          <w:rFonts w:hint="eastAsia"/>
          <w:color w:val="000000"/>
          <w:highlight w:val="none"/>
        </w:rPr>
        <w:t>第二阶段，投标报价评审。评标委员会仅针对进入第二阶段的投标人商务标文件进行评审，评审过程中如出现无效投标，将替补至N个投标人，剩余投标人不足替补至N个的，至少替补至3个，否则本项目流标。以进入第二阶段的有效投标报价作为评标基准价计算范围。根据投标报价评审规则计算投标报价得分。确定中标候选人排序时，按照各项评审因素的总得分从高到低进行排序，得分第一的投标人为第一中标候选人。如总得分相等，以投标报价低的优先，投标报价仍相等，由评标委员会主任委员或招标人随机抽取确定排名。</w:t>
      </w:r>
    </w:p>
    <w:p w14:paraId="6D01E754">
      <w:pPr>
        <w:pStyle w:val="26"/>
        <w:adjustRightInd w:val="0"/>
        <w:snapToGrid w:val="0"/>
        <w:spacing w:after="0" w:line="560" w:lineRule="exact"/>
        <w:ind w:left="0" w:leftChars="0" w:firstLine="0" w:firstLineChars="0"/>
        <w:jc w:val="center"/>
        <w:rPr>
          <w:b/>
          <w:color w:val="000000"/>
          <w:sz w:val="28"/>
          <w:szCs w:val="21"/>
          <w:highlight w:val="none"/>
        </w:rPr>
      </w:pPr>
      <w:r>
        <w:rPr>
          <w:rFonts w:hint="eastAsia"/>
          <w:b/>
          <w:color w:val="000000"/>
          <w:sz w:val="28"/>
          <w:szCs w:val="21"/>
          <w:highlight w:val="none"/>
        </w:rPr>
        <w:t>（二）技术标评审（30分）</w:t>
      </w:r>
    </w:p>
    <w:tbl>
      <w:tblPr>
        <w:tblStyle w:val="27"/>
        <w:tblW w:w="9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45"/>
        <w:gridCol w:w="1276"/>
        <w:gridCol w:w="859"/>
        <w:gridCol w:w="1260"/>
        <w:gridCol w:w="1236"/>
        <w:gridCol w:w="4452"/>
      </w:tblGrid>
      <w:tr w14:paraId="7825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184" w:type="dxa"/>
            <w:gridSpan w:val="3"/>
            <w:vAlign w:val="center"/>
          </w:tcPr>
          <w:p w14:paraId="7D147D7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条款号</w:t>
            </w:r>
          </w:p>
        </w:tc>
        <w:tc>
          <w:tcPr>
            <w:tcW w:w="3355" w:type="dxa"/>
            <w:gridSpan w:val="3"/>
            <w:vAlign w:val="center"/>
          </w:tcPr>
          <w:p w14:paraId="161D690A">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评审因素</w:t>
            </w:r>
          </w:p>
        </w:tc>
        <w:tc>
          <w:tcPr>
            <w:tcW w:w="4452" w:type="dxa"/>
            <w:vAlign w:val="center"/>
          </w:tcPr>
          <w:p w14:paraId="01536A65">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评审标准</w:t>
            </w:r>
          </w:p>
        </w:tc>
      </w:tr>
      <w:tr w14:paraId="464A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Align w:val="center"/>
          </w:tcPr>
          <w:p w14:paraId="4C52542E">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4.1.1</w:t>
            </w:r>
          </w:p>
        </w:tc>
        <w:tc>
          <w:tcPr>
            <w:tcW w:w="1276" w:type="dxa"/>
            <w:vAlign w:val="center"/>
          </w:tcPr>
          <w:p w14:paraId="0D74513D">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形式评审标准</w:t>
            </w:r>
          </w:p>
        </w:tc>
        <w:tc>
          <w:tcPr>
            <w:tcW w:w="3355" w:type="dxa"/>
            <w:gridSpan w:val="3"/>
            <w:vAlign w:val="center"/>
          </w:tcPr>
          <w:p w14:paraId="425D538C">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投标文件格式</w:t>
            </w:r>
          </w:p>
        </w:tc>
        <w:tc>
          <w:tcPr>
            <w:tcW w:w="4452" w:type="dxa"/>
            <w:vAlign w:val="center"/>
          </w:tcPr>
          <w:p w14:paraId="115AF927">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符合第九章“投标文件格式”的要求，</w:t>
            </w:r>
          </w:p>
          <w:p w14:paraId="6A151818">
            <w:pPr>
              <w:adjustRightInd w:val="0"/>
              <w:snapToGrid w:val="0"/>
              <w:spacing w:line="560" w:lineRule="exact"/>
              <w:rPr>
                <w:rFonts w:hint="eastAsia" w:ascii="宋体" w:hAnsi="宋体" w:cs="宋体"/>
                <w:b/>
                <w:color w:val="000000"/>
                <w:spacing w:val="-6"/>
                <w:szCs w:val="21"/>
                <w:highlight w:val="none"/>
              </w:rPr>
            </w:pPr>
            <w:r>
              <w:rPr>
                <w:rFonts w:hint="eastAsia" w:ascii="宋体" w:hAnsi="宋体" w:cs="宋体"/>
                <w:color w:val="000000"/>
                <w:szCs w:val="21"/>
                <w:highlight w:val="none"/>
              </w:rPr>
              <w:t>否则经评委会一致认定后,按照无效投标处理。</w:t>
            </w:r>
          </w:p>
        </w:tc>
      </w:tr>
      <w:tr w14:paraId="667E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restart"/>
            <w:vAlign w:val="center"/>
          </w:tcPr>
          <w:p w14:paraId="29FE5734">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4.1.2</w:t>
            </w:r>
          </w:p>
        </w:tc>
        <w:tc>
          <w:tcPr>
            <w:tcW w:w="1276" w:type="dxa"/>
            <w:vMerge w:val="restart"/>
            <w:vAlign w:val="center"/>
          </w:tcPr>
          <w:p w14:paraId="1D64364B">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响应性评审标准（初步评审）</w:t>
            </w:r>
          </w:p>
        </w:tc>
        <w:tc>
          <w:tcPr>
            <w:tcW w:w="3355" w:type="dxa"/>
            <w:gridSpan w:val="3"/>
            <w:vAlign w:val="center"/>
          </w:tcPr>
          <w:p w14:paraId="28838AE7">
            <w:pPr>
              <w:adjustRightInd w:val="0"/>
              <w:snapToGrid w:val="0"/>
              <w:spacing w:line="560" w:lineRule="exact"/>
              <w:jc w:val="center"/>
              <w:textAlignment w:val="baseline"/>
              <w:rPr>
                <w:color w:val="000000"/>
                <w:szCs w:val="21"/>
                <w:highlight w:val="none"/>
              </w:rPr>
            </w:pPr>
            <w:r>
              <w:rPr>
                <w:color w:val="000000"/>
                <w:szCs w:val="21"/>
                <w:highlight w:val="none"/>
              </w:rPr>
              <w:t>投标内容</w:t>
            </w:r>
          </w:p>
        </w:tc>
        <w:tc>
          <w:tcPr>
            <w:tcW w:w="4452" w:type="dxa"/>
            <w:vAlign w:val="center"/>
          </w:tcPr>
          <w:p w14:paraId="59748779">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符合第二章“投标人须知”规定。</w:t>
            </w:r>
          </w:p>
        </w:tc>
      </w:tr>
      <w:tr w14:paraId="4F26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continue"/>
          </w:tcPr>
          <w:p w14:paraId="0E8692E0">
            <w:pPr>
              <w:adjustRightInd w:val="0"/>
              <w:snapToGrid w:val="0"/>
              <w:spacing w:line="560" w:lineRule="exact"/>
              <w:jc w:val="center"/>
              <w:rPr>
                <w:rFonts w:hint="eastAsia" w:ascii="宋体" w:hAnsi="宋体" w:cs="宋体"/>
                <w:color w:val="000000"/>
                <w:szCs w:val="21"/>
                <w:highlight w:val="none"/>
              </w:rPr>
            </w:pPr>
          </w:p>
        </w:tc>
        <w:tc>
          <w:tcPr>
            <w:tcW w:w="1276" w:type="dxa"/>
            <w:vMerge w:val="continue"/>
          </w:tcPr>
          <w:p w14:paraId="5BBD5AEA">
            <w:pPr>
              <w:adjustRightInd w:val="0"/>
              <w:snapToGrid w:val="0"/>
              <w:spacing w:line="560" w:lineRule="exact"/>
              <w:jc w:val="center"/>
              <w:rPr>
                <w:rFonts w:hint="eastAsia" w:ascii="宋体" w:hAnsi="宋体" w:cs="宋体"/>
                <w:color w:val="000000"/>
                <w:szCs w:val="21"/>
                <w:highlight w:val="none"/>
              </w:rPr>
            </w:pPr>
          </w:p>
        </w:tc>
        <w:tc>
          <w:tcPr>
            <w:tcW w:w="3355" w:type="dxa"/>
            <w:gridSpan w:val="3"/>
            <w:vAlign w:val="center"/>
          </w:tcPr>
          <w:p w14:paraId="0A559E0D">
            <w:pPr>
              <w:adjustRightInd w:val="0"/>
              <w:snapToGrid w:val="0"/>
              <w:spacing w:line="560" w:lineRule="exact"/>
              <w:jc w:val="center"/>
              <w:textAlignment w:val="baseline"/>
              <w:rPr>
                <w:color w:val="000000"/>
                <w:szCs w:val="21"/>
                <w:highlight w:val="none"/>
              </w:rPr>
            </w:pPr>
            <w:r>
              <w:rPr>
                <w:color w:val="000000"/>
                <w:szCs w:val="21"/>
                <w:highlight w:val="none"/>
              </w:rPr>
              <w:t>权利义务</w:t>
            </w:r>
          </w:p>
        </w:tc>
        <w:tc>
          <w:tcPr>
            <w:tcW w:w="4452" w:type="dxa"/>
            <w:vAlign w:val="center"/>
          </w:tcPr>
          <w:p w14:paraId="119D0070">
            <w:pPr>
              <w:adjustRightInd w:val="0"/>
              <w:snapToGrid w:val="0"/>
              <w:spacing w:line="560" w:lineRule="exact"/>
              <w:rPr>
                <w:rFonts w:hint="eastAsia" w:ascii="宋体" w:hAnsi="宋体" w:cs="宋体"/>
                <w:color w:val="000000"/>
                <w:szCs w:val="21"/>
                <w:highlight w:val="none"/>
              </w:rPr>
            </w:pPr>
            <w:r>
              <w:rPr>
                <w:rFonts w:hint="eastAsia" w:ascii="宋体" w:hAnsi="宋体" w:cs="宋体"/>
                <w:color w:val="000000"/>
                <w:szCs w:val="21"/>
                <w:highlight w:val="none"/>
              </w:rPr>
              <w:t>符合第五章“合同条款及格式”规定。</w:t>
            </w:r>
          </w:p>
        </w:tc>
      </w:tr>
      <w:tr w14:paraId="4C02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91" w:type="dxa"/>
            <w:gridSpan w:val="7"/>
          </w:tcPr>
          <w:p w14:paraId="1402D716">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技术标评分细则</w:t>
            </w:r>
          </w:p>
        </w:tc>
      </w:tr>
      <w:tr w14:paraId="7DDC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tcPr>
          <w:p w14:paraId="08AFB468">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序号</w:t>
            </w:r>
          </w:p>
        </w:tc>
        <w:tc>
          <w:tcPr>
            <w:tcW w:w="2280" w:type="dxa"/>
            <w:gridSpan w:val="3"/>
          </w:tcPr>
          <w:p w14:paraId="57A8ABE8">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评审因素</w:t>
            </w:r>
          </w:p>
        </w:tc>
        <w:tc>
          <w:tcPr>
            <w:tcW w:w="1260" w:type="dxa"/>
          </w:tcPr>
          <w:p w14:paraId="7CD7D0F9">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分值设置</w:t>
            </w:r>
          </w:p>
        </w:tc>
        <w:tc>
          <w:tcPr>
            <w:tcW w:w="5688" w:type="dxa"/>
            <w:gridSpan w:val="2"/>
          </w:tcPr>
          <w:p w14:paraId="7E78DDA9">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评审标准</w:t>
            </w:r>
          </w:p>
        </w:tc>
      </w:tr>
      <w:tr w14:paraId="370C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63" w:type="dxa"/>
            <w:vAlign w:val="center"/>
          </w:tcPr>
          <w:p w14:paraId="10B30AE3">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2280" w:type="dxa"/>
            <w:gridSpan w:val="3"/>
            <w:vAlign w:val="center"/>
          </w:tcPr>
          <w:p w14:paraId="3FB568A0">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项目需求分析方案</w:t>
            </w:r>
          </w:p>
        </w:tc>
        <w:tc>
          <w:tcPr>
            <w:tcW w:w="1260" w:type="dxa"/>
            <w:vAlign w:val="center"/>
          </w:tcPr>
          <w:p w14:paraId="2D7BAAE0">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7C572AAA">
            <w:pPr>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投标人针对项目实际情况，内容健全周密，完整详细，实施措施完善的得5分；内容完整，有实施措施，符合实际需求的4.5分；内容简单，合理的得4分；内容粗糙，条理不清晰，存在不足的得3.5分；未提供不得分，本项满分5分。</w:t>
            </w:r>
          </w:p>
        </w:tc>
      </w:tr>
      <w:tr w14:paraId="7A71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vAlign w:val="center"/>
          </w:tcPr>
          <w:p w14:paraId="7C5797C6">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2280" w:type="dxa"/>
            <w:gridSpan w:val="3"/>
            <w:vAlign w:val="center"/>
          </w:tcPr>
          <w:p w14:paraId="47666EC8">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实施方案</w:t>
            </w:r>
          </w:p>
        </w:tc>
        <w:tc>
          <w:tcPr>
            <w:tcW w:w="1260" w:type="dxa"/>
            <w:vAlign w:val="center"/>
          </w:tcPr>
          <w:p w14:paraId="3FB4BF34">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141811D9">
            <w:pPr>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根据招标文件要求及投标人提供的项目实施方案情况，进行综合评分，至少包含下列内容：重点、难点阐述、解决方案、合理化建议等。方案周密、详尽、保障措施完善，贴合实际状况等因素的得5分；方案完整、具有实施性，具有保障措施，贴合实际状况的得4.5分；方案简单可行，方案及保障措施合理的得4分；方案粗糙存在不足，方案及保障措施不满足实际工作的得3.5分；未提供的不得分，本项满分5分。</w:t>
            </w:r>
          </w:p>
        </w:tc>
      </w:tr>
      <w:tr w14:paraId="06D2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vAlign w:val="center"/>
          </w:tcPr>
          <w:p w14:paraId="6D0E84EF">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2280" w:type="dxa"/>
            <w:gridSpan w:val="3"/>
            <w:vAlign w:val="center"/>
          </w:tcPr>
          <w:p w14:paraId="610EC5A0">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供货方案</w:t>
            </w:r>
          </w:p>
        </w:tc>
        <w:tc>
          <w:tcPr>
            <w:tcW w:w="1260" w:type="dxa"/>
            <w:vAlign w:val="center"/>
          </w:tcPr>
          <w:p w14:paraId="0EC06E4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0752995F">
            <w:pPr>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根据招标文件要求及投标人提供的供货方案情况，进行综合评分，至少包含下列内容：供货进度计划及进度保障措施、产品供货组织、安装调试方案、安装调试进度计划及安全保障措施。方案内容健全，完整详细，突出重点，实用性、操作流程符合实际需求的得5分；方案内容完整，内容满足采购需求，针对各类内容的管理制度完整的得4.5分；方案内容简单，实用性和管理制度有待改善的得4分；方案内容粗糙，条理不清晰，存在不足的得3.5分；未提供不得分，本项满分5分。</w:t>
            </w:r>
          </w:p>
        </w:tc>
      </w:tr>
      <w:tr w14:paraId="54F87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vAlign w:val="center"/>
          </w:tcPr>
          <w:p w14:paraId="535C0591">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4</w:t>
            </w:r>
          </w:p>
        </w:tc>
        <w:tc>
          <w:tcPr>
            <w:tcW w:w="2280" w:type="dxa"/>
            <w:gridSpan w:val="3"/>
            <w:vAlign w:val="center"/>
          </w:tcPr>
          <w:p w14:paraId="0C4E6F1C">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质量保障措施</w:t>
            </w:r>
          </w:p>
        </w:tc>
        <w:tc>
          <w:tcPr>
            <w:tcW w:w="1260" w:type="dxa"/>
            <w:vAlign w:val="center"/>
          </w:tcPr>
          <w:p w14:paraId="38093A12">
            <w:pPr>
              <w:spacing w:line="40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5505A785">
            <w:pPr>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投标人提供的质量保障措施进行综合评审，至少包含：所投设备的质量性能、技术先进性、便于维护等质量保证措施。方案内容完整详实，表述清晰的得5分；方案内容覆盖全面，内容完整详实，表述适当，符合项目实施要求的得4.5分；方案内容简单，且符合项目实施要求的得4分；方案内容有待完善，要点突出不够明显，具体细节有待完善的得3.5分；未提供相应内容的不得分，本项满分5分。</w:t>
            </w:r>
          </w:p>
        </w:tc>
      </w:tr>
      <w:tr w14:paraId="4656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vAlign w:val="center"/>
          </w:tcPr>
          <w:p w14:paraId="5A18FAB2">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5</w:t>
            </w:r>
          </w:p>
        </w:tc>
        <w:tc>
          <w:tcPr>
            <w:tcW w:w="2280" w:type="dxa"/>
            <w:gridSpan w:val="3"/>
            <w:vAlign w:val="center"/>
          </w:tcPr>
          <w:p w14:paraId="0B56543C">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应急方案</w:t>
            </w:r>
          </w:p>
        </w:tc>
        <w:tc>
          <w:tcPr>
            <w:tcW w:w="1260" w:type="dxa"/>
            <w:vAlign w:val="center"/>
          </w:tcPr>
          <w:p w14:paraId="09EA45E9">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7B88B363">
            <w:pPr>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根据投标人提供的突发性问题及特殊紧急事件的应急处理方案进行评审：方案完善，应急响应时间安排合理，应急设备及应急服务人员配备充足，突发情况应急处理控制措施完整可行的得5分；方案合理，应急响应时间安排合理，应急设备及应急服务人员配备可行，可以完成突发情况应急处理的得4.5分；方案简单，应急响应时间、应急设备及应急服务人员配备勉强满足项目需求且出现非专门针对本项目特性内容，方案有待改善的得4分；方案、应急响应时间安排不合理，应急设备及应急服务人员实施有矛盾，有逻辑漏洞、常识性错误的情形的得3.5分；未提供不得分，本项满分5分。</w:t>
            </w:r>
          </w:p>
        </w:tc>
      </w:tr>
      <w:tr w14:paraId="67CFF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vAlign w:val="center"/>
          </w:tcPr>
          <w:p w14:paraId="0E3E830F">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6</w:t>
            </w:r>
          </w:p>
        </w:tc>
        <w:tc>
          <w:tcPr>
            <w:tcW w:w="2280" w:type="dxa"/>
            <w:gridSpan w:val="3"/>
            <w:vAlign w:val="center"/>
          </w:tcPr>
          <w:p w14:paraId="0F369AA3">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售后服务方案</w:t>
            </w:r>
          </w:p>
        </w:tc>
        <w:tc>
          <w:tcPr>
            <w:tcW w:w="1260" w:type="dxa"/>
            <w:vAlign w:val="center"/>
          </w:tcPr>
          <w:p w14:paraId="3CD71DEE">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0-5分</w:t>
            </w:r>
          </w:p>
        </w:tc>
        <w:tc>
          <w:tcPr>
            <w:tcW w:w="5688" w:type="dxa"/>
            <w:gridSpan w:val="2"/>
          </w:tcPr>
          <w:p w14:paraId="23A40E93">
            <w:pPr>
              <w:widowControl/>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根据招标文件要求及投标人提供的售后服务方案情况，进行综合评分，至少包含不符合验收要求产品的售后退换货方案、售后人员配备及专业技术保障方案、服务时效及服务承诺。售后服务方案内容详尽全面，针对本项目特点、响应及时迅速的得5分； 售后服务方案内容完整，切实可行的得4.5分；售后服务方案内容简单空洞的得4分；售后服务方案内容不完整，有待进一步完善的得3.5分；未提供的不得分，本项满分5分。</w:t>
            </w:r>
          </w:p>
        </w:tc>
      </w:tr>
    </w:tbl>
    <w:p w14:paraId="2F94DF79">
      <w:pPr>
        <w:pStyle w:val="26"/>
        <w:spacing w:after="0" w:line="560" w:lineRule="exact"/>
        <w:ind w:left="0" w:leftChars="0" w:firstLine="422"/>
        <w:jc w:val="left"/>
        <w:rPr>
          <w:rFonts w:hint="eastAsia" w:ascii="宋体" w:hAnsi="宋体" w:cs="宋体"/>
          <w:b/>
          <w:bCs/>
          <w:color w:val="000000"/>
          <w:highlight w:val="none"/>
        </w:rPr>
      </w:pPr>
      <w:r>
        <w:rPr>
          <w:rFonts w:hint="eastAsia" w:ascii="宋体" w:hAnsi="宋体" w:cs="宋体"/>
          <w:b/>
          <w:bCs/>
          <w:color w:val="000000"/>
          <w:highlight w:val="none"/>
        </w:rPr>
        <w:t>注：1、每个评审因素得分均以去掉一个最高分和一个最低分后的打分平均值确定（打分平均值保留小数点后两位，小数点后第三位四舍五入）。投标人得分计算示例：如技术标评分细则有评分项1、评分项2两个评审因素，评分项1的评审标准有10项评分点，评分项2的评审标准有2项评分点。将某个评委对一个投标人评分项1的10项评分点的打分进行汇总得到该评委对该投标人评分项1的打分，然后在所有评委对该投标人评分项1的打分中，去掉一个最高分和一个最低分后取平均值（打分平均值保留小数点后两位，小数点后第三位四舍五入），得到该投标人评分项1得分。该评委对该投标人评分项2的2项评分点的打分进行汇总得到该评委对该投标人评分项2的打分，然后在所有评委对该投标人评分项2的打分中，去掉一个最高分和一个最低分后取平均值（打分平均值保留小数点后两位，小数点后第三位四舍五入），得到该投标人评分项2得分。汇总评分项1得分、评分项2得分，得到该投标人技术标评分细则得分。</w:t>
      </w:r>
    </w:p>
    <w:p w14:paraId="7D4DF98C">
      <w:pPr>
        <w:pStyle w:val="26"/>
        <w:spacing w:after="0" w:line="560" w:lineRule="exact"/>
        <w:ind w:left="0" w:leftChars="0" w:firstLine="422"/>
        <w:jc w:val="left"/>
        <w:rPr>
          <w:rFonts w:hint="eastAsia" w:ascii="宋体" w:hAnsi="宋体" w:cs="宋体"/>
          <w:b/>
          <w:bCs/>
          <w:color w:val="000000"/>
          <w:highlight w:val="none"/>
        </w:rPr>
      </w:pPr>
      <w:r>
        <w:rPr>
          <w:rFonts w:hint="eastAsia" w:ascii="宋体" w:hAnsi="宋体" w:cs="宋体"/>
          <w:b/>
          <w:bCs/>
          <w:color w:val="000000"/>
          <w:highlight w:val="none"/>
        </w:rPr>
        <w:t>2、该项目技术标为暗标横向评审，暗标横向评审技术标不设目录，评审前系统自动对所有投标人的技术标及各评分点分别进行编号；投标企业制作的技术标部分不得出现可能泄露投标人单位及个人信息的文字、图片、图表（技术标部分不得签章）等有关表述，否则该评分点作零分处理。</w:t>
      </w:r>
    </w:p>
    <w:p w14:paraId="336B72D6">
      <w:pPr>
        <w:pStyle w:val="26"/>
        <w:spacing w:line="560" w:lineRule="exact"/>
        <w:ind w:left="0" w:leftChars="0" w:firstLine="413" w:firstLineChars="196"/>
        <w:jc w:val="left"/>
        <w:rPr>
          <w:rFonts w:hint="eastAsia" w:ascii="宋体" w:hAnsi="宋体" w:cs="宋体"/>
          <w:b/>
          <w:bCs/>
          <w:color w:val="000000"/>
          <w:highlight w:val="none"/>
        </w:rPr>
      </w:pPr>
      <w:r>
        <w:rPr>
          <w:rFonts w:hint="eastAsia" w:ascii="宋体" w:hAnsi="宋体" w:cs="宋体"/>
          <w:b/>
          <w:bCs/>
          <w:color w:val="000000"/>
          <w:highlight w:val="none"/>
        </w:rPr>
        <w:t>2.1 技术标暗标不设空白页。技术标投标文件封面不出现投标人、法定代表人签章内容，格式以系统设置为准。正文必须按招标文件要求的顺序进行排版；</w:t>
      </w:r>
    </w:p>
    <w:p w14:paraId="3C2142B3">
      <w:pPr>
        <w:pStyle w:val="26"/>
        <w:spacing w:after="0" w:line="560" w:lineRule="exact"/>
        <w:ind w:left="0" w:leftChars="0" w:firstLine="422"/>
        <w:jc w:val="left"/>
        <w:rPr>
          <w:rFonts w:hint="eastAsia" w:ascii="宋体" w:hAnsi="宋体" w:cs="宋体"/>
          <w:b/>
          <w:bCs/>
          <w:color w:val="000000"/>
          <w:highlight w:val="none"/>
        </w:rPr>
      </w:pPr>
      <w:r>
        <w:rPr>
          <w:rFonts w:hint="eastAsia" w:ascii="宋体" w:hAnsi="宋体" w:cs="宋体"/>
          <w:b/>
          <w:bCs/>
          <w:color w:val="000000"/>
          <w:highlight w:val="none"/>
        </w:rPr>
        <w:t>2.2技术标暗标正文文字排版统一使用中文宋体字体，文字为白底黑色，图表采用黑白灰色（不得采用彩色）；文字部分不得插入任何图表（可以用“见附图x”或“见附表x”说明）。所有附图、附表必须依次附在各章对应评分点内容的文末；</w:t>
      </w:r>
    </w:p>
    <w:p w14:paraId="6308A764">
      <w:pPr>
        <w:pStyle w:val="26"/>
        <w:spacing w:after="0" w:line="560" w:lineRule="exact"/>
        <w:ind w:left="0" w:leftChars="0" w:firstLine="422"/>
        <w:jc w:val="left"/>
        <w:rPr>
          <w:rFonts w:hint="eastAsia" w:ascii="宋体" w:hAnsi="宋体" w:cs="宋体"/>
          <w:b/>
          <w:bCs/>
          <w:color w:val="000000"/>
          <w:highlight w:val="none"/>
        </w:rPr>
      </w:pPr>
      <w:r>
        <w:rPr>
          <w:rFonts w:hint="eastAsia" w:ascii="宋体" w:hAnsi="宋体" w:cs="宋体"/>
          <w:b/>
          <w:bCs/>
          <w:color w:val="000000"/>
          <w:highlight w:val="none"/>
        </w:rPr>
        <w:t>2.3 正文采用宋体四号常规字，字符间距设为标准值，行距为单倍行距，不勾选“如果定义了文档网格，则对齐到网格”；正文统一设为左对齐，章、节标题、及段落首行缩进2个汉字，段落前后不设空行；正文版面不加页眉、页脚、边框、下划线等标志，正文页码用小五号阿拉伯数字，居中。单位符号中有上下角标要求的，必须在相应位置做角标；</w:t>
      </w:r>
    </w:p>
    <w:p w14:paraId="5E0A836A">
      <w:pPr>
        <w:spacing w:line="560" w:lineRule="exact"/>
        <w:ind w:firstLine="413" w:firstLineChars="196"/>
        <w:rPr>
          <w:rFonts w:hint="eastAsia" w:ascii="宋体" w:hAnsi="宋体" w:cs="宋体"/>
          <w:b/>
          <w:bCs/>
          <w:color w:val="000000"/>
          <w:highlight w:val="none"/>
        </w:rPr>
      </w:pPr>
      <w:r>
        <w:rPr>
          <w:rFonts w:hint="eastAsia" w:ascii="宋体" w:hAnsi="宋体" w:cs="宋体"/>
          <w:b/>
          <w:bCs/>
          <w:color w:val="000000"/>
          <w:highlight w:val="none"/>
        </w:rPr>
        <w:t>3、技术标暗标文件的格式、制作不符合上述要求的，每一项评分点扣</w:t>
      </w:r>
      <w:r>
        <w:rPr>
          <w:rFonts w:hint="eastAsia" w:ascii="宋体" w:hAnsi="宋体" w:cs="宋体"/>
          <w:b/>
          <w:bCs/>
          <w:color w:val="000000"/>
          <w:highlight w:val="none"/>
          <w:u w:val="single"/>
        </w:rPr>
        <w:t>0.2</w:t>
      </w:r>
      <w:r>
        <w:rPr>
          <w:rFonts w:hint="eastAsia" w:ascii="宋体" w:hAnsi="宋体" w:cs="宋体"/>
          <w:b/>
          <w:bCs/>
          <w:color w:val="000000"/>
          <w:highlight w:val="none"/>
        </w:rPr>
        <w:t>分。技术标实行暗标的，对技术标（暗标）部分不予澄清、说明或者补正。</w:t>
      </w:r>
    </w:p>
    <w:p w14:paraId="54605C6A">
      <w:pPr>
        <w:spacing w:line="560" w:lineRule="exact"/>
        <w:ind w:firstLine="413" w:firstLineChars="196"/>
        <w:rPr>
          <w:rFonts w:hint="eastAsia" w:ascii="宋体" w:hAnsi="宋体" w:cs="宋体"/>
          <w:b/>
          <w:bCs/>
          <w:color w:val="000000"/>
          <w:highlight w:val="none"/>
        </w:rPr>
      </w:pPr>
      <w:r>
        <w:rPr>
          <w:rFonts w:hint="eastAsia" w:ascii="宋体" w:hAnsi="宋体" w:cs="宋体"/>
          <w:b/>
          <w:bCs/>
          <w:color w:val="000000"/>
          <w:highlight w:val="none"/>
        </w:rPr>
        <w:t>4、暗标评审仅限评标环节。评标结束后，如出现质疑、投诉、举报等，经认定评标错误的，由评标委员会纠正错误或重新评分，此时不再受暗标评审约束，但在纠正错误或重新评分中发现投标企业技术标出现可能泄露投标人单位及个人信息的文字、图片、图表（技术标不得签章）等有关表述的，对应技术标评分点仍按零分处理。</w:t>
      </w:r>
    </w:p>
    <w:p w14:paraId="0FC61F5C">
      <w:pPr>
        <w:spacing w:line="560" w:lineRule="exact"/>
        <w:ind w:firstLine="413" w:firstLineChars="196"/>
        <w:rPr>
          <w:rFonts w:hint="eastAsia" w:ascii="宋体" w:hAnsi="宋体" w:cs="宋体"/>
          <w:b/>
          <w:bCs/>
          <w:color w:val="000000"/>
          <w:highlight w:val="none"/>
        </w:rPr>
      </w:pPr>
      <w:r>
        <w:rPr>
          <w:rFonts w:hint="eastAsia" w:ascii="宋体" w:hAnsi="宋体" w:cs="宋体"/>
          <w:b/>
          <w:bCs/>
          <w:color w:val="000000"/>
          <w:highlight w:val="none"/>
        </w:rPr>
        <w:t>5、如所有投标企业技术标都出现能反映企业信息等相关内容的，该项目流标。</w:t>
      </w:r>
    </w:p>
    <w:p w14:paraId="3EADBF86">
      <w:pPr>
        <w:pStyle w:val="26"/>
        <w:adjustRightInd w:val="0"/>
        <w:snapToGrid w:val="0"/>
        <w:spacing w:after="0" w:line="560" w:lineRule="exact"/>
        <w:ind w:left="0" w:leftChars="0" w:firstLine="0" w:firstLineChars="0"/>
        <w:jc w:val="center"/>
        <w:rPr>
          <w:b/>
          <w:color w:val="000000"/>
          <w:sz w:val="28"/>
          <w:szCs w:val="21"/>
          <w:highlight w:val="none"/>
        </w:rPr>
      </w:pPr>
      <w:r>
        <w:rPr>
          <w:rFonts w:hint="eastAsia"/>
          <w:b/>
          <w:color w:val="000000"/>
          <w:sz w:val="28"/>
          <w:szCs w:val="21"/>
          <w:highlight w:val="none"/>
        </w:rPr>
        <w:t>（四）商务标评审</w:t>
      </w:r>
    </w:p>
    <w:tbl>
      <w:tblPr>
        <w:tblStyle w:val="27"/>
        <w:tblW w:w="10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80"/>
        <w:gridCol w:w="2831"/>
        <w:gridCol w:w="5794"/>
      </w:tblGrid>
      <w:tr w14:paraId="12FF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1" w:type="dxa"/>
            <w:gridSpan w:val="2"/>
            <w:vAlign w:val="center"/>
          </w:tcPr>
          <w:p w14:paraId="2A994CE0">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条款号</w:t>
            </w:r>
          </w:p>
        </w:tc>
        <w:tc>
          <w:tcPr>
            <w:tcW w:w="2831" w:type="dxa"/>
            <w:vAlign w:val="center"/>
          </w:tcPr>
          <w:p w14:paraId="5626F501">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评审因素</w:t>
            </w:r>
          </w:p>
        </w:tc>
        <w:tc>
          <w:tcPr>
            <w:tcW w:w="5794" w:type="dxa"/>
            <w:vAlign w:val="center"/>
          </w:tcPr>
          <w:p w14:paraId="2F921A14">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评审标准</w:t>
            </w:r>
          </w:p>
        </w:tc>
      </w:tr>
      <w:tr w14:paraId="20FC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1" w:type="dxa"/>
            <w:vMerge w:val="restart"/>
            <w:vAlign w:val="center"/>
          </w:tcPr>
          <w:p w14:paraId="67783666">
            <w:pPr>
              <w:adjustRightInd w:val="0"/>
              <w:snapToGrid w:val="0"/>
              <w:spacing w:line="560" w:lineRule="exact"/>
              <w:jc w:val="center"/>
              <w:rPr>
                <w:rFonts w:hint="eastAsia" w:ascii="宋体" w:hAnsi="宋体"/>
                <w:color w:val="000000"/>
                <w:szCs w:val="21"/>
                <w:highlight w:val="none"/>
              </w:rPr>
            </w:pPr>
            <w:r>
              <w:rPr>
                <w:rFonts w:ascii="宋体" w:hAnsi="宋体"/>
                <w:color w:val="000000"/>
                <w:szCs w:val="21"/>
                <w:highlight w:val="none"/>
              </w:rPr>
              <w:t>4.2.1</w:t>
            </w:r>
          </w:p>
        </w:tc>
        <w:tc>
          <w:tcPr>
            <w:tcW w:w="780" w:type="dxa"/>
            <w:vMerge w:val="restart"/>
            <w:vAlign w:val="center"/>
          </w:tcPr>
          <w:p w14:paraId="09CBE4F0">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形式评审标准</w:t>
            </w:r>
          </w:p>
        </w:tc>
        <w:tc>
          <w:tcPr>
            <w:tcW w:w="2831" w:type="dxa"/>
            <w:vAlign w:val="center"/>
          </w:tcPr>
          <w:p w14:paraId="6E1A84A8">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投标函签字盖章</w:t>
            </w:r>
          </w:p>
        </w:tc>
        <w:tc>
          <w:tcPr>
            <w:tcW w:w="5794" w:type="dxa"/>
            <w:vAlign w:val="center"/>
          </w:tcPr>
          <w:p w14:paraId="0A600716">
            <w:pPr>
              <w:adjustRightInd w:val="0"/>
              <w:snapToGrid w:val="0"/>
              <w:spacing w:line="560" w:lineRule="exact"/>
              <w:jc w:val="left"/>
              <w:rPr>
                <w:rFonts w:hint="eastAsia" w:ascii="宋体" w:hAnsi="宋体"/>
                <w:color w:val="000000"/>
                <w:szCs w:val="21"/>
                <w:highlight w:val="none"/>
              </w:rPr>
            </w:pPr>
            <w:r>
              <w:rPr>
                <w:rFonts w:hint="eastAsia" w:ascii="宋体" w:hAnsi="宋体"/>
                <w:color w:val="000000"/>
                <w:szCs w:val="21"/>
                <w:highlight w:val="none"/>
              </w:rPr>
              <w:t>有投标人及其法定代表人签章。</w:t>
            </w:r>
          </w:p>
        </w:tc>
      </w:tr>
      <w:tr w14:paraId="23E5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vAlign w:val="center"/>
          </w:tcPr>
          <w:p w14:paraId="15A354E3">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35FC3ECA">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2901994F">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投标文件格式</w:t>
            </w:r>
          </w:p>
        </w:tc>
        <w:tc>
          <w:tcPr>
            <w:tcW w:w="5794" w:type="dxa"/>
            <w:vAlign w:val="center"/>
          </w:tcPr>
          <w:p w14:paraId="3D6341F1">
            <w:pPr>
              <w:adjustRightInd w:val="0"/>
              <w:snapToGrid w:val="0"/>
              <w:spacing w:line="560" w:lineRule="exact"/>
              <w:jc w:val="left"/>
              <w:rPr>
                <w:rFonts w:hint="eastAsia" w:ascii="宋体" w:hAnsi="宋体"/>
                <w:color w:val="000000"/>
                <w:szCs w:val="21"/>
                <w:highlight w:val="none"/>
              </w:rPr>
            </w:pPr>
            <w:r>
              <w:rPr>
                <w:rFonts w:hint="eastAsia" w:ascii="宋体" w:hAnsi="宋体"/>
                <w:color w:val="000000"/>
                <w:szCs w:val="21"/>
                <w:highlight w:val="none"/>
              </w:rPr>
              <w:t>符合第九章“投标文件格式”的要求。</w:t>
            </w:r>
          </w:p>
        </w:tc>
      </w:tr>
      <w:tr w14:paraId="57D2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vAlign w:val="center"/>
          </w:tcPr>
          <w:p w14:paraId="39DF2D79">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41E05D90">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577238A6">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商务标签字盖章</w:t>
            </w:r>
          </w:p>
        </w:tc>
        <w:tc>
          <w:tcPr>
            <w:tcW w:w="5794" w:type="dxa"/>
            <w:vAlign w:val="center"/>
          </w:tcPr>
          <w:p w14:paraId="53F42241">
            <w:pPr>
              <w:adjustRightInd w:val="0"/>
              <w:snapToGrid w:val="0"/>
              <w:spacing w:line="560" w:lineRule="exact"/>
              <w:jc w:val="left"/>
              <w:rPr>
                <w:rFonts w:hint="eastAsia" w:ascii="宋体" w:hAnsi="宋体"/>
                <w:color w:val="000000"/>
                <w:szCs w:val="21"/>
                <w:highlight w:val="none"/>
              </w:rPr>
            </w:pPr>
            <w:r>
              <w:rPr>
                <w:rFonts w:hint="eastAsia" w:ascii="宋体" w:hAnsi="宋体"/>
                <w:color w:val="000000"/>
                <w:szCs w:val="21"/>
                <w:highlight w:val="none"/>
              </w:rPr>
              <w:t>按投标文件格式要求签章。</w:t>
            </w:r>
          </w:p>
        </w:tc>
      </w:tr>
      <w:tr w14:paraId="750D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1" w:type="dxa"/>
            <w:vMerge w:val="continue"/>
            <w:vAlign w:val="center"/>
          </w:tcPr>
          <w:p w14:paraId="519A0B6B">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1DB4D9EC">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3E18E23D">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报价唯一</w:t>
            </w:r>
          </w:p>
        </w:tc>
        <w:tc>
          <w:tcPr>
            <w:tcW w:w="5794" w:type="dxa"/>
            <w:vAlign w:val="center"/>
          </w:tcPr>
          <w:p w14:paraId="5BAC1E24">
            <w:pPr>
              <w:adjustRightInd w:val="0"/>
              <w:snapToGrid w:val="0"/>
              <w:spacing w:line="560" w:lineRule="exact"/>
              <w:jc w:val="left"/>
              <w:rPr>
                <w:rFonts w:hint="eastAsia" w:ascii="宋体" w:hAnsi="宋体"/>
                <w:color w:val="000000"/>
                <w:szCs w:val="21"/>
                <w:highlight w:val="none"/>
              </w:rPr>
            </w:pPr>
            <w:r>
              <w:rPr>
                <w:rFonts w:hint="eastAsia" w:ascii="宋体" w:hAnsi="宋体"/>
                <w:color w:val="000000"/>
                <w:szCs w:val="21"/>
                <w:highlight w:val="none"/>
              </w:rPr>
              <w:t>只能有一个报价。</w:t>
            </w:r>
          </w:p>
        </w:tc>
      </w:tr>
      <w:tr w14:paraId="5B13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1" w:type="dxa"/>
            <w:vMerge w:val="restart"/>
            <w:vAlign w:val="center"/>
          </w:tcPr>
          <w:p w14:paraId="18394FE9">
            <w:pPr>
              <w:adjustRightInd w:val="0"/>
              <w:snapToGrid w:val="0"/>
              <w:spacing w:line="560" w:lineRule="exact"/>
              <w:jc w:val="center"/>
              <w:rPr>
                <w:rFonts w:hint="eastAsia" w:ascii="宋体" w:hAnsi="宋体"/>
                <w:color w:val="000000"/>
                <w:szCs w:val="21"/>
                <w:highlight w:val="none"/>
              </w:rPr>
            </w:pPr>
            <w:r>
              <w:rPr>
                <w:rFonts w:ascii="宋体" w:hAnsi="宋体"/>
                <w:color w:val="000000"/>
                <w:szCs w:val="21"/>
                <w:highlight w:val="none"/>
              </w:rPr>
              <w:t>4.2.2</w:t>
            </w:r>
          </w:p>
        </w:tc>
        <w:tc>
          <w:tcPr>
            <w:tcW w:w="780" w:type="dxa"/>
            <w:vMerge w:val="restart"/>
            <w:vAlign w:val="center"/>
          </w:tcPr>
          <w:p w14:paraId="69BB644D">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响应性评审标准</w:t>
            </w:r>
          </w:p>
        </w:tc>
        <w:tc>
          <w:tcPr>
            <w:tcW w:w="2831" w:type="dxa"/>
            <w:vAlign w:val="center"/>
          </w:tcPr>
          <w:p w14:paraId="5503C2D3">
            <w:pPr>
              <w:adjustRightInd w:val="0"/>
              <w:snapToGrid w:val="0"/>
              <w:spacing w:line="560" w:lineRule="exact"/>
              <w:jc w:val="left"/>
              <w:rPr>
                <w:rFonts w:hint="eastAsia" w:ascii="宋体" w:hAnsi="宋体"/>
                <w:color w:val="000000"/>
                <w:szCs w:val="21"/>
                <w:highlight w:val="none"/>
              </w:rPr>
            </w:pPr>
            <w:r>
              <w:rPr>
                <w:rFonts w:hint="eastAsia" w:ascii="宋体" w:hAnsi="宋体"/>
                <w:color w:val="000000"/>
                <w:szCs w:val="21"/>
                <w:highlight w:val="none"/>
              </w:rPr>
              <w:t>工期</w:t>
            </w:r>
          </w:p>
        </w:tc>
        <w:tc>
          <w:tcPr>
            <w:tcW w:w="5794" w:type="dxa"/>
            <w:vAlign w:val="center"/>
          </w:tcPr>
          <w:p w14:paraId="0C56053A">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符合投标须知前附表规定。</w:t>
            </w:r>
          </w:p>
        </w:tc>
      </w:tr>
      <w:tr w14:paraId="4AF7B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vAlign w:val="center"/>
          </w:tcPr>
          <w:p w14:paraId="0C1C6079">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37ADBAC1">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1EE24BD1">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工程质量</w:t>
            </w:r>
          </w:p>
        </w:tc>
        <w:tc>
          <w:tcPr>
            <w:tcW w:w="5794" w:type="dxa"/>
            <w:vAlign w:val="center"/>
          </w:tcPr>
          <w:p w14:paraId="6A835243">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符合投标须知前附表规定。</w:t>
            </w:r>
          </w:p>
        </w:tc>
      </w:tr>
      <w:tr w14:paraId="49BA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vAlign w:val="center"/>
          </w:tcPr>
          <w:p w14:paraId="1D20D285">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0F38FF20">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18A03B0E">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投标有效期</w:t>
            </w:r>
          </w:p>
        </w:tc>
        <w:tc>
          <w:tcPr>
            <w:tcW w:w="5794" w:type="dxa"/>
            <w:vAlign w:val="center"/>
          </w:tcPr>
          <w:p w14:paraId="5606460D">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符合投标须知前附表规定。</w:t>
            </w:r>
          </w:p>
        </w:tc>
      </w:tr>
      <w:tr w14:paraId="23F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vAlign w:val="center"/>
          </w:tcPr>
          <w:p w14:paraId="09A489A2">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0840C1CE">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3757A6EC">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投标总价评审</w:t>
            </w:r>
          </w:p>
        </w:tc>
        <w:tc>
          <w:tcPr>
            <w:tcW w:w="5794" w:type="dxa"/>
            <w:vAlign w:val="center"/>
          </w:tcPr>
          <w:p w14:paraId="38AB7038">
            <w:pPr>
              <w:adjustRightInd w:val="0"/>
              <w:snapToGrid w:val="0"/>
              <w:spacing w:line="560" w:lineRule="exact"/>
              <w:rPr>
                <w:rFonts w:hint="eastAsia" w:ascii="宋体" w:hAnsi="宋体"/>
                <w:color w:val="000000"/>
                <w:spacing w:val="-6"/>
                <w:szCs w:val="21"/>
                <w:highlight w:val="none"/>
              </w:rPr>
            </w:pPr>
            <w:r>
              <w:rPr>
                <w:rFonts w:hint="eastAsia" w:ascii="宋体" w:hAnsi="宋体"/>
                <w:color w:val="000000"/>
                <w:spacing w:val="-6"/>
                <w:szCs w:val="21"/>
                <w:highlight w:val="none"/>
              </w:rPr>
              <w:t>不得高于最高投标限价，也不得低于工程成本价。</w:t>
            </w:r>
          </w:p>
        </w:tc>
      </w:tr>
      <w:tr w14:paraId="145F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vAlign w:val="center"/>
          </w:tcPr>
          <w:p w14:paraId="39671174">
            <w:pPr>
              <w:widowControl/>
              <w:adjustRightInd w:val="0"/>
              <w:snapToGrid w:val="0"/>
              <w:spacing w:line="560" w:lineRule="exact"/>
              <w:jc w:val="left"/>
              <w:rPr>
                <w:rFonts w:hint="eastAsia" w:ascii="宋体" w:hAnsi="宋体"/>
                <w:color w:val="000000"/>
                <w:szCs w:val="21"/>
                <w:highlight w:val="none"/>
              </w:rPr>
            </w:pPr>
          </w:p>
        </w:tc>
        <w:tc>
          <w:tcPr>
            <w:tcW w:w="780" w:type="dxa"/>
            <w:vMerge w:val="continue"/>
            <w:vAlign w:val="center"/>
          </w:tcPr>
          <w:p w14:paraId="421565AF">
            <w:pPr>
              <w:widowControl/>
              <w:adjustRightInd w:val="0"/>
              <w:snapToGrid w:val="0"/>
              <w:spacing w:line="560" w:lineRule="exact"/>
              <w:jc w:val="left"/>
              <w:rPr>
                <w:rFonts w:hint="eastAsia" w:ascii="宋体" w:hAnsi="宋体"/>
                <w:color w:val="000000"/>
                <w:szCs w:val="21"/>
                <w:highlight w:val="none"/>
              </w:rPr>
            </w:pPr>
          </w:p>
        </w:tc>
        <w:tc>
          <w:tcPr>
            <w:tcW w:w="2831" w:type="dxa"/>
            <w:vAlign w:val="center"/>
          </w:tcPr>
          <w:p w14:paraId="49EABC8C">
            <w:pPr>
              <w:adjustRightInd w:val="0"/>
              <w:snapToGrid w:val="0"/>
              <w:spacing w:line="560" w:lineRule="exact"/>
              <w:jc w:val="left"/>
              <w:textAlignment w:val="baseline"/>
              <w:rPr>
                <w:rFonts w:hint="eastAsia" w:ascii="宋体" w:hAnsi="宋体"/>
                <w:color w:val="000000"/>
                <w:szCs w:val="21"/>
                <w:highlight w:val="none"/>
              </w:rPr>
            </w:pPr>
            <w:r>
              <w:rPr>
                <w:rFonts w:hint="eastAsia"/>
                <w:color w:val="000000"/>
                <w:szCs w:val="21"/>
                <w:highlight w:val="none"/>
              </w:rPr>
              <w:t>技术标准和要求</w:t>
            </w:r>
          </w:p>
        </w:tc>
        <w:tc>
          <w:tcPr>
            <w:tcW w:w="5794" w:type="dxa"/>
            <w:vAlign w:val="center"/>
          </w:tcPr>
          <w:p w14:paraId="4D5015C2">
            <w:pPr>
              <w:adjustRightInd w:val="0"/>
              <w:snapToGrid w:val="0"/>
              <w:spacing w:line="560" w:lineRule="exact"/>
              <w:rPr>
                <w:rFonts w:hint="eastAsia" w:ascii="宋体" w:hAnsi="宋体"/>
                <w:color w:val="000000"/>
                <w:spacing w:val="-6"/>
                <w:szCs w:val="21"/>
                <w:highlight w:val="none"/>
              </w:rPr>
            </w:pPr>
            <w:r>
              <w:rPr>
                <w:rFonts w:hint="eastAsia" w:ascii="宋体" w:hAnsi="宋体" w:cs="宋体"/>
                <w:color w:val="000000"/>
                <w:szCs w:val="21"/>
                <w:highlight w:val="none"/>
              </w:rPr>
              <w:t>符合或优于招标人发布的技术参数和要求。</w:t>
            </w:r>
          </w:p>
        </w:tc>
      </w:tr>
      <w:tr w14:paraId="4215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vAlign w:val="center"/>
          </w:tcPr>
          <w:p w14:paraId="3246FC62">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4.2.3</w:t>
            </w:r>
          </w:p>
        </w:tc>
        <w:tc>
          <w:tcPr>
            <w:tcW w:w="780" w:type="dxa"/>
            <w:vAlign w:val="center"/>
          </w:tcPr>
          <w:p w14:paraId="684CF97D">
            <w:pPr>
              <w:adjustRightInd w:val="0"/>
              <w:snapToGrid w:val="0"/>
              <w:spacing w:line="560" w:lineRule="exact"/>
              <w:jc w:val="center"/>
              <w:rPr>
                <w:rFonts w:hint="eastAsia" w:ascii="宋体" w:hAnsi="宋体"/>
                <w:color w:val="000000"/>
                <w:szCs w:val="21"/>
                <w:highlight w:val="none"/>
              </w:rPr>
            </w:pPr>
            <w:r>
              <w:rPr>
                <w:rFonts w:ascii="宋体" w:hAnsi="宋体"/>
                <w:color w:val="000000"/>
                <w:szCs w:val="21"/>
                <w:highlight w:val="none"/>
              </w:rPr>
              <w:t>商务</w:t>
            </w:r>
          </w:p>
          <w:p w14:paraId="6C0C31F5">
            <w:pPr>
              <w:adjustRightInd w:val="0"/>
              <w:snapToGrid w:val="0"/>
              <w:spacing w:line="560" w:lineRule="exact"/>
              <w:jc w:val="center"/>
              <w:rPr>
                <w:rFonts w:hint="eastAsia" w:ascii="宋体" w:hAnsi="宋体"/>
                <w:color w:val="000000"/>
                <w:szCs w:val="21"/>
                <w:highlight w:val="none"/>
              </w:rPr>
            </w:pPr>
            <w:r>
              <w:rPr>
                <w:rFonts w:ascii="宋体" w:hAnsi="宋体"/>
                <w:color w:val="000000"/>
                <w:szCs w:val="21"/>
                <w:highlight w:val="none"/>
              </w:rPr>
              <w:t>评分</w:t>
            </w:r>
          </w:p>
          <w:p w14:paraId="2AE58661">
            <w:pPr>
              <w:adjustRightInd w:val="0"/>
              <w:snapToGrid w:val="0"/>
              <w:spacing w:line="560" w:lineRule="exact"/>
              <w:jc w:val="center"/>
              <w:rPr>
                <w:rFonts w:hint="eastAsia" w:ascii="宋体" w:hAnsi="宋体"/>
                <w:color w:val="000000"/>
                <w:szCs w:val="21"/>
                <w:highlight w:val="none"/>
              </w:rPr>
            </w:pPr>
            <w:r>
              <w:rPr>
                <w:rFonts w:ascii="宋体" w:hAnsi="宋体"/>
                <w:color w:val="000000"/>
                <w:szCs w:val="21"/>
                <w:highlight w:val="none"/>
              </w:rPr>
              <w:t>（</w:t>
            </w:r>
            <w:r>
              <w:rPr>
                <w:rFonts w:hint="eastAsia" w:ascii="宋体" w:hAnsi="宋体"/>
                <w:color w:val="000000"/>
                <w:szCs w:val="21"/>
                <w:highlight w:val="none"/>
              </w:rPr>
              <w:t>70</w:t>
            </w:r>
            <w:r>
              <w:rPr>
                <w:rFonts w:ascii="宋体" w:hAnsi="宋体"/>
                <w:color w:val="000000"/>
                <w:szCs w:val="21"/>
                <w:highlight w:val="none"/>
              </w:rPr>
              <w:t>分）</w:t>
            </w:r>
          </w:p>
        </w:tc>
        <w:tc>
          <w:tcPr>
            <w:tcW w:w="8625" w:type="dxa"/>
            <w:gridSpan w:val="2"/>
            <w:vAlign w:val="center"/>
          </w:tcPr>
          <w:p w14:paraId="4261132D">
            <w:pPr>
              <w:spacing w:line="560" w:lineRule="exact"/>
              <w:ind w:firstLine="420" w:firstLineChars="200"/>
              <w:rPr>
                <w:rFonts w:hint="eastAsia" w:ascii="宋体" w:hAnsi="宋体" w:cs="宋体"/>
                <w:color w:val="000000"/>
                <w:highlight w:val="none"/>
              </w:rPr>
            </w:pPr>
            <w:r>
              <w:rPr>
                <w:rFonts w:hint="eastAsia" w:ascii="宋体" w:hAnsi="宋体" w:cs="宋体"/>
                <w:color w:val="000000"/>
                <w:highlight w:val="none"/>
              </w:rPr>
              <w:t>商务标评分按下列步骤计算：</w:t>
            </w:r>
          </w:p>
          <w:p w14:paraId="21297A52">
            <w:pPr>
              <w:spacing w:line="560" w:lineRule="exact"/>
              <w:ind w:firstLine="420" w:firstLineChars="200"/>
              <w:rPr>
                <w:rFonts w:hint="eastAsia" w:ascii="宋体" w:hAnsi="宋体" w:cs="宋体"/>
                <w:color w:val="000000"/>
                <w:highlight w:val="none"/>
              </w:rPr>
            </w:pPr>
            <w:r>
              <w:rPr>
                <w:rFonts w:hint="eastAsia" w:ascii="宋体" w:hAnsi="宋体" w:cs="宋体"/>
                <w:color w:val="000000"/>
                <w:highlight w:val="none"/>
              </w:rPr>
              <w:t>第一步：计算B值。</w:t>
            </w:r>
          </w:p>
          <w:p w14:paraId="4F464E84">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①B</w:t>
            </w:r>
            <w:r>
              <w:rPr>
                <w:rFonts w:hint="eastAsia" w:ascii="宋体" w:hAnsi="宋体" w:cs="宋体"/>
                <w:color w:val="000000"/>
                <w:kern w:val="0"/>
                <w:szCs w:val="21"/>
                <w:highlight w:val="none"/>
              </w:rPr>
              <w:t>值</w:t>
            </w:r>
            <w:r>
              <w:rPr>
                <w:rFonts w:hint="eastAsia" w:ascii="宋体" w:hAnsi="宋体" w:cs="宋体"/>
                <w:color w:val="000000"/>
                <w:szCs w:val="21"/>
                <w:highlight w:val="none"/>
              </w:rPr>
              <w:t>为计算范围内有效投标人报价的算术平均值。</w:t>
            </w:r>
          </w:p>
          <w:p w14:paraId="573EF6AB">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第二步：计算评标基准价F值。</w:t>
            </w:r>
          </w:p>
          <w:p w14:paraId="2589DA5C">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①F=B×（1-K），其中K为调整系数，K的取值为-0.5%（1号），0%（2号），0.5%（3号），1.0%（4号），1.5%（5号）。</w:t>
            </w:r>
          </w:p>
          <w:p w14:paraId="348AC5E7">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第三步：计算报价偏差率。</w:t>
            </w:r>
          </w:p>
          <w:p w14:paraId="4AD6F786">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①偏差率=|（投标报价-评标基准价）/评标基准价|×100%</w:t>
            </w:r>
          </w:p>
          <w:p w14:paraId="33E2A9E5">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第四步：计算报价得分</w:t>
            </w:r>
          </w:p>
          <w:p w14:paraId="199C8458">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①投标报价等于评标基准价的得满分。</w:t>
            </w:r>
          </w:p>
          <w:p w14:paraId="248DE8C1">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②投标报价高于评标基准价的，投标报价得分=报价满分值-偏差率×100×1</w:t>
            </w:r>
          </w:p>
          <w:p w14:paraId="73270435">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③投标报价低于评标基准价的，投标报价得分=报价满分值-偏差率×100×0.5</w:t>
            </w:r>
          </w:p>
          <w:p w14:paraId="3AD96C20">
            <w:pPr>
              <w:pStyle w:val="26"/>
              <w:adjustRightInd w:val="0"/>
              <w:snapToGrid w:val="0"/>
              <w:spacing w:after="0" w:line="560" w:lineRule="exact"/>
              <w:ind w:left="0" w:leftChars="0" w:firstLine="422" w:firstLineChars="0"/>
              <w:jc w:val="left"/>
              <w:rPr>
                <w:rFonts w:hint="eastAsia" w:ascii="宋体" w:hAnsi="宋体" w:cs="宋体"/>
                <w:color w:val="000000"/>
                <w:szCs w:val="21"/>
                <w:highlight w:val="none"/>
              </w:rPr>
            </w:pPr>
            <w:r>
              <w:rPr>
                <w:rFonts w:hint="eastAsia" w:ascii="宋体" w:hAnsi="宋体" w:cs="宋体"/>
                <w:b/>
                <w:color w:val="000000"/>
                <w:szCs w:val="21"/>
                <w:highlight w:val="none"/>
              </w:rPr>
              <w:t>注：计算过程中，B值、评标基准价F值、偏差率、报价得分均保留两位小数，小数点后第三位四舍五入。</w:t>
            </w:r>
          </w:p>
        </w:tc>
      </w:tr>
    </w:tbl>
    <w:p w14:paraId="5C326701">
      <w:pPr>
        <w:adjustRightInd w:val="0"/>
        <w:snapToGrid w:val="0"/>
        <w:spacing w:line="560" w:lineRule="exact"/>
        <w:ind w:firstLine="316" w:firstLineChars="150"/>
        <w:rPr>
          <w:rFonts w:hint="eastAsia" w:ascii="黑体" w:hAnsi="黑体" w:eastAsia="黑体" w:cs="黑体"/>
          <w:b/>
          <w:color w:val="000000"/>
          <w:szCs w:val="21"/>
          <w:highlight w:val="none"/>
        </w:rPr>
      </w:pPr>
      <w:r>
        <w:rPr>
          <w:rFonts w:hint="eastAsia" w:ascii="黑体" w:hAnsi="黑体" w:eastAsia="黑体" w:cs="黑体"/>
          <w:b/>
          <w:color w:val="000000"/>
          <w:szCs w:val="21"/>
          <w:highlight w:val="none"/>
        </w:rPr>
        <w:t>商务标评审表注：</w:t>
      </w:r>
    </w:p>
    <w:p w14:paraId="14A680E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1、只有通过商务标评审的投标人才能参加评分。</w:t>
      </w:r>
    </w:p>
    <w:p w14:paraId="52AD160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2、本表所称投标报价是指按招标文件规定修正后的投标总报价（多算投标报价、多报费用不扣减），报价以元为单位，保留两位小数，小数点后第三位四舍五入。</w:t>
      </w:r>
    </w:p>
    <w:p w14:paraId="553410F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3、B值计算方法：</w:t>
      </w:r>
    </w:p>
    <w:p w14:paraId="497CCE6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B值为入围第二阶段的投标人的有效投标报价的算术平均值。</w:t>
      </w:r>
    </w:p>
    <w:p w14:paraId="5407B929">
      <w:pPr>
        <w:adjustRightInd w:val="0"/>
        <w:snapToGrid w:val="0"/>
        <w:spacing w:line="560" w:lineRule="exact"/>
        <w:ind w:firstLine="420" w:firstLineChars="200"/>
        <w:rPr>
          <w:rFonts w:hint="eastAsia" w:ascii="宋体" w:hAnsi="宋体" w:cs="宋体"/>
          <w:b/>
          <w:color w:val="000000"/>
          <w:szCs w:val="21"/>
          <w:highlight w:val="none"/>
          <w:u w:val="single"/>
        </w:rPr>
      </w:pPr>
      <w:r>
        <w:rPr>
          <w:rFonts w:hint="eastAsia" w:ascii="宋体" w:hAnsi="宋体" w:cs="宋体"/>
          <w:color w:val="000000"/>
          <w:szCs w:val="21"/>
          <w:highlight w:val="none"/>
        </w:rPr>
        <w:t>4</w:t>
      </w:r>
      <w:r>
        <w:rPr>
          <w:rFonts w:ascii="宋体" w:hAnsi="宋体" w:cs="宋体"/>
          <w:color w:val="000000"/>
          <w:szCs w:val="21"/>
          <w:highlight w:val="none"/>
        </w:rPr>
        <w:t>、K值（评标基准价系数）的抽取：资信标、技术标、商务标详细评审完成后，招标人在线抽取K值，并根据抽取的K值计算F值，</w:t>
      </w:r>
      <w:r>
        <w:rPr>
          <w:rFonts w:ascii="宋体" w:hAnsi="宋体" w:cs="宋体"/>
          <w:b/>
          <w:color w:val="000000"/>
          <w:szCs w:val="21"/>
          <w:highlight w:val="none"/>
          <w:u w:val="single"/>
        </w:rPr>
        <w:t>评标办法中的评标基准价计算出来后，除数字计算错误外，其他情况均不再调整。</w:t>
      </w:r>
    </w:p>
    <w:p w14:paraId="47572F03">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699" w:name="_Toc95223429"/>
      <w:r>
        <w:rPr>
          <w:rFonts w:hint="eastAsia" w:ascii="黑体" w:hAnsi="黑体" w:cs="黑体"/>
          <w:color w:val="000000"/>
          <w:sz w:val="21"/>
          <w:szCs w:val="21"/>
          <w:highlight w:val="none"/>
        </w:rPr>
        <w:t>1. 评标方法</w:t>
      </w:r>
      <w:bookmarkEnd w:id="699"/>
    </w:p>
    <w:p w14:paraId="76B36D1D">
      <w:pPr>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本次评标采用综合评估法。评标委员会对满足招标文件实质性要求的投标文件，按照本章规定的评分标准计算得分，并按总得分由高到低顺序推荐中标候选人（3名），并标明排序，但投标报价低于其成本的除外。如总得分相等，以投标报价低的优先，投标报价仍相等，由评标委员会主任委员或招标人随机抽取确定排名。</w:t>
      </w:r>
    </w:p>
    <w:p w14:paraId="5C6DE85F">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highlight w:val="none"/>
        </w:rPr>
        <w:t>（1）根据评标委员会评审初步结论，项目单位（代理机构）对预中标候选人</w:t>
      </w:r>
      <w:r>
        <w:rPr>
          <w:rFonts w:hint="eastAsia"/>
          <w:highlight w:val="none"/>
        </w:rPr>
        <w:t>（包括联合体各成员）</w:t>
      </w:r>
      <w:r>
        <w:rPr>
          <w:rFonts w:hint="eastAsia" w:ascii="宋体" w:hAnsi="宋体" w:cs="宋体"/>
          <w:color w:val="000000"/>
          <w:szCs w:val="21"/>
          <w:highlight w:val="none"/>
        </w:rPr>
        <w:t>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w:t>
      </w:r>
      <w:r>
        <w:rPr>
          <w:rFonts w:hint="eastAsia"/>
          <w:highlight w:val="none"/>
        </w:rPr>
        <w:t>（包括联合体各成员）</w:t>
      </w:r>
      <w:r>
        <w:rPr>
          <w:rFonts w:hint="eastAsia" w:ascii="宋体" w:hAnsi="宋体" w:cs="宋体"/>
          <w:color w:val="000000"/>
          <w:szCs w:val="21"/>
          <w:highlight w:val="none"/>
        </w:rPr>
        <w:t>存在信誉问题，则组织评标委员会重新启动复核程序。核查结果不改变原评标基准价。</w:t>
      </w:r>
    </w:p>
    <w:p w14:paraId="7F7861A5">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0" w:name="_Toc95223430"/>
      <w:r>
        <w:rPr>
          <w:rFonts w:hint="eastAsia" w:ascii="黑体" w:hAnsi="黑体" w:cs="黑体"/>
          <w:color w:val="000000"/>
          <w:sz w:val="21"/>
          <w:szCs w:val="21"/>
          <w:highlight w:val="none"/>
        </w:rPr>
        <w:t>2.评标委员会的职责</w:t>
      </w:r>
      <w:bookmarkEnd w:id="700"/>
    </w:p>
    <w:p w14:paraId="4846EEA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643F46E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评标委员会应加强对报价合理性审查。</w:t>
      </w:r>
      <w:bookmarkStart w:id="701" w:name="_Toc95223431"/>
      <w:r>
        <w:rPr>
          <w:rFonts w:hint="eastAsia" w:ascii="宋体" w:hAnsi="宋体" w:cs="宋体"/>
          <w:color w:val="000000"/>
          <w:szCs w:val="21"/>
          <w:highlight w:val="none"/>
        </w:rPr>
        <w:t>评标评审委员会认为拟推荐的中标候选人的报价明显低于其他通过符合性审查投标人的报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6A8EEC05">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3.评标程序</w:t>
      </w:r>
      <w:bookmarkEnd w:id="701"/>
    </w:p>
    <w:p w14:paraId="08016432">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评标先做准备工作，再进行资格、技术标评审，然后进行商务标评审。</w:t>
      </w:r>
    </w:p>
    <w:p w14:paraId="386D869D">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2" w:name="_Toc95223432"/>
      <w:r>
        <w:rPr>
          <w:rFonts w:hint="eastAsia" w:ascii="黑体" w:hAnsi="黑体" w:cs="黑体"/>
          <w:color w:val="000000"/>
          <w:sz w:val="21"/>
          <w:szCs w:val="21"/>
          <w:highlight w:val="none"/>
        </w:rPr>
        <w:t>3.1评标准备工作</w:t>
      </w:r>
      <w:bookmarkEnd w:id="702"/>
    </w:p>
    <w:p w14:paraId="5CD2149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评标委员会熟悉评标工作情况：</w:t>
      </w:r>
    </w:p>
    <w:p w14:paraId="026BEF3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（1）阅读由招标人或者其委托的工程代理机构编制的招标项目情况材料。</w:t>
      </w:r>
    </w:p>
    <w:p w14:paraId="01C50A7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（2）阅读、研究招标文件和相关评标资料，获取评标所需要的重要信息和数据，至少应了解和熟悉以下内容：招标项目的范围和性质，招标文件规定的主要技术要求、标准和商务条款。</w:t>
      </w:r>
    </w:p>
    <w:p w14:paraId="7F2E556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（3）熟悉招标文件规定的评标标准和评标方法及在评标过程中需要考虑的相关因素。</w:t>
      </w:r>
    </w:p>
    <w:p w14:paraId="2F8E9A9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（4）核对评标工作用表。</w:t>
      </w:r>
    </w:p>
    <w:p w14:paraId="0CCE61B7">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3" w:name="_Toc95223433"/>
      <w:r>
        <w:rPr>
          <w:rFonts w:hint="eastAsia" w:ascii="黑体" w:hAnsi="黑体" w:cs="黑体"/>
          <w:color w:val="000000"/>
          <w:sz w:val="21"/>
          <w:szCs w:val="21"/>
          <w:highlight w:val="none"/>
        </w:rPr>
        <w:t>3.2技术标评审</w:t>
      </w:r>
      <w:bookmarkEnd w:id="703"/>
    </w:p>
    <w:p w14:paraId="6487537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详见技术标评审表。</w:t>
      </w:r>
    </w:p>
    <w:p w14:paraId="3698E51A">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4" w:name="_Toc95223434"/>
      <w:r>
        <w:rPr>
          <w:rFonts w:hint="eastAsia" w:ascii="黑体" w:hAnsi="黑体" w:cs="黑体"/>
          <w:color w:val="000000"/>
          <w:sz w:val="21"/>
          <w:szCs w:val="21"/>
          <w:highlight w:val="none"/>
        </w:rPr>
        <w:t>3.3商务标评审</w:t>
      </w:r>
      <w:bookmarkEnd w:id="704"/>
    </w:p>
    <w:p w14:paraId="2299E22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详见商务标评审表。</w:t>
      </w:r>
    </w:p>
    <w:p w14:paraId="0484AAA3">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3.4推荐中标候选人</w:t>
      </w:r>
    </w:p>
    <w:p w14:paraId="7092EDD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资信评审、技术标评审、商务标评审后，推荐中标候选人，并标明排序。</w:t>
      </w:r>
    </w:p>
    <w:p w14:paraId="4FBBBEB4">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5" w:name="_Toc95223435"/>
      <w:r>
        <w:rPr>
          <w:rFonts w:hint="eastAsia" w:ascii="黑体" w:hAnsi="黑体" w:cs="黑体"/>
          <w:color w:val="000000"/>
          <w:sz w:val="21"/>
          <w:szCs w:val="21"/>
          <w:highlight w:val="none"/>
        </w:rPr>
        <w:t>4.评审内容</w:t>
      </w:r>
      <w:bookmarkEnd w:id="705"/>
    </w:p>
    <w:p w14:paraId="708FD8A1">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6" w:name="_Toc95223436"/>
      <w:r>
        <w:rPr>
          <w:rFonts w:hint="eastAsia" w:ascii="黑体" w:hAnsi="黑体" w:cs="黑体"/>
          <w:color w:val="000000"/>
          <w:sz w:val="21"/>
          <w:szCs w:val="21"/>
          <w:highlight w:val="none"/>
        </w:rPr>
        <w:t>4.1技术标评审</w:t>
      </w:r>
      <w:bookmarkEnd w:id="706"/>
    </w:p>
    <w:p w14:paraId="59767F2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4.1.1形式性评审标准：见技术标评审表。</w:t>
      </w:r>
    </w:p>
    <w:p w14:paraId="31F85C3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4.1.2响应性评审标准：见技术标评审表。</w:t>
      </w:r>
    </w:p>
    <w:p w14:paraId="1FF6CFE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评标委员会依据上述标准对投标文件进行形式性评审和响应性评审。有一项不符合评审标准的，作无效投标处理。对否定的技术标，评标委员会要提出充足的否定理由，并填写在技术标评标记录上。</w:t>
      </w:r>
    </w:p>
    <w:p w14:paraId="5A917DB2">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7" w:name="_Toc95223437"/>
      <w:r>
        <w:rPr>
          <w:rFonts w:hint="eastAsia" w:ascii="黑体" w:hAnsi="黑体" w:cs="黑体"/>
          <w:color w:val="000000"/>
          <w:sz w:val="21"/>
          <w:szCs w:val="21"/>
          <w:highlight w:val="none"/>
        </w:rPr>
        <w:t>4.2商务标评审</w:t>
      </w:r>
      <w:bookmarkEnd w:id="707"/>
    </w:p>
    <w:p w14:paraId="1A8FEDC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只有通过技术标评审的投标才能够进入本阶段评审。</w:t>
      </w:r>
    </w:p>
    <w:p w14:paraId="1EA1DC8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4.2.1形式性评审标准：见商务标评审表。</w:t>
      </w:r>
    </w:p>
    <w:p w14:paraId="429552A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4.2.2响应性评审标准：见商务标评审表。</w:t>
      </w:r>
    </w:p>
    <w:p w14:paraId="75917C7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评标委员会依据上述标准对投标文件进行初步评审。有一项不符合评审标准的，作无效投标处理。</w:t>
      </w:r>
    </w:p>
    <w:p w14:paraId="6960648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4.2.3详细评审标准：见商务标评审表。</w:t>
      </w:r>
    </w:p>
    <w:p w14:paraId="31FD689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4.2.4评标委员会审查全部数据计算的正确性、分析各种费用构成的合理性和正确性等内容，看其是否有计算或表达上的错误，投标报价有错误的，评标委员会按以下原则对投标报价进行修正。</w:t>
      </w:r>
    </w:p>
    <w:p w14:paraId="61A1F84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（1）投标文件中的大写金额与小写金额不一致的，以大写金额为准。</w:t>
      </w:r>
    </w:p>
    <w:p w14:paraId="1DBF18C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（2）总价金额与依据单价计算出的结果不一致的，以单价金额为准修正总价，但单价金额小数点有明显错误的除外。</w:t>
      </w:r>
    </w:p>
    <w:p w14:paraId="4725973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8267FBC">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8" w:name="_Toc95223438"/>
      <w:r>
        <w:rPr>
          <w:rFonts w:hint="eastAsia" w:ascii="黑体" w:hAnsi="黑体" w:cs="黑体"/>
          <w:color w:val="000000"/>
          <w:sz w:val="21"/>
          <w:szCs w:val="21"/>
          <w:highlight w:val="none"/>
        </w:rPr>
        <w:t>5.无效投标条款</w:t>
      </w:r>
      <w:bookmarkEnd w:id="708"/>
    </w:p>
    <w:p w14:paraId="47FEFA9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5.1投标人存在下列情形的招标人将拒收投标文件：</w:t>
      </w:r>
    </w:p>
    <w:p w14:paraId="1BE0E5B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 未在投标截止时间前通过网上招标投标系统递交有效电子投标文件的，开标系统不予接收，投标将被拒绝。</w:t>
      </w:r>
    </w:p>
    <w:p w14:paraId="1DD8D24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所有投标人应在规定时间里完成投标文件的解密工作（投标企业接到远程解密指令后，须在规定时间内解密（以网上开评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2206D35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5.2投标人有下列情形的，经评审后其投标作无效投标处理：</w:t>
      </w:r>
    </w:p>
    <w:p w14:paraId="7AE7891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5.2.1技术标评审</w:t>
      </w:r>
    </w:p>
    <w:p w14:paraId="1F84718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评标委员会依据《技术标评审表》进行形式性评审和响应性评审。有一项不符合评审标准的，做无效投标处理；对否定的技术标，评标委员会要提出充足的否定理由，并填写在技术标评标记录上。</w:t>
      </w:r>
    </w:p>
    <w:p w14:paraId="37035CD2">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5.2.2商务标评审</w:t>
      </w:r>
    </w:p>
    <w:p w14:paraId="170CC0E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(1)评标委员会依据《商务标评审表》进行形式性评审和响应性评审。有一项不符合评审标准的，做无效投标处理。</w:t>
      </w:r>
    </w:p>
    <w:p w14:paraId="5F5124E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5.3其他无效投标情况：</w:t>
      </w:r>
    </w:p>
    <w:p w14:paraId="47007FBD">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3151BE">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（2）按第四章“评标方法”第4.2.4项修正错误的原则及方法调整或修正投标文件的投标报价，调整或修正的价格经投标人书面确认后具有约束力。投标人不接受修正价格的，其投标将被拒绝。</w:t>
      </w:r>
    </w:p>
    <w:p w14:paraId="7419EF4A">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（3）第二章“投标人须知”第1.4.3项规定的任何一种情形的。</w:t>
      </w:r>
    </w:p>
    <w:p w14:paraId="21FDE119">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（4）投标人有串通投标、视为串通投标、弄虚作假、行贿等违法行为。</w:t>
      </w:r>
    </w:p>
    <w:p w14:paraId="23B12F43">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（5）投标文件没有对招标文件的实质性要求和条件作出响应。</w:t>
      </w:r>
    </w:p>
    <w:p w14:paraId="5F6ED323">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（6）未按规定的格式填写导致实质性内容不全以及实质上不响应，或者关键字迹模糊、无法辨认；经公共资源交易监督部门核准的。</w:t>
      </w:r>
    </w:p>
    <w:p w14:paraId="39A6CF97">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（7）同一投标人提交两个以上不同的投标文件或者投标报价，但招标文件规定提交备选投标的除外。</w:t>
      </w:r>
    </w:p>
    <w:p w14:paraId="4F76A095">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（8）投标文件中存在招标人不能接受的其他实质性条件。</w:t>
      </w:r>
    </w:p>
    <w:p w14:paraId="14FB4DF9">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（9）投标人拒不按照要求对投标文件进行澄清、说明、补正的，或评标委员会根据招标文件的规定对招标文件的计算错误进行修正后，投标人不接受修正的投标报价的。</w:t>
      </w:r>
    </w:p>
    <w:p w14:paraId="07EAF4C5">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（10）投标人投标MAC地址一致。</w:t>
      </w:r>
    </w:p>
    <w:p w14:paraId="5BBCDC97">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（11）投标人单方面出现其他投标人材料。</w:t>
      </w:r>
    </w:p>
    <w:p w14:paraId="77678171">
      <w:pPr>
        <w:spacing w:line="560" w:lineRule="exact"/>
        <w:ind w:firstLine="420" w:firstLineChars="200"/>
        <w:rPr>
          <w:rFonts w:hint="eastAsia" w:ascii="宋体" w:hAnsi="宋体" w:cs="宋体"/>
          <w:bCs/>
          <w:color w:val="000000"/>
          <w:szCs w:val="21"/>
          <w:highlight w:val="none"/>
        </w:rPr>
      </w:pPr>
      <w:r>
        <w:rPr>
          <w:rFonts w:hint="eastAsia" w:ascii="宋体" w:hAnsi="宋体" w:cs="宋体"/>
          <w:color w:val="000000"/>
          <w:szCs w:val="21"/>
          <w:highlight w:val="none"/>
        </w:rPr>
        <w:t>（12）</w:t>
      </w:r>
      <w:r>
        <w:rPr>
          <w:rFonts w:hint="eastAsia" w:ascii="宋体" w:hAnsi="宋体" w:cs="宋体"/>
          <w:bCs/>
          <w:color w:val="000000"/>
          <w:szCs w:val="21"/>
          <w:highlight w:val="none"/>
        </w:rPr>
        <w:t>评标时查询投标文件制作机器码、文件创建标识码及造价软件加密锁号。若存在投标文件制作机器码或创建标识码或造价软件加密锁号信息与其他投标人雷同的，投标无效。</w:t>
      </w:r>
    </w:p>
    <w:p w14:paraId="58DDBE2A">
      <w:pPr>
        <w:spacing w:line="560" w:lineRule="exact"/>
        <w:ind w:firstLine="420" w:firstLineChars="200"/>
        <w:rPr>
          <w:rFonts w:hint="eastAsia" w:ascii="宋体" w:hAnsi="宋体" w:cs="宋体"/>
          <w:strike/>
          <w:color w:val="000000"/>
          <w:szCs w:val="21"/>
          <w:highlight w:val="none"/>
        </w:rPr>
      </w:pPr>
      <w:r>
        <w:rPr>
          <w:rFonts w:hint="eastAsia" w:ascii="宋体" w:hAnsi="宋体" w:cs="宋体"/>
          <w:bCs/>
          <w:color w:val="000000"/>
          <w:szCs w:val="21"/>
          <w:highlight w:val="none"/>
        </w:rPr>
        <w:t>（13）</w:t>
      </w:r>
      <w:r>
        <w:rPr>
          <w:rFonts w:hint="eastAsia" w:ascii="宋体" w:hAnsi="宋体" w:cs="宋体"/>
          <w:color w:val="000000"/>
          <w:szCs w:val="21"/>
          <w:highlight w:val="none"/>
          <w:lang w:bidi="ar"/>
        </w:rPr>
        <w:t>投标人申请开具电子保函MAC地址一致。</w:t>
      </w:r>
    </w:p>
    <w:p w14:paraId="4DD543AC">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（14）投标人联系人或联系电话相同的。</w:t>
      </w:r>
    </w:p>
    <w:p w14:paraId="09920557">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（15）法律、法规规定的其他情形。</w:t>
      </w:r>
    </w:p>
    <w:p w14:paraId="41E384A4">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09" w:name="_Toc95223439"/>
      <w:r>
        <w:rPr>
          <w:rFonts w:hint="eastAsia" w:ascii="黑体" w:hAnsi="黑体" w:cs="黑体"/>
          <w:color w:val="000000"/>
          <w:sz w:val="21"/>
          <w:szCs w:val="21"/>
          <w:highlight w:val="none"/>
        </w:rPr>
        <w:t>6.投标文件的澄清和补正</w:t>
      </w:r>
      <w:bookmarkEnd w:id="709"/>
    </w:p>
    <w:p w14:paraId="50645D9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5677E2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6.2澄清、说明和补正不得改变投标文件的实质性内容（算术性错误修正的除外）。投标人的书面澄清、说明和补正属于投标文件的组成部分。</w:t>
      </w:r>
    </w:p>
    <w:p w14:paraId="5E5EF07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6.3评标委员会对投标人提交的澄清、说明和补正有疑问的，可以要求投标人进一步澄清、说明或补正、直至满足评标委员会的要求。</w:t>
      </w:r>
    </w:p>
    <w:p w14:paraId="7B3BC05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按照投标文件规定进行澄清、补正后的投标报价经投标人的法定代表人或其委托代理人确认后即为该投标人的最终投标报价。投标人一旦中标，此报价即为中标价。</w:t>
      </w:r>
    </w:p>
    <w:p w14:paraId="3E4EFC3C">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10" w:name="_Toc95223440"/>
      <w:r>
        <w:rPr>
          <w:rFonts w:hint="eastAsia" w:ascii="黑体" w:hAnsi="黑体" w:cs="黑体"/>
          <w:color w:val="000000"/>
          <w:sz w:val="21"/>
          <w:szCs w:val="21"/>
          <w:highlight w:val="none"/>
        </w:rPr>
        <w:t>7.评分标准</w:t>
      </w:r>
      <w:bookmarkEnd w:id="710"/>
    </w:p>
    <w:p w14:paraId="772F64D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7.1评分标准：见技术及商务评分表。</w:t>
      </w:r>
    </w:p>
    <w:p w14:paraId="703C33D1">
      <w:pPr>
        <w:pStyle w:val="4"/>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711" w:name="_Toc95223441"/>
      <w:r>
        <w:rPr>
          <w:rFonts w:hint="eastAsia" w:ascii="黑体" w:hAnsi="黑体" w:cs="黑体"/>
          <w:color w:val="000000"/>
          <w:sz w:val="21"/>
          <w:szCs w:val="21"/>
          <w:highlight w:val="none"/>
        </w:rPr>
        <w:t>8.评审结果</w:t>
      </w:r>
      <w:bookmarkEnd w:id="711"/>
    </w:p>
    <w:p w14:paraId="509CBD4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8.1除第二章“投标人须知”及其前附表授权直接确定中标人外，评标委员会按照总得分由高到低顺序推荐中标候选人。</w:t>
      </w:r>
    </w:p>
    <w:p w14:paraId="281548D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8.2评标委员会完成评标后，应当向招标人提交书面评标报告。评标报告应当如实记载以下内容：</w:t>
      </w:r>
    </w:p>
    <w:p w14:paraId="5398655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（1）基本情况和数据表。</w:t>
      </w:r>
    </w:p>
    <w:p w14:paraId="18741FB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（2）评标委员会成员名单。</w:t>
      </w:r>
    </w:p>
    <w:p w14:paraId="39F1349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（3）开标记录。</w:t>
      </w:r>
    </w:p>
    <w:p w14:paraId="757AD2BA">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（4）符合要求的投标人一览表。</w:t>
      </w:r>
    </w:p>
    <w:p w14:paraId="03F315E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（5）否决投标情况说明。</w:t>
      </w:r>
    </w:p>
    <w:p w14:paraId="1F9CA50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（6）评标标准、评标方法或者评标因素。</w:t>
      </w:r>
    </w:p>
    <w:p w14:paraId="5773AA0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（7）评标情况一览表。</w:t>
      </w:r>
    </w:p>
    <w:p w14:paraId="0B4F8A8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（8）经评审的投标人排序。</w:t>
      </w:r>
    </w:p>
    <w:p w14:paraId="0581C2F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（9）推荐的中标候选人名单与签订合同前要处理的事宜。</w:t>
      </w:r>
    </w:p>
    <w:p w14:paraId="5E2175D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（10）澄清、说明、补正事项纪要。</w:t>
      </w:r>
    </w:p>
    <w:p w14:paraId="44B2997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8.3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12B6345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7302935E">
      <w:pPr>
        <w:pStyle w:val="4"/>
        <w:adjustRightInd w:val="0"/>
        <w:snapToGrid w:val="0"/>
        <w:spacing w:before="0" w:after="0" w:line="520" w:lineRule="exact"/>
        <w:ind w:firstLine="422" w:firstLineChars="200"/>
        <w:rPr>
          <w:rFonts w:hint="eastAsia" w:ascii="黑体" w:hAnsi="黑体" w:cs="黑体"/>
          <w:color w:val="000000"/>
          <w:sz w:val="21"/>
          <w:szCs w:val="21"/>
          <w:highlight w:val="none"/>
        </w:rPr>
      </w:pPr>
      <w:bookmarkStart w:id="712" w:name="_Toc95223442"/>
      <w:r>
        <w:rPr>
          <w:rFonts w:hint="eastAsia" w:ascii="黑体" w:hAnsi="黑体" w:cs="黑体"/>
          <w:color w:val="000000"/>
          <w:sz w:val="21"/>
          <w:szCs w:val="21"/>
          <w:highlight w:val="none"/>
        </w:rPr>
        <w:t>9.其他</w:t>
      </w:r>
      <w:bookmarkEnd w:id="712"/>
    </w:p>
    <w:p w14:paraId="44DC6BF8">
      <w:pPr>
        <w:adjustRightInd w:val="0"/>
        <w:snapToGrid w:val="0"/>
        <w:spacing w:line="520" w:lineRule="exact"/>
        <w:ind w:firstLine="420" w:firstLineChars="200"/>
        <w:rPr>
          <w:color w:val="000000"/>
          <w:highlight w:val="none"/>
        </w:rPr>
      </w:pPr>
      <w:r>
        <w:rPr>
          <w:rFonts w:hint="eastAsia" w:ascii="宋体" w:hAnsi="宋体" w:cs="宋体"/>
          <w:color w:val="000000"/>
          <w:szCs w:val="21"/>
          <w:highlight w:val="none"/>
        </w:rPr>
        <w:t>投标人提供的与投标文件有关的各类证书、证明、文件、资料等的真实性、合法性由投标人负全责。</w:t>
      </w:r>
    </w:p>
    <w:p w14:paraId="5726D572">
      <w:pPr>
        <w:pStyle w:val="3"/>
        <w:adjustRightInd w:val="0"/>
        <w:snapToGrid w:val="0"/>
        <w:spacing w:before="0" w:after="0" w:line="560" w:lineRule="exact"/>
        <w:jc w:val="center"/>
        <w:rPr>
          <w:color w:val="000000"/>
          <w:highlight w:val="none"/>
        </w:rPr>
        <w:sectPr>
          <w:footnotePr>
            <w:numFmt w:val="decimalEnclosedCircleChinese"/>
            <w:numRestart w:val="eachPage"/>
          </w:footnotePr>
          <w:pgSz w:w="11907" w:h="16840"/>
          <w:pgMar w:top="1474" w:right="1474" w:bottom="1474" w:left="1474" w:header="799" w:footer="907" w:gutter="0"/>
          <w:cols w:space="720" w:num="1"/>
          <w:docGrid w:linePitch="271" w:charSpace="0"/>
        </w:sectPr>
      </w:pPr>
      <w:bookmarkStart w:id="713" w:name="_Toc95223458"/>
    </w:p>
    <w:p w14:paraId="07D753C7">
      <w:pPr>
        <w:pStyle w:val="3"/>
        <w:adjustRightInd w:val="0"/>
        <w:snapToGrid w:val="0"/>
        <w:spacing w:before="0" w:after="0" w:line="560" w:lineRule="exact"/>
        <w:jc w:val="center"/>
        <w:rPr>
          <w:rFonts w:hint="eastAsia" w:ascii="宋体" w:hAnsi="宋体" w:cs="宋体"/>
          <w:sz w:val="48"/>
          <w:szCs w:val="48"/>
          <w:highlight w:val="none"/>
        </w:rPr>
      </w:pPr>
      <w:r>
        <w:rPr>
          <w:rFonts w:hint="eastAsia"/>
          <w:color w:val="000000"/>
          <w:highlight w:val="none"/>
        </w:rPr>
        <w:t>第五章 合同条款及格式</w:t>
      </w:r>
      <w:bookmarkEnd w:id="713"/>
    </w:p>
    <w:p w14:paraId="6AB5B934">
      <w:pPr>
        <w:rPr>
          <w:highlight w:val="none"/>
        </w:rPr>
      </w:pPr>
    </w:p>
    <w:p w14:paraId="588EFDC5">
      <w:pPr>
        <w:widowControl/>
        <w:spacing w:before="120" w:beforeLines="50" w:after="120" w:afterLines="50" w:line="480" w:lineRule="auto"/>
        <w:jc w:val="center"/>
        <w:textAlignment w:val="baseline"/>
        <w:outlineLvl w:val="1"/>
        <w:rPr>
          <w:rFonts w:hint="eastAsia" w:ascii="宋体" w:hAnsi="宋体" w:cs="宋体"/>
          <w:b/>
          <w:sz w:val="48"/>
          <w:szCs w:val="48"/>
          <w:highlight w:val="none"/>
        </w:rPr>
      </w:pPr>
      <w:r>
        <w:rPr>
          <w:rFonts w:hint="eastAsia" w:ascii="宋体" w:hAnsi="宋体" w:cs="宋体"/>
          <w:b/>
          <w:sz w:val="48"/>
          <w:szCs w:val="48"/>
          <w:highlight w:val="none"/>
        </w:rPr>
        <w:t>滁州市琅琊区重点流域农业面源污染治理项目EPC相关设备采购合同</w:t>
      </w:r>
    </w:p>
    <w:p w14:paraId="00AA4E67">
      <w:pPr>
        <w:widowControl/>
        <w:kinsoku w:val="0"/>
        <w:autoSpaceDE w:val="0"/>
        <w:autoSpaceDN w:val="0"/>
        <w:adjustRightInd w:val="0"/>
        <w:snapToGrid w:val="0"/>
        <w:spacing w:line="360" w:lineRule="auto"/>
        <w:jc w:val="center"/>
        <w:textAlignment w:val="baseline"/>
        <w:rPr>
          <w:rFonts w:hint="eastAsia" w:ascii="宋体" w:hAnsi="宋体" w:cs="宋体"/>
          <w:sz w:val="28"/>
          <w:szCs w:val="36"/>
          <w:highlight w:val="none"/>
        </w:rPr>
      </w:pPr>
      <w:r>
        <w:rPr>
          <w:rFonts w:hint="eastAsia" w:ascii="宋体" w:hAnsi="宋体" w:cs="宋体"/>
          <w:sz w:val="28"/>
          <w:szCs w:val="36"/>
          <w:highlight w:val="none"/>
        </w:rPr>
        <w:t>合同编号：</w:t>
      </w:r>
    </w:p>
    <w:p w14:paraId="208E851C">
      <w:pPr>
        <w:widowControl/>
        <w:kinsoku w:val="0"/>
        <w:autoSpaceDE w:val="0"/>
        <w:autoSpaceDN w:val="0"/>
        <w:adjustRightInd w:val="0"/>
        <w:snapToGrid w:val="0"/>
        <w:spacing w:line="360" w:lineRule="auto"/>
        <w:textAlignment w:val="baseline"/>
        <w:rPr>
          <w:rFonts w:hint="eastAsia" w:ascii="宋体" w:hAnsi="宋体" w:cs="宋体"/>
          <w:highlight w:val="none"/>
        </w:rPr>
      </w:pPr>
    </w:p>
    <w:p w14:paraId="169545CA">
      <w:pPr>
        <w:widowControl/>
        <w:kinsoku w:val="0"/>
        <w:autoSpaceDE w:val="0"/>
        <w:autoSpaceDN w:val="0"/>
        <w:adjustRightInd w:val="0"/>
        <w:snapToGrid w:val="0"/>
        <w:spacing w:line="360" w:lineRule="auto"/>
        <w:textAlignment w:val="baseline"/>
        <w:rPr>
          <w:rFonts w:hint="eastAsia" w:ascii="宋体" w:hAnsi="宋体" w:cs="宋体"/>
          <w:highlight w:val="none"/>
        </w:rPr>
      </w:pPr>
    </w:p>
    <w:p w14:paraId="77A3015A">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4377CD46">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660AC421">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46130DB0">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640101C3">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15AD741A">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3A4BD041">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09811A0B">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38D0D5F6">
      <w:pPr>
        <w:widowControl/>
        <w:kinsoku w:val="0"/>
        <w:autoSpaceDE w:val="0"/>
        <w:autoSpaceDN w:val="0"/>
        <w:adjustRightInd w:val="0"/>
        <w:snapToGrid w:val="0"/>
        <w:spacing w:line="360" w:lineRule="auto"/>
        <w:textAlignment w:val="baseline"/>
        <w:rPr>
          <w:rFonts w:hint="eastAsia" w:ascii="宋体" w:hAnsi="宋体" w:cs="宋体"/>
          <w:sz w:val="28"/>
          <w:szCs w:val="36"/>
          <w:highlight w:val="none"/>
        </w:rPr>
      </w:pPr>
    </w:p>
    <w:p w14:paraId="3EAD2086">
      <w:pPr>
        <w:widowControl/>
        <w:kinsoku w:val="0"/>
        <w:autoSpaceDE w:val="0"/>
        <w:autoSpaceDN w:val="0"/>
        <w:adjustRightInd w:val="0"/>
        <w:snapToGrid w:val="0"/>
        <w:spacing w:line="480" w:lineRule="auto"/>
        <w:textAlignment w:val="baseline"/>
        <w:rPr>
          <w:rFonts w:hint="eastAsia" w:ascii="宋体" w:hAnsi="宋体" w:cs="宋体"/>
          <w:sz w:val="28"/>
          <w:szCs w:val="36"/>
          <w:highlight w:val="none"/>
        </w:rPr>
      </w:pPr>
      <w:r>
        <w:rPr>
          <w:rFonts w:hint="eastAsia" w:ascii="宋体" w:hAnsi="宋体" w:cs="宋体"/>
          <w:sz w:val="28"/>
          <w:szCs w:val="36"/>
          <w:highlight w:val="none"/>
        </w:rPr>
        <w:t>甲方（需方）：</w:t>
      </w:r>
    </w:p>
    <w:p w14:paraId="12C58C93">
      <w:pPr>
        <w:widowControl/>
        <w:kinsoku w:val="0"/>
        <w:autoSpaceDE w:val="0"/>
        <w:autoSpaceDN w:val="0"/>
        <w:adjustRightInd w:val="0"/>
        <w:snapToGrid w:val="0"/>
        <w:spacing w:line="480" w:lineRule="auto"/>
        <w:textAlignment w:val="baseline"/>
        <w:rPr>
          <w:rFonts w:hint="eastAsia" w:ascii="宋体" w:hAnsi="宋体" w:cs="宋体"/>
          <w:sz w:val="28"/>
          <w:szCs w:val="36"/>
          <w:highlight w:val="none"/>
        </w:rPr>
      </w:pPr>
      <w:r>
        <w:rPr>
          <w:rFonts w:hint="eastAsia" w:ascii="宋体" w:hAnsi="宋体" w:cs="宋体"/>
          <w:sz w:val="28"/>
          <w:szCs w:val="36"/>
          <w:highlight w:val="none"/>
        </w:rPr>
        <w:t>乙方（供方）：</w:t>
      </w:r>
    </w:p>
    <w:p w14:paraId="3FAE995A">
      <w:pPr>
        <w:widowControl/>
        <w:kinsoku w:val="0"/>
        <w:autoSpaceDE w:val="0"/>
        <w:autoSpaceDN w:val="0"/>
        <w:adjustRightInd w:val="0"/>
        <w:snapToGrid w:val="0"/>
        <w:spacing w:line="480" w:lineRule="auto"/>
        <w:textAlignment w:val="baseline"/>
        <w:rPr>
          <w:rFonts w:hint="eastAsia" w:ascii="宋体" w:hAnsi="宋体" w:cs="宋体"/>
          <w:sz w:val="28"/>
          <w:szCs w:val="36"/>
          <w:highlight w:val="none"/>
        </w:rPr>
      </w:pPr>
      <w:r>
        <w:rPr>
          <w:rFonts w:hint="eastAsia" w:ascii="宋体" w:hAnsi="宋体" w:cs="宋体"/>
          <w:sz w:val="28"/>
          <w:szCs w:val="36"/>
          <w:highlight w:val="none"/>
        </w:rPr>
        <w:t>合同签订地点：</w:t>
      </w:r>
    </w:p>
    <w:p w14:paraId="283DE325">
      <w:pPr>
        <w:rPr>
          <w:rFonts w:hint="eastAsia" w:ascii="宋体" w:hAnsi="宋体" w:cs="宋体"/>
          <w:szCs w:val="21"/>
          <w:highlight w:val="none"/>
          <w:u w:val="single"/>
        </w:rPr>
      </w:pPr>
      <w:r>
        <w:rPr>
          <w:rFonts w:hint="eastAsia" w:ascii="宋体" w:hAnsi="宋体" w:cs="宋体"/>
          <w:szCs w:val="21"/>
          <w:highlight w:val="none"/>
          <w:u w:val="single"/>
        </w:rPr>
        <w:br w:type="page"/>
      </w:r>
    </w:p>
    <w:p w14:paraId="693FC6EC">
      <w:pPr>
        <w:pStyle w:val="18"/>
        <w:tabs>
          <w:tab w:val="left" w:pos="0"/>
        </w:tabs>
        <w:ind w:left="360" w:leftChars="0" w:firstLine="0" w:firstLineChars="0"/>
        <w:jc w:val="center"/>
        <w:rPr>
          <w:rFonts w:hint="eastAsia" w:ascii="仿宋_GB2312" w:hAnsi="仿宋" w:eastAsia="仿宋_GB2312"/>
          <w:b/>
          <w:bCs/>
          <w:sz w:val="32"/>
          <w:szCs w:val="32"/>
          <w:highlight w:val="none"/>
        </w:rPr>
      </w:pPr>
      <w:bookmarkStart w:id="714" w:name="_Toc4767"/>
      <w:bookmarkStart w:id="715" w:name="_Toc95223515"/>
      <w:r>
        <w:rPr>
          <w:rFonts w:hint="eastAsia" w:ascii="仿宋_GB2312" w:hAnsi="仿宋" w:eastAsia="仿宋_GB2312"/>
          <w:b/>
          <w:bCs/>
          <w:sz w:val="32"/>
          <w:szCs w:val="32"/>
          <w:highlight w:val="none"/>
        </w:rPr>
        <w:t>第一节  合同协议书</w:t>
      </w:r>
    </w:p>
    <w:p w14:paraId="4EBF4CA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依照《中华人民共和国民法典》及国家相关法律、政策、法令、法规，遵循平等、自愿、公平和诚信原则，经合同双方协商一致，就相关事宜订立本合同。</w:t>
      </w:r>
    </w:p>
    <w:p w14:paraId="1BEDC69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（需方名称，以下简称“需方”）为获得</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（项目名称）合同设备和技术服务和质量保证期服务，已接受</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（供方名称，以下简称“供方”）为提供上述合同设备和技术服务和质量保证期服务所作的投标，需方和供方共同达成如下协议：</w:t>
      </w:r>
    </w:p>
    <w:p w14:paraId="0BE77F3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1.本协议与下列文件一起构成合同文件：</w:t>
      </w:r>
    </w:p>
    <w:p w14:paraId="4B08595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（1）中标通知书；</w:t>
      </w:r>
    </w:p>
    <w:p w14:paraId="1A57475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（2）投标函；</w:t>
      </w:r>
    </w:p>
    <w:p w14:paraId="21581F4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（3）商务和技术偏差表(如有)；</w:t>
      </w:r>
    </w:p>
    <w:p w14:paraId="4CB3F43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（4）专用合同条款；</w:t>
      </w:r>
    </w:p>
    <w:p w14:paraId="2EAD3953">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（5）通用合同条款；</w:t>
      </w:r>
    </w:p>
    <w:p w14:paraId="467D005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（6）供货要求；</w:t>
      </w:r>
    </w:p>
    <w:p w14:paraId="4482E59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（7）分项报价清单；</w:t>
      </w:r>
    </w:p>
    <w:p w14:paraId="6CAFBA5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（8）中标设备技术性能指标的详细描述；</w:t>
      </w:r>
    </w:p>
    <w:p w14:paraId="2C8C4A3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（9）技术服务和质量保证期服务计划；</w:t>
      </w:r>
    </w:p>
    <w:p w14:paraId="1D07D2D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（10）其他合同文件。</w:t>
      </w:r>
    </w:p>
    <w:p w14:paraId="5031023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2.上述合同文件互相补充和解释。如果合同文件之间存在矛盾或不一致之处，以上述文件的排列顺序在先者为准。</w:t>
      </w:r>
    </w:p>
    <w:p w14:paraId="032EA59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3.签约合同价：人民币（大写）</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元），（其中不含税金额</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元，增值税税额为</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元）。</w:t>
      </w:r>
    </w:p>
    <w:p w14:paraId="2F94434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4.供方承诺保证完全按照合同约定提供合同设备和技术服务和质量保证期服务并修补缺陷。</w:t>
      </w:r>
    </w:p>
    <w:p w14:paraId="65E5494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5.需方承诺保证按照合同约定的条件、时间和方式向供方支付合同价款。</w:t>
      </w:r>
    </w:p>
    <w:p w14:paraId="2838A413">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6.本合同协议书一式陆份，均具有同等法律效力，需方执肆份，供方执贰份。</w:t>
      </w:r>
    </w:p>
    <w:p w14:paraId="1FFB35B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7.合同未尽事宜，双方另行签订补充协议，补充协议是合同的组成部分。</w:t>
      </w:r>
    </w:p>
    <w:p w14:paraId="0349360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（以下为签字页）</w:t>
      </w:r>
    </w:p>
    <w:p w14:paraId="2AAB78E0">
      <w:pPr>
        <w:pStyle w:val="26"/>
        <w:rPr>
          <w:highlight w:val="none"/>
        </w:rPr>
      </w:pPr>
      <w:r>
        <w:rPr>
          <w:highlight w:val="none"/>
        </w:rPr>
        <w:br w:type="page"/>
      </w:r>
    </w:p>
    <w:p w14:paraId="0F48EF4A">
      <w:pPr>
        <w:rPr>
          <w:highlight w:val="none"/>
        </w:rPr>
      </w:pPr>
    </w:p>
    <w:p w14:paraId="7C10A00D">
      <w:pPr>
        <w:spacing w:line="360" w:lineRule="auto"/>
        <w:rPr>
          <w:rFonts w:hint="eastAsia" w:ascii="仿宋_GB2312" w:hAnsi="仿宋" w:eastAsia="仿宋_GB2312"/>
          <w:kern w:val="0"/>
          <w:sz w:val="24"/>
          <w:highlight w:val="none"/>
        </w:rPr>
      </w:pPr>
      <w:r>
        <w:rPr>
          <w:rFonts w:hint="eastAsia" w:ascii="仿宋_GB2312" w:hAnsi="仿宋" w:eastAsia="仿宋_GB2312"/>
          <w:kern w:val="0"/>
          <w:sz w:val="24"/>
          <w:highlight w:val="none"/>
        </w:rPr>
        <w:t>（签字页，无正文）</w:t>
      </w: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53"/>
        <w:gridCol w:w="4753"/>
      </w:tblGrid>
      <w:tr w14:paraId="71CF3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53" w:type="dxa"/>
          </w:tcPr>
          <w:p w14:paraId="24D91F71">
            <w:pPr>
              <w:spacing w:line="360" w:lineRule="auto"/>
              <w:ind w:right="240" w:firstLine="480" w:firstLineChars="200"/>
              <w:jc w:val="right"/>
              <w:rPr>
                <w:rFonts w:hint="eastAsia" w:ascii="仿宋_GB2312" w:hAnsi="仿宋" w:eastAsia="仿宋_GB2312"/>
                <w:kern w:val="0"/>
                <w:sz w:val="24"/>
                <w:highlight w:val="none"/>
              </w:rPr>
            </w:pPr>
            <w:r>
              <w:rPr>
                <w:rFonts w:hint="eastAsia" w:ascii="仿宋_GB2312" w:hAnsi="仿宋" w:eastAsia="仿宋_GB2312"/>
                <w:kern w:val="0"/>
                <w:sz w:val="24"/>
                <w:highlight w:val="none"/>
              </w:rPr>
              <w:t>需方：</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（盖单位章）</w:t>
            </w:r>
          </w:p>
          <w:p w14:paraId="3897EA53">
            <w:pPr>
              <w:pStyle w:val="18"/>
              <w:ind w:left="0" w:leftChars="0" w:firstLine="0" w:firstLineChars="0"/>
              <w:rPr>
                <w:highlight w:val="none"/>
              </w:rPr>
            </w:pPr>
          </w:p>
        </w:tc>
        <w:tc>
          <w:tcPr>
            <w:tcW w:w="4753" w:type="dxa"/>
          </w:tcPr>
          <w:p w14:paraId="37053570">
            <w:pPr>
              <w:spacing w:line="360" w:lineRule="auto"/>
              <w:ind w:firstLine="480" w:firstLineChars="200"/>
              <w:jc w:val="right"/>
              <w:rPr>
                <w:rFonts w:hint="eastAsia" w:ascii="仿宋_GB2312" w:hAnsi="仿宋" w:eastAsia="仿宋_GB2312"/>
                <w:kern w:val="0"/>
                <w:sz w:val="24"/>
                <w:highlight w:val="none"/>
              </w:rPr>
            </w:pPr>
            <w:r>
              <w:rPr>
                <w:rFonts w:hint="eastAsia" w:ascii="仿宋_GB2312" w:hAnsi="仿宋" w:eastAsia="仿宋_GB2312"/>
                <w:kern w:val="0"/>
                <w:sz w:val="24"/>
                <w:highlight w:val="none"/>
              </w:rPr>
              <w:t>供方：</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（盖单位章）</w:t>
            </w:r>
          </w:p>
          <w:p w14:paraId="5DDFE7DF">
            <w:pPr>
              <w:pStyle w:val="18"/>
              <w:ind w:left="0" w:leftChars="0" w:firstLine="0" w:firstLineChars="0"/>
              <w:rPr>
                <w:highlight w:val="none"/>
              </w:rPr>
            </w:pPr>
          </w:p>
        </w:tc>
      </w:tr>
      <w:tr w14:paraId="6EB0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53" w:type="dxa"/>
          </w:tcPr>
          <w:p w14:paraId="3645DA88">
            <w:pPr>
              <w:spacing w:line="360" w:lineRule="auto"/>
              <w:ind w:firstLine="480" w:firstLineChars="200"/>
              <w:jc w:val="right"/>
              <w:rPr>
                <w:rFonts w:hint="eastAsia" w:ascii="仿宋_GB2312" w:hAnsi="仿宋" w:eastAsia="仿宋_GB2312"/>
                <w:kern w:val="0"/>
                <w:sz w:val="24"/>
                <w:highlight w:val="none"/>
              </w:rPr>
            </w:pPr>
            <w:r>
              <w:rPr>
                <w:rFonts w:hint="eastAsia" w:ascii="仿宋_GB2312" w:hAnsi="仿宋" w:eastAsia="仿宋_GB2312"/>
                <w:kern w:val="0"/>
                <w:sz w:val="24"/>
                <w:highlight w:val="none"/>
              </w:rPr>
              <w:t>法定代表人（单位负责人）或其委托代理人：</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（签字）</w:t>
            </w:r>
          </w:p>
          <w:p w14:paraId="30DD5113">
            <w:pPr>
              <w:pStyle w:val="18"/>
              <w:ind w:left="0" w:leftChars="0" w:firstLine="0" w:firstLineChars="0"/>
              <w:rPr>
                <w:highlight w:val="none"/>
              </w:rPr>
            </w:pPr>
          </w:p>
        </w:tc>
        <w:tc>
          <w:tcPr>
            <w:tcW w:w="4753" w:type="dxa"/>
          </w:tcPr>
          <w:p w14:paraId="357C0C30">
            <w:pPr>
              <w:spacing w:line="360" w:lineRule="auto"/>
              <w:ind w:firstLine="480" w:firstLineChars="200"/>
              <w:jc w:val="right"/>
              <w:rPr>
                <w:rFonts w:hint="eastAsia" w:ascii="仿宋_GB2312" w:hAnsi="仿宋" w:eastAsia="仿宋_GB2312"/>
                <w:kern w:val="0"/>
                <w:sz w:val="24"/>
                <w:highlight w:val="none"/>
              </w:rPr>
            </w:pPr>
            <w:r>
              <w:rPr>
                <w:rFonts w:hint="eastAsia" w:ascii="仿宋_GB2312" w:hAnsi="仿宋" w:eastAsia="仿宋_GB2312"/>
                <w:kern w:val="0"/>
                <w:sz w:val="24"/>
                <w:highlight w:val="none"/>
              </w:rPr>
              <w:t>法定代表人（单位负责人）或其委托代理人：</w:t>
            </w:r>
            <w:r>
              <w:rPr>
                <w:rFonts w:hint="eastAsia" w:ascii="仿宋_GB2312" w:hAnsi="仿宋" w:eastAsia="仿宋_GB2312"/>
                <w:kern w:val="0"/>
                <w:sz w:val="24"/>
                <w:highlight w:val="none"/>
                <w:u w:val="single"/>
              </w:rPr>
              <w:t xml:space="preserve">             </w:t>
            </w:r>
            <w:r>
              <w:rPr>
                <w:rFonts w:hint="eastAsia" w:ascii="仿宋_GB2312" w:hAnsi="仿宋" w:eastAsia="仿宋_GB2312"/>
                <w:kern w:val="0"/>
                <w:sz w:val="24"/>
                <w:highlight w:val="none"/>
              </w:rPr>
              <w:t>（签字）</w:t>
            </w:r>
          </w:p>
          <w:p w14:paraId="72EC4F72">
            <w:pPr>
              <w:pStyle w:val="18"/>
              <w:ind w:left="0" w:leftChars="0" w:firstLine="0" w:firstLineChars="0"/>
              <w:rPr>
                <w:highlight w:val="none"/>
              </w:rPr>
            </w:pPr>
          </w:p>
        </w:tc>
      </w:tr>
      <w:tr w14:paraId="16910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53" w:type="dxa"/>
          </w:tcPr>
          <w:p w14:paraId="0F328564">
            <w:pPr>
              <w:spacing w:line="360" w:lineRule="auto"/>
              <w:ind w:firstLine="480" w:firstLineChars="200"/>
              <w:jc w:val="right"/>
              <w:rPr>
                <w:rFonts w:hint="eastAsia" w:ascii="仿宋_GB2312" w:hAnsi="仿宋" w:eastAsia="仿宋_GB2312"/>
                <w:kern w:val="0"/>
                <w:sz w:val="24"/>
                <w:highlight w:val="none"/>
              </w:rPr>
            </w:pPr>
            <w:r>
              <w:rPr>
                <w:rFonts w:hint="eastAsia" w:ascii="仿宋_GB2312" w:hAnsi="仿宋" w:eastAsia="仿宋_GB2312"/>
                <w:kern w:val="0"/>
                <w:sz w:val="24"/>
                <w:highlight w:val="none"/>
              </w:rPr>
              <w:t>签订日期      年    月    日</w:t>
            </w:r>
          </w:p>
          <w:p w14:paraId="20341796">
            <w:pPr>
              <w:pStyle w:val="18"/>
              <w:ind w:left="0" w:leftChars="0" w:firstLine="0" w:firstLineChars="0"/>
              <w:rPr>
                <w:highlight w:val="none"/>
              </w:rPr>
            </w:pPr>
          </w:p>
        </w:tc>
        <w:tc>
          <w:tcPr>
            <w:tcW w:w="4753" w:type="dxa"/>
          </w:tcPr>
          <w:p w14:paraId="09798932">
            <w:pPr>
              <w:pStyle w:val="18"/>
              <w:ind w:left="0" w:leftChars="0" w:firstLine="0" w:firstLineChars="0"/>
              <w:rPr>
                <w:highlight w:val="none"/>
              </w:rPr>
            </w:pPr>
          </w:p>
        </w:tc>
      </w:tr>
    </w:tbl>
    <w:p w14:paraId="543B6D43">
      <w:pPr>
        <w:pStyle w:val="26"/>
        <w:ind w:firstLine="600"/>
        <w:rPr>
          <w:sz w:val="30"/>
          <w:szCs w:val="30"/>
          <w:highlight w:val="none"/>
        </w:rPr>
      </w:pPr>
      <w:r>
        <w:rPr>
          <w:sz w:val="30"/>
          <w:szCs w:val="30"/>
          <w:highlight w:val="none"/>
        </w:rPr>
        <w:br w:type="page"/>
      </w:r>
    </w:p>
    <w:p w14:paraId="06DB990E">
      <w:pPr>
        <w:spacing w:line="480" w:lineRule="exact"/>
        <w:jc w:val="center"/>
        <w:rPr>
          <w:rFonts w:ascii="仿宋_GB2312" w:eastAsia="仿宋_GB2312"/>
          <w:highlight w:val="none"/>
        </w:rPr>
      </w:pPr>
      <w:r>
        <w:rPr>
          <w:rFonts w:hint="eastAsia" w:ascii="仿宋_GB2312" w:hAnsi="仿宋" w:eastAsia="仿宋_GB2312"/>
          <w:b/>
          <w:bCs/>
          <w:sz w:val="32"/>
          <w:szCs w:val="32"/>
          <w:highlight w:val="none"/>
        </w:rPr>
        <w:t>第二节  通用合同条款</w:t>
      </w:r>
    </w:p>
    <w:p w14:paraId="318B6F46">
      <w:pPr>
        <w:spacing w:line="360" w:lineRule="auto"/>
        <w:ind w:firstLine="480" w:firstLineChars="200"/>
        <w:outlineLvl w:val="2"/>
        <w:rPr>
          <w:rFonts w:hint="eastAsia" w:ascii="仿宋_GB2312" w:hAnsi="仿宋" w:eastAsia="仿宋_GB2312"/>
          <w:kern w:val="0"/>
          <w:sz w:val="24"/>
          <w:highlight w:val="none"/>
        </w:rPr>
      </w:pPr>
      <w:bookmarkStart w:id="716" w:name="_Toc166753314"/>
      <w:bookmarkStart w:id="717" w:name="_Toc171623747"/>
      <w:bookmarkStart w:id="718" w:name="_Toc156895437"/>
      <w:bookmarkStart w:id="719" w:name="_Toc205977460"/>
      <w:r>
        <w:rPr>
          <w:rFonts w:hint="eastAsia" w:ascii="仿宋_GB2312" w:hAnsi="仿宋" w:eastAsia="仿宋_GB2312"/>
          <w:kern w:val="0"/>
          <w:sz w:val="24"/>
          <w:highlight w:val="none"/>
        </w:rPr>
        <w:t>1.一般约定</w:t>
      </w:r>
      <w:bookmarkEnd w:id="716"/>
      <w:bookmarkEnd w:id="717"/>
      <w:bookmarkEnd w:id="718"/>
      <w:bookmarkEnd w:id="719"/>
    </w:p>
    <w:p w14:paraId="4D38AB5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1.1词语定义</w:t>
      </w:r>
    </w:p>
    <w:p w14:paraId="121128E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除专用合同条款另有约定外，合同中的下列词语应具有本款所赋予的含义。</w:t>
      </w:r>
    </w:p>
    <w:p w14:paraId="375BF88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 合同</w:t>
      </w:r>
    </w:p>
    <w:p w14:paraId="5E59D9C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1.1.1.1 合同文件（或称合同）：指合同协议书、中标通知书、投标文件、专用合同条款、通用合同条款、供货要求、分项报价表、中标设备技术性能指标的详细描述、技术服务和质量保证期服务计划，以及其他构成合同组成部分的文件。</w:t>
      </w:r>
    </w:p>
    <w:p w14:paraId="3804DB3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1.1.1.2 合同协议书：指需方和供方共同签署的合同协议书。</w:t>
      </w:r>
    </w:p>
    <w:p w14:paraId="2D59EB93">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1.1.1.3 中标通知书：指需方通知供方成交的函件。</w:t>
      </w:r>
    </w:p>
    <w:p w14:paraId="6DAF3B2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1.1.1.4 投标函：指由供方填写并签署的，名为“投标函”的函件。</w:t>
      </w:r>
    </w:p>
    <w:p w14:paraId="767CE4F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1.1.1.5 商务和技术偏差表：指供方投标文件中的商务和技术偏差表。</w:t>
      </w:r>
    </w:p>
    <w:p w14:paraId="3069A32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1.1.1.6 供货要求：指合同文件中名为“供货要求”的文件。</w:t>
      </w:r>
    </w:p>
    <w:p w14:paraId="5FA45ED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1.1.1.7 成交设备技术性能指标的详细描述：指供方投标文件中的投标设备技术性能指标的详细描述。</w:t>
      </w:r>
    </w:p>
    <w:p w14:paraId="3FD731E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1.1.1.8 技术服务和质量保证期服务计划：指供方投标文件中的技术服务和质量保证期服务计划。</w:t>
      </w:r>
    </w:p>
    <w:p w14:paraId="3DA13B1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1.1.1.9 分项报价清单：指供方投标文件中的分项报价清单。</w:t>
      </w:r>
    </w:p>
    <w:p w14:paraId="6D63A2B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1.1.1.10 其他合同文件：指经合同双方当事人确认构成合同文件的其他文件。</w:t>
      </w:r>
    </w:p>
    <w:p w14:paraId="226702E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1.1.2 合同当事人和人员</w:t>
      </w:r>
    </w:p>
    <w:p w14:paraId="64E7347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1.1.2.1 合同当事人：指需方和（或）供方。</w:t>
      </w:r>
    </w:p>
    <w:p w14:paraId="14D42C7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1.1.2.2 需方：指与供方签订合同协议书，购买合同设备和技术服务和质量保证期服务的当事人，及其合法继承人。</w:t>
      </w:r>
    </w:p>
    <w:p w14:paraId="2ABBBC4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1.1.2.3 供方：指与需方签订合同协议书，提供合同设备并负责安装和技术服务和质量保证期服务的当事人，及其合法继承人。</w:t>
      </w:r>
    </w:p>
    <w:p w14:paraId="7F320BA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1.1.3 合同价格</w:t>
      </w:r>
    </w:p>
    <w:p w14:paraId="3DF7455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1.1.3.1 签约合同价：是签订合同时合同协议书写明的合同总金额。</w:t>
      </w:r>
    </w:p>
    <w:p w14:paraId="522CE65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1.1.3.2 合同价格：指供方按合同约定履行了全部合同义务后，需方应付给供方的金额。</w:t>
      </w:r>
    </w:p>
    <w:p w14:paraId="1F8C69A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1.1.4 合同设备：指供方按合同约定应向需方提供的设备、装置、备品、备件、易损易耗件、配套使用的软件或其他辅助电子应用程序及技术资料，或其中任何一部分。</w:t>
      </w:r>
    </w:p>
    <w:p w14:paraId="68BCDB7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1.1.5 技术资料：指各种纸质及电子载体的与合同设备的设计、检验、安装、调试、考核、操作、维修以及保养等有关的技术指标、规格、图纸和说明文件。</w:t>
      </w:r>
    </w:p>
    <w:p w14:paraId="303B605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1.1.6 安装：指对合同设备进行的组装、连接以及根据需要将合同设备固定在施工场地内一定的位置上，使其就位并与相关设备、工程实现连接。</w:t>
      </w:r>
    </w:p>
    <w:p w14:paraId="70EC68E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1.1.7 调试：指在合同设备安装完成后，按相关规范要求对合同设备所进行的调校和测试。</w:t>
      </w:r>
    </w:p>
    <w:p w14:paraId="3880A08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1.1.8 考核：指在合同设备调试完成后，对合同设备进行的用于确定其是否达到合同约定的技术性能考核指标的考核。</w:t>
      </w:r>
    </w:p>
    <w:p w14:paraId="399B7A1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1.1.9 验收：指合同设备通过考核达到合同约定的技术性能考核指标后，需方作出接收合同设备的确认。</w:t>
      </w:r>
    </w:p>
    <w:p w14:paraId="1CA89C4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1.1.10 技术服务：指供方按合同约定，负责合同全部设备的安装、调试服务和后期的培训及技术指导等。</w:t>
      </w:r>
    </w:p>
    <w:p w14:paraId="0B801F4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1.1.11 质量保证期：指合同设备验收后，供方按合同约定保证合同设备适当、稳定运行，并负责消除合同设备故障的期限。</w:t>
      </w:r>
    </w:p>
    <w:p w14:paraId="4D3D4F5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1.1.12 质量保证期服务：指在质量保证期内，供方向需方提供的合同设备维护服务、咨询服务、技术指导、协助以及对出现故障的合同设备进行修理或更换的服务。</w:t>
      </w:r>
    </w:p>
    <w:p w14:paraId="441AC22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1.1.13 工程</w:t>
      </w:r>
    </w:p>
    <w:p w14:paraId="51975FC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1.1.13.1 工程：指在专用合同条款中指明的，安装运行合同设备的工程。</w:t>
      </w:r>
    </w:p>
    <w:p w14:paraId="3742610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1.1.13.2 施工场地（或称工地、施工现场）：指专用合同条款中指明的工程所在场所。</w:t>
      </w:r>
    </w:p>
    <w:p w14:paraId="089166E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1.1.14 天（或称日）：除特别指明外，指日历天。合同中按天计算时间的，开始当天不计入，从次日开始计算。合同约定的期间的最后一次是星期日或者其他法定休假日的，以休假日的次日为期间的最后一天。</w:t>
      </w:r>
    </w:p>
    <w:p w14:paraId="4D2523C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1.1.15 月：按照公历月计算。合同按月计算时间的，开始当天不计入，从次日开始计算。合同约定的期间的最后一天是星期天或者其他法定休假日的，以休假的次日为期间的最后一天。</w:t>
      </w:r>
    </w:p>
    <w:p w14:paraId="24D95E4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1.1.16 书面形式：指合同文件、信件和数据电文（包括电报、电传、传真、电子数据交换和电子邮件）等可以有形地表现所载内容的形式。</w:t>
      </w:r>
    </w:p>
    <w:p w14:paraId="4203C33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1.2语言文字</w:t>
      </w:r>
    </w:p>
    <w:p w14:paraId="25649F2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合同使用的语言文字为中文。专用术语使用外文的，应附有中文注释。</w:t>
      </w:r>
    </w:p>
    <w:p w14:paraId="203B297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1.3合同文件的优先顺序</w:t>
      </w:r>
    </w:p>
    <w:p w14:paraId="18B167F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组成合同的各项文件应互相解释，互为说明。除专用合同条款另有约定外，解释合同文件的优先顺序如下：</w:t>
      </w:r>
    </w:p>
    <w:p w14:paraId="68EEEE2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（1）合同协议书；</w:t>
      </w:r>
    </w:p>
    <w:p w14:paraId="31337CE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（2）中标通知书；</w:t>
      </w:r>
    </w:p>
    <w:p w14:paraId="1F4B73E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（3）投标函；</w:t>
      </w:r>
    </w:p>
    <w:p w14:paraId="2CA9169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（4）商务和技术偏差表（如有）；</w:t>
      </w:r>
    </w:p>
    <w:p w14:paraId="6DD3895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（5）专用合同条款；</w:t>
      </w:r>
    </w:p>
    <w:p w14:paraId="6749F36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（6）通用合同条款；</w:t>
      </w:r>
    </w:p>
    <w:p w14:paraId="1B0B93D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（7）供货要求；</w:t>
      </w:r>
    </w:p>
    <w:p w14:paraId="2633FF7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（8）分项报价表；</w:t>
      </w:r>
    </w:p>
    <w:p w14:paraId="33DB657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（9）中标设备技术性能指标的详细描述；</w:t>
      </w:r>
    </w:p>
    <w:p w14:paraId="02CFA6A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（10）技术服务和质量保证期服务计划；</w:t>
      </w:r>
    </w:p>
    <w:p w14:paraId="7338044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（11）其他合同文件。</w:t>
      </w:r>
    </w:p>
    <w:p w14:paraId="4709859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1.4合同的生效及变更</w:t>
      </w:r>
    </w:p>
    <w:p w14:paraId="5357DD2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1.4.1 除专用合同条款另有约定外，需方和供方的法定代理人（单位负责人）或其授权代表在合同协议书上签字并加盖单位章后，合同生效。</w:t>
      </w:r>
    </w:p>
    <w:p w14:paraId="6CCD254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1.4.2 除专用合同条款另有约定外，在合同履行过程中，如需对合同变更，双方应签订书面协议，并经双方法定代表人（单位负责人）或其授权代表签字并加盖单位章后生效。</w:t>
      </w:r>
    </w:p>
    <w:p w14:paraId="151CAA8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1.5联络</w:t>
      </w:r>
    </w:p>
    <w:p w14:paraId="07C7CA4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1.5.1 </w:t>
      </w:r>
      <w:r>
        <w:rPr>
          <w:rFonts w:hint="eastAsia" w:ascii="仿宋_GB2312" w:hAnsi="仿宋" w:eastAsia="仿宋_GB2312"/>
          <w:color w:val="212121"/>
          <w:kern w:val="0"/>
          <w:sz w:val="24"/>
          <w:highlight w:val="none"/>
        </w:rPr>
        <w:t>供需双方</w:t>
      </w:r>
      <w:r>
        <w:rPr>
          <w:rFonts w:hint="eastAsia" w:ascii="仿宋_GB2312" w:hAnsi="仿宋" w:eastAsia="仿宋_GB2312"/>
          <w:kern w:val="0"/>
          <w:sz w:val="24"/>
          <w:highlight w:val="none"/>
        </w:rPr>
        <w:t>应就合同履行中有关的事项及时进行联络，重要事项应通过书面形式进行联络或确认。合同履行过程中的任何联络及相关文件的签署，均应通过专用合同条款指定的联系人和联系方式进行。合同履行过程中，双方可以书面形式增加或变更指定联系人。</w:t>
      </w:r>
    </w:p>
    <w:p w14:paraId="16A6C9B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1.5.2 合同履行中或与合同有关的任何联络，送达到第1.5.1项指定的联系人即视为送达。</w:t>
      </w:r>
    </w:p>
    <w:p w14:paraId="17959B32">
      <w:pPr>
        <w:spacing w:line="360" w:lineRule="auto"/>
        <w:ind w:firstLine="480" w:firstLineChars="200"/>
        <w:rPr>
          <w:rFonts w:hint="eastAsia" w:ascii="仿宋_GB2312" w:hAnsi="仿宋" w:eastAsia="仿宋_GB2312"/>
          <w:color w:val="212121"/>
          <w:kern w:val="0"/>
          <w:sz w:val="24"/>
          <w:highlight w:val="none"/>
        </w:rPr>
      </w:pPr>
      <w:r>
        <w:rPr>
          <w:rFonts w:hint="eastAsia" w:ascii="仿宋_GB2312" w:hAnsi="仿宋" w:eastAsia="仿宋_GB2312"/>
          <w:kern w:val="0"/>
          <w:sz w:val="24"/>
          <w:highlight w:val="none"/>
        </w:rPr>
        <w:t xml:space="preserve">1.5.3 </w:t>
      </w:r>
      <w:r>
        <w:rPr>
          <w:rFonts w:hint="eastAsia" w:ascii="仿宋_GB2312" w:hAnsi="仿宋" w:eastAsia="仿宋_GB2312"/>
          <w:color w:val="212121"/>
          <w:kern w:val="0"/>
          <w:sz w:val="24"/>
          <w:highlight w:val="none"/>
        </w:rPr>
        <w:t>需方可以安排监理等相关人员作为需方人员，与供方进行联络或参加合同设备的监造（如有）、交货前检验（如有）、开箱检验、安装、调试、考核、验收等，但应按照第1.5.1项的约定事先书面通知供方。</w:t>
      </w:r>
    </w:p>
    <w:p w14:paraId="616F9099">
      <w:pPr>
        <w:spacing w:line="360" w:lineRule="auto"/>
        <w:ind w:firstLine="480" w:firstLineChars="200"/>
        <w:rPr>
          <w:rFonts w:hint="eastAsia" w:ascii="仿宋_GB2312" w:hAnsi="仿宋" w:eastAsia="仿宋_GB2312"/>
          <w:color w:val="212121"/>
          <w:kern w:val="0"/>
          <w:sz w:val="24"/>
          <w:highlight w:val="none"/>
        </w:rPr>
      </w:pPr>
      <w:r>
        <w:rPr>
          <w:rFonts w:hint="eastAsia" w:ascii="仿宋_GB2312" w:hAnsi="仿宋" w:eastAsia="仿宋_GB2312"/>
          <w:color w:val="212121"/>
          <w:kern w:val="0"/>
          <w:sz w:val="24"/>
          <w:highlight w:val="none"/>
        </w:rPr>
        <w:t>1.6联合体</w:t>
      </w:r>
    </w:p>
    <w:p w14:paraId="100B29B5">
      <w:pPr>
        <w:spacing w:line="360" w:lineRule="auto"/>
        <w:ind w:firstLine="480" w:firstLineChars="200"/>
        <w:rPr>
          <w:rFonts w:hint="eastAsia" w:ascii="仿宋_GB2312" w:hAnsi="仿宋" w:eastAsia="仿宋_GB2312"/>
          <w:color w:val="212121"/>
          <w:kern w:val="0"/>
          <w:sz w:val="24"/>
          <w:highlight w:val="none"/>
        </w:rPr>
      </w:pPr>
      <w:r>
        <w:rPr>
          <w:rFonts w:hint="eastAsia" w:ascii="仿宋_GB2312" w:hAnsi="仿宋" w:eastAsia="仿宋_GB2312"/>
          <w:color w:val="212121"/>
          <w:kern w:val="0"/>
          <w:sz w:val="24"/>
          <w:highlight w:val="none"/>
        </w:rPr>
        <w:t>不允许。</w:t>
      </w:r>
    </w:p>
    <w:p w14:paraId="174BBC5A">
      <w:pPr>
        <w:spacing w:line="360" w:lineRule="auto"/>
        <w:ind w:firstLine="480" w:firstLineChars="200"/>
        <w:rPr>
          <w:rFonts w:hint="eastAsia" w:ascii="仿宋_GB2312" w:hAnsi="仿宋" w:eastAsia="仿宋_GB2312"/>
          <w:color w:val="212121"/>
          <w:kern w:val="0"/>
          <w:sz w:val="24"/>
          <w:highlight w:val="none"/>
        </w:rPr>
      </w:pPr>
      <w:r>
        <w:rPr>
          <w:rFonts w:hint="eastAsia" w:ascii="仿宋_GB2312" w:hAnsi="仿宋" w:eastAsia="仿宋_GB2312"/>
          <w:color w:val="212121"/>
          <w:kern w:val="0"/>
          <w:sz w:val="24"/>
          <w:highlight w:val="none"/>
        </w:rPr>
        <w:t>1.7转让</w:t>
      </w:r>
    </w:p>
    <w:p w14:paraId="4F8599F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color w:val="212121"/>
          <w:kern w:val="0"/>
          <w:sz w:val="24"/>
          <w:highlight w:val="none"/>
        </w:rPr>
        <w:t>未经对方当事人书面同意，合同任何一方均不得</w:t>
      </w:r>
      <w:r>
        <w:rPr>
          <w:rFonts w:hint="eastAsia" w:ascii="仿宋_GB2312" w:hAnsi="仿宋" w:eastAsia="仿宋_GB2312"/>
          <w:kern w:val="0"/>
          <w:sz w:val="24"/>
          <w:highlight w:val="none"/>
        </w:rPr>
        <w:t>转让其在合同项下的权利和（或）义务。</w:t>
      </w:r>
    </w:p>
    <w:p w14:paraId="5371822F">
      <w:pPr>
        <w:spacing w:line="360" w:lineRule="auto"/>
        <w:ind w:firstLine="480" w:firstLineChars="200"/>
        <w:outlineLvl w:val="2"/>
        <w:rPr>
          <w:rFonts w:hint="eastAsia" w:ascii="仿宋_GB2312" w:hAnsi="仿宋" w:eastAsia="仿宋_GB2312"/>
          <w:kern w:val="0"/>
          <w:sz w:val="24"/>
          <w:highlight w:val="none"/>
        </w:rPr>
      </w:pPr>
      <w:bookmarkStart w:id="720" w:name="_Toc156895438"/>
      <w:bookmarkStart w:id="721" w:name="_Toc171623748"/>
      <w:bookmarkStart w:id="722" w:name="_Toc166753315"/>
      <w:bookmarkStart w:id="723" w:name="_Toc205977461"/>
      <w:r>
        <w:rPr>
          <w:rFonts w:hint="eastAsia" w:ascii="仿宋_GB2312" w:hAnsi="仿宋" w:eastAsia="仿宋_GB2312"/>
          <w:kern w:val="0"/>
          <w:sz w:val="24"/>
          <w:highlight w:val="none"/>
        </w:rPr>
        <w:t>2.合同范围</w:t>
      </w:r>
      <w:bookmarkEnd w:id="720"/>
      <w:bookmarkEnd w:id="721"/>
      <w:bookmarkEnd w:id="722"/>
      <w:bookmarkEnd w:id="723"/>
    </w:p>
    <w:p w14:paraId="449C27E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供方应根据供货要求、中标设备技术性能指标的详细描述、技术服务和质量保证期服务计划等合同文件的约定向需方提供合同设备、技术服务和质量保证期服务。</w:t>
      </w:r>
    </w:p>
    <w:p w14:paraId="35B3B929">
      <w:pPr>
        <w:spacing w:line="360" w:lineRule="auto"/>
        <w:ind w:firstLine="480" w:firstLineChars="200"/>
        <w:outlineLvl w:val="2"/>
        <w:rPr>
          <w:rFonts w:hint="eastAsia" w:ascii="仿宋_GB2312" w:hAnsi="仿宋" w:eastAsia="仿宋_GB2312"/>
          <w:kern w:val="0"/>
          <w:sz w:val="24"/>
          <w:highlight w:val="none"/>
        </w:rPr>
      </w:pPr>
      <w:bookmarkStart w:id="724" w:name="_Toc171623749"/>
      <w:bookmarkStart w:id="725" w:name="_Toc205977462"/>
      <w:bookmarkStart w:id="726" w:name="_Toc166753316"/>
      <w:bookmarkStart w:id="727" w:name="_Toc156895439"/>
      <w:r>
        <w:rPr>
          <w:rFonts w:hint="eastAsia" w:ascii="仿宋_GB2312" w:hAnsi="仿宋" w:eastAsia="仿宋_GB2312"/>
          <w:kern w:val="0"/>
          <w:sz w:val="24"/>
          <w:highlight w:val="none"/>
        </w:rPr>
        <w:t>3.合同价格与支付</w:t>
      </w:r>
      <w:bookmarkEnd w:id="724"/>
      <w:bookmarkEnd w:id="725"/>
      <w:bookmarkEnd w:id="726"/>
      <w:bookmarkEnd w:id="727"/>
    </w:p>
    <w:p w14:paraId="4AD3377B">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3.1合同价格</w:t>
      </w:r>
    </w:p>
    <w:p w14:paraId="24043E8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3.1.1 合同协议书中载明的签约合同价包括供方为完成合同全部义务应承担的一切成本、费用和支出以及供方的合理利润。</w:t>
      </w:r>
    </w:p>
    <w:p w14:paraId="51DEA60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3.1.2 除专用合同条款另有约定外，签约合同价为固定价格。</w:t>
      </w:r>
    </w:p>
    <w:p w14:paraId="6593C869">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3.2合同价款的支付</w:t>
      </w:r>
    </w:p>
    <w:p w14:paraId="717C3FA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详见专用合同条款。</w:t>
      </w:r>
    </w:p>
    <w:p w14:paraId="46A1FB60">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3.3需方扣款的权利</w:t>
      </w:r>
    </w:p>
    <w:p w14:paraId="4F355D5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当供方应向需方支付合同项下的违约金或赔偿金时，需方有权从上述任何一笔应付款中予以直接扣除，供方无条件服从。</w:t>
      </w:r>
    </w:p>
    <w:p w14:paraId="4D4A35FB">
      <w:pPr>
        <w:spacing w:line="360" w:lineRule="auto"/>
        <w:ind w:firstLine="480" w:firstLineChars="200"/>
        <w:outlineLvl w:val="2"/>
        <w:rPr>
          <w:rFonts w:hint="eastAsia" w:ascii="仿宋_GB2312" w:hAnsi="仿宋" w:eastAsia="仿宋_GB2312"/>
          <w:kern w:val="0"/>
          <w:sz w:val="24"/>
          <w:highlight w:val="none"/>
        </w:rPr>
      </w:pPr>
      <w:bookmarkStart w:id="728" w:name="_Toc171623750"/>
      <w:bookmarkStart w:id="729" w:name="_Toc156895440"/>
      <w:bookmarkStart w:id="730" w:name="_Toc166753317"/>
      <w:bookmarkStart w:id="731" w:name="_Toc205977463"/>
      <w:r>
        <w:rPr>
          <w:rFonts w:hint="eastAsia" w:ascii="仿宋_GB2312" w:hAnsi="仿宋" w:eastAsia="仿宋_GB2312"/>
          <w:kern w:val="0"/>
          <w:sz w:val="24"/>
          <w:highlight w:val="none"/>
        </w:rPr>
        <w:t>4.监造及交货前检验</w:t>
      </w:r>
      <w:bookmarkEnd w:id="728"/>
      <w:bookmarkEnd w:id="729"/>
      <w:bookmarkEnd w:id="730"/>
      <w:bookmarkEnd w:id="731"/>
    </w:p>
    <w:p w14:paraId="3305CF8D">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4.1监造</w:t>
      </w:r>
    </w:p>
    <w:p w14:paraId="00F8273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专用合同条款约定需方对合同设备进行监造的，双方应按本款及专用合同条款约定履行。</w:t>
      </w:r>
    </w:p>
    <w:p w14:paraId="4B06594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4.1.1 在合同设备的制造过程中，需方可派出监造人员，对合同设备的生产制造进行监造，监督合同设备制造、检验等情况。监造的范围、方式等应符合专用合同条款和（或）供货要求等合同文件的约定。</w:t>
      </w:r>
    </w:p>
    <w:p w14:paraId="4D9AE363">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4.1.2 除专用合同条款和（或）供货要求等合同文件另有约定外，需方监造人员可到合同设备及其关键部件的生产制造现场进行监造，供方应予配合，供方应免费为需方监造人员提供工作条件及便利，包括但不限于必要的办公场所、技术资料、检测工具及出入许可等。除专用合同条款另有约定外，需方监造人员的交通、住宿费用由需方承担。</w:t>
      </w:r>
    </w:p>
    <w:p w14:paraId="4A122AE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4.1.3 供方制订生产制造合同设备的进度计划时，应将需方监造纳入计划安排，并提前通知需方；需方进行监造不应影响合同设备的正常生产。除专用合同条款和（或）供货要求等合同文件另有约定外，供方应提前7日将需要需方监造人员现场监造事项通知需方；如需方监造人员未按通知出席，不影响合同设备及其关键部件的制造或检验，但需方监造人员有权事后了解、查阅、复制相关制造或检验记录。</w:t>
      </w:r>
    </w:p>
    <w:p w14:paraId="3605976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4.1.4 需方监造人员在监造中如发现合同设备及其关键部件不符合合同约定俗成的标准，则有权提出意见和建议。供方应采取必要措施消除合同设备的不符，由此增加的费用和（或）造成的延误由供方负责。</w:t>
      </w:r>
    </w:p>
    <w:p w14:paraId="0F8DDA9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4.1.5 需方监造人员对合同设备的监造，不视为对合同设备质量的确认，不影响供方交货后需方依照合同约定对合同设备提出质量异议和（或）退货的权利，也不免除供方依照合同约定对合同设备所应承担的任何义务或责任。</w:t>
      </w:r>
    </w:p>
    <w:p w14:paraId="500828C6">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4.2交货前检验</w:t>
      </w:r>
    </w:p>
    <w:p w14:paraId="6411242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专用合同条款约定需方参与交货前检验的，双方应按本款及专用合同条款约定履行。</w:t>
      </w:r>
    </w:p>
    <w:p w14:paraId="00A58993">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4.2.1 合同设备交货前，供方应会同需方代表根据合同约定对合同设备进行交货前检验并出具交货前检验记录，有关费用由供方承担。供方应免费为需方代表提供工作条件和便利，包括但不限于必要的办公场所、技术资料、检测工具及出入许可等。除专用合同条款另有约定外，需方代表的交通、食宿费用由需方承担。</w:t>
      </w:r>
    </w:p>
    <w:p w14:paraId="699B7AD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4.2.2 除专用合同条款和（或）供货要求等合同文件另有约定外，供方应提前7日将需要需方代表检验事项通知需方；如需方代表未按通知出席，不影响合同设备的检验。若供方未依照合同约定提前通知需方而自行检验，则需方有权要求供方暂停发货并重新进行检验，由此增加的费用和（或）造成的延误由供方负责。</w:t>
      </w:r>
    </w:p>
    <w:p w14:paraId="0CC5151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4.2.3 需方代表在检验中如发现合同设备不符合合同约定的标准，则有权提出异议。供方应采取必要措施消除合同设备的不符，由此增加的费用和（或）造成的延误由供方负责。</w:t>
      </w:r>
    </w:p>
    <w:p w14:paraId="7FC6665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4.2.4 需方代表参与交货前检验及签署交货前检验记录的行为，不视为对合同设备质量的确认，不影响供方交货后需方依照合同约定对合同设备提出质量异议和（或）退货的权利，也不免除供方依照合同约定对合同设备所应承担的任何义务或责任。</w:t>
      </w:r>
    </w:p>
    <w:p w14:paraId="7950519F">
      <w:pPr>
        <w:spacing w:line="360" w:lineRule="auto"/>
        <w:ind w:firstLine="480" w:firstLineChars="200"/>
        <w:outlineLvl w:val="2"/>
        <w:rPr>
          <w:rFonts w:hint="eastAsia" w:ascii="仿宋_GB2312" w:hAnsi="仿宋" w:eastAsia="仿宋_GB2312"/>
          <w:kern w:val="0"/>
          <w:sz w:val="24"/>
          <w:highlight w:val="none"/>
        </w:rPr>
      </w:pPr>
      <w:bookmarkStart w:id="732" w:name="_Toc156895441"/>
      <w:bookmarkStart w:id="733" w:name="_Toc171623751"/>
      <w:bookmarkStart w:id="734" w:name="_Toc205977464"/>
      <w:bookmarkStart w:id="735" w:name="_Toc166753318"/>
      <w:r>
        <w:rPr>
          <w:rFonts w:hint="eastAsia" w:ascii="仿宋_GB2312" w:hAnsi="仿宋" w:eastAsia="仿宋_GB2312"/>
          <w:kern w:val="0"/>
          <w:sz w:val="24"/>
          <w:highlight w:val="none"/>
        </w:rPr>
        <w:t>5.包装、标记、运输和交付</w:t>
      </w:r>
      <w:bookmarkEnd w:id="732"/>
      <w:bookmarkEnd w:id="733"/>
      <w:bookmarkEnd w:id="734"/>
      <w:bookmarkEnd w:id="735"/>
    </w:p>
    <w:p w14:paraId="19582817">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5.1包装</w:t>
      </w:r>
    </w:p>
    <w:p w14:paraId="6606C06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5.1.1 供方应对合同设备进行妥善包装，以满足合同设备运至施工场地及在施工场地保管的需要。包装应采取防潮、防晒、防锈、防腐蚀、防震动及防止其他损坏的必要保护措施，从而保护合同设备能够经受多次搬运、装卸、长途运输并适宜保管。</w:t>
      </w:r>
    </w:p>
    <w:p w14:paraId="2C1075F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5.1.2 每个独立包装箱内应附装箱清单、质量合格证、装配图、说明书、操作指南等资料。</w:t>
      </w:r>
    </w:p>
    <w:p w14:paraId="0E8ADF0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5.1.3 除专用合同条款另有约定外，需方无需将包装物退还供方。</w:t>
      </w:r>
    </w:p>
    <w:p w14:paraId="0099BB0D">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5.2标记</w:t>
      </w:r>
    </w:p>
    <w:p w14:paraId="24A9901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5.2.1 除专用合同条款另有约定外，供方应在每一包装箱相邻的四个侧面以不可擦除的、明显的方式标记必要的装运信息和标记，以满足合同设备运输和保管的需要。</w:t>
      </w:r>
    </w:p>
    <w:p w14:paraId="180A1FF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5.2.2 根据合同设备的特点和运输、保管的不同要求，供方应在包装箱上清楚地标注“小心轻放”“此端朝上”“请勿倒置”“保持干燥”等字样和其他适当标记。对于专用合同条款约定的超大超重件，供方应在包装箱两侧标注“重心”和“起吊点”以便装卸和搬运。如果发运合同设备中含有易燃易爆物品、腐蚀物品、放射性物质等危险品，则应在包装箱上标明危险品标志。</w:t>
      </w:r>
    </w:p>
    <w:p w14:paraId="577A43DA">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5.3运输</w:t>
      </w:r>
    </w:p>
    <w:p w14:paraId="0889EBF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5.3.1 供方应自行选择适宜的运输工具及线路安排合同设备运输。</w:t>
      </w:r>
    </w:p>
    <w:p w14:paraId="2E2DEB6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5.3.2 除专用合同条款另有约定外，每件能够独立运行的设备应整套装运。该设备安装、调试、考核和运行所使用的备品、备件、易损易耗件等应随相关的主机一齐装运。</w:t>
      </w:r>
    </w:p>
    <w:p w14:paraId="32AD6AC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5.3.3 除专用合同条款另有约定外，供方应在合同设备预计启运7日前，将合同设备名称、数量、箱数、总毛重、总体积（用m</w:t>
      </w:r>
      <w:r>
        <w:rPr>
          <w:rFonts w:eastAsia="仿宋_GB2312"/>
          <w:kern w:val="0"/>
          <w:sz w:val="24"/>
          <w:highlight w:val="none"/>
        </w:rPr>
        <w:t>³</w:t>
      </w:r>
      <w:r>
        <w:rPr>
          <w:rFonts w:hint="eastAsia" w:ascii="仿宋_GB2312" w:hAnsi="仿宋" w:eastAsia="仿宋_GB2312"/>
          <w:kern w:val="0"/>
          <w:sz w:val="24"/>
          <w:highlight w:val="none"/>
        </w:rPr>
        <w:t>表示）、每箱尺寸（长×宽×高）、装运合同设备总金额、运输方式、预计交付日期和合同设备在运输、装卸、保管中的注意事项等预通知需方，并在合同设备启动后24小时之内正式通知需方。</w:t>
      </w:r>
    </w:p>
    <w:p w14:paraId="41E5EDE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5.3.4 供方在根据第5.3.3项进行通知时，如果发运合同设备中包括专用合同条款约定的超大超重包装，则供方应将超大和（或）超重的每个包装箱的重量和尺寸通知需方；如果发运合同设备中包括易燃易爆物品、腐蚀物品、放射性物质等危险品，则危险品的品名、性质、在运输、装卸、保管方面的特殊要求、注意事项和处理意外情况的方法等，也应一并通知需方。</w:t>
      </w:r>
    </w:p>
    <w:p w14:paraId="2CE52EDB">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5.4交付</w:t>
      </w:r>
    </w:p>
    <w:p w14:paraId="6F43634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5.4.1 除专用合同条款另有约定外，供方应根据合同约定的交付时间和批次在施工现场车面上将合同设备交付需方。需方对供方交付的包装的合同设备的外观及件数进行清点核验后应签发收货清单，并自负风险和费用进行卸货。需方签发收货清单不代表对合同设备的接受，双方还应按合同约定进行后续的检验和验收。</w:t>
      </w:r>
    </w:p>
    <w:p w14:paraId="0744347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5.4.2 合同设备的所有权和风险，自交付时起由供方转移至需方，合同设备交付给需方之前包括运输在内的所有风险均由供方承担。</w:t>
      </w:r>
    </w:p>
    <w:p w14:paraId="5E9EAB4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5.4.3 除专用合同条款另有约定外，需方如果发现技术资料存在短缺和（或）损坏，供方应在收到需方的通知后7日内免费补齐短缺和（或）损坏的部分。如果需方发现供方提供的技术资料有误，供方应在收到需方通知7日内免费替换。如由于需方原因导致技术资料丢失和（或）损坏，供方应在收到需方的通知后7日内补齐丢失和（或）损坏的部分，但需方应向供方支付合理的复制、邮寄费用。</w:t>
      </w:r>
    </w:p>
    <w:p w14:paraId="081E8789">
      <w:pPr>
        <w:spacing w:line="360" w:lineRule="auto"/>
        <w:ind w:firstLine="480" w:firstLineChars="200"/>
        <w:outlineLvl w:val="2"/>
        <w:rPr>
          <w:rFonts w:hint="eastAsia" w:ascii="仿宋_GB2312" w:hAnsi="仿宋" w:eastAsia="仿宋_GB2312"/>
          <w:kern w:val="0"/>
          <w:sz w:val="24"/>
          <w:highlight w:val="none"/>
        </w:rPr>
      </w:pPr>
      <w:bookmarkStart w:id="736" w:name="_Toc166753319"/>
      <w:bookmarkStart w:id="737" w:name="_Toc205977465"/>
      <w:bookmarkStart w:id="738" w:name="_Toc156895442"/>
      <w:bookmarkStart w:id="739" w:name="_Toc171623752"/>
      <w:r>
        <w:rPr>
          <w:rFonts w:hint="eastAsia" w:ascii="仿宋_GB2312" w:hAnsi="仿宋" w:eastAsia="仿宋_GB2312"/>
          <w:kern w:val="0"/>
          <w:sz w:val="24"/>
          <w:highlight w:val="none"/>
        </w:rPr>
        <w:t>6.开箱检验、安装、调试、考核、验收</w:t>
      </w:r>
      <w:bookmarkEnd w:id="736"/>
      <w:bookmarkEnd w:id="737"/>
      <w:bookmarkEnd w:id="738"/>
      <w:bookmarkEnd w:id="739"/>
    </w:p>
    <w:p w14:paraId="16424F17">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6.1开箱检验</w:t>
      </w:r>
    </w:p>
    <w:p w14:paraId="08E0E14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6.1.1 合同设备交付后进行开箱检验，即合同设备数量及外观检验。开箱检验在专用合同条款约定的下列任一种时间进行：</w:t>
      </w:r>
    </w:p>
    <w:p w14:paraId="3630067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（1）合同设备交付时；</w:t>
      </w:r>
    </w:p>
    <w:p w14:paraId="6B73CAC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（2）合同设备交付后的一定期限内。</w:t>
      </w:r>
    </w:p>
    <w:p w14:paraId="543646A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如开箱检验不在合同设备交付时进行，需方应在开箱检验3日前将开箱检验的时间和地点通知供方。</w:t>
      </w:r>
    </w:p>
    <w:p w14:paraId="4142185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6.1.2 除专用合同条款另有约定外，合同设备的开箱检验应在施工场地进行。</w:t>
      </w:r>
    </w:p>
    <w:p w14:paraId="1FAD867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6.1.3 开箱检验由买卖双方共同进行，供方应自负费用派遣代表到场参加开箱检验。</w:t>
      </w:r>
    </w:p>
    <w:p w14:paraId="5F0D806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6.1.4 在开箱检验中，需方和供方应共同签署数量、外观检验报告，报告应列明检验结果，包括检验合同或发现的任何短缺、损坏或其他与合同约定不符的情形。</w:t>
      </w:r>
    </w:p>
    <w:p w14:paraId="2403566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6.1.5 如果供方代表未能依约或按需方通知到场参加开箱检验，需方有权在供方代表未在场的情况下进行开箱检验，并签署数量、外观检验报告，对于该检验报告和检验结果，视为供方已接受，但供方确有合理理由且事先与需方协商推迟开箱检验时间的除外。</w:t>
      </w:r>
    </w:p>
    <w:p w14:paraId="2F1620E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6.1.6 如开箱检验不在合同设备交付时进行，则合同设备交付以后到开箱检验之前，应由需方负责按交货时外包装原样对合同设备进行妥善保管。除专用合同条款另有约定外，在开箱检验时如果合同设备外包装与交货时一致，则开箱检验中发现的合同设备的短缺、损坏或其他与合同约定不符的情形，由供方负责，供方应补齐、更换及采取其他补救措施。如果在开箱检验时合同设备外包装不是交货时的包装或虽是交货时的包装但与交货时不一致且出现很可能导致合同设备短缺或损坏的包装破损，则开箱检验中发现合同设备短缺、损坏或其他与合同约定不符的情形的风险，由需方承担，但需方能够证明是由于供方原因或合同设备交付前非需方原因导致的除外。</w:t>
      </w:r>
    </w:p>
    <w:p w14:paraId="7EF9314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6.1.7 如双方在专用合同条款和（或）供货要求等合同文件中约定由第三方检测机构对合同设备进行开箱检验或在开箱检验过程中另行约定由第三方检验的，则第三方检测机构的检验结果对双方均具有约束力。</w:t>
      </w:r>
    </w:p>
    <w:p w14:paraId="38E5730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6.1.8 开箱检验的检验结果不能对抗在合同设备的安装、调试、考核、验收中及质量保证期内发现的合同设备质量问题，也不能免除或影响供方依照合同约定对需方负有的包括合同设备质量在内的任何义务或责任。</w:t>
      </w:r>
    </w:p>
    <w:p w14:paraId="557B7AFC">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6.2安装、调试</w:t>
      </w:r>
    </w:p>
    <w:p w14:paraId="7D29F76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6.2.1 开箱检验完成后，双方应对合同设备进行安装、调试，以使其具备考核的状态。安装、调试应按照专用合同条款约定的下列任一种方式进行：</w:t>
      </w:r>
    </w:p>
    <w:p w14:paraId="4E050CC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（1）供方按照合同约定完成合同设备的安装、调试工作；</w:t>
      </w:r>
    </w:p>
    <w:p w14:paraId="32C8DAF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（2）需方或需方安排第三方负责合同设备的安装、调试工作，供方提供技术服务。</w:t>
      </w:r>
    </w:p>
    <w:p w14:paraId="5E85A61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除专用合同条款另有约定外，在安装、调试过程中，如由于需方或需方安排的第三方未按照供方现场服务人员的指导导致安装、调试不成功和（或）出现合同设备损坏，需方应自行承担责任。如在需方或需方安排的第三方按照供方现场服务人员的指导进行安装、调试的情况下出现安装、调试不成功和（或）造成合同设备损坏的情况，供方应承担责任。</w:t>
      </w:r>
    </w:p>
    <w:p w14:paraId="484201E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6.2.2 除专用合同条款另有约定外，安装、调试中合同设备运行需要的用水、用电、其他动力和原材料（如需要）等均由需方承担。</w:t>
      </w:r>
    </w:p>
    <w:p w14:paraId="274F8ED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6.2.3 双方应对合同设备的安装、调试情况共同及时进行记录。</w:t>
      </w:r>
    </w:p>
    <w:p w14:paraId="322800D0">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6.3考核</w:t>
      </w:r>
    </w:p>
    <w:p w14:paraId="43B3E73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6.3.1 安装、调试完成后，双方应对合同设备进行考核，以确定合同设备是否达到合同约定的技术性能考核指标。除专用合同条款另有约定外，考核中合同设备运行需要的用水、用电、其他动力和原材料（如需要）等均由需方承担。</w:t>
      </w:r>
    </w:p>
    <w:p w14:paraId="67B9A63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6.3.2 如由于供方原因合同设备在考核中未能达到合同约定的技术性能考核指标，则供方应在双方同意的期限内采取措施消除合同设备中存在的缺陷，并在缺陷消除以后，尽快进行再次考核。</w:t>
      </w:r>
    </w:p>
    <w:p w14:paraId="582A23C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6.3.3 由于供方原因未能达到技术性能考核指标时，为供方进行考核的机会不超过三次。如果由于供方原因，三次考核均未能达到合同约定的技术性能考核指标，则供需双方应就合同的后续履行进行协商，协商不成的，需方有权解除合同，供方承担由此产生的费用及一切责任。</w:t>
      </w:r>
    </w:p>
    <w:p w14:paraId="63AC8CE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6.3.4 如由于需方原因合同设备在考核中未能达到合同约定的技术性能考核指标，则供方应无条件协助需方安排再次考核。</w:t>
      </w:r>
    </w:p>
    <w:p w14:paraId="6DA61F1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6.3.5 考核期间，双方应及时共同记录合同设备的用水、用电、其他动力原材料（如有）的使用及设备考核情况。对于未达到技术性能考核指标的，应如实记录设备表现、可能原因及处理情况等。</w:t>
      </w:r>
    </w:p>
    <w:p w14:paraId="19034611">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6.4验收</w:t>
      </w:r>
    </w:p>
    <w:p w14:paraId="2DA3C122">
      <w:pPr>
        <w:spacing w:line="360" w:lineRule="auto"/>
        <w:ind w:firstLine="480" w:firstLineChars="200"/>
        <w:rPr>
          <w:rFonts w:hint="eastAsia" w:ascii="仿宋_GB2312" w:hAnsi="仿宋" w:eastAsia="仿宋_GB2312"/>
          <w:color w:val="0D0D0D" w:themeColor="text1" w:themeTint="F2"/>
          <w:kern w:val="0"/>
          <w:sz w:val="24"/>
          <w:highlight w:val="none"/>
          <w14:textFill>
            <w14:solidFill>
              <w14:schemeClr w14:val="tx1">
                <w14:lumMod w14:val="95000"/>
                <w14:lumOff w14:val="5000"/>
              </w14:schemeClr>
            </w14:solidFill>
          </w14:textFill>
        </w:rPr>
      </w:pPr>
      <w:r>
        <w:rPr>
          <w:rFonts w:hint="eastAsia" w:ascii="仿宋_GB2312" w:hAnsi="仿宋" w:eastAsia="仿宋_GB2312"/>
          <w:color w:val="0D0D0D" w:themeColor="text1" w:themeTint="F2"/>
          <w:kern w:val="0"/>
          <w:sz w:val="24"/>
          <w:highlight w:val="none"/>
          <w14:textFill>
            <w14:solidFill>
              <w14:schemeClr w14:val="tx1">
                <w14:lumMod w14:val="95000"/>
                <w14:lumOff w14:val="5000"/>
              </w14:schemeClr>
            </w14:solidFill>
          </w14:textFill>
        </w:rPr>
        <w:t>如合同设备在考核中达到或视为达到技术性能考核指标，经试运行合格后，按国家以及地方相关法律法规规定的程序进行验收。</w:t>
      </w:r>
    </w:p>
    <w:p w14:paraId="7E350FB6">
      <w:pPr>
        <w:spacing w:line="360" w:lineRule="auto"/>
        <w:ind w:firstLine="480" w:firstLineChars="200"/>
        <w:outlineLvl w:val="2"/>
        <w:rPr>
          <w:rFonts w:hint="eastAsia" w:ascii="仿宋_GB2312" w:hAnsi="仿宋" w:eastAsia="仿宋_GB2312"/>
          <w:kern w:val="0"/>
          <w:sz w:val="24"/>
          <w:highlight w:val="none"/>
        </w:rPr>
      </w:pPr>
      <w:bookmarkStart w:id="740" w:name="_Toc205977466"/>
      <w:bookmarkStart w:id="741" w:name="_Toc171623753"/>
      <w:bookmarkStart w:id="742" w:name="_Toc156895443"/>
      <w:bookmarkStart w:id="743" w:name="_Toc166753320"/>
      <w:r>
        <w:rPr>
          <w:rFonts w:hint="eastAsia" w:ascii="仿宋_GB2312" w:hAnsi="仿宋" w:eastAsia="仿宋_GB2312"/>
          <w:kern w:val="0"/>
          <w:sz w:val="24"/>
          <w:highlight w:val="none"/>
        </w:rPr>
        <w:t>7.技术服务</w:t>
      </w:r>
      <w:bookmarkEnd w:id="740"/>
      <w:bookmarkEnd w:id="741"/>
      <w:bookmarkEnd w:id="742"/>
      <w:bookmarkEnd w:id="743"/>
    </w:p>
    <w:p w14:paraId="54A8BB9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 供方应派遣技术熟练、称职的技术人员到施工场地为需方提供技术服务。供方的技术服务应符合合同的约定。</w:t>
      </w:r>
    </w:p>
    <w:p w14:paraId="68308CA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7.2 需方应免费为供方技术人员提供工作条件及便利，包括但不限于必要的办公场所、技术资料及出入许可等。除专用合同条款另有约定外，供方技术人员的交通、食宿费用由供方承担。</w:t>
      </w:r>
    </w:p>
    <w:p w14:paraId="2990E0D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7.3 供方技术人员应遵守需方施工现场的各项规章制度和安全操作规程，并服从需方的现场管理。</w:t>
      </w:r>
    </w:p>
    <w:p w14:paraId="360EBA2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7.4 如果任何技术人员不合格，需方有权要求供方撤换，因撤换而产生的费用应由供方承担。在不影响技术服务并且征得需方同意的条件下，供方也可自负费用更换其技术人员。</w:t>
      </w:r>
    </w:p>
    <w:p w14:paraId="6E0925EA">
      <w:pPr>
        <w:spacing w:line="360" w:lineRule="auto"/>
        <w:ind w:firstLine="480" w:firstLineChars="200"/>
        <w:outlineLvl w:val="2"/>
        <w:rPr>
          <w:rFonts w:hint="eastAsia" w:ascii="仿宋_GB2312" w:hAnsi="仿宋" w:eastAsia="仿宋_GB2312"/>
          <w:kern w:val="0"/>
          <w:sz w:val="24"/>
          <w:highlight w:val="none"/>
        </w:rPr>
      </w:pPr>
      <w:bookmarkStart w:id="744" w:name="_Toc156895444"/>
      <w:bookmarkStart w:id="745" w:name="_Toc171623754"/>
      <w:bookmarkStart w:id="746" w:name="_Toc205977467"/>
      <w:bookmarkStart w:id="747" w:name="_Toc166753321"/>
      <w:r>
        <w:rPr>
          <w:rFonts w:hint="eastAsia" w:ascii="仿宋_GB2312" w:hAnsi="仿宋" w:eastAsia="仿宋_GB2312"/>
          <w:kern w:val="0"/>
          <w:sz w:val="24"/>
          <w:highlight w:val="none"/>
        </w:rPr>
        <w:t>8.质量保证期</w:t>
      </w:r>
      <w:bookmarkEnd w:id="744"/>
      <w:bookmarkEnd w:id="745"/>
      <w:bookmarkEnd w:id="746"/>
      <w:bookmarkEnd w:id="747"/>
    </w:p>
    <w:p w14:paraId="70006C7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8.1 除专用合同条款和（或）供货要求等合同文件另有约定外，合同设备的质量保证期为从</w:t>
      </w:r>
      <w:r>
        <w:rPr>
          <w:rFonts w:hint="eastAsia" w:ascii="仿宋_GB2312" w:hAnsi="仿宋" w:eastAsia="仿宋_GB2312" w:cs="仿宋_GB2312"/>
          <w:sz w:val="24"/>
          <w:highlight w:val="none"/>
        </w:rPr>
        <w:t>工程整体通过竣工验收合格之日起计算24个月。</w:t>
      </w:r>
      <w:r>
        <w:rPr>
          <w:rFonts w:hint="eastAsia" w:ascii="仿宋_GB2312" w:hAnsi="仿宋" w:eastAsia="仿宋_GB2312"/>
          <w:kern w:val="0"/>
          <w:sz w:val="24"/>
          <w:highlight w:val="none"/>
        </w:rPr>
        <w:t>如对合同设备中关键部件的质量保证期有特殊要求的，供需双方可在专用合同条款中约定。</w:t>
      </w:r>
    </w:p>
    <w:p w14:paraId="5B4E88D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8.2 在质量保证期内如果合同设备出现故障，供方应自负费用提供质量保证期服务，对相关合同设备进行修理或更换以消除故障。更换的合同设备和（或）关键部件的质量保证期应重新计算。但如果合同设备的故障是由于需方原因造成的，则对合同设备进行修理和更换的费用应由需方承担。</w:t>
      </w:r>
    </w:p>
    <w:p w14:paraId="6EE592E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8.3 质量保证期届满后，需方应在7日内或专用合同条款另行约定的时间内向供方出具合同设备的质量保证期届满证书。</w:t>
      </w:r>
    </w:p>
    <w:p w14:paraId="7842659C">
      <w:pPr>
        <w:spacing w:line="360" w:lineRule="auto"/>
        <w:ind w:firstLine="480" w:firstLineChars="200"/>
        <w:outlineLvl w:val="2"/>
        <w:rPr>
          <w:rFonts w:hint="eastAsia" w:ascii="仿宋_GB2312" w:hAnsi="仿宋" w:eastAsia="仿宋_GB2312"/>
          <w:kern w:val="0"/>
          <w:sz w:val="24"/>
          <w:highlight w:val="none"/>
        </w:rPr>
      </w:pPr>
      <w:bookmarkStart w:id="748" w:name="_Toc171623755"/>
      <w:bookmarkStart w:id="749" w:name="_Toc156895445"/>
      <w:bookmarkStart w:id="750" w:name="_Toc205977468"/>
      <w:bookmarkStart w:id="751" w:name="_Toc166753322"/>
      <w:r>
        <w:rPr>
          <w:rFonts w:hint="eastAsia" w:ascii="仿宋_GB2312" w:hAnsi="仿宋" w:eastAsia="仿宋_GB2312"/>
          <w:kern w:val="0"/>
          <w:sz w:val="24"/>
          <w:highlight w:val="none"/>
        </w:rPr>
        <w:t>9.质量保证期服务</w:t>
      </w:r>
      <w:bookmarkEnd w:id="748"/>
      <w:bookmarkEnd w:id="749"/>
      <w:bookmarkEnd w:id="750"/>
      <w:bookmarkEnd w:id="751"/>
    </w:p>
    <w:p w14:paraId="264117D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9.1 供方应为质量保证期服务配备充足的技术人员、工具和备件并保证提供的联系方式畅通。除专用合同条款和（或）供货要求等合同文件另有约定外，供方应在收到需方通知后24小时内做出响应，如需供方到合同设备现场，供方应在收到需方通知后48小时内到达，并在到达后7日内解决合同设备的故障（重大故障除外）。如果供方未在上述时间内作出响应，则需方有权自行或委托他人解决相关问题或查找和解决合同设备的故障，供方应承担由此发生的全部费用。</w:t>
      </w:r>
    </w:p>
    <w:p w14:paraId="2A3D85C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9.2 如供方技术人员需到合同设备现场进行质量保证期服务，则需方应免费为供方技术人员提供工作条件及便利，包括但不限于必要的办公场所、技术资料及出入许可等。除专用合同条款另有约定外，供方技术人员的交通、食宿费用由供方承担。供方技术人员应遵守需方施工现场的各项规章制度和安全操作规程，并服从需方的现场管理。</w:t>
      </w:r>
    </w:p>
    <w:p w14:paraId="1541ECE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9.3 如果任何技术人员不合格，需方有权要求供方撤换，因撤换而产生的费用应由供方承担。在不影响质量保证期服务并且征得需方同意的条件下，供方也可自负费用更换其技术人员。</w:t>
      </w:r>
    </w:p>
    <w:p w14:paraId="1D290F1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9.4 除专用合同条款另有约定外，供方应就在施工现场进行质量保证期服务的情况进行记录，记载合同设备故障发生的时间，原因及解决情况等，由需方签字确认，并在质量保证期结束后提交给需方。</w:t>
      </w:r>
    </w:p>
    <w:p w14:paraId="4B34A44B">
      <w:pPr>
        <w:spacing w:line="360" w:lineRule="auto"/>
        <w:ind w:firstLine="480" w:firstLineChars="200"/>
        <w:outlineLvl w:val="2"/>
        <w:rPr>
          <w:rFonts w:hint="eastAsia" w:ascii="仿宋_GB2312" w:hAnsi="仿宋" w:eastAsia="仿宋_GB2312"/>
          <w:kern w:val="0"/>
          <w:sz w:val="24"/>
          <w:highlight w:val="none"/>
        </w:rPr>
      </w:pPr>
      <w:bookmarkStart w:id="752" w:name="_Toc166753323"/>
      <w:bookmarkStart w:id="753" w:name="_Toc156895446"/>
      <w:bookmarkStart w:id="754" w:name="_Toc171623756"/>
      <w:bookmarkStart w:id="755" w:name="_Toc205977469"/>
      <w:r>
        <w:rPr>
          <w:rFonts w:hint="eastAsia" w:ascii="仿宋_GB2312" w:hAnsi="仿宋" w:eastAsia="仿宋_GB2312"/>
          <w:kern w:val="0"/>
          <w:sz w:val="24"/>
          <w:highlight w:val="none"/>
        </w:rPr>
        <w:t>10.履约保证金</w:t>
      </w:r>
      <w:bookmarkEnd w:id="752"/>
      <w:bookmarkEnd w:id="753"/>
      <w:bookmarkEnd w:id="754"/>
      <w:bookmarkEnd w:id="755"/>
    </w:p>
    <w:p w14:paraId="3D8FC144">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除专用合同条款另有约定外，履约保证金自合同生效之日起生效，在合同设备验收证书签署之日起28日后失效。如果供方不履行合同约定的义务或其履行不符合合同的约定，需方有权扣划相应金额的履约保证金。</w:t>
      </w:r>
    </w:p>
    <w:p w14:paraId="4EF61662">
      <w:pPr>
        <w:spacing w:line="360" w:lineRule="auto"/>
        <w:ind w:firstLine="480" w:firstLineChars="200"/>
        <w:outlineLvl w:val="2"/>
        <w:rPr>
          <w:rFonts w:hint="eastAsia" w:ascii="仿宋_GB2312" w:hAnsi="仿宋" w:eastAsia="仿宋_GB2312"/>
          <w:kern w:val="0"/>
          <w:sz w:val="24"/>
          <w:highlight w:val="none"/>
        </w:rPr>
      </w:pPr>
      <w:bookmarkStart w:id="756" w:name="_Toc171623757"/>
      <w:bookmarkStart w:id="757" w:name="_Toc156895447"/>
      <w:bookmarkStart w:id="758" w:name="_Toc166753324"/>
      <w:bookmarkStart w:id="759" w:name="_Toc205977470"/>
      <w:r>
        <w:rPr>
          <w:rFonts w:hint="eastAsia" w:ascii="仿宋_GB2312" w:hAnsi="仿宋" w:eastAsia="仿宋_GB2312"/>
          <w:kern w:val="0"/>
          <w:sz w:val="24"/>
          <w:highlight w:val="none"/>
        </w:rPr>
        <w:t>11.保证</w:t>
      </w:r>
      <w:bookmarkEnd w:id="756"/>
      <w:bookmarkEnd w:id="757"/>
      <w:bookmarkEnd w:id="758"/>
      <w:bookmarkEnd w:id="759"/>
    </w:p>
    <w:p w14:paraId="51C58EC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11.1 供方保证其具有完全的能力履行本合同项下的全部义务。</w:t>
      </w:r>
    </w:p>
    <w:p w14:paraId="23037F0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11.2 供方保证其所提供的合同设备及对合同的履行符合所有应适用的法律、行政法规、地方性法规、自治条例和单行条例、规章及其他规范性文件的强制性规定。</w:t>
      </w:r>
    </w:p>
    <w:p w14:paraId="582DDAE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11.3 供方保证其对合同设备的销售不损害任何第三方的合法权益和社会公众利益。任何第三方不会因供方原因而基于所有权、抵押权、留置权或其他任何权利或事由对合同设备主张权利。</w:t>
      </w:r>
    </w:p>
    <w:p w14:paraId="7232DCA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11.4 供方保证合同设备符合合同约定的规格、标准、技术性能考核指标等，能够安全和稳定地运行，且合同设备（包括全部部件）全新、完整、未使用过，除非专用合同条款和（或）供货要求等合同文件另有约定。</w:t>
      </w:r>
    </w:p>
    <w:p w14:paraId="2448CB1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11.5 供方保证，供方所提供的技术资料完整、清晰、准确，符合合同约定并且能够满足合同设备的安装、调试、考核、操作以及维修和保养的需要。</w:t>
      </w:r>
    </w:p>
    <w:p w14:paraId="17A4F18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11.6 供方保证合同范围内提供的备品备件能够满足合同设备在质量保证期结束前正常运行及维修的需要，如在质量保证期结束前因供方原因出现备品备件短缺影响合同设备正常运行的，供方应免费提供。</w:t>
      </w:r>
    </w:p>
    <w:p w14:paraId="2DD2814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11.7 除专用合同条款和（或）供货要求等合同文件另有约定外，如果在合同设备设计使用寿命期内发生合同项下备品备件停止生产的情况，供方应事先将拟停止生产的计划通知需方，使需方有足够的时间考虑备品备件的需求量。根据需方要求，供方应：</w:t>
      </w:r>
    </w:p>
    <w:p w14:paraId="7FB6C50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（1）以不高于同期市场价格或其向任何第三方销售同类产品的价格提供合同设备正常运行所需的全部备品备件。</w:t>
      </w:r>
    </w:p>
    <w:p w14:paraId="21B192E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免费提供可供需方或第三方制造停产备品备件所需的全部技术资料，以便需方持续获得上述备品备件以满足合同设备在寿命期内正常运行的需要。供方保证需方或需方委托的第三方制造及需方使用这些备品备件不侵犯任何人的知识产权。</w:t>
      </w:r>
    </w:p>
    <w:p w14:paraId="345CACF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11.8 供方保证，在合同设备设计使用寿命期内，如果供方发现合同设备由于设计、制造、标识等原因存在足以危及人身、财产安全的缺陷，供方将及时通知需方并及时采取修正或者补充标识、修理、更换等措施消除缺陷。</w:t>
      </w:r>
    </w:p>
    <w:p w14:paraId="6264306F">
      <w:pPr>
        <w:spacing w:line="360" w:lineRule="auto"/>
        <w:ind w:firstLine="480" w:firstLineChars="200"/>
        <w:outlineLvl w:val="2"/>
        <w:rPr>
          <w:rFonts w:hint="eastAsia" w:ascii="仿宋_GB2312" w:hAnsi="仿宋" w:eastAsia="仿宋_GB2312"/>
          <w:kern w:val="0"/>
          <w:sz w:val="24"/>
          <w:highlight w:val="none"/>
        </w:rPr>
      </w:pPr>
      <w:bookmarkStart w:id="760" w:name="_Toc156895448"/>
      <w:bookmarkStart w:id="761" w:name="_Toc166753325"/>
      <w:bookmarkStart w:id="762" w:name="_Toc171623758"/>
      <w:bookmarkStart w:id="763" w:name="_Toc205977471"/>
      <w:r>
        <w:rPr>
          <w:rFonts w:hint="eastAsia" w:ascii="仿宋_GB2312" w:hAnsi="仿宋" w:eastAsia="仿宋_GB2312"/>
          <w:kern w:val="0"/>
          <w:sz w:val="24"/>
          <w:highlight w:val="none"/>
        </w:rPr>
        <w:t>12.知识产权</w:t>
      </w:r>
      <w:bookmarkEnd w:id="760"/>
      <w:bookmarkEnd w:id="761"/>
      <w:bookmarkEnd w:id="762"/>
      <w:bookmarkEnd w:id="763"/>
    </w:p>
    <w:p w14:paraId="38A2EEB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12.1 需方在履行合同过程中提供给供方的全部图纸、文件和其他含有数据和信息的资料，其知识产权属于需方。</w:t>
      </w:r>
    </w:p>
    <w:p w14:paraId="5DAC948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12.2 除专用合同条款另有约定外，需方不因签署和履行合同而享有供方在履行合同过程中提供给需方的图纸、文件、配套软件、电子辅助程序和其他含有数据和信息的资料的知识产权。</w:t>
      </w:r>
    </w:p>
    <w:p w14:paraId="40CB0C22">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12.3 如合同设备涉及知识产权，则供方保证需方在使用合同设备过程中免于受到第三方提出的有关知识产权侵权的主张、索赔或诉讼的伤害。</w:t>
      </w:r>
    </w:p>
    <w:p w14:paraId="489D4F5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12.4 如果需方收到任何第三方有关知识产权的主张、索赔或诉讼，供方在收到需方通知后，应以需方名义并在需方的协助下，自负费用处理与第三方的索赔或诉讼，并赔偿需方因此发生的费用和遭受的损失。除专用合同条款另有约定外，如果供方拒绝处理前述索赔或诉讼或在收到需方通知后28日内未作表示，需方可以自己的名义进行这些索赔或诉讼，因此发生的费用和遭受的损失均应由供方承担。</w:t>
      </w:r>
    </w:p>
    <w:p w14:paraId="55F89D88">
      <w:pPr>
        <w:spacing w:line="360" w:lineRule="auto"/>
        <w:ind w:firstLine="480" w:firstLineChars="200"/>
        <w:outlineLvl w:val="2"/>
        <w:rPr>
          <w:rFonts w:hint="eastAsia" w:ascii="仿宋_GB2312" w:hAnsi="仿宋" w:eastAsia="仿宋_GB2312"/>
          <w:kern w:val="0"/>
          <w:sz w:val="24"/>
          <w:highlight w:val="none"/>
        </w:rPr>
      </w:pPr>
      <w:bookmarkStart w:id="764" w:name="_Toc205977472"/>
      <w:bookmarkStart w:id="765" w:name="_Toc171623759"/>
      <w:bookmarkStart w:id="766" w:name="_Toc156895449"/>
      <w:bookmarkStart w:id="767" w:name="_Toc166753326"/>
      <w:r>
        <w:rPr>
          <w:rFonts w:hint="eastAsia" w:ascii="仿宋_GB2312" w:hAnsi="仿宋" w:eastAsia="仿宋_GB2312"/>
          <w:kern w:val="0"/>
          <w:sz w:val="24"/>
          <w:highlight w:val="none"/>
        </w:rPr>
        <w:t>13.保密</w:t>
      </w:r>
      <w:bookmarkEnd w:id="764"/>
      <w:bookmarkEnd w:id="765"/>
      <w:bookmarkEnd w:id="766"/>
      <w:bookmarkEnd w:id="767"/>
    </w:p>
    <w:p w14:paraId="3DC052B5">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合同双方应对因履行合同而取得的另一方当事人的信息、资料等予以保密。未经另一方当事人书面同意，任何一方均不得为与履行合同无关的目的使用或向第三方披露另一方当事人提供的信息、资料。</w:t>
      </w:r>
    </w:p>
    <w:p w14:paraId="1631BD9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合同当事人的保密义务不适用于下列信息：</w:t>
      </w:r>
    </w:p>
    <w:p w14:paraId="0D437A3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（1）非因接受信息一方的过失现在或以后进入公共领域的信息；</w:t>
      </w:r>
    </w:p>
    <w:p w14:paraId="70B53FF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（2）接受信息一方当事人合法地从第三方获得并且据其善意了解第三方也不对此承担保密义务的信息；</w:t>
      </w:r>
    </w:p>
    <w:p w14:paraId="7463BD5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（3）法律或法律的执行要求披露的信息。</w:t>
      </w:r>
    </w:p>
    <w:p w14:paraId="3163D846">
      <w:pPr>
        <w:spacing w:line="360" w:lineRule="auto"/>
        <w:ind w:firstLine="480" w:firstLineChars="200"/>
        <w:outlineLvl w:val="2"/>
        <w:rPr>
          <w:rFonts w:hint="eastAsia" w:ascii="仿宋_GB2312" w:hAnsi="仿宋" w:eastAsia="仿宋_GB2312"/>
          <w:kern w:val="0"/>
          <w:sz w:val="24"/>
          <w:highlight w:val="none"/>
        </w:rPr>
      </w:pPr>
      <w:bookmarkStart w:id="768" w:name="_Toc171623760"/>
      <w:bookmarkStart w:id="769" w:name="_Toc205977473"/>
      <w:bookmarkStart w:id="770" w:name="_Toc166753327"/>
      <w:bookmarkStart w:id="771" w:name="_Toc156895450"/>
      <w:r>
        <w:rPr>
          <w:rFonts w:hint="eastAsia" w:ascii="仿宋_GB2312" w:hAnsi="仿宋" w:eastAsia="仿宋_GB2312"/>
          <w:kern w:val="0"/>
          <w:sz w:val="24"/>
          <w:highlight w:val="none"/>
        </w:rPr>
        <w:t>14.违约责任</w:t>
      </w:r>
      <w:bookmarkEnd w:id="768"/>
      <w:bookmarkEnd w:id="769"/>
      <w:bookmarkEnd w:id="770"/>
      <w:bookmarkEnd w:id="771"/>
    </w:p>
    <w:p w14:paraId="5E6CC04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14.1 合同一方不履行合同义务、履行合同义务不符合约定或者违反合同项下所作保证的，应向对方承担继续履行、采取修理、更换、退货等补救措施或者赔偿损失等违约责任。</w:t>
      </w:r>
    </w:p>
    <w:p w14:paraId="0D19759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14.2 供方未能按时交付合同设备（包括仅迟延交付技术资料但足以导致合同设备安装、调试、考核、验收工作推迟的）的，应向需方支付迟延交付违约金。</w:t>
      </w:r>
    </w:p>
    <w:p w14:paraId="24C180EB">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违约金按照专用条款执行。</w:t>
      </w:r>
    </w:p>
    <w:p w14:paraId="2E7B8765">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迟延交付违约金的支付不能免除供方继续交付相关合同设备的义务，但如迟延交付必然导致合同设备安装、调试、考核、验收工作推迟的，相关工作应相应顺延。</w:t>
      </w:r>
    </w:p>
    <w:p w14:paraId="5406073B">
      <w:pPr>
        <w:spacing w:line="430" w:lineRule="exact"/>
        <w:ind w:firstLine="480" w:firstLineChars="200"/>
        <w:outlineLvl w:val="2"/>
        <w:rPr>
          <w:rFonts w:hint="eastAsia" w:ascii="仿宋_GB2312" w:hAnsi="仿宋" w:eastAsia="仿宋_GB2312"/>
          <w:kern w:val="0"/>
          <w:sz w:val="24"/>
          <w:highlight w:val="none"/>
        </w:rPr>
      </w:pPr>
      <w:bookmarkStart w:id="772" w:name="_Toc171623761"/>
      <w:bookmarkStart w:id="773" w:name="_Toc205977474"/>
      <w:bookmarkStart w:id="774" w:name="_Toc166753328"/>
      <w:bookmarkStart w:id="775" w:name="_Toc156895451"/>
      <w:r>
        <w:rPr>
          <w:rFonts w:hint="eastAsia" w:ascii="仿宋_GB2312" w:hAnsi="仿宋" w:eastAsia="仿宋_GB2312"/>
          <w:kern w:val="0"/>
          <w:sz w:val="24"/>
          <w:highlight w:val="none"/>
        </w:rPr>
        <w:t>15.合同的解除</w:t>
      </w:r>
      <w:bookmarkEnd w:id="772"/>
      <w:bookmarkEnd w:id="773"/>
      <w:bookmarkEnd w:id="774"/>
      <w:bookmarkEnd w:id="775"/>
    </w:p>
    <w:p w14:paraId="06503E99">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除专用合同条款另有约定外，有下述情形之一，当事人可发出书面通知全部或部分地解除合同，合同自通知到达对方时全部或部分地解除：</w:t>
      </w:r>
    </w:p>
    <w:p w14:paraId="4F7E3718">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（1）供方迟延交付合同设备超过3个月；</w:t>
      </w:r>
    </w:p>
    <w:p w14:paraId="38146072">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（2）合同设备由于供方原因三次考核均未能达到技术性能考核指标；</w:t>
      </w:r>
    </w:p>
    <w:p w14:paraId="00C4CF42">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合同一方当事人未能履行合同项下任何其他义务（细微义务除外），或在未事先征得另一方当事人同意的情况下，从事任何可能在实质上不利影响其履行合同能力的活动，经另一方当事人书面通知后14日内或在专用合同条款约定的其他期限内未能对其行为作出补救；</w:t>
      </w:r>
    </w:p>
    <w:p w14:paraId="194FC24A">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（4）合同一方当事人出现破产、清算、资不抵债、成为失信被执行人等可能丧失履约能力的情形，且未能提供令对方满意的履约保证金。</w:t>
      </w:r>
    </w:p>
    <w:p w14:paraId="23DD43EA">
      <w:pPr>
        <w:spacing w:line="430" w:lineRule="exact"/>
        <w:ind w:firstLine="480" w:firstLineChars="200"/>
        <w:outlineLvl w:val="2"/>
        <w:rPr>
          <w:rFonts w:hint="eastAsia" w:ascii="仿宋_GB2312" w:hAnsi="仿宋" w:eastAsia="仿宋_GB2312"/>
          <w:kern w:val="0"/>
          <w:sz w:val="24"/>
          <w:highlight w:val="none"/>
        </w:rPr>
      </w:pPr>
      <w:bookmarkStart w:id="776" w:name="_Toc205977475"/>
      <w:bookmarkStart w:id="777" w:name="_Toc171623762"/>
      <w:bookmarkStart w:id="778" w:name="_Toc166753329"/>
      <w:bookmarkStart w:id="779" w:name="_Toc156895452"/>
      <w:r>
        <w:rPr>
          <w:rFonts w:hint="eastAsia" w:ascii="仿宋_GB2312" w:hAnsi="仿宋" w:eastAsia="仿宋_GB2312"/>
          <w:kern w:val="0"/>
          <w:sz w:val="24"/>
          <w:highlight w:val="none"/>
        </w:rPr>
        <w:t>16.不可抗力</w:t>
      </w:r>
      <w:bookmarkEnd w:id="776"/>
      <w:bookmarkEnd w:id="777"/>
      <w:bookmarkEnd w:id="778"/>
      <w:bookmarkEnd w:id="779"/>
    </w:p>
    <w:p w14:paraId="7A831B5E">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16.1 如果任何一方当事人受到不能预见、不能避免且不能克服的不可抗力事件的影响，例如战争、严重的火灾、台风、地震、洪水和专用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14:paraId="12BDE5EA">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16.2 受不可抗力事件影响的一方当事人对于不可抗力事件导致的任何合同义务的迟延履行或不能履行不承担违约责任。但该方当事人应尽快将不可抗力事件结束或消除的情况通知另一方当事人。</w:t>
      </w:r>
    </w:p>
    <w:p w14:paraId="1A2A0E83">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16.3 双方当事人应在不可抗力事件结束或其影响消除后立即继续履行其合同义务，合同期限也应相应顺延。除专用合同条款另有约定外，如果不可抗力事件的影响持续超过140日，则任何一方当事人均有权以书面通知解除合同。</w:t>
      </w:r>
    </w:p>
    <w:p w14:paraId="5A7B7C86">
      <w:pPr>
        <w:spacing w:line="430" w:lineRule="exact"/>
        <w:ind w:firstLine="480" w:firstLineChars="200"/>
        <w:outlineLvl w:val="2"/>
        <w:rPr>
          <w:rFonts w:hint="eastAsia" w:ascii="仿宋_GB2312" w:hAnsi="仿宋" w:eastAsia="仿宋_GB2312"/>
          <w:kern w:val="0"/>
          <w:sz w:val="24"/>
          <w:highlight w:val="none"/>
        </w:rPr>
      </w:pPr>
      <w:bookmarkStart w:id="780" w:name="_Toc156895453"/>
      <w:bookmarkStart w:id="781" w:name="_Toc205977476"/>
      <w:bookmarkStart w:id="782" w:name="_Toc171623763"/>
      <w:bookmarkStart w:id="783" w:name="_Toc166753330"/>
      <w:r>
        <w:rPr>
          <w:rFonts w:hint="eastAsia" w:ascii="仿宋_GB2312" w:hAnsi="仿宋" w:eastAsia="仿宋_GB2312"/>
          <w:kern w:val="0"/>
          <w:sz w:val="24"/>
          <w:highlight w:val="none"/>
        </w:rPr>
        <w:t>17.争议的解决</w:t>
      </w:r>
      <w:bookmarkEnd w:id="780"/>
      <w:bookmarkEnd w:id="781"/>
      <w:bookmarkEnd w:id="782"/>
      <w:bookmarkEnd w:id="783"/>
    </w:p>
    <w:p w14:paraId="4E64FEB7">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因本合同引起的或与本合同有关的任何争议，双方可通过友好协商解决。友好协商解决不成的，可在专用合同条款中约定下列一种方式解决：</w:t>
      </w:r>
    </w:p>
    <w:p w14:paraId="138C8AC0">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（1）向约定的仲裁委员会申请仲裁；</w:t>
      </w:r>
    </w:p>
    <w:p w14:paraId="11B39A2E">
      <w:pPr>
        <w:spacing w:line="430" w:lineRule="exact"/>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（2）向有管辖权的人民法院提起诉讼。</w:t>
      </w:r>
      <w:r>
        <w:rPr>
          <w:rFonts w:hint="eastAsia" w:ascii="仿宋_GB2312" w:hAnsi="仿宋" w:eastAsia="仿宋_GB2312"/>
          <w:kern w:val="0"/>
          <w:sz w:val="24"/>
          <w:highlight w:val="none"/>
        </w:rPr>
        <w:br w:type="page"/>
      </w:r>
    </w:p>
    <w:p w14:paraId="322E938E">
      <w:pPr>
        <w:keepNext/>
        <w:keepLines/>
        <w:spacing w:before="260" w:after="260" w:line="416" w:lineRule="auto"/>
        <w:jc w:val="center"/>
        <w:outlineLvl w:val="1"/>
        <w:rPr>
          <w:rFonts w:hint="eastAsia" w:ascii="仿宋_GB2312" w:hAnsi="仿宋" w:eastAsia="仿宋_GB2312"/>
          <w:b/>
          <w:bCs/>
          <w:sz w:val="32"/>
          <w:szCs w:val="32"/>
          <w:highlight w:val="none"/>
        </w:rPr>
      </w:pPr>
      <w:bookmarkStart w:id="784" w:name="_Toc205977477"/>
      <w:r>
        <w:rPr>
          <w:rFonts w:hint="eastAsia" w:ascii="仿宋_GB2312" w:hAnsi="仿宋" w:eastAsia="仿宋_GB2312"/>
          <w:b/>
          <w:bCs/>
          <w:sz w:val="32"/>
          <w:szCs w:val="32"/>
          <w:highlight w:val="none"/>
        </w:rPr>
        <w:t>第三节  专用合同条款</w:t>
      </w:r>
      <w:bookmarkEnd w:id="784"/>
    </w:p>
    <w:p w14:paraId="3FDF74F2">
      <w:pPr>
        <w:spacing w:line="360" w:lineRule="auto"/>
        <w:ind w:firstLine="480" w:firstLineChars="200"/>
        <w:outlineLvl w:val="2"/>
        <w:rPr>
          <w:rFonts w:hint="eastAsia" w:ascii="仿宋_GB2312" w:hAnsi="仿宋" w:eastAsia="仿宋_GB2312"/>
          <w:kern w:val="0"/>
          <w:sz w:val="24"/>
          <w:highlight w:val="none"/>
        </w:rPr>
      </w:pPr>
      <w:bookmarkStart w:id="785" w:name="_Toc205977478"/>
      <w:bookmarkStart w:id="786" w:name="_Toc166753332"/>
      <w:bookmarkStart w:id="787" w:name="_Toc171623765"/>
      <w:r>
        <w:rPr>
          <w:rFonts w:hint="eastAsia" w:ascii="仿宋_GB2312" w:hAnsi="仿宋" w:eastAsia="仿宋_GB2312"/>
          <w:kern w:val="0"/>
          <w:sz w:val="24"/>
          <w:highlight w:val="none"/>
        </w:rPr>
        <w:t>1.一般约定</w:t>
      </w:r>
      <w:bookmarkEnd w:id="785"/>
      <w:bookmarkEnd w:id="786"/>
      <w:bookmarkEnd w:id="787"/>
    </w:p>
    <w:p w14:paraId="7A9630E4">
      <w:pPr>
        <w:spacing w:line="360" w:lineRule="auto"/>
        <w:ind w:firstLine="480" w:firstLineChars="200"/>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pPr>
      <w:r>
        <w:rPr>
          <w:rFonts w:hint="eastAsia" w:ascii="仿宋_GB2312" w:hAnsi="仿宋" w:eastAsia="仿宋_GB2312"/>
          <w:sz w:val="24"/>
          <w:highlight w:val="none"/>
        </w:rPr>
        <w:t>1.4.1.合同的生效：</w:t>
      </w:r>
      <w:r>
        <w:rPr>
          <w:rFonts w:hint="eastAsia" w:ascii="仿宋_GB2312" w:hAnsi="仿宋" w:eastAsia="仿宋_GB2312"/>
          <w:color w:val="0D0D0D" w:themeColor="text1" w:themeTint="F2"/>
          <w:sz w:val="24"/>
          <w:highlight w:val="none"/>
          <w:u w:val="single"/>
          <w14:textFill>
            <w14:solidFill>
              <w14:schemeClr w14:val="tx1">
                <w14:lumMod w14:val="95000"/>
                <w14:lumOff w14:val="5000"/>
              </w14:schemeClr>
            </w14:solidFill>
          </w14:textFill>
        </w:rPr>
        <w:t>本合同自供需双方签字盖章后生效</w:t>
      </w:r>
      <w:r>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t>。</w:t>
      </w:r>
    </w:p>
    <w:p w14:paraId="6EDE97E2">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1.4.2.合同的变更：</w:t>
      </w:r>
      <w:r>
        <w:rPr>
          <w:rFonts w:hint="eastAsia" w:ascii="仿宋_GB2312" w:hAnsi="仿宋" w:eastAsia="仿宋_GB2312"/>
          <w:sz w:val="24"/>
          <w:highlight w:val="none"/>
          <w:u w:val="single"/>
        </w:rPr>
        <w:t>执行通用合同条款</w:t>
      </w:r>
      <w:r>
        <w:rPr>
          <w:rFonts w:hint="eastAsia" w:ascii="仿宋_GB2312" w:hAnsi="仿宋" w:eastAsia="仿宋_GB2312"/>
          <w:sz w:val="24"/>
          <w:highlight w:val="none"/>
        </w:rPr>
        <w:t>。</w:t>
      </w:r>
    </w:p>
    <w:p w14:paraId="6C759915">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1.5.1.联络人及联系方式：</w:t>
      </w:r>
    </w:p>
    <w:p w14:paraId="767EAEB1">
      <w:pPr>
        <w:spacing w:line="360" w:lineRule="auto"/>
        <w:ind w:firstLine="480" w:firstLineChars="200"/>
        <w:jc w:val="left"/>
        <w:rPr>
          <w:rFonts w:hint="eastAsia" w:ascii="仿宋_GB2312" w:hAnsi="仿宋" w:eastAsia="仿宋_GB2312"/>
          <w:sz w:val="24"/>
          <w:highlight w:val="none"/>
        </w:rPr>
      </w:pPr>
      <w:r>
        <w:rPr>
          <w:rFonts w:hint="eastAsia" w:ascii="仿宋_GB2312" w:hAnsi="仿宋" w:eastAsia="仿宋_GB2312"/>
          <w:sz w:val="24"/>
          <w:highlight w:val="none"/>
        </w:rPr>
        <w:t>（1）收货单位</w:t>
      </w:r>
    </w:p>
    <w:p w14:paraId="7500A413">
      <w:pPr>
        <w:tabs>
          <w:tab w:val="right" w:pos="8731"/>
        </w:tabs>
        <w:spacing w:line="360" w:lineRule="auto"/>
        <w:ind w:firstLine="480" w:firstLineChars="200"/>
        <w:jc w:val="left"/>
        <w:rPr>
          <w:rFonts w:hint="eastAsia" w:ascii="仿宋_GB2312" w:hAnsi="仿宋" w:eastAsia="仿宋_GB2312" w:cs="仿宋"/>
          <w:kern w:val="0"/>
          <w:sz w:val="24"/>
          <w:highlight w:val="none"/>
        </w:rPr>
      </w:pPr>
      <w:r>
        <w:rPr>
          <w:rFonts w:hint="eastAsia" w:ascii="仿宋_GB2312" w:hAnsi="仿宋" w:eastAsia="仿宋_GB2312" w:cs="仿宋"/>
          <w:kern w:val="0"/>
          <w:sz w:val="24"/>
          <w:highlight w:val="none"/>
        </w:rPr>
        <w:t>收货单位：</w:t>
      </w:r>
      <w:r>
        <w:rPr>
          <w:rFonts w:hint="eastAsia" w:ascii="仿宋_GB2312" w:hAnsi="仿宋" w:eastAsia="仿宋_GB2312" w:cs="仿宋"/>
          <w:kern w:val="0"/>
          <w:sz w:val="24"/>
          <w:highlight w:val="none"/>
          <w:u w:val="single"/>
        </w:rPr>
        <w:t xml:space="preserve">                </w:t>
      </w:r>
    </w:p>
    <w:p w14:paraId="34A35CC5">
      <w:pPr>
        <w:spacing w:line="360" w:lineRule="auto"/>
        <w:ind w:firstLine="480" w:firstLineChars="200"/>
        <w:jc w:val="left"/>
        <w:rPr>
          <w:rFonts w:hint="eastAsia" w:ascii="仿宋_GB2312" w:hAnsi="仿宋" w:eastAsia="仿宋_GB2312" w:cs="仿宋"/>
          <w:kern w:val="0"/>
          <w:sz w:val="24"/>
          <w:highlight w:val="none"/>
        </w:rPr>
      </w:pPr>
      <w:r>
        <w:rPr>
          <w:rFonts w:hint="eastAsia" w:ascii="仿宋_GB2312" w:hAnsi="仿宋" w:eastAsia="仿宋_GB2312" w:cs="仿宋"/>
          <w:bCs/>
          <w:kern w:val="0"/>
          <w:sz w:val="24"/>
          <w:highlight w:val="none"/>
        </w:rPr>
        <w:t>收货</w:t>
      </w:r>
      <w:r>
        <w:rPr>
          <w:rFonts w:hint="eastAsia" w:ascii="仿宋_GB2312" w:hAnsi="仿宋" w:eastAsia="仿宋_GB2312" w:cs="仿宋"/>
          <w:kern w:val="0"/>
          <w:sz w:val="24"/>
          <w:highlight w:val="none"/>
        </w:rPr>
        <w:t>联系人：</w:t>
      </w:r>
      <w:r>
        <w:rPr>
          <w:rFonts w:hint="eastAsia" w:ascii="仿宋_GB2312" w:hAnsi="宋体" w:eastAsia="仿宋_GB2312" w:cs="宋体"/>
          <w:bCs/>
          <w:sz w:val="24"/>
          <w:highlight w:val="none"/>
          <w:u w:val="single"/>
        </w:rPr>
        <w:t xml:space="preserve">           </w:t>
      </w:r>
      <w:r>
        <w:rPr>
          <w:rFonts w:hint="eastAsia" w:ascii="仿宋_GB2312" w:hAnsi="仿宋" w:eastAsia="仿宋_GB2312" w:cs="仿宋"/>
          <w:kern w:val="0"/>
          <w:sz w:val="24"/>
          <w:highlight w:val="none"/>
          <w:u w:val="single"/>
        </w:rPr>
        <w:t xml:space="preserve"> </w:t>
      </w:r>
    </w:p>
    <w:p w14:paraId="7A2AD2BF">
      <w:pPr>
        <w:spacing w:line="360" w:lineRule="auto"/>
        <w:ind w:firstLine="480" w:firstLineChars="200"/>
        <w:jc w:val="left"/>
        <w:rPr>
          <w:rFonts w:hint="eastAsia" w:ascii="仿宋_GB2312" w:hAnsi="仿宋" w:eastAsia="仿宋_GB2312" w:cs="仿宋"/>
          <w:kern w:val="0"/>
          <w:sz w:val="24"/>
          <w:highlight w:val="none"/>
        </w:rPr>
      </w:pPr>
      <w:r>
        <w:rPr>
          <w:rFonts w:hint="eastAsia" w:ascii="仿宋_GB2312" w:hAnsi="仿宋" w:eastAsia="仿宋_GB2312" w:cs="仿宋"/>
          <w:kern w:val="0"/>
          <w:sz w:val="24"/>
          <w:highlight w:val="none"/>
        </w:rPr>
        <w:t>联系电话：</w:t>
      </w:r>
      <w:r>
        <w:rPr>
          <w:rFonts w:hint="eastAsia" w:ascii="仿宋_GB2312" w:hAnsi="宋体" w:eastAsia="仿宋_GB2312" w:cs="宋体"/>
          <w:spacing w:val="-13"/>
          <w:sz w:val="24"/>
          <w:highlight w:val="none"/>
          <w:u w:val="single"/>
        </w:rPr>
        <w:t xml:space="preserve">                </w:t>
      </w:r>
      <w:r>
        <w:rPr>
          <w:rFonts w:hint="eastAsia" w:ascii="仿宋_GB2312" w:hAnsi="仿宋" w:eastAsia="仿宋_GB2312" w:cs="仿宋"/>
          <w:kern w:val="0"/>
          <w:sz w:val="24"/>
          <w:highlight w:val="none"/>
          <w:u w:val="single"/>
        </w:rPr>
        <w:t xml:space="preserve"> </w:t>
      </w:r>
    </w:p>
    <w:p w14:paraId="57E3D9C7">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（2）供货单位</w:t>
      </w:r>
    </w:p>
    <w:p w14:paraId="5B2692D0">
      <w:pPr>
        <w:tabs>
          <w:tab w:val="right" w:pos="8731"/>
        </w:tabs>
        <w:spacing w:line="360" w:lineRule="auto"/>
        <w:ind w:firstLine="480" w:firstLineChars="200"/>
        <w:jc w:val="left"/>
        <w:rPr>
          <w:rFonts w:hint="eastAsia" w:ascii="仿宋_GB2312" w:hAnsi="仿宋" w:eastAsia="仿宋_GB2312" w:cs="仿宋"/>
          <w:kern w:val="0"/>
          <w:sz w:val="24"/>
          <w:highlight w:val="none"/>
        </w:rPr>
      </w:pPr>
      <w:r>
        <w:rPr>
          <w:rFonts w:hint="eastAsia" w:ascii="仿宋_GB2312" w:hAnsi="仿宋" w:eastAsia="仿宋_GB2312" w:cs="仿宋"/>
          <w:kern w:val="0"/>
          <w:sz w:val="24"/>
          <w:highlight w:val="none"/>
        </w:rPr>
        <w:t>供货单位：</w:t>
      </w:r>
      <w:r>
        <w:rPr>
          <w:rFonts w:hint="eastAsia" w:ascii="仿宋_GB2312" w:hAnsi="仿宋" w:eastAsia="仿宋_GB2312" w:cs="仿宋"/>
          <w:kern w:val="0"/>
          <w:sz w:val="24"/>
          <w:highlight w:val="none"/>
          <w:u w:val="single"/>
        </w:rPr>
        <w:t xml:space="preserve">          </w:t>
      </w:r>
    </w:p>
    <w:p w14:paraId="71DB2880">
      <w:pPr>
        <w:spacing w:line="360" w:lineRule="auto"/>
        <w:ind w:firstLine="480" w:firstLineChars="200"/>
        <w:jc w:val="left"/>
        <w:rPr>
          <w:rFonts w:hint="eastAsia" w:ascii="仿宋_GB2312" w:hAnsi="仿宋" w:eastAsia="仿宋_GB2312" w:cs="仿宋"/>
          <w:kern w:val="0"/>
          <w:sz w:val="24"/>
          <w:highlight w:val="none"/>
          <w:u w:val="single"/>
        </w:rPr>
      </w:pPr>
      <w:r>
        <w:rPr>
          <w:rFonts w:hint="eastAsia" w:ascii="仿宋_GB2312" w:hAnsi="仿宋" w:eastAsia="仿宋_GB2312" w:cs="仿宋"/>
          <w:bCs/>
          <w:kern w:val="0"/>
          <w:sz w:val="24"/>
          <w:highlight w:val="none"/>
        </w:rPr>
        <w:t>供货</w:t>
      </w:r>
      <w:r>
        <w:rPr>
          <w:rFonts w:hint="eastAsia" w:ascii="仿宋_GB2312" w:hAnsi="仿宋" w:eastAsia="仿宋_GB2312" w:cs="仿宋"/>
          <w:kern w:val="0"/>
          <w:sz w:val="24"/>
          <w:highlight w:val="none"/>
        </w:rPr>
        <w:t>联系人：</w:t>
      </w:r>
      <w:r>
        <w:rPr>
          <w:rFonts w:hint="eastAsia" w:ascii="仿宋_GB2312" w:hAnsi="仿宋" w:eastAsia="仿宋_GB2312" w:cs="仿宋"/>
          <w:kern w:val="0"/>
          <w:sz w:val="24"/>
          <w:highlight w:val="none"/>
          <w:u w:val="single"/>
        </w:rPr>
        <w:t xml:space="preserve">       </w:t>
      </w:r>
    </w:p>
    <w:p w14:paraId="7FADA8C3">
      <w:pPr>
        <w:spacing w:line="360" w:lineRule="auto"/>
        <w:ind w:firstLine="480" w:firstLineChars="200"/>
        <w:jc w:val="left"/>
        <w:rPr>
          <w:rFonts w:hint="eastAsia" w:ascii="仿宋_GB2312" w:hAnsi="仿宋" w:eastAsia="仿宋_GB2312" w:cs="仿宋"/>
          <w:kern w:val="0"/>
          <w:sz w:val="24"/>
          <w:highlight w:val="none"/>
          <w:u w:val="single"/>
        </w:rPr>
      </w:pPr>
      <w:r>
        <w:rPr>
          <w:rFonts w:hint="eastAsia" w:ascii="仿宋_GB2312" w:hAnsi="仿宋" w:eastAsia="仿宋_GB2312" w:cs="仿宋"/>
          <w:kern w:val="0"/>
          <w:sz w:val="24"/>
          <w:highlight w:val="none"/>
        </w:rPr>
        <w:t>联系电话：</w:t>
      </w:r>
      <w:r>
        <w:rPr>
          <w:rFonts w:hint="eastAsia" w:ascii="仿宋_GB2312" w:hAnsi="仿宋" w:eastAsia="仿宋_GB2312" w:cs="仿宋"/>
          <w:kern w:val="0"/>
          <w:sz w:val="24"/>
          <w:highlight w:val="none"/>
          <w:u w:val="single"/>
        </w:rPr>
        <w:t xml:space="preserve">        </w:t>
      </w:r>
    </w:p>
    <w:p w14:paraId="44304131">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（3）供方应于货物启运后，立即以书面形式通知需方合同号、货物名称、数量、毛重、最大高度、发票价值、车皮号或地点、交货条件和启运日期及预计到达时间。</w:t>
      </w:r>
    </w:p>
    <w:p w14:paraId="0A41D47D">
      <w:pPr>
        <w:spacing w:line="360" w:lineRule="auto"/>
        <w:ind w:firstLine="480" w:firstLineChars="200"/>
        <w:outlineLvl w:val="2"/>
        <w:rPr>
          <w:rFonts w:hint="eastAsia" w:ascii="仿宋_GB2312" w:hAnsi="仿宋" w:eastAsia="仿宋_GB2312"/>
          <w:kern w:val="0"/>
          <w:sz w:val="24"/>
          <w:highlight w:val="none"/>
        </w:rPr>
      </w:pPr>
      <w:bookmarkStart w:id="788" w:name="_Toc205977479"/>
      <w:bookmarkStart w:id="789" w:name="_Toc171623766"/>
      <w:bookmarkStart w:id="790" w:name="_Toc166753333"/>
      <w:r>
        <w:rPr>
          <w:rFonts w:hint="eastAsia" w:ascii="仿宋_GB2312" w:hAnsi="仿宋" w:eastAsia="仿宋_GB2312"/>
          <w:kern w:val="0"/>
          <w:sz w:val="24"/>
          <w:highlight w:val="none"/>
        </w:rPr>
        <w:t>2.合同范围</w:t>
      </w:r>
      <w:bookmarkEnd w:id="788"/>
      <w:bookmarkEnd w:id="789"/>
      <w:bookmarkEnd w:id="790"/>
    </w:p>
    <w:p w14:paraId="1A81712A">
      <w:pPr>
        <w:spacing w:line="360" w:lineRule="auto"/>
        <w:ind w:firstLine="480" w:firstLineChars="200"/>
        <w:rPr>
          <w:rFonts w:hint="eastAsia" w:ascii="仿宋_GB2312" w:hAnsi="仿宋" w:eastAsia="仿宋_GB2312" w:cs="仿宋"/>
          <w:kern w:val="0"/>
          <w:sz w:val="24"/>
          <w:szCs w:val="20"/>
          <w:highlight w:val="none"/>
        </w:rPr>
      </w:pPr>
      <w:r>
        <w:rPr>
          <w:rFonts w:hint="eastAsia" w:ascii="仿宋_GB2312" w:hAnsi="仿宋" w:eastAsia="仿宋_GB2312" w:cs="仿宋"/>
          <w:kern w:val="0"/>
          <w:sz w:val="24"/>
          <w:szCs w:val="20"/>
          <w:highlight w:val="none"/>
        </w:rPr>
        <w:t>2.1 本合同所称“货物”是指供方按本合同要求，向需方提供的所有货物及所有相关技术资料和证明文件。</w:t>
      </w:r>
    </w:p>
    <w:tbl>
      <w:tblPr>
        <w:tblStyle w:val="27"/>
        <w:tblpPr w:leftFromText="180" w:rightFromText="180" w:vertAnchor="text" w:horzAnchor="margin" w:tblpX="-147" w:tblpY="101"/>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3964"/>
        <w:gridCol w:w="709"/>
        <w:gridCol w:w="708"/>
        <w:gridCol w:w="851"/>
        <w:gridCol w:w="992"/>
        <w:gridCol w:w="1389"/>
      </w:tblGrid>
      <w:tr w14:paraId="5040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blHeader/>
        </w:trPr>
        <w:tc>
          <w:tcPr>
            <w:tcW w:w="709" w:type="dxa"/>
            <w:vAlign w:val="center"/>
          </w:tcPr>
          <w:p w14:paraId="72DF231C">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序号</w:t>
            </w:r>
          </w:p>
        </w:tc>
        <w:tc>
          <w:tcPr>
            <w:tcW w:w="709" w:type="dxa"/>
            <w:vAlign w:val="center"/>
          </w:tcPr>
          <w:p w14:paraId="7552D49E">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货物名称</w:t>
            </w:r>
          </w:p>
        </w:tc>
        <w:tc>
          <w:tcPr>
            <w:tcW w:w="3964" w:type="dxa"/>
            <w:vAlign w:val="center"/>
          </w:tcPr>
          <w:p w14:paraId="05B39D86">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型号规格</w:t>
            </w:r>
          </w:p>
        </w:tc>
        <w:tc>
          <w:tcPr>
            <w:tcW w:w="709" w:type="dxa"/>
            <w:vAlign w:val="center"/>
          </w:tcPr>
          <w:p w14:paraId="56AED55A">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单位</w:t>
            </w:r>
          </w:p>
        </w:tc>
        <w:tc>
          <w:tcPr>
            <w:tcW w:w="708" w:type="dxa"/>
            <w:vAlign w:val="center"/>
          </w:tcPr>
          <w:p w14:paraId="0C3BB5F7">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数量</w:t>
            </w:r>
          </w:p>
        </w:tc>
        <w:tc>
          <w:tcPr>
            <w:tcW w:w="851" w:type="dxa"/>
            <w:vAlign w:val="center"/>
          </w:tcPr>
          <w:p w14:paraId="69C07728">
            <w:pPr>
              <w:adjustRightInd w:val="0"/>
              <w:snapToGrid w:val="0"/>
              <w:spacing w:line="240" w:lineRule="exact"/>
              <w:ind w:left="-57"/>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单价</w:t>
            </w:r>
          </w:p>
          <w:p w14:paraId="17A81CBD">
            <w:pPr>
              <w:adjustRightInd w:val="0"/>
              <w:snapToGrid w:val="0"/>
              <w:spacing w:line="240" w:lineRule="exact"/>
              <w:ind w:left="-57"/>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（元）</w:t>
            </w:r>
          </w:p>
        </w:tc>
        <w:tc>
          <w:tcPr>
            <w:tcW w:w="992" w:type="dxa"/>
            <w:vAlign w:val="center"/>
          </w:tcPr>
          <w:p w14:paraId="27634505">
            <w:pPr>
              <w:adjustRightInd w:val="0"/>
              <w:snapToGrid w:val="0"/>
              <w:spacing w:line="240" w:lineRule="exact"/>
              <w:ind w:left="-57"/>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总价</w:t>
            </w:r>
          </w:p>
          <w:p w14:paraId="265B99CC">
            <w:pPr>
              <w:adjustRightInd w:val="0"/>
              <w:snapToGrid w:val="0"/>
              <w:spacing w:line="240" w:lineRule="exact"/>
              <w:ind w:left="-57"/>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（元）</w:t>
            </w:r>
          </w:p>
        </w:tc>
        <w:tc>
          <w:tcPr>
            <w:tcW w:w="1389" w:type="dxa"/>
            <w:vAlign w:val="center"/>
          </w:tcPr>
          <w:p w14:paraId="2327FDCE">
            <w:pPr>
              <w:spacing w:line="240" w:lineRule="exact"/>
              <w:jc w:val="center"/>
              <w:rPr>
                <w:rFonts w:hint="eastAsia" w:ascii="仿宋_GB2312" w:hAnsi="仿宋" w:eastAsia="仿宋_GB2312" w:cs="仿宋"/>
                <w:b/>
                <w:bCs/>
                <w:kern w:val="0"/>
                <w:szCs w:val="21"/>
                <w:highlight w:val="none"/>
              </w:rPr>
            </w:pPr>
            <w:r>
              <w:rPr>
                <w:rFonts w:hint="eastAsia" w:ascii="仿宋_GB2312" w:hAnsi="仿宋" w:eastAsia="仿宋_GB2312" w:cs="仿宋"/>
                <w:b/>
                <w:bCs/>
                <w:kern w:val="0"/>
                <w:szCs w:val="21"/>
                <w:highlight w:val="none"/>
              </w:rPr>
              <w:t>备注</w:t>
            </w:r>
          </w:p>
        </w:tc>
      </w:tr>
      <w:tr w14:paraId="17CD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09" w:type="dxa"/>
            <w:vAlign w:val="center"/>
          </w:tcPr>
          <w:p w14:paraId="55B05342">
            <w:pPr>
              <w:spacing w:line="360" w:lineRule="auto"/>
              <w:jc w:val="center"/>
              <w:rPr>
                <w:rFonts w:hint="eastAsia" w:ascii="仿宋_GB2312" w:hAnsi="仿宋" w:eastAsia="仿宋_GB2312" w:cs="仿宋"/>
                <w:kern w:val="0"/>
                <w:sz w:val="20"/>
                <w:szCs w:val="15"/>
                <w:highlight w:val="none"/>
              </w:rPr>
            </w:pPr>
            <w:r>
              <w:rPr>
                <w:rFonts w:hint="eastAsia" w:ascii="仿宋_GB2312" w:hAnsi="仿宋" w:eastAsia="仿宋_GB2312" w:cs="仿宋"/>
                <w:kern w:val="0"/>
                <w:sz w:val="20"/>
                <w:szCs w:val="15"/>
                <w:highlight w:val="none"/>
              </w:rPr>
              <w:t>1</w:t>
            </w:r>
          </w:p>
        </w:tc>
        <w:tc>
          <w:tcPr>
            <w:tcW w:w="709" w:type="dxa"/>
            <w:vAlign w:val="center"/>
          </w:tcPr>
          <w:p w14:paraId="6876EFD4">
            <w:pPr>
              <w:spacing w:line="240" w:lineRule="exact"/>
              <w:rPr>
                <w:rFonts w:hint="eastAsia" w:ascii="仿宋_GB2312" w:hAnsi="仿宋" w:eastAsia="仿宋_GB2312" w:cs="仿宋"/>
                <w:kern w:val="0"/>
                <w:sz w:val="20"/>
                <w:szCs w:val="15"/>
                <w:highlight w:val="none"/>
              </w:rPr>
            </w:pPr>
          </w:p>
        </w:tc>
        <w:tc>
          <w:tcPr>
            <w:tcW w:w="3964" w:type="dxa"/>
            <w:vAlign w:val="center"/>
          </w:tcPr>
          <w:p w14:paraId="35DB8496">
            <w:pPr>
              <w:adjustRightInd w:val="0"/>
              <w:snapToGrid w:val="0"/>
              <w:spacing w:line="280" w:lineRule="exact"/>
              <w:jc w:val="left"/>
              <w:rPr>
                <w:rFonts w:hint="eastAsia" w:ascii="仿宋_GB2312" w:hAnsi="宋体" w:eastAsia="仿宋_GB2312" w:cs="仿宋"/>
                <w:kern w:val="0"/>
                <w:szCs w:val="21"/>
                <w:highlight w:val="none"/>
              </w:rPr>
            </w:pPr>
          </w:p>
        </w:tc>
        <w:tc>
          <w:tcPr>
            <w:tcW w:w="709" w:type="dxa"/>
            <w:vAlign w:val="center"/>
          </w:tcPr>
          <w:p w14:paraId="417A4FE6">
            <w:pPr>
              <w:adjustRightInd w:val="0"/>
              <w:snapToGrid w:val="0"/>
              <w:jc w:val="center"/>
              <w:rPr>
                <w:rFonts w:hint="eastAsia" w:ascii="仿宋_GB2312" w:hAnsi="仿宋" w:eastAsia="仿宋_GB2312" w:cs="仿宋"/>
                <w:kern w:val="0"/>
                <w:sz w:val="20"/>
                <w:szCs w:val="15"/>
                <w:highlight w:val="none"/>
              </w:rPr>
            </w:pPr>
          </w:p>
        </w:tc>
        <w:tc>
          <w:tcPr>
            <w:tcW w:w="708" w:type="dxa"/>
            <w:vAlign w:val="center"/>
          </w:tcPr>
          <w:p w14:paraId="0C58097E">
            <w:pPr>
              <w:adjustRightInd w:val="0"/>
              <w:snapToGrid w:val="0"/>
              <w:jc w:val="center"/>
              <w:rPr>
                <w:rFonts w:hint="eastAsia" w:ascii="仿宋_GB2312" w:hAnsi="仿宋" w:eastAsia="仿宋_GB2312" w:cs="仿宋"/>
                <w:kern w:val="0"/>
                <w:sz w:val="20"/>
                <w:szCs w:val="15"/>
                <w:highlight w:val="none"/>
              </w:rPr>
            </w:pPr>
          </w:p>
        </w:tc>
        <w:tc>
          <w:tcPr>
            <w:tcW w:w="851" w:type="dxa"/>
            <w:vAlign w:val="center"/>
          </w:tcPr>
          <w:p w14:paraId="2870DF92">
            <w:pPr>
              <w:adjustRightInd w:val="0"/>
              <w:snapToGrid w:val="0"/>
              <w:jc w:val="center"/>
              <w:rPr>
                <w:rStyle w:val="62"/>
                <w:rFonts w:hint="default" w:ascii="仿宋_GB2312" w:hAnsi="宋体" w:eastAsia="仿宋_GB2312"/>
                <w:szCs w:val="21"/>
                <w:highlight w:val="none"/>
              </w:rPr>
            </w:pPr>
          </w:p>
        </w:tc>
        <w:tc>
          <w:tcPr>
            <w:tcW w:w="992" w:type="dxa"/>
            <w:vAlign w:val="center"/>
          </w:tcPr>
          <w:p w14:paraId="0D3DB1BE">
            <w:pPr>
              <w:adjustRightInd w:val="0"/>
              <w:snapToGrid w:val="0"/>
              <w:rPr>
                <w:rStyle w:val="62"/>
                <w:rFonts w:hint="default" w:ascii="仿宋_GB2312" w:hAnsi="宋体" w:eastAsia="仿宋_GB2312"/>
                <w:szCs w:val="21"/>
                <w:highlight w:val="none"/>
              </w:rPr>
            </w:pPr>
          </w:p>
        </w:tc>
        <w:tc>
          <w:tcPr>
            <w:tcW w:w="1389" w:type="dxa"/>
            <w:vAlign w:val="center"/>
          </w:tcPr>
          <w:p w14:paraId="12D8875D">
            <w:pPr>
              <w:adjustRightInd w:val="0"/>
              <w:snapToGrid w:val="0"/>
              <w:spacing w:line="240" w:lineRule="exact"/>
              <w:rPr>
                <w:rFonts w:hint="eastAsia" w:ascii="仿宋_GB2312" w:hAnsi="仿宋" w:eastAsia="仿宋_GB2312" w:cs="仿宋"/>
                <w:kern w:val="0"/>
                <w:sz w:val="20"/>
                <w:szCs w:val="15"/>
                <w:highlight w:val="none"/>
              </w:rPr>
            </w:pPr>
          </w:p>
        </w:tc>
      </w:tr>
      <w:tr w14:paraId="7923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09" w:type="dxa"/>
            <w:vAlign w:val="center"/>
          </w:tcPr>
          <w:p w14:paraId="4AE1F825">
            <w:pPr>
              <w:spacing w:line="360" w:lineRule="auto"/>
              <w:jc w:val="center"/>
              <w:rPr>
                <w:rFonts w:hint="eastAsia" w:ascii="仿宋_GB2312" w:hAnsi="仿宋" w:eastAsia="仿宋_GB2312" w:cs="仿宋"/>
                <w:kern w:val="0"/>
                <w:sz w:val="20"/>
                <w:szCs w:val="15"/>
                <w:highlight w:val="none"/>
              </w:rPr>
            </w:pPr>
            <w:r>
              <w:rPr>
                <w:rFonts w:hint="eastAsia" w:ascii="仿宋_GB2312" w:hAnsi="仿宋" w:eastAsia="仿宋_GB2312" w:cs="仿宋"/>
                <w:kern w:val="0"/>
                <w:sz w:val="20"/>
                <w:szCs w:val="15"/>
                <w:highlight w:val="none"/>
              </w:rPr>
              <w:t>2</w:t>
            </w:r>
          </w:p>
        </w:tc>
        <w:tc>
          <w:tcPr>
            <w:tcW w:w="709" w:type="dxa"/>
            <w:vAlign w:val="center"/>
          </w:tcPr>
          <w:p w14:paraId="59F9909C">
            <w:pPr>
              <w:spacing w:line="240" w:lineRule="exact"/>
              <w:rPr>
                <w:rFonts w:hint="eastAsia" w:ascii="仿宋_GB2312" w:hAnsi="仿宋" w:eastAsia="仿宋_GB2312" w:cs="仿宋"/>
                <w:kern w:val="0"/>
                <w:sz w:val="20"/>
                <w:szCs w:val="15"/>
                <w:highlight w:val="none"/>
              </w:rPr>
            </w:pPr>
          </w:p>
        </w:tc>
        <w:tc>
          <w:tcPr>
            <w:tcW w:w="3964" w:type="dxa"/>
            <w:vAlign w:val="center"/>
          </w:tcPr>
          <w:p w14:paraId="562DA376">
            <w:pPr>
              <w:adjustRightInd w:val="0"/>
              <w:snapToGrid w:val="0"/>
              <w:spacing w:line="280" w:lineRule="exact"/>
              <w:jc w:val="left"/>
              <w:rPr>
                <w:rFonts w:hint="eastAsia" w:ascii="仿宋_GB2312" w:hAnsi="宋体" w:eastAsia="仿宋_GB2312" w:cs="仿宋"/>
                <w:kern w:val="0"/>
                <w:szCs w:val="21"/>
                <w:highlight w:val="none"/>
              </w:rPr>
            </w:pPr>
          </w:p>
        </w:tc>
        <w:tc>
          <w:tcPr>
            <w:tcW w:w="709" w:type="dxa"/>
            <w:vAlign w:val="center"/>
          </w:tcPr>
          <w:p w14:paraId="2FE4CA33">
            <w:pPr>
              <w:adjustRightInd w:val="0"/>
              <w:snapToGrid w:val="0"/>
              <w:jc w:val="center"/>
              <w:rPr>
                <w:rFonts w:hint="eastAsia" w:ascii="仿宋_GB2312" w:hAnsi="仿宋" w:eastAsia="仿宋_GB2312" w:cs="仿宋"/>
                <w:kern w:val="0"/>
                <w:sz w:val="20"/>
                <w:szCs w:val="15"/>
                <w:highlight w:val="none"/>
              </w:rPr>
            </w:pPr>
          </w:p>
        </w:tc>
        <w:tc>
          <w:tcPr>
            <w:tcW w:w="708" w:type="dxa"/>
            <w:vAlign w:val="center"/>
          </w:tcPr>
          <w:p w14:paraId="772DC251">
            <w:pPr>
              <w:adjustRightInd w:val="0"/>
              <w:snapToGrid w:val="0"/>
              <w:jc w:val="center"/>
              <w:rPr>
                <w:rFonts w:hint="eastAsia" w:ascii="仿宋_GB2312" w:hAnsi="仿宋" w:eastAsia="仿宋_GB2312" w:cs="仿宋"/>
                <w:kern w:val="0"/>
                <w:sz w:val="20"/>
                <w:szCs w:val="15"/>
                <w:highlight w:val="none"/>
              </w:rPr>
            </w:pPr>
          </w:p>
        </w:tc>
        <w:tc>
          <w:tcPr>
            <w:tcW w:w="851" w:type="dxa"/>
            <w:vAlign w:val="center"/>
          </w:tcPr>
          <w:p w14:paraId="31849BAE">
            <w:pPr>
              <w:adjustRightInd w:val="0"/>
              <w:snapToGrid w:val="0"/>
              <w:jc w:val="center"/>
              <w:rPr>
                <w:rStyle w:val="62"/>
                <w:rFonts w:hint="default" w:ascii="仿宋_GB2312" w:hAnsi="宋体" w:eastAsia="仿宋_GB2312"/>
                <w:szCs w:val="21"/>
                <w:highlight w:val="none"/>
              </w:rPr>
            </w:pPr>
          </w:p>
        </w:tc>
        <w:tc>
          <w:tcPr>
            <w:tcW w:w="992" w:type="dxa"/>
            <w:vAlign w:val="center"/>
          </w:tcPr>
          <w:p w14:paraId="47553E99">
            <w:pPr>
              <w:adjustRightInd w:val="0"/>
              <w:snapToGrid w:val="0"/>
              <w:rPr>
                <w:rStyle w:val="62"/>
                <w:rFonts w:hint="default" w:ascii="仿宋_GB2312" w:hAnsi="宋体" w:eastAsia="仿宋_GB2312"/>
                <w:szCs w:val="21"/>
                <w:highlight w:val="none"/>
              </w:rPr>
            </w:pPr>
          </w:p>
        </w:tc>
        <w:tc>
          <w:tcPr>
            <w:tcW w:w="1389" w:type="dxa"/>
            <w:vAlign w:val="center"/>
          </w:tcPr>
          <w:p w14:paraId="2C4F4C00">
            <w:pPr>
              <w:adjustRightInd w:val="0"/>
              <w:snapToGrid w:val="0"/>
              <w:spacing w:line="240" w:lineRule="exact"/>
              <w:rPr>
                <w:rFonts w:hint="eastAsia" w:ascii="仿宋_GB2312" w:hAnsi="仿宋" w:eastAsia="仿宋_GB2312" w:cs="仿宋"/>
                <w:kern w:val="0"/>
                <w:sz w:val="20"/>
                <w:szCs w:val="15"/>
                <w:highlight w:val="none"/>
              </w:rPr>
            </w:pPr>
          </w:p>
        </w:tc>
      </w:tr>
      <w:tr w14:paraId="291D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09" w:type="dxa"/>
            <w:vAlign w:val="center"/>
          </w:tcPr>
          <w:p w14:paraId="5C9B36BF">
            <w:pPr>
              <w:spacing w:line="360" w:lineRule="auto"/>
              <w:jc w:val="center"/>
              <w:rPr>
                <w:rFonts w:hint="eastAsia" w:ascii="仿宋_GB2312" w:hAnsi="仿宋" w:eastAsia="仿宋_GB2312" w:cs="仿宋"/>
                <w:kern w:val="0"/>
                <w:sz w:val="20"/>
                <w:szCs w:val="15"/>
                <w:highlight w:val="none"/>
              </w:rPr>
            </w:pPr>
            <w:r>
              <w:rPr>
                <w:rFonts w:hint="eastAsia" w:ascii="仿宋_GB2312" w:hAnsi="仿宋" w:eastAsia="仿宋_GB2312" w:cs="仿宋"/>
                <w:kern w:val="0"/>
                <w:sz w:val="20"/>
                <w:szCs w:val="15"/>
                <w:highlight w:val="none"/>
              </w:rPr>
              <w:t>3</w:t>
            </w:r>
          </w:p>
        </w:tc>
        <w:tc>
          <w:tcPr>
            <w:tcW w:w="709" w:type="dxa"/>
            <w:vAlign w:val="center"/>
          </w:tcPr>
          <w:p w14:paraId="49902B02">
            <w:pPr>
              <w:spacing w:line="240" w:lineRule="exact"/>
              <w:rPr>
                <w:rFonts w:hint="eastAsia" w:ascii="仿宋_GB2312" w:hAnsi="仿宋" w:eastAsia="仿宋_GB2312" w:cs="仿宋"/>
                <w:kern w:val="0"/>
                <w:sz w:val="20"/>
                <w:szCs w:val="15"/>
                <w:highlight w:val="none"/>
              </w:rPr>
            </w:pPr>
          </w:p>
        </w:tc>
        <w:tc>
          <w:tcPr>
            <w:tcW w:w="3964" w:type="dxa"/>
            <w:vAlign w:val="center"/>
          </w:tcPr>
          <w:p w14:paraId="3ACEBB9A">
            <w:pPr>
              <w:adjustRightInd w:val="0"/>
              <w:snapToGrid w:val="0"/>
              <w:spacing w:line="280" w:lineRule="exact"/>
              <w:jc w:val="left"/>
              <w:rPr>
                <w:rFonts w:hint="eastAsia" w:ascii="仿宋_GB2312" w:hAnsi="宋体" w:eastAsia="仿宋_GB2312" w:cs="仿宋"/>
                <w:kern w:val="0"/>
                <w:szCs w:val="21"/>
                <w:highlight w:val="none"/>
              </w:rPr>
            </w:pPr>
          </w:p>
        </w:tc>
        <w:tc>
          <w:tcPr>
            <w:tcW w:w="709" w:type="dxa"/>
            <w:vAlign w:val="center"/>
          </w:tcPr>
          <w:p w14:paraId="27FFCE8D">
            <w:pPr>
              <w:adjustRightInd w:val="0"/>
              <w:snapToGrid w:val="0"/>
              <w:jc w:val="center"/>
              <w:rPr>
                <w:rFonts w:hint="eastAsia" w:ascii="仿宋_GB2312" w:hAnsi="仿宋" w:eastAsia="仿宋_GB2312" w:cs="仿宋"/>
                <w:kern w:val="0"/>
                <w:sz w:val="20"/>
                <w:szCs w:val="15"/>
                <w:highlight w:val="none"/>
              </w:rPr>
            </w:pPr>
          </w:p>
        </w:tc>
        <w:tc>
          <w:tcPr>
            <w:tcW w:w="708" w:type="dxa"/>
            <w:vAlign w:val="center"/>
          </w:tcPr>
          <w:p w14:paraId="1BA3B544">
            <w:pPr>
              <w:adjustRightInd w:val="0"/>
              <w:snapToGrid w:val="0"/>
              <w:jc w:val="center"/>
              <w:rPr>
                <w:rFonts w:hint="eastAsia" w:ascii="仿宋_GB2312" w:hAnsi="仿宋" w:eastAsia="仿宋_GB2312" w:cs="仿宋"/>
                <w:kern w:val="0"/>
                <w:sz w:val="20"/>
                <w:szCs w:val="15"/>
                <w:highlight w:val="none"/>
              </w:rPr>
            </w:pPr>
          </w:p>
        </w:tc>
        <w:tc>
          <w:tcPr>
            <w:tcW w:w="851" w:type="dxa"/>
            <w:vAlign w:val="center"/>
          </w:tcPr>
          <w:p w14:paraId="726DB476">
            <w:pPr>
              <w:adjustRightInd w:val="0"/>
              <w:snapToGrid w:val="0"/>
              <w:jc w:val="center"/>
              <w:rPr>
                <w:rStyle w:val="62"/>
                <w:rFonts w:hint="default" w:ascii="仿宋_GB2312" w:hAnsi="宋体" w:eastAsia="仿宋_GB2312"/>
                <w:szCs w:val="21"/>
                <w:highlight w:val="none"/>
              </w:rPr>
            </w:pPr>
          </w:p>
        </w:tc>
        <w:tc>
          <w:tcPr>
            <w:tcW w:w="992" w:type="dxa"/>
            <w:vAlign w:val="center"/>
          </w:tcPr>
          <w:p w14:paraId="75B10CFF">
            <w:pPr>
              <w:adjustRightInd w:val="0"/>
              <w:snapToGrid w:val="0"/>
              <w:rPr>
                <w:rStyle w:val="62"/>
                <w:rFonts w:hint="default" w:ascii="仿宋_GB2312" w:hAnsi="宋体" w:eastAsia="仿宋_GB2312"/>
                <w:szCs w:val="21"/>
                <w:highlight w:val="none"/>
              </w:rPr>
            </w:pPr>
          </w:p>
        </w:tc>
        <w:tc>
          <w:tcPr>
            <w:tcW w:w="1389" w:type="dxa"/>
            <w:vAlign w:val="center"/>
          </w:tcPr>
          <w:p w14:paraId="244C95D7">
            <w:pPr>
              <w:adjustRightInd w:val="0"/>
              <w:snapToGrid w:val="0"/>
              <w:spacing w:line="240" w:lineRule="exact"/>
              <w:rPr>
                <w:rFonts w:hint="eastAsia" w:ascii="仿宋_GB2312" w:hAnsi="仿宋" w:eastAsia="仿宋_GB2312" w:cs="仿宋"/>
                <w:kern w:val="0"/>
                <w:sz w:val="20"/>
                <w:szCs w:val="15"/>
                <w:highlight w:val="none"/>
              </w:rPr>
            </w:pPr>
          </w:p>
        </w:tc>
      </w:tr>
      <w:tr w14:paraId="1A8F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09" w:type="dxa"/>
            <w:vAlign w:val="center"/>
          </w:tcPr>
          <w:p w14:paraId="5AC8FE2E">
            <w:pPr>
              <w:spacing w:line="360" w:lineRule="auto"/>
              <w:jc w:val="center"/>
              <w:rPr>
                <w:rFonts w:hint="eastAsia" w:ascii="仿宋_GB2312" w:hAnsi="仿宋" w:eastAsia="仿宋_GB2312" w:cs="仿宋"/>
                <w:kern w:val="0"/>
                <w:sz w:val="20"/>
                <w:szCs w:val="15"/>
                <w:highlight w:val="none"/>
              </w:rPr>
            </w:pPr>
            <w:r>
              <w:rPr>
                <w:rFonts w:ascii="仿宋_GB2312" w:hAnsi="仿宋" w:eastAsia="仿宋_GB2312" w:cs="仿宋"/>
                <w:szCs w:val="21"/>
                <w:highlight w:val="none"/>
              </w:rPr>
              <w:t>……</w:t>
            </w:r>
          </w:p>
        </w:tc>
        <w:tc>
          <w:tcPr>
            <w:tcW w:w="709" w:type="dxa"/>
            <w:vAlign w:val="center"/>
          </w:tcPr>
          <w:p w14:paraId="6BCC03CC">
            <w:pPr>
              <w:spacing w:line="240" w:lineRule="exact"/>
              <w:rPr>
                <w:rFonts w:hint="eastAsia" w:ascii="仿宋_GB2312" w:hAnsi="仿宋" w:eastAsia="仿宋_GB2312" w:cs="仿宋"/>
                <w:kern w:val="0"/>
                <w:sz w:val="20"/>
                <w:szCs w:val="15"/>
                <w:highlight w:val="none"/>
              </w:rPr>
            </w:pPr>
          </w:p>
        </w:tc>
        <w:tc>
          <w:tcPr>
            <w:tcW w:w="3964" w:type="dxa"/>
            <w:vAlign w:val="center"/>
          </w:tcPr>
          <w:p w14:paraId="0CBAA831">
            <w:pPr>
              <w:adjustRightInd w:val="0"/>
              <w:snapToGrid w:val="0"/>
              <w:spacing w:line="280" w:lineRule="exact"/>
              <w:jc w:val="left"/>
              <w:rPr>
                <w:rFonts w:hint="eastAsia" w:ascii="仿宋_GB2312" w:hAnsi="宋体" w:eastAsia="仿宋_GB2312" w:cs="仿宋"/>
                <w:kern w:val="0"/>
                <w:szCs w:val="21"/>
                <w:highlight w:val="none"/>
              </w:rPr>
            </w:pPr>
          </w:p>
        </w:tc>
        <w:tc>
          <w:tcPr>
            <w:tcW w:w="709" w:type="dxa"/>
            <w:vAlign w:val="center"/>
          </w:tcPr>
          <w:p w14:paraId="6FD315AC">
            <w:pPr>
              <w:adjustRightInd w:val="0"/>
              <w:snapToGrid w:val="0"/>
              <w:jc w:val="center"/>
              <w:rPr>
                <w:rFonts w:hint="eastAsia" w:ascii="仿宋_GB2312" w:hAnsi="仿宋" w:eastAsia="仿宋_GB2312" w:cs="仿宋"/>
                <w:kern w:val="0"/>
                <w:sz w:val="20"/>
                <w:szCs w:val="15"/>
                <w:highlight w:val="none"/>
              </w:rPr>
            </w:pPr>
          </w:p>
        </w:tc>
        <w:tc>
          <w:tcPr>
            <w:tcW w:w="708" w:type="dxa"/>
            <w:vAlign w:val="center"/>
          </w:tcPr>
          <w:p w14:paraId="0FF35854">
            <w:pPr>
              <w:adjustRightInd w:val="0"/>
              <w:snapToGrid w:val="0"/>
              <w:jc w:val="center"/>
              <w:rPr>
                <w:rFonts w:hint="eastAsia" w:ascii="仿宋_GB2312" w:hAnsi="仿宋" w:eastAsia="仿宋_GB2312" w:cs="仿宋"/>
                <w:kern w:val="0"/>
                <w:sz w:val="20"/>
                <w:szCs w:val="15"/>
                <w:highlight w:val="none"/>
              </w:rPr>
            </w:pPr>
          </w:p>
        </w:tc>
        <w:tc>
          <w:tcPr>
            <w:tcW w:w="851" w:type="dxa"/>
            <w:vAlign w:val="center"/>
          </w:tcPr>
          <w:p w14:paraId="05905746">
            <w:pPr>
              <w:adjustRightInd w:val="0"/>
              <w:snapToGrid w:val="0"/>
              <w:jc w:val="center"/>
              <w:rPr>
                <w:rStyle w:val="62"/>
                <w:rFonts w:hint="default" w:ascii="仿宋_GB2312" w:hAnsi="宋体" w:eastAsia="仿宋_GB2312"/>
                <w:szCs w:val="21"/>
                <w:highlight w:val="none"/>
              </w:rPr>
            </w:pPr>
          </w:p>
        </w:tc>
        <w:tc>
          <w:tcPr>
            <w:tcW w:w="992" w:type="dxa"/>
            <w:vAlign w:val="center"/>
          </w:tcPr>
          <w:p w14:paraId="0D70DA38">
            <w:pPr>
              <w:adjustRightInd w:val="0"/>
              <w:snapToGrid w:val="0"/>
              <w:rPr>
                <w:rStyle w:val="62"/>
                <w:rFonts w:hint="default" w:ascii="仿宋_GB2312" w:hAnsi="宋体" w:eastAsia="仿宋_GB2312"/>
                <w:szCs w:val="21"/>
                <w:highlight w:val="none"/>
              </w:rPr>
            </w:pPr>
          </w:p>
        </w:tc>
        <w:tc>
          <w:tcPr>
            <w:tcW w:w="1389" w:type="dxa"/>
            <w:vAlign w:val="center"/>
          </w:tcPr>
          <w:p w14:paraId="3D705C41">
            <w:pPr>
              <w:adjustRightInd w:val="0"/>
              <w:snapToGrid w:val="0"/>
              <w:spacing w:line="240" w:lineRule="exact"/>
              <w:rPr>
                <w:rFonts w:hint="eastAsia" w:ascii="仿宋_GB2312" w:hAnsi="仿宋" w:eastAsia="仿宋_GB2312" w:cs="仿宋"/>
                <w:kern w:val="0"/>
                <w:sz w:val="20"/>
                <w:szCs w:val="15"/>
                <w:highlight w:val="none"/>
              </w:rPr>
            </w:pPr>
          </w:p>
        </w:tc>
      </w:tr>
    </w:tbl>
    <w:p w14:paraId="1ED64DDD">
      <w:pPr>
        <w:spacing w:line="360" w:lineRule="auto"/>
        <w:ind w:firstLine="480" w:firstLineChars="200"/>
        <w:rPr>
          <w:rFonts w:hint="eastAsia" w:ascii="仿宋_GB2312" w:hAnsi="仿宋" w:eastAsia="仿宋_GB2312" w:cs="仿宋"/>
          <w:kern w:val="0"/>
          <w:sz w:val="24"/>
          <w:szCs w:val="20"/>
          <w:highlight w:val="none"/>
        </w:rPr>
      </w:pPr>
      <w:r>
        <w:rPr>
          <w:rFonts w:hint="eastAsia" w:ascii="仿宋_GB2312" w:hAnsi="仿宋" w:eastAsia="仿宋_GB2312" w:cs="仿宋"/>
          <w:kern w:val="0"/>
          <w:sz w:val="24"/>
          <w:szCs w:val="20"/>
          <w:highlight w:val="none"/>
        </w:rPr>
        <w:t>注：货物数量以需方书面授权代表验收确认的实际合格量为准。</w:t>
      </w:r>
    </w:p>
    <w:p w14:paraId="1E75CE96">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2.3 供货时间：</w:t>
      </w:r>
    </w:p>
    <w:p w14:paraId="288305EB">
      <w:pPr>
        <w:spacing w:line="360" w:lineRule="auto"/>
        <w:ind w:firstLine="480" w:firstLineChars="200"/>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pPr>
      <w:r>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t>自需方发出中标通知书后15个日历天内完成所有设备、材料的供货。若供货时间发生调整，需方应提前3日发出书面通知，供方可根据需方变更的需求时间及自身生产情况，选择调配货物至其他项目重新生产需方需求货物，无论何种情况，供方均应按照招标文件及合同规定的供货时间按时供应货物。</w:t>
      </w:r>
    </w:p>
    <w:p w14:paraId="4586CF67">
      <w:pPr>
        <w:spacing w:line="360" w:lineRule="auto"/>
        <w:ind w:firstLine="480" w:firstLineChars="200"/>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pPr>
      <w:r>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t>2.4供方应按照需方要求将货物运输至需方指定地点。卸货、码堆由供方负责。</w:t>
      </w:r>
    </w:p>
    <w:p w14:paraId="5FCF83C0">
      <w:pPr>
        <w:snapToGrid w:val="0"/>
        <w:spacing w:line="360" w:lineRule="auto"/>
        <w:ind w:firstLine="480"/>
        <w:rPr>
          <w:rFonts w:hint="eastAsia" w:ascii="仿宋_GB2312" w:hAnsi="仿宋" w:eastAsia="仿宋_GB2312"/>
          <w:sz w:val="24"/>
          <w:highlight w:val="none"/>
        </w:rPr>
      </w:pPr>
      <w:r>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t>2.5供方应向需方提供其货物发出的出库凭证、物流信息及票据，连同增值税专用发票一起交付需方。如果本合同项下货物系由第三方发出，则供方需要提供与第三方签订的采购合同等证明</w:t>
      </w:r>
      <w:r>
        <w:rPr>
          <w:rFonts w:hint="eastAsia" w:ascii="仿宋_GB2312" w:hAnsi="仿宋_GB2312" w:eastAsia="仿宋_GB2312" w:cs="仿宋_GB2312"/>
          <w:color w:val="0D0D0D" w:themeColor="text1" w:themeTint="F2"/>
          <w:kern w:val="0"/>
          <w:sz w:val="24"/>
          <w:szCs w:val="20"/>
          <w:highlight w:val="none"/>
          <w14:textFill>
            <w14:solidFill>
              <w14:schemeClr w14:val="tx1">
                <w14:lumMod w14:val="95000"/>
                <w14:lumOff w14:val="5000"/>
              </w14:schemeClr>
            </w14:solidFill>
          </w14:textFill>
        </w:rPr>
        <w:t>以及</w:t>
      </w:r>
      <w:r>
        <w:rPr>
          <w:rFonts w:hint="eastAsia" w:ascii="仿宋_GB2312" w:hAnsi="仿宋" w:eastAsia="仿宋_GB2312"/>
          <w:color w:val="0D0D0D" w:themeColor="text1" w:themeTint="F2"/>
          <w:sz w:val="24"/>
          <w:highlight w:val="none"/>
          <w14:textFill>
            <w14:solidFill>
              <w14:schemeClr w14:val="tx1">
                <w14:lumMod w14:val="95000"/>
                <w14:lumOff w14:val="5000"/>
              </w14:schemeClr>
            </w14:solidFill>
          </w14:textFill>
        </w:rPr>
        <w:t>委托第三方发货的手续、第三方出库</w:t>
      </w:r>
      <w:r>
        <w:rPr>
          <w:rFonts w:hint="eastAsia" w:ascii="仿宋_GB2312" w:hAnsi="仿宋" w:eastAsia="仿宋_GB2312"/>
          <w:sz w:val="24"/>
          <w:highlight w:val="none"/>
        </w:rPr>
        <w:t>凭证、物流信息及票据。</w:t>
      </w:r>
    </w:p>
    <w:p w14:paraId="36FE34B7">
      <w:pPr>
        <w:spacing w:line="360" w:lineRule="auto"/>
        <w:ind w:firstLine="480" w:firstLineChars="200"/>
        <w:rPr>
          <w:rFonts w:hint="eastAsia" w:ascii="仿宋_GB2312" w:hAnsi="仿宋" w:eastAsia="仿宋_GB2312"/>
          <w:sz w:val="24"/>
          <w:highlight w:val="none"/>
        </w:rPr>
      </w:pPr>
      <w:r>
        <w:rPr>
          <w:rFonts w:hint="eastAsia" w:ascii="仿宋_GB2312" w:hAnsi="仿宋" w:eastAsia="仿宋_GB2312"/>
          <w:sz w:val="24"/>
          <w:highlight w:val="none"/>
        </w:rPr>
        <w:t>2.6质量要求</w:t>
      </w:r>
    </w:p>
    <w:p w14:paraId="513933C2">
      <w:pPr>
        <w:snapToGrid w:val="0"/>
        <w:spacing w:line="360" w:lineRule="auto"/>
        <w:ind w:firstLine="480"/>
        <w:rPr>
          <w:rFonts w:hint="eastAsia" w:ascii="仿宋_GB2312" w:hAnsi="仿宋" w:eastAsia="仿宋_GB2312"/>
          <w:sz w:val="24"/>
          <w:highlight w:val="none"/>
        </w:rPr>
      </w:pPr>
      <w:r>
        <w:rPr>
          <w:rFonts w:hint="eastAsia" w:ascii="仿宋_GB2312" w:hAnsi="仿宋" w:eastAsia="仿宋_GB2312"/>
          <w:sz w:val="24"/>
          <w:highlight w:val="none"/>
        </w:rPr>
        <w:t>（1）本合同项下货物应满足《滁州市琅琊区重点流域农业面源污染治理项目EPC工程总承包合同》、施工图纸、设计规范、招标图纸技术要求以及相关行业标准。</w:t>
      </w:r>
    </w:p>
    <w:p w14:paraId="1A838D2B">
      <w:pPr>
        <w:snapToGrid w:val="0"/>
        <w:spacing w:line="360" w:lineRule="auto"/>
        <w:ind w:firstLine="480"/>
        <w:rPr>
          <w:rFonts w:hint="eastAsia" w:ascii="仿宋_GB2312" w:hAnsi="仿宋" w:eastAsia="仿宋_GB2312"/>
          <w:kern w:val="0"/>
          <w:sz w:val="24"/>
          <w:highlight w:val="none"/>
        </w:rPr>
      </w:pPr>
      <w:r>
        <w:rPr>
          <w:rFonts w:hint="eastAsia" w:ascii="仿宋_GB2312" w:hAnsi="仿宋" w:eastAsia="仿宋_GB2312"/>
          <w:sz w:val="24"/>
          <w:highlight w:val="none"/>
        </w:rPr>
        <w:t>（2）供方的产品应符合国家有关环保法律法规的规定以及需方环境体系要求，不能对施工环境造成污染；同时，该货物还应该符合需方职业</w:t>
      </w:r>
      <w:r>
        <w:rPr>
          <w:rFonts w:hint="eastAsia" w:ascii="仿宋_GB2312" w:hAnsi="仿宋_GB2312" w:eastAsia="仿宋_GB2312" w:cs="仿宋_GB2312"/>
          <w:kern w:val="0"/>
          <w:sz w:val="24"/>
          <w:szCs w:val="20"/>
          <w:highlight w:val="none"/>
        </w:rPr>
        <w:t>安全</w:t>
      </w:r>
      <w:r>
        <w:rPr>
          <w:rFonts w:hint="eastAsia" w:ascii="仿宋_GB2312" w:hAnsi="仿宋" w:eastAsia="仿宋_GB2312"/>
          <w:sz w:val="24"/>
          <w:highlight w:val="none"/>
        </w:rPr>
        <w:t>健康管理体系标准的要求，不能对</w:t>
      </w:r>
      <w:r>
        <w:rPr>
          <w:rFonts w:hint="eastAsia" w:ascii="仿宋_GB2312" w:hAnsi="仿宋" w:eastAsia="仿宋_GB2312" w:cs="仿宋"/>
          <w:kern w:val="0"/>
          <w:sz w:val="24"/>
          <w:szCs w:val="20"/>
          <w:highlight w:val="none"/>
        </w:rPr>
        <w:t>接触货物的有关人员及竣工后的使用人员的健康造成危害。</w:t>
      </w:r>
    </w:p>
    <w:p w14:paraId="43CB6F7B">
      <w:pPr>
        <w:spacing w:line="360" w:lineRule="auto"/>
        <w:ind w:firstLine="480" w:firstLineChars="200"/>
        <w:outlineLvl w:val="2"/>
        <w:rPr>
          <w:rFonts w:hint="eastAsia" w:ascii="仿宋_GB2312" w:hAnsi="仿宋" w:eastAsia="仿宋_GB2312"/>
          <w:kern w:val="0"/>
          <w:sz w:val="24"/>
          <w:highlight w:val="none"/>
        </w:rPr>
      </w:pPr>
      <w:bookmarkStart w:id="791" w:name="_Toc171623767"/>
      <w:bookmarkStart w:id="792" w:name="_Toc166753334"/>
      <w:bookmarkStart w:id="793" w:name="_Toc205977480"/>
      <w:r>
        <w:rPr>
          <w:rFonts w:hint="eastAsia" w:ascii="仿宋_GB2312" w:hAnsi="仿宋" w:eastAsia="仿宋_GB2312"/>
          <w:kern w:val="0"/>
          <w:sz w:val="24"/>
          <w:highlight w:val="none"/>
        </w:rPr>
        <w:t>3.合同价格与支付</w:t>
      </w:r>
      <w:bookmarkEnd w:id="791"/>
      <w:bookmarkEnd w:id="792"/>
      <w:bookmarkEnd w:id="793"/>
    </w:p>
    <w:p w14:paraId="6E8098BF">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3.1合同价格</w:t>
      </w:r>
    </w:p>
    <w:p w14:paraId="5670DA23">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3.1.1本项所指的</w:t>
      </w:r>
      <w:r>
        <w:rPr>
          <w:rFonts w:hint="eastAsia" w:ascii="仿宋_GB2312" w:hAnsi="仿宋" w:eastAsia="仿宋_GB2312"/>
          <w:kern w:val="0"/>
          <w:sz w:val="24"/>
          <w:highlight w:val="none"/>
        </w:rPr>
        <w:t>一切成本、费用和支出</w:t>
      </w:r>
      <w:r>
        <w:rPr>
          <w:rFonts w:hint="eastAsia" w:ascii="仿宋_GB2312" w:hAnsi="仿宋" w:eastAsia="仿宋_GB2312" w:cs="仿宋_GB2312"/>
          <w:kern w:val="0"/>
          <w:sz w:val="24"/>
          <w:szCs w:val="20"/>
          <w:highlight w:val="none"/>
        </w:rPr>
        <w:t>，包括但不限于以下内容：</w:t>
      </w:r>
    </w:p>
    <w:p w14:paraId="426D4935">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（1）</w:t>
      </w:r>
      <w:r>
        <w:rPr>
          <w:rFonts w:hint="eastAsia" w:ascii="仿宋_GB2312" w:hAnsi="仿宋" w:eastAsia="仿宋_GB2312" w:cs="仿宋_GB2312"/>
          <w:kern w:val="0"/>
          <w:sz w:val="24"/>
          <w:szCs w:val="20"/>
          <w:highlight w:val="none"/>
          <w:u w:val="single"/>
        </w:rPr>
        <w:t>货物价款、税费、售后服务费；</w:t>
      </w:r>
    </w:p>
    <w:p w14:paraId="759E3D95">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（2）</w:t>
      </w:r>
      <w:r>
        <w:rPr>
          <w:rFonts w:hint="eastAsia" w:ascii="仿宋_GB2312" w:hAnsi="仿宋" w:eastAsia="仿宋_GB2312" w:cs="仿宋_GB2312"/>
          <w:kern w:val="0"/>
          <w:sz w:val="24"/>
          <w:szCs w:val="20"/>
          <w:highlight w:val="none"/>
          <w:u w:val="single"/>
        </w:rPr>
        <w:t>货物包装费、运输保险费、运输费、装卸费等费用；</w:t>
      </w:r>
    </w:p>
    <w:p w14:paraId="52AD7A55">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w:t>
      </w:r>
      <w:r>
        <w:rPr>
          <w:rFonts w:hint="eastAsia" w:ascii="仿宋_GB2312" w:hAnsi="仿宋" w:eastAsia="仿宋_GB2312" w:cs="仿宋_GB2312"/>
          <w:kern w:val="0"/>
          <w:sz w:val="24"/>
          <w:szCs w:val="20"/>
          <w:highlight w:val="none"/>
          <w:u w:val="single"/>
        </w:rPr>
        <w:t>货物的随机备品备件、3个月的备品备件及易耗品、专用工具及资料等费用；</w:t>
      </w:r>
    </w:p>
    <w:p w14:paraId="643AFCCC">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（4）</w:t>
      </w:r>
      <w:r>
        <w:rPr>
          <w:rFonts w:hint="eastAsia" w:ascii="仿宋_GB2312" w:hAnsi="仿宋" w:eastAsia="仿宋_GB2312" w:cs="仿宋_GB2312"/>
          <w:kern w:val="0"/>
          <w:sz w:val="24"/>
          <w:szCs w:val="20"/>
          <w:highlight w:val="none"/>
          <w:u w:val="single"/>
        </w:rPr>
        <w:t>货物的技术服务费、培训费、试运行、调试和验收所产生的一切费用等；</w:t>
      </w:r>
    </w:p>
    <w:p w14:paraId="460109DB">
      <w:pPr>
        <w:snapToGrid w:val="0"/>
        <w:spacing w:line="360" w:lineRule="auto"/>
        <w:ind w:left="450" w:leftChars="100" w:hanging="240" w:hangingChars="100"/>
        <w:rPr>
          <w:rFonts w:hint="eastAsia" w:ascii="仿宋_GB2312" w:hAnsi="仿宋" w:eastAsia="仿宋_GB2312" w:cs="仿宋_GB2312"/>
          <w:kern w:val="0"/>
          <w:sz w:val="24"/>
          <w:szCs w:val="20"/>
          <w:highlight w:val="none"/>
          <w:u w:val="single"/>
        </w:rPr>
      </w:pPr>
      <w:r>
        <w:rPr>
          <w:rFonts w:hint="eastAsia" w:ascii="仿宋_GB2312" w:hAnsi="仿宋" w:eastAsia="仿宋_GB2312" w:cs="仿宋_GB2312"/>
          <w:kern w:val="0"/>
          <w:sz w:val="24"/>
          <w:szCs w:val="20"/>
          <w:highlight w:val="none"/>
        </w:rPr>
        <w:t>3.1.2本合同含税总金额为</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元人民币（大写金额：</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，上述含税总金额含增值税为</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元人民币（大写金额：</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），本合同不含增值税总金额为</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元人民币（大写金额：</w:t>
      </w:r>
      <w:r>
        <w:rPr>
          <w:rFonts w:hint="eastAsia" w:ascii="仿宋_GB2312" w:hAnsi="仿宋" w:eastAsia="仿宋_GB2312" w:cs="仿宋_GB2312"/>
          <w:kern w:val="0"/>
          <w:sz w:val="24"/>
          <w:szCs w:val="20"/>
          <w:highlight w:val="none"/>
          <w:u w:val="single"/>
        </w:rPr>
        <w:t xml:space="preserve">    </w:t>
      </w:r>
      <w:r>
        <w:rPr>
          <w:rFonts w:hint="eastAsia" w:ascii="仿宋_GB2312" w:hAnsi="仿宋" w:eastAsia="仿宋_GB2312" w:cs="仿宋_GB2312"/>
          <w:kern w:val="0"/>
          <w:sz w:val="24"/>
          <w:szCs w:val="20"/>
          <w:highlight w:val="none"/>
        </w:rPr>
        <w:t>）。</w:t>
      </w:r>
    </w:p>
    <w:p w14:paraId="30E3F80B">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合同最终总价以双方依据本合同约定共同验收确认的实际合格供应量乘以本合同单价为准。</w:t>
      </w:r>
    </w:p>
    <w:p w14:paraId="34AF7D89">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3.1.3本合同履行过程中</w:t>
      </w:r>
      <w:r>
        <w:rPr>
          <w:rFonts w:hint="eastAsia" w:ascii="仿宋_GB2312" w:hAnsi="仿宋" w:eastAsia="仿宋_GB2312" w:cs="仿宋_GB2312"/>
          <w:kern w:val="0"/>
          <w:sz w:val="24"/>
          <w:szCs w:val="20"/>
          <w:highlight w:val="none"/>
          <w:lang w:eastAsia="zh-Hans"/>
        </w:rPr>
        <w:t>单价</w:t>
      </w:r>
      <w:r>
        <w:rPr>
          <w:rFonts w:hint="eastAsia" w:ascii="仿宋_GB2312" w:hAnsi="仿宋" w:eastAsia="仿宋_GB2312" w:cs="仿宋_GB2312"/>
          <w:kern w:val="0"/>
          <w:sz w:val="24"/>
          <w:szCs w:val="20"/>
          <w:highlight w:val="none"/>
        </w:rPr>
        <w:t>不变，市场价格涨跌风险由买卖双方各自承担。</w:t>
      </w:r>
    </w:p>
    <w:p w14:paraId="4B6FCBCF">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3.1.4本合同计价货币、结算货币和支付货币为</w:t>
      </w:r>
      <w:r>
        <w:rPr>
          <w:rFonts w:hint="eastAsia" w:ascii="仿宋_GB2312" w:hAnsi="仿宋" w:eastAsia="仿宋_GB2312" w:cs="仿宋_GB2312"/>
          <w:kern w:val="0"/>
          <w:sz w:val="24"/>
          <w:szCs w:val="20"/>
          <w:highlight w:val="none"/>
          <w:u w:val="single"/>
        </w:rPr>
        <w:t xml:space="preserve"> 人民币 </w:t>
      </w:r>
      <w:r>
        <w:rPr>
          <w:rFonts w:hint="eastAsia" w:ascii="仿宋_GB2312" w:hAnsi="仿宋" w:eastAsia="仿宋_GB2312" w:cs="仿宋_GB2312"/>
          <w:kern w:val="0"/>
          <w:sz w:val="24"/>
          <w:szCs w:val="20"/>
          <w:highlight w:val="none"/>
        </w:rPr>
        <w:t>。</w:t>
      </w:r>
    </w:p>
    <w:p w14:paraId="1AEA9247">
      <w:pPr>
        <w:spacing w:line="360" w:lineRule="auto"/>
        <w:ind w:firstLine="480" w:firstLineChars="200"/>
        <w:outlineLvl w:val="3"/>
        <w:rPr>
          <w:rFonts w:hint="eastAsia" w:ascii="仿宋_GB2312" w:hAnsi="仿宋" w:eastAsia="仿宋_GB2312"/>
          <w:kern w:val="0"/>
          <w:sz w:val="24"/>
          <w:highlight w:val="none"/>
        </w:rPr>
      </w:pPr>
      <w:bookmarkStart w:id="794" w:name="_Hlk161761600"/>
      <w:r>
        <w:rPr>
          <w:rFonts w:hint="eastAsia" w:ascii="仿宋_GB2312" w:hAnsi="仿宋" w:eastAsia="仿宋_GB2312"/>
          <w:kern w:val="0"/>
          <w:sz w:val="24"/>
          <w:highlight w:val="none"/>
        </w:rPr>
        <w:t>3.2合同价款的结算及支付</w:t>
      </w:r>
    </w:p>
    <w:p w14:paraId="33FA6B9C">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3.2.1 结算</w:t>
      </w:r>
    </w:p>
    <w:p w14:paraId="28FF13E5">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供方每月30日前向需方上报对上月20日至本月19日所供设备交货单和收货单、供方出具的出厂质量合格证原件、结算报表及相关资料，需方在收到该结算资料后予以审核，如有违约金在当月结算中扣除，结算报表经需方审核签字确认后生效。</w:t>
      </w:r>
    </w:p>
    <w:p w14:paraId="5CAAF1F6">
      <w:pPr>
        <w:snapToGrid w:val="0"/>
        <w:spacing w:line="360" w:lineRule="auto"/>
        <w:ind w:firstLine="480"/>
        <w:rPr>
          <w:rFonts w:hint="eastAsia" w:ascii="仿宋_GB2312" w:hAnsi="仿宋" w:eastAsia="仿宋_GB2312" w:cs="仿宋_GB2312"/>
          <w:kern w:val="0"/>
          <w:sz w:val="24"/>
          <w:szCs w:val="20"/>
          <w:highlight w:val="none"/>
        </w:rPr>
      </w:pPr>
      <w:bookmarkStart w:id="795" w:name="_Hlk196059415"/>
      <w:r>
        <w:rPr>
          <w:rFonts w:hint="eastAsia" w:ascii="仿宋_GB2312" w:hAnsi="仿宋" w:eastAsia="仿宋_GB2312" w:cs="仿宋_GB2312"/>
          <w:kern w:val="0"/>
          <w:sz w:val="24"/>
          <w:szCs w:val="20"/>
          <w:highlight w:val="none"/>
        </w:rPr>
        <w:t>3.2.2预付款</w:t>
      </w:r>
    </w:p>
    <w:p w14:paraId="251145EE">
      <w:pPr>
        <w:snapToGrid w:val="0"/>
        <w:spacing w:line="360" w:lineRule="auto"/>
        <w:ind w:firstLine="480" w:firstLineChars="200"/>
        <w:rPr>
          <w:rFonts w:hint="eastAsia" w:ascii="仿宋_GB2312" w:hAnsi="仿宋" w:eastAsia="仿宋_GB2312" w:cs="仿宋_GB2312"/>
          <w:color w:val="0D0D0D" w:themeColor="text1" w:themeTint="F2"/>
          <w:kern w:val="0"/>
          <w:sz w:val="24"/>
          <w:szCs w:val="20"/>
          <w:highlight w:val="none"/>
          <w14:textFill>
            <w14:solidFill>
              <w14:schemeClr w14:val="tx1">
                <w14:lumMod w14:val="95000"/>
                <w14:lumOff w14:val="5000"/>
              </w14:schemeClr>
            </w14:solidFill>
          </w14:textFill>
        </w:rPr>
      </w:pPr>
      <w:r>
        <w:rPr>
          <w:rFonts w:hint="eastAsia" w:ascii="仿宋_GB2312" w:hAnsi="仿宋" w:eastAsia="仿宋_GB2312" w:cs="仿宋_GB2312"/>
          <w:color w:val="0D0D0D" w:themeColor="text1" w:themeTint="F2"/>
          <w:kern w:val="0"/>
          <w:sz w:val="24"/>
          <w:szCs w:val="20"/>
          <w:highlight w:val="none"/>
          <w14:textFill>
            <w14:solidFill>
              <w14:schemeClr w14:val="tx1">
                <w14:lumMod w14:val="95000"/>
                <w14:lumOff w14:val="5000"/>
              </w14:schemeClr>
            </w14:solidFill>
          </w14:textFill>
        </w:rPr>
        <w:t>无。</w:t>
      </w:r>
    </w:p>
    <w:p w14:paraId="22B493F4">
      <w:pPr>
        <w:spacing w:line="360" w:lineRule="auto"/>
        <w:ind w:firstLine="480" w:firstLineChars="200"/>
        <w:rPr>
          <w:rFonts w:hint="eastAsia" w:ascii="仿宋_GB2312" w:hAnsi="仿宋" w:eastAsia="仿宋_GB2312" w:cs="仿宋_GB2312"/>
          <w:color w:val="0D0D0D" w:themeColor="text1" w:themeTint="F2"/>
          <w:sz w:val="24"/>
          <w:highlight w:val="none"/>
          <w14:textFill>
            <w14:solidFill>
              <w14:schemeClr w14:val="tx1">
                <w14:lumMod w14:val="95000"/>
                <w14:lumOff w14:val="5000"/>
              </w14:schemeClr>
            </w14:solidFill>
          </w14:textFill>
        </w:rPr>
      </w:pPr>
      <w:r>
        <w:rPr>
          <w:rFonts w:hint="eastAsia" w:ascii="仿宋_GB2312" w:hAnsi="仿宋" w:eastAsia="仿宋_GB2312" w:cs="仿宋_GB2312"/>
          <w:color w:val="0D0D0D" w:themeColor="text1" w:themeTint="F2"/>
          <w:sz w:val="24"/>
          <w:highlight w:val="none"/>
          <w14:textFill>
            <w14:solidFill>
              <w14:schemeClr w14:val="tx1">
                <w14:lumMod w14:val="95000"/>
                <w14:lumOff w14:val="5000"/>
              </w14:schemeClr>
            </w14:solidFill>
          </w14:textFill>
        </w:rPr>
        <w:t>3.2.3付款</w:t>
      </w:r>
    </w:p>
    <w:p w14:paraId="049CBEFA">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设备安装调试完成并通过需方和建设单位组织的验收后，支付至通过验收设备总金额的85%；滁州市琅琊区重点流域农业面源污染治理项目EPC工程竣工结算审核完成后付至合格设备总金额的98%；剩余2%作为本项目的质量保证金，质保期（自竣工验收合格之日起满2年。如相关设备或材料有国标或行标要求的质保期超过2年的，按相关标准执行。）满后扣除因设备质量问题而发生的费用后（如有）付清余款。质量保证金支持保函（银行保函、担保机构担保、保证保险）使用。采用保函的不再扣留质量保证金，保函有效期须与质保期截止时间保持一致。</w:t>
      </w:r>
    </w:p>
    <w:p w14:paraId="0C572D4D">
      <w:pPr>
        <w:snapToGrid w:val="0"/>
        <w:spacing w:line="360" w:lineRule="auto"/>
        <w:ind w:firstLine="48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按照需方结算管理办法完成结算审批并收到供方开具的增值税专用发票后60天内，采用银行转账、电建融信等方式支付设备款。如因需方原因逾期付款的，供方同意给予1个月的付款宽限期，宽限期内不视为违约，不计算利息，且供方不得停止供货。</w:t>
      </w:r>
    </w:p>
    <w:bookmarkEnd w:id="795"/>
    <w:p w14:paraId="0771AA75">
      <w:pPr>
        <w:snapToGrid w:val="0"/>
        <w:spacing w:line="360" w:lineRule="auto"/>
        <w:ind w:firstLine="480"/>
        <w:rPr>
          <w:rFonts w:hint="eastAsia" w:ascii="仿宋_GB2312" w:hAnsi="仿宋" w:eastAsia="仿宋_GB2312"/>
          <w:kern w:val="0"/>
          <w:sz w:val="24"/>
          <w:highlight w:val="none"/>
        </w:rPr>
      </w:pPr>
      <w:r>
        <w:rPr>
          <w:rFonts w:hint="eastAsia" w:ascii="仿宋_GB2312" w:hAnsi="仿宋" w:eastAsia="仿宋_GB2312" w:cs="仿宋_GB2312"/>
          <w:kern w:val="0"/>
          <w:sz w:val="24"/>
          <w:szCs w:val="20"/>
          <w:highlight w:val="none"/>
        </w:rPr>
        <w:t>所有设备的生产、运输及到货排期均以需方要求的供货通知为准。需方依据供货通知所约定的设备批次分批结算，供方在未接到供货通知前擅自安排生产、运输的，所有损失由供方自行承担。</w:t>
      </w:r>
      <w:bookmarkEnd w:id="794"/>
    </w:p>
    <w:p w14:paraId="2EA508EC">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3.5 关于开具增值税发票的要求：</w:t>
      </w:r>
    </w:p>
    <w:p w14:paraId="0C5404FA">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3.5.1供方向需方开具的增值税发票，供方必须确保发票票面信息全部真实，相关货物、价款等内容与本合同相一致。</w:t>
      </w:r>
    </w:p>
    <w:p w14:paraId="0E4FA9FD">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需方增值税专用发票信息如下：</w:t>
      </w:r>
    </w:p>
    <w:p w14:paraId="2139071C">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纳税人名称：中电建生态环境集团有限公司</w:t>
      </w:r>
    </w:p>
    <w:p w14:paraId="23D2797E">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税务登记证号：91440300359694571B</w:t>
      </w:r>
    </w:p>
    <w:p w14:paraId="5C8B92B7">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税务登记地址：深圳市宝安区新安街道海滨社区宝兴路6号海纳百川总部大厦A座11层</w:t>
      </w:r>
    </w:p>
    <w:p w14:paraId="71885C4E">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税务开户银行：中国建设银行深圳宝安支行</w:t>
      </w:r>
    </w:p>
    <w:p w14:paraId="174A16C6">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税务开户银行账号：44250100006500000114</w:t>
      </w:r>
    </w:p>
    <w:p w14:paraId="105855EA">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供方增值税专用发票信息如下：</w:t>
      </w:r>
    </w:p>
    <w:p w14:paraId="27E4BD63">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纳税人名称： </w:t>
      </w:r>
    </w:p>
    <w:p w14:paraId="0D424E78">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税务登记证号： </w:t>
      </w:r>
    </w:p>
    <w:p w14:paraId="43C8FA5B">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税务登记地址： </w:t>
      </w:r>
    </w:p>
    <w:p w14:paraId="103947B5">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税务开户银行： </w:t>
      </w:r>
    </w:p>
    <w:p w14:paraId="0080ABA5">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税务开户银行账号： </w:t>
      </w:r>
    </w:p>
    <w:p w14:paraId="634597F4">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3.5.2供方应按照以下要求开具合法合规的增值税发票：</w:t>
      </w:r>
    </w:p>
    <w:p w14:paraId="7FE362A0">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需方向供方支付到货款前，供方应按照3.5.1款和本款要求向需方开具增值税专用发票：</w:t>
      </w:r>
    </w:p>
    <w:p w14:paraId="514B8A83">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（1）供方应按本合同约定，及时向需方开具增值税专用发票。合同履行期内，如果国家税率发生变化的，供方应按变化后的税率开具增值税专用发票，由此产生的税费差额由需方承担或享有。</w:t>
      </w:r>
    </w:p>
    <w:p w14:paraId="5A0D9D21">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2）供方应按照需方要求，及时向需方开具可以抵扣税款的增值税专用发票。因供方开具发票票面信息有误或不及时、不完整、不规范、不合法导致发票无法及时认证、不能抵扣税款或者被认定为虚开的，供方需重新按照本合同约定开具增值税专用发票。</w:t>
      </w:r>
    </w:p>
    <w:p w14:paraId="5751D726">
      <w:pPr>
        <w:spacing w:line="360" w:lineRule="auto"/>
        <w:ind w:firstLine="480" w:firstLineChars="200"/>
        <w:outlineLvl w:val="2"/>
        <w:rPr>
          <w:rFonts w:hint="eastAsia" w:ascii="仿宋_GB2312" w:hAnsi="仿宋" w:eastAsia="仿宋_GB2312"/>
          <w:kern w:val="0"/>
          <w:sz w:val="24"/>
          <w:highlight w:val="none"/>
        </w:rPr>
      </w:pPr>
      <w:bookmarkStart w:id="796" w:name="_Toc166753335"/>
      <w:bookmarkStart w:id="797" w:name="_Toc171623768"/>
      <w:bookmarkStart w:id="798" w:name="_Toc205977481"/>
      <w:bookmarkStart w:id="799" w:name="_Toc156895455"/>
      <w:r>
        <w:rPr>
          <w:rFonts w:hint="eastAsia" w:ascii="仿宋_GB2312" w:hAnsi="仿宋" w:eastAsia="仿宋_GB2312"/>
          <w:kern w:val="0"/>
          <w:sz w:val="24"/>
          <w:highlight w:val="none"/>
        </w:rPr>
        <w:t>4.监造及交货前检验</w:t>
      </w:r>
      <w:bookmarkEnd w:id="796"/>
      <w:bookmarkEnd w:id="797"/>
      <w:bookmarkEnd w:id="798"/>
      <w:bookmarkEnd w:id="799"/>
    </w:p>
    <w:p w14:paraId="79B7B6AD">
      <w:pPr>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kern w:val="0"/>
          <w:sz w:val="24"/>
          <w:highlight w:val="none"/>
        </w:rPr>
        <w:t xml:space="preserve">4.1.2 </w:t>
      </w:r>
      <w:r>
        <w:rPr>
          <w:rFonts w:hint="eastAsia" w:ascii="仿宋_GB2312" w:hAnsi="仿宋" w:eastAsia="仿宋_GB2312" w:cs="仿宋_GB2312"/>
          <w:kern w:val="0"/>
          <w:sz w:val="24"/>
          <w:szCs w:val="20"/>
          <w:highlight w:val="none"/>
        </w:rPr>
        <w:t>若需方驻厂监造，供方须免费提供食宿及办公条件。</w:t>
      </w:r>
    </w:p>
    <w:p w14:paraId="17E7FDF1">
      <w:pPr>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4.1.6供方须接受需方安排的除计划外的不定期检查，不得以任何理由搪塞、阻挠。</w:t>
      </w:r>
    </w:p>
    <w:p w14:paraId="3A05BA07">
      <w:pPr>
        <w:spacing w:line="360" w:lineRule="auto"/>
        <w:ind w:firstLine="480" w:firstLineChars="200"/>
        <w:outlineLvl w:val="2"/>
        <w:rPr>
          <w:rFonts w:hint="eastAsia" w:ascii="仿宋_GB2312" w:hAnsi="仿宋" w:eastAsia="仿宋_GB2312"/>
          <w:kern w:val="0"/>
          <w:sz w:val="24"/>
          <w:highlight w:val="none"/>
        </w:rPr>
      </w:pPr>
      <w:bookmarkStart w:id="800" w:name="_Toc166753336"/>
      <w:bookmarkStart w:id="801" w:name="_Toc205977482"/>
      <w:bookmarkStart w:id="802" w:name="_Toc171623769"/>
      <w:bookmarkStart w:id="803" w:name="_Toc156895456"/>
      <w:r>
        <w:rPr>
          <w:rFonts w:hint="eastAsia" w:ascii="仿宋_GB2312" w:hAnsi="仿宋" w:eastAsia="仿宋_GB2312"/>
          <w:kern w:val="0"/>
          <w:sz w:val="24"/>
          <w:highlight w:val="none"/>
        </w:rPr>
        <w:t>5.包装、标记、运输和交付</w:t>
      </w:r>
      <w:bookmarkEnd w:id="800"/>
      <w:bookmarkEnd w:id="801"/>
      <w:bookmarkEnd w:id="802"/>
      <w:bookmarkEnd w:id="803"/>
    </w:p>
    <w:p w14:paraId="08BE7038">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5.1包装</w:t>
      </w:r>
    </w:p>
    <w:p w14:paraId="0CE3C76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5.1.4 外购件应有产品出厂质量合同证明书、技术说明（如有）各一份。</w:t>
      </w:r>
    </w:p>
    <w:p w14:paraId="196455BD">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5.2标记</w:t>
      </w:r>
    </w:p>
    <w:p w14:paraId="3939FF6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5.2.3 供方对包装箱内各散装部件均应系加标签，注明合同号、主机名称、部件名称以及该部件在装配图中的位号、零件号。备件和工具除注明上述内容外，需注明“备件”或“工具”字样。</w:t>
      </w:r>
    </w:p>
    <w:p w14:paraId="0108517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供方对裸装货物应以金属标签或直接在设备本身上注明合同号、目的地、收货人、设备名称、箱号/件号等有关内容。</w:t>
      </w:r>
    </w:p>
    <w:p w14:paraId="372AE2E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5.2.4 凡由于供方包装或保管不善致使货物遭到毁损灭失的，供方应负责及时修理、更换或赔偿。</w:t>
      </w:r>
    </w:p>
    <w:p w14:paraId="035098FC">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5.3运输</w:t>
      </w:r>
    </w:p>
    <w:p w14:paraId="4609B64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5.3.3 正式通知应以书面形式通知。</w:t>
      </w:r>
    </w:p>
    <w:p w14:paraId="7DA31E4E">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kern w:val="0"/>
          <w:sz w:val="24"/>
          <w:highlight w:val="none"/>
        </w:rPr>
        <w:t>5.3.5 供方应按国家及地方政府的规定办理相关的运输手续和人员与货物的保险，并确保运输至现场卸车前的人员</w:t>
      </w:r>
      <w:r>
        <w:rPr>
          <w:rFonts w:hint="eastAsia" w:ascii="仿宋_GB2312" w:hAnsi="仿宋" w:eastAsia="仿宋_GB2312" w:cs="仿宋_GB2312"/>
          <w:kern w:val="0"/>
          <w:sz w:val="24"/>
          <w:szCs w:val="20"/>
          <w:highlight w:val="none"/>
        </w:rPr>
        <w:t>、机械、车辆安全。供方应承担货物运抵需方指定地点并办理交接手续前货物毁损、灭失的风险。</w:t>
      </w:r>
    </w:p>
    <w:p w14:paraId="75CE9CF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5.3.6 供方运输中应采取符合国家环保要求的环保措施，并应自行承担因环保造成的各类处罚。</w:t>
      </w:r>
    </w:p>
    <w:p w14:paraId="126932C3">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kern w:val="0"/>
          <w:sz w:val="24"/>
          <w:highlight w:val="none"/>
        </w:rPr>
        <w:t>5.3.7 供方必须对其</w:t>
      </w:r>
      <w:r>
        <w:rPr>
          <w:rFonts w:hint="eastAsia" w:ascii="仿宋_GB2312" w:hAnsi="仿宋" w:eastAsia="仿宋_GB2312" w:cs="仿宋_GB2312"/>
          <w:kern w:val="0"/>
          <w:sz w:val="24"/>
          <w:szCs w:val="20"/>
          <w:highlight w:val="none"/>
        </w:rPr>
        <w:t>出入工地现场的人员进行安全教育，要求佩戴安全防护用品。供方进入工地现场人员、车辆应服从需方管理，遵守需方现场管理制度，对不听从需方管理的人员、车辆，需方有权清理出场。因供方原因造成的人身伤亡、财产损失由供方自行承担，并赔偿需方及他方因此造成的相关损失。</w:t>
      </w:r>
    </w:p>
    <w:p w14:paraId="68CD13C4">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5.4交付</w:t>
      </w:r>
    </w:p>
    <w:p w14:paraId="1E7C377F">
      <w:pPr>
        <w:spacing w:line="360" w:lineRule="auto"/>
        <w:ind w:firstLine="480" w:firstLineChars="200"/>
        <w:rPr>
          <w:rFonts w:hint="eastAsia" w:ascii="仿宋_GB2312" w:hAnsi="仿宋" w:eastAsia="仿宋_GB2312" w:cs="仿宋_GB2312"/>
          <w:kern w:val="0"/>
          <w:sz w:val="24"/>
          <w:szCs w:val="20"/>
          <w:highlight w:val="none"/>
          <w:u w:val="single"/>
        </w:rPr>
      </w:pPr>
      <w:r>
        <w:rPr>
          <w:rFonts w:hint="eastAsia" w:ascii="仿宋_GB2312" w:hAnsi="仿宋" w:eastAsia="仿宋_GB2312" w:cs="仿宋_GB2312"/>
          <w:kern w:val="0"/>
          <w:sz w:val="24"/>
          <w:szCs w:val="20"/>
          <w:highlight w:val="none"/>
        </w:rPr>
        <w:t>5.4.1交付时间：自需方发出中标通知书后15个日历天内完成所有设备、材料的供货。将合同货物分期分批运达</w:t>
      </w:r>
      <w:r>
        <w:rPr>
          <w:rFonts w:hint="eastAsia" w:ascii="仿宋_GB2312" w:hAnsi="仿宋" w:eastAsia="仿宋_GB2312" w:cs="仿宋_GB2312"/>
          <w:sz w:val="24"/>
          <w:highlight w:val="none"/>
        </w:rPr>
        <w:t>滁州市琅琊区重点流域农业面源污染治理项目</w:t>
      </w:r>
      <w:r>
        <w:rPr>
          <w:rFonts w:hint="eastAsia" w:ascii="仿宋_GB2312" w:hAnsi="仿宋" w:eastAsia="仿宋_GB2312" w:cs="仿宋_GB2312"/>
          <w:kern w:val="0"/>
          <w:sz w:val="24"/>
          <w:szCs w:val="20"/>
          <w:highlight w:val="none"/>
        </w:rPr>
        <w:t>施工现场需方要求的指定地点</w:t>
      </w:r>
      <w:r>
        <w:rPr>
          <w:rFonts w:hint="eastAsia" w:ascii="仿宋_GB2312" w:hAnsi="仿宋" w:eastAsia="仿宋_GB2312" w:cs="仿宋_GB2312"/>
          <w:sz w:val="24"/>
          <w:highlight w:val="none"/>
        </w:rPr>
        <w:t>。如果实际交货时间、交货数量发生变化，以需方书面通知交货时间为准，供方不得因此向需方提出任何补偿要求。</w:t>
      </w:r>
    </w:p>
    <w:p w14:paraId="1E69CF31">
      <w:pPr>
        <w:spacing w:line="360" w:lineRule="auto"/>
        <w:ind w:firstLine="480" w:firstLineChars="200"/>
        <w:outlineLvl w:val="2"/>
        <w:rPr>
          <w:rFonts w:hint="eastAsia" w:ascii="仿宋_GB2312" w:hAnsi="仿宋" w:eastAsia="仿宋_GB2312"/>
          <w:kern w:val="0"/>
          <w:sz w:val="24"/>
          <w:highlight w:val="none"/>
        </w:rPr>
      </w:pPr>
      <w:bookmarkStart w:id="804" w:name="_Toc156895457"/>
      <w:bookmarkStart w:id="805" w:name="_Toc205977483"/>
      <w:bookmarkStart w:id="806" w:name="_Toc166753337"/>
      <w:bookmarkStart w:id="807" w:name="_Toc171623770"/>
      <w:r>
        <w:rPr>
          <w:rFonts w:hint="eastAsia" w:ascii="仿宋_GB2312" w:hAnsi="仿宋" w:eastAsia="仿宋_GB2312"/>
          <w:kern w:val="0"/>
          <w:sz w:val="24"/>
          <w:highlight w:val="none"/>
        </w:rPr>
        <w:t>6.开箱检验、安装、调试、考核、验收</w:t>
      </w:r>
      <w:bookmarkEnd w:id="804"/>
      <w:bookmarkEnd w:id="805"/>
      <w:bookmarkEnd w:id="806"/>
      <w:bookmarkEnd w:id="807"/>
    </w:p>
    <w:p w14:paraId="5C3E4C4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6.1开箱验收</w:t>
      </w:r>
    </w:p>
    <w:p w14:paraId="5D01834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6.1.1合同设备到达交货地点，供方应在接到需方通知后及时到交货地点与需方一起对合同设备的附随资料、包装、外观、件数及合同设备是否符合合同约定进行现场检验，检验合格后签署到货验收单。如发现有任何不符合之处且经双方代表确认属供方责任的，由供方负责处理。需方应提前3个工作日将现场到货检验的日期通知供方，并为供方检验人员提供工作和生活方便，费用由供方自理。如检验时，供方人员未按时赶赴现场，需方有权自行检验，检验结果和记录对双方同样有效，并可作为需方向供方提出索赔的有效证据。</w:t>
      </w:r>
    </w:p>
    <w:p w14:paraId="1E16372D">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6.1.6现场检验时，如发现合同设备由于供方原因有任何损坏、缺陷、短少或不符合合同约定的技术规范，供方应尽快自费修理、更换合同设备或补齐短缺部件，由此产生的制造、修理和运费及保险费等一切相关费用均由供方负担。修理、更换后的合同设备或经补齐的短缺部件到达交货地点的时间为该合同设备的实际交货期，并可作为计算供方迟交违约金的依据。双方应做好并签署检验记录，各执一份，作为需方向供方提出索赔的有效依据。供方未能在需方限定的时间内通过整改使其符合合同要求的，需方有权要求更换此货物、向第三方采购可替代货物或解除合同，由此引起的一切后果由供方承担。如果由于需方原因，发现合同设备有任何损坏、缺陷或短少，供方在接到需方通知后，应尽快修理、更换或补齐相应的部件，费用由需方承担。</w:t>
      </w:r>
    </w:p>
    <w:p w14:paraId="554F80E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6.1.7如双方代表对共同检验中的检验记录不能取得一致意见时，任何一方均可提请国家质量监督检验机构进行商检，该商检结果为最终检验结果，对双方均有约束力，相关检验费用由供方承担。</w:t>
      </w:r>
    </w:p>
    <w:p w14:paraId="661109AA">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6.1.9 供方对需方根据本合同6.1.6条提出的索赔如有异议，应在接到需方索赔通知后7日以内提出，否则视为接受需方的索赔要求。供方可在接到索赔通知后10日以内，自费派代表赴检验现场同需方代表共同复验。</w:t>
      </w:r>
    </w:p>
    <w:p w14:paraId="36ACA03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6.1.10 以上条款所述的各项检验是指现场的到货检验，现场检验未发现问题或供方已按索赔要求予以修理、更换或补齐了短缺部件，均不能视为供方按照本合同第8条、第9条、第14条及投标文件的约定（或供方承诺）应承担的责任的解除。</w:t>
      </w:r>
    </w:p>
    <w:p w14:paraId="178C2A1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6.1.11双方商定的重要试验项目，供方应在需方人员现场见证的情况下进行试验，除非需方明确表明不派员参加，否则需方有权要求供方重新试验，所需费用由供方承担。</w:t>
      </w:r>
    </w:p>
    <w:p w14:paraId="773682D9">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6.2安装、调试</w:t>
      </w:r>
    </w:p>
    <w:p w14:paraId="0146B34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6.2.1 合同设备由供方进行安装。供方应采取一切必要措施，使合同设备尽快投产。合同设备安装完毕后，供方负责调试（试运行），并尽解决出现的全部问题，调试所需时间应以合同约定为准。供方派到现场的技术代表应承当相应的短期培训工作，使相关方面的有关人员掌握本合同设备的相关知识和技能。现场试验由需方组织，供方参加并负责协助、配合。</w:t>
      </w:r>
    </w:p>
    <w:p w14:paraId="10584266">
      <w:pPr>
        <w:spacing w:line="360" w:lineRule="auto"/>
        <w:ind w:firstLine="480" w:firstLineChars="200"/>
        <w:outlineLvl w:val="3"/>
        <w:rPr>
          <w:rFonts w:hint="eastAsia" w:ascii="仿宋_GB2312" w:hAnsi="仿宋" w:eastAsia="仿宋_GB2312"/>
          <w:kern w:val="0"/>
          <w:sz w:val="24"/>
          <w:highlight w:val="none"/>
        </w:rPr>
      </w:pPr>
      <w:r>
        <w:rPr>
          <w:rFonts w:hint="eastAsia" w:ascii="仿宋_GB2312" w:hAnsi="仿宋" w:eastAsia="仿宋_GB2312"/>
          <w:kern w:val="0"/>
          <w:sz w:val="24"/>
          <w:highlight w:val="none"/>
        </w:rPr>
        <w:t>6.4验收</w:t>
      </w:r>
    </w:p>
    <w:p w14:paraId="24F7FEDA">
      <w:pPr>
        <w:spacing w:line="360" w:lineRule="auto"/>
        <w:ind w:firstLine="480" w:firstLineChars="200"/>
        <w:rPr>
          <w:rFonts w:hint="eastAsia" w:ascii="仿宋_GB2312" w:hAnsi="仿宋" w:eastAsia="仿宋_GB2312"/>
          <w:kern w:val="0"/>
          <w:sz w:val="24"/>
          <w:highlight w:val="none"/>
        </w:rPr>
      </w:pPr>
      <w:bookmarkStart w:id="808" w:name="_Toc156895458"/>
      <w:bookmarkStart w:id="809" w:name="_Toc171623771"/>
      <w:bookmarkStart w:id="810" w:name="_Toc166753338"/>
      <w:r>
        <w:rPr>
          <w:rFonts w:hint="eastAsia" w:ascii="仿宋_GB2312" w:hAnsi="仿宋" w:eastAsia="仿宋_GB2312"/>
          <w:kern w:val="0"/>
          <w:sz w:val="24"/>
          <w:highlight w:val="none"/>
        </w:rPr>
        <w:t>6.4.1合同设备安装完毕后，供方应按照需方通知参加验收并办理相关手续，供方未按照需方通知参加验收的，视为供方认可验收结果。合同设备通过验收并不能免除供方在质量保证期内对合同设备应尽的责任和义务。供方设备运送到项目指定地点后到设备通过验收移交给建设单位指定接收方前的保管及看护责任由供方负责，期间设备发生损坏、破坏、遗失以及其他任何风险相关责任均由供方承担。</w:t>
      </w:r>
    </w:p>
    <w:p w14:paraId="58F8AE3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6.4.5在合同履行过程中，对由于供方原因需要进行的检查、试验、再试验、修理或更换，供方应承担进行上述工作所需的费用。需方应做好安排以便进行上述工作。</w:t>
      </w:r>
    </w:p>
    <w:p w14:paraId="5740ABA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6.5安装、调试、验收中，合同设备的本体或任何组件如有缺陷供方应及时处理。供方对合同设备缺陷的处理不能达到合同要求，需方有权退货或解除合同。安装过程中供方处理缺陷超过需方要求期限的，应按延迟交货进度赔偿。</w:t>
      </w:r>
    </w:p>
    <w:p w14:paraId="670690F1">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供方提供安装、调试、售后等服务时，所派人员服务差的，需方有权对供方的行为进行通报并要求其改善。</w:t>
      </w:r>
    </w:p>
    <w:p w14:paraId="01F354E2">
      <w:pPr>
        <w:spacing w:line="360" w:lineRule="auto"/>
        <w:ind w:firstLine="480" w:firstLineChars="200"/>
        <w:outlineLvl w:val="2"/>
        <w:rPr>
          <w:rFonts w:hint="eastAsia" w:ascii="仿宋_GB2312" w:hAnsi="仿宋" w:eastAsia="仿宋_GB2312"/>
          <w:kern w:val="0"/>
          <w:sz w:val="24"/>
          <w:highlight w:val="none"/>
        </w:rPr>
      </w:pPr>
      <w:r>
        <w:rPr>
          <w:rFonts w:hint="eastAsia" w:ascii="仿宋_GB2312" w:hAnsi="仿宋" w:eastAsia="仿宋_GB2312"/>
          <w:kern w:val="0"/>
          <w:sz w:val="24"/>
          <w:highlight w:val="none"/>
        </w:rPr>
        <w:t>7.技术服务</w:t>
      </w:r>
    </w:p>
    <w:p w14:paraId="6F0C01B8">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7.1供方应按照投标文件的约定指派经验丰富的技术人员到现场提供技术服务（如需要），负责解决合同设备在安装、调试（试运行）过程中发现的问题。</w:t>
      </w:r>
    </w:p>
    <w:p w14:paraId="3AAAE2B6">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7.1.1 供方根据合同派往现场参加开箱检验的人员应能够全权处理开箱检验中出现的问题；参加指导安装调试的人员应有合格的技术水平，能够协调或解决安装调试过程中的全部问题；参加试运行的人员应能够全权处理合同设备试运行中的所有问题。</w:t>
      </w:r>
    </w:p>
    <w:p w14:paraId="48C83C0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7.1.2 供方应指定一名专人负责协调处理合同设备在安装、调试（试运行）过程中发现的全部问题。</w:t>
      </w:r>
    </w:p>
    <w:p w14:paraId="44B4BA0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7.3供方技术人员在现场提供技术服务时应严格遵守施工现场的各项安全规定，自觉做好安全保护措施，接受现场的监督管理；在施工现场未经许可，不得拆卸、涂抹、损坏任何合同设备；供方如需对合同设备进行调试，应在需方代表的监督下进行操作，必要时须经过现场监理代表或业主项目部负责人的同意。若供方技术人员违反现场安全规定，需方有权提出更换违反上述安全规定或不符合要求的供方技术人员，供方应根据需方要求，重新选派需方认可的技术人员。因上述原因引起的一切后果，由供方承担。</w:t>
      </w:r>
    </w:p>
    <w:p w14:paraId="6452842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7.5 当需方要求供方提供现场服务时，供方技术人员应在接到需方通知后24小时内给予答复并指派符合需方要求的技术人员在48小时内到达现场。</w:t>
      </w:r>
    </w:p>
    <w:p w14:paraId="4CA58B1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7.6 供方有义务在必要时邀请需方参与合同设备的技术设计，并向需方解释技术设计。</w:t>
      </w:r>
    </w:p>
    <w:p w14:paraId="05D4C10E">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7.7 如遇有重大问题需要双方立即研究协商时，任何一方均可建议召开会议，一般情况下，另一方应同意参加。</w:t>
      </w:r>
    </w:p>
    <w:p w14:paraId="4DFEDA33">
      <w:pPr>
        <w:spacing w:line="360" w:lineRule="auto"/>
        <w:ind w:firstLine="480" w:firstLineChars="200"/>
        <w:rPr>
          <w:rFonts w:hint="eastAsia" w:ascii="仿宋_GB2312" w:hAnsi="仿宋" w:eastAsia="仿宋_GB2312"/>
          <w:color w:val="EE0000"/>
          <w:kern w:val="0"/>
          <w:sz w:val="24"/>
          <w:highlight w:val="none"/>
        </w:rPr>
      </w:pPr>
      <w:r>
        <w:rPr>
          <w:rFonts w:hint="eastAsia" w:ascii="仿宋_GB2312" w:hAnsi="仿宋" w:eastAsia="仿宋_GB2312"/>
          <w:kern w:val="0"/>
          <w:sz w:val="24"/>
          <w:highlight w:val="none"/>
        </w:rPr>
        <w:t>7.8 对每次会议及联络，双方均应签署会议纪要或联络纪要，所签纪要文件与合同具有同等效力，双方均应遵照执行。</w:t>
      </w:r>
    </w:p>
    <w:p w14:paraId="4505C57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7.9 若供方的分包商需要参与合同设备的部分技术服务或现场工作，费用由供方或其分包商自行负担。</w:t>
      </w:r>
    </w:p>
    <w:p w14:paraId="0976735B">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7.10 双方协商确定的安装、调试和运行技术服务方案（如有），供方如有修改，须以书面形式通知需方，经需方确认后方可实施。为适应现场条件的要求，需方有权提出变更或修改意见，并书面通知供方，供方应给予充分考虑，满足需方要求。</w:t>
      </w:r>
    </w:p>
    <w:p w14:paraId="203411D9">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7.12供方应在安装前提供现场安装工作的标准化作业指导书，重点明确安装流程、安装工艺要求及现场检查、验证项目及标准。现场安装记录应经施工人员、供方现场技术人员及监理代表共同签字确认。</w:t>
      </w:r>
    </w:p>
    <w:p w14:paraId="089D769F">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7.13 需方有权将供方的货物设计、安装和技术服务方案以及供方所提供的一切有关合同设备的资料和图纸等复印分发至与需方有关的各方。</w:t>
      </w:r>
    </w:p>
    <w:p w14:paraId="1BDC5B80">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7.14需方发生供电中断或合同设备停运，需要供方提供技术支持的，供方应全力配合需方恢复合同设备运行并查明故障原因。</w:t>
      </w:r>
    </w:p>
    <w:p w14:paraId="6FAEF7A4">
      <w:pPr>
        <w:spacing w:line="360" w:lineRule="auto"/>
        <w:ind w:firstLine="480" w:firstLineChars="200"/>
        <w:outlineLvl w:val="2"/>
        <w:rPr>
          <w:rFonts w:hint="eastAsia" w:ascii="仿宋_GB2312" w:hAnsi="仿宋" w:eastAsia="仿宋_GB2312"/>
          <w:kern w:val="0"/>
          <w:sz w:val="24"/>
          <w:highlight w:val="none"/>
        </w:rPr>
      </w:pPr>
      <w:bookmarkStart w:id="811" w:name="_Toc205977484"/>
      <w:r>
        <w:rPr>
          <w:rFonts w:hint="eastAsia" w:ascii="仿宋_GB2312" w:hAnsi="仿宋" w:eastAsia="仿宋_GB2312"/>
          <w:kern w:val="0"/>
          <w:sz w:val="24"/>
          <w:highlight w:val="none"/>
        </w:rPr>
        <w:t>8.质量保证期</w:t>
      </w:r>
      <w:bookmarkEnd w:id="808"/>
      <w:bookmarkEnd w:id="809"/>
      <w:bookmarkEnd w:id="810"/>
      <w:bookmarkEnd w:id="811"/>
    </w:p>
    <w:p w14:paraId="265F4CFC">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 xml:space="preserve">8.1 </w:t>
      </w:r>
      <w:bookmarkStart w:id="812" w:name="_Toc166753339"/>
      <w:bookmarkStart w:id="813" w:name="_Toc156895459"/>
      <w:bookmarkStart w:id="814" w:name="_Toc171623772"/>
      <w:r>
        <w:rPr>
          <w:rFonts w:hint="eastAsia" w:ascii="仿宋_GB2312" w:hAnsi="仿宋" w:eastAsia="仿宋_GB2312"/>
          <w:b/>
          <w:color w:val="212121"/>
          <w:kern w:val="0"/>
          <w:sz w:val="24"/>
          <w:highlight w:val="none"/>
        </w:rPr>
        <w:t>质量保证期为</w:t>
      </w:r>
      <w:r>
        <w:rPr>
          <w:rFonts w:hint="eastAsia" w:ascii="仿宋_GB2312" w:hAnsi="仿宋" w:eastAsia="仿宋_GB2312" w:cs="仿宋_GB2312"/>
          <w:color w:val="212121"/>
          <w:sz w:val="24"/>
          <w:highlight w:val="none"/>
        </w:rPr>
        <w:t>24个月（自滁</w:t>
      </w:r>
      <w:r>
        <w:rPr>
          <w:rFonts w:hint="eastAsia" w:ascii="仿宋_GB2312" w:hAnsi="仿宋" w:eastAsia="仿宋_GB2312" w:cs="仿宋_GB2312"/>
          <w:sz w:val="24"/>
          <w:highlight w:val="none"/>
        </w:rPr>
        <w:t>州市琅琊区重点流域农业面源污染治理项目EPC通过竣工验收合格之日起计算</w:t>
      </w:r>
      <w:r>
        <w:rPr>
          <w:rFonts w:hint="eastAsia" w:ascii="仿宋_GB2312" w:hAnsi="仿宋" w:eastAsia="仿宋_GB2312" w:cs="仿宋_GB2312"/>
          <w:color w:val="212121"/>
          <w:sz w:val="24"/>
          <w:highlight w:val="none"/>
        </w:rPr>
        <w:t>）</w:t>
      </w:r>
      <w:r>
        <w:rPr>
          <w:rFonts w:hint="eastAsia" w:ascii="仿宋_GB2312" w:hAnsi="仿宋" w:eastAsia="仿宋_GB2312"/>
          <w:b/>
          <w:color w:val="212121"/>
          <w:kern w:val="0"/>
          <w:sz w:val="24"/>
          <w:highlight w:val="none"/>
        </w:rPr>
        <w:t>。</w:t>
      </w:r>
      <w:r>
        <w:rPr>
          <w:rFonts w:hint="eastAsia" w:ascii="仿宋_GB2312" w:hAnsi="仿宋" w:eastAsia="仿宋_GB2312"/>
          <w:color w:val="212121"/>
          <w:kern w:val="0"/>
          <w:sz w:val="24"/>
          <w:highlight w:val="none"/>
        </w:rPr>
        <w:t>如果</w:t>
      </w:r>
      <w:r>
        <w:rPr>
          <w:rFonts w:hint="eastAsia" w:ascii="仿宋_GB2312" w:hAnsi="仿宋" w:eastAsia="仿宋_GB2312"/>
          <w:kern w:val="0"/>
          <w:sz w:val="24"/>
          <w:highlight w:val="none"/>
        </w:rPr>
        <w:t>相关法律、法规、政府规章或者规范性文件以及国家或行业标准规定的质量保证期超过前述约定期限的，则质量保证期应以较长者为准。</w:t>
      </w:r>
    </w:p>
    <w:p w14:paraId="31192382">
      <w:pPr>
        <w:spacing w:line="360" w:lineRule="auto"/>
        <w:ind w:firstLine="480" w:firstLineChars="200"/>
        <w:rPr>
          <w:rFonts w:hint="eastAsia" w:ascii="仿宋_GB2312" w:hAnsi="仿宋" w:eastAsia="仿宋_GB2312" w:cs="仿宋_GB2312"/>
          <w:color w:val="212121"/>
          <w:sz w:val="24"/>
          <w:highlight w:val="none"/>
        </w:rPr>
      </w:pPr>
      <w:r>
        <w:rPr>
          <w:rFonts w:hint="eastAsia" w:ascii="仿宋_GB2312" w:hAnsi="仿宋" w:eastAsia="仿宋_GB2312" w:cs="仿宋_GB2312"/>
          <w:color w:val="212121"/>
          <w:sz w:val="24"/>
          <w:highlight w:val="none"/>
        </w:rPr>
        <w:t>8.2 在质量保证期内，如发现供方提供的合同设备有缺陷，不符合合同约定时，需方可向供方提出索赔。供方应按需方要求进行修理、更换，或赔偿需方的损失。如需更换，供方应及时用合格优质的产品进行更换。由此产生的全部费用由供方承担。如供方对索赔有异议，应在收到需方索赔通知后的7日以内书面形式提出，否则视为承认需方的索赔请求。</w:t>
      </w:r>
    </w:p>
    <w:p w14:paraId="2C740267">
      <w:pPr>
        <w:spacing w:line="360" w:lineRule="auto"/>
        <w:ind w:firstLine="480" w:firstLineChars="200"/>
        <w:rPr>
          <w:rFonts w:hint="eastAsia" w:ascii="仿宋_GB2312" w:hAnsi="仿宋" w:eastAsia="仿宋_GB2312" w:cs="仿宋_GB2312"/>
          <w:color w:val="212121"/>
          <w:sz w:val="24"/>
          <w:highlight w:val="none"/>
        </w:rPr>
      </w:pPr>
      <w:r>
        <w:rPr>
          <w:rFonts w:hint="eastAsia" w:ascii="仿宋_GB2312" w:hAnsi="仿宋" w:eastAsia="仿宋_GB2312" w:cs="仿宋_GB2312"/>
          <w:color w:val="212121"/>
          <w:sz w:val="24"/>
          <w:highlight w:val="none"/>
        </w:rPr>
        <w:t>在质量保证期内，货物存在缺陷需修理时，质量保证期自供方消除该缺陷后重新计算，由此产生的所有损失(包括但不限于由设备质量原因引起的相关检测、实验、专家咨询、运输、安装等费用)由供方承担。如在质量保证期内发现合同设备部件出现缺陷但不影响合同设备的正常运行，经维修或更换后的部件的质量保证期重新计算。</w:t>
      </w:r>
    </w:p>
    <w:p w14:paraId="798CEA87">
      <w:pPr>
        <w:spacing w:line="360" w:lineRule="auto"/>
        <w:ind w:firstLine="480" w:firstLineChars="200"/>
        <w:rPr>
          <w:rFonts w:hint="eastAsia" w:ascii="仿宋_GB2312" w:hAnsi="仿宋" w:eastAsia="仿宋_GB2312" w:cs="仿宋_GB2312"/>
          <w:color w:val="212121"/>
          <w:sz w:val="24"/>
          <w:highlight w:val="none"/>
        </w:rPr>
      </w:pPr>
      <w:r>
        <w:rPr>
          <w:rFonts w:hint="eastAsia" w:ascii="仿宋_GB2312" w:hAnsi="仿宋" w:eastAsia="仿宋_GB2312" w:cs="仿宋_GB2312"/>
          <w:color w:val="212121"/>
          <w:sz w:val="24"/>
          <w:highlight w:val="none"/>
        </w:rPr>
        <w:t>8.7 质量保证期的届满不能视为供方对合同设备中存在的可能引起合同设备损坏的潜在性缺陷所应负责任的解除。质量保证期结束后5年以内，合同设备出现潜在性缺陷时，需方有权要求供方对有缺陷的合同设备和同一批次的合同设备免费予以及时修理或更换。质量保证期结束5年后，合同设备寿命期内，合同设备出现潜在性缺陷时，需方有权要求供方按成本价对有缺陷的合同设备和同一批次的合同设备予以及时修理或更换。</w:t>
      </w:r>
    </w:p>
    <w:p w14:paraId="2E0E3754">
      <w:pPr>
        <w:spacing w:line="360" w:lineRule="auto"/>
        <w:ind w:firstLine="480" w:firstLineChars="200"/>
        <w:rPr>
          <w:rFonts w:hint="eastAsia" w:ascii="仿宋_GB2312" w:hAnsi="仿宋" w:eastAsia="仿宋_GB2312" w:cs="仿宋_GB2312"/>
          <w:color w:val="212121"/>
          <w:sz w:val="24"/>
          <w:highlight w:val="none"/>
        </w:rPr>
      </w:pPr>
      <w:r>
        <w:rPr>
          <w:rFonts w:hint="eastAsia" w:ascii="仿宋_GB2312" w:hAnsi="仿宋" w:eastAsia="仿宋_GB2312" w:cs="仿宋_GB2312"/>
          <w:color w:val="212121"/>
          <w:sz w:val="24"/>
          <w:highlight w:val="none"/>
        </w:rPr>
        <w:t>8.8 合同设备质量保证期结束后，供方应根据需方要求，以最优惠的价格向需方提供维护修理合同设备所必要的备品备件和技术服务，并在合同范围内免费继续向需方提供关于完善合同设备的所有技术资料。</w:t>
      </w:r>
    </w:p>
    <w:p w14:paraId="726D55C6">
      <w:pPr>
        <w:spacing w:line="360" w:lineRule="auto"/>
        <w:ind w:firstLine="480" w:firstLineChars="200"/>
        <w:outlineLvl w:val="2"/>
        <w:rPr>
          <w:rFonts w:hint="eastAsia" w:ascii="仿宋_GB2312" w:hAnsi="仿宋" w:eastAsia="仿宋_GB2312"/>
          <w:kern w:val="0"/>
          <w:sz w:val="24"/>
          <w:highlight w:val="none"/>
        </w:rPr>
      </w:pPr>
      <w:r>
        <w:rPr>
          <w:rFonts w:hint="eastAsia" w:ascii="仿宋_GB2312" w:hAnsi="仿宋" w:eastAsia="仿宋_GB2312"/>
          <w:kern w:val="0"/>
          <w:sz w:val="24"/>
          <w:highlight w:val="none"/>
        </w:rPr>
        <w:t>9.质量保证期服务</w:t>
      </w:r>
      <w:bookmarkEnd w:id="812"/>
      <w:bookmarkEnd w:id="813"/>
      <w:bookmarkEnd w:id="814"/>
    </w:p>
    <w:p w14:paraId="678078F9">
      <w:pPr>
        <w:spacing w:line="360" w:lineRule="auto"/>
        <w:ind w:firstLine="480" w:firstLineChars="200"/>
        <w:rPr>
          <w:rFonts w:hint="eastAsia" w:ascii="仿宋_GB2312" w:hAnsi="仿宋" w:eastAsia="仿宋_GB2312" w:cs="仿宋_GB2312"/>
          <w:kern w:val="0"/>
          <w:sz w:val="24"/>
          <w:highlight w:val="none"/>
        </w:rPr>
      </w:pPr>
      <w:bookmarkStart w:id="815" w:name="_Toc156895460"/>
      <w:bookmarkStart w:id="816" w:name="_Toc171623773"/>
      <w:bookmarkStart w:id="817" w:name="_Toc166753340"/>
      <w:r>
        <w:rPr>
          <w:rFonts w:hint="eastAsia" w:ascii="仿宋_GB2312" w:hAnsi="仿宋" w:eastAsia="仿宋_GB2312" w:cs="仿宋_GB2312"/>
          <w:kern w:val="0"/>
          <w:sz w:val="24"/>
          <w:highlight w:val="none"/>
        </w:rPr>
        <w:t>9.1 供方未按上述约定提供质保服务的，需方可自行或委托第三方处理，相关费用及因此造成的损失由供方承担。</w:t>
      </w:r>
    </w:p>
    <w:p w14:paraId="46ADE5F6">
      <w:pPr>
        <w:spacing w:line="360" w:lineRule="auto"/>
        <w:ind w:firstLine="480" w:firstLine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9.2货物存在质量问题的，维修后质量保证期相应顺延；如需更换的，质量保证期自更换之日起重新计算。</w:t>
      </w:r>
    </w:p>
    <w:p w14:paraId="185BF1BA">
      <w:pPr>
        <w:spacing w:line="360" w:lineRule="auto"/>
        <w:ind w:firstLine="480" w:firstLine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9.3 质量保证期满后，供方仍应继续提供售后服务。供方应在接到需方通知后24小时内提供处理方案或派人到现场服务，费用按供方投标文件服务承诺执行。</w:t>
      </w:r>
    </w:p>
    <w:p w14:paraId="1A551A81">
      <w:pPr>
        <w:spacing w:line="360" w:lineRule="auto"/>
        <w:ind w:firstLine="480" w:firstLineChars="200"/>
        <w:outlineLvl w:val="2"/>
        <w:rPr>
          <w:rFonts w:hint="eastAsia" w:ascii="仿宋_GB2312" w:hAnsi="仿宋" w:eastAsia="仿宋_GB2312"/>
          <w:kern w:val="0"/>
          <w:sz w:val="24"/>
          <w:highlight w:val="none"/>
        </w:rPr>
      </w:pPr>
      <w:bookmarkStart w:id="818" w:name="_Toc205977485"/>
      <w:r>
        <w:rPr>
          <w:rFonts w:hint="eastAsia" w:ascii="仿宋_GB2312" w:hAnsi="仿宋" w:eastAsia="仿宋_GB2312"/>
          <w:kern w:val="0"/>
          <w:sz w:val="24"/>
          <w:highlight w:val="none"/>
        </w:rPr>
        <w:t>10.履约保证金</w:t>
      </w:r>
      <w:bookmarkEnd w:id="815"/>
      <w:bookmarkEnd w:id="816"/>
      <w:bookmarkEnd w:id="817"/>
      <w:bookmarkEnd w:id="818"/>
    </w:p>
    <w:p w14:paraId="4DE6879A">
      <w:pPr>
        <w:spacing w:line="360" w:lineRule="auto"/>
        <w:ind w:firstLine="480" w:firstLineChars="200"/>
        <w:rPr>
          <w:rFonts w:hint="eastAsia" w:ascii="仿宋_GB2312" w:hAnsi="仿宋" w:eastAsia="仿宋_GB2312" w:cs="仿宋_GB2312"/>
          <w:kern w:val="0"/>
          <w:sz w:val="24"/>
          <w:highlight w:val="none"/>
        </w:rPr>
      </w:pPr>
      <w:bookmarkStart w:id="819" w:name="_Toc166753341"/>
      <w:bookmarkStart w:id="820" w:name="_Toc205977486"/>
      <w:bookmarkStart w:id="821" w:name="_Toc171623774"/>
      <w:bookmarkStart w:id="822" w:name="_Toc156895461"/>
      <w:r>
        <w:rPr>
          <w:rFonts w:hint="eastAsia" w:ascii="仿宋_GB2312" w:hAnsi="仿宋" w:eastAsia="仿宋_GB2312" w:cs="仿宋_GB2312"/>
          <w:kern w:val="0"/>
          <w:sz w:val="24"/>
          <w:highlight w:val="none"/>
        </w:rPr>
        <w:t>10.1不要求供方提交履约保证金。</w:t>
      </w:r>
    </w:p>
    <w:p w14:paraId="1FECF664">
      <w:pPr>
        <w:spacing w:line="360" w:lineRule="auto"/>
        <w:ind w:firstLine="480" w:firstLineChars="200"/>
        <w:outlineLvl w:val="2"/>
        <w:rPr>
          <w:rFonts w:hint="eastAsia" w:ascii="仿宋_GB2312" w:hAnsi="仿宋" w:eastAsia="仿宋_GB2312"/>
          <w:kern w:val="0"/>
          <w:sz w:val="24"/>
          <w:highlight w:val="none"/>
        </w:rPr>
      </w:pPr>
      <w:r>
        <w:rPr>
          <w:rFonts w:hint="eastAsia" w:ascii="仿宋_GB2312" w:hAnsi="仿宋" w:eastAsia="仿宋_GB2312"/>
          <w:kern w:val="0"/>
          <w:sz w:val="24"/>
          <w:highlight w:val="none"/>
        </w:rPr>
        <w:t>11.保证</w:t>
      </w:r>
      <w:bookmarkEnd w:id="819"/>
      <w:bookmarkEnd w:id="820"/>
      <w:bookmarkEnd w:id="821"/>
      <w:bookmarkEnd w:id="822"/>
    </w:p>
    <w:p w14:paraId="60B50CD4">
      <w:pPr>
        <w:snapToGrid w:val="0"/>
        <w:spacing w:line="360" w:lineRule="auto"/>
        <w:ind w:firstLine="480" w:firstLine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11.5 供方保证，供方所提供的技术资料完整、清晰、准确，符合合同约定并且能够满足合同设备的安装、调试、考核、操作以及维修和保养的需要，并配合需方提供项目验收所需的设备制造单位资质、体系内控文件、设备设计及检验等资料。</w:t>
      </w:r>
    </w:p>
    <w:p w14:paraId="1CBA0B31">
      <w:pPr>
        <w:snapToGrid w:val="0"/>
        <w:spacing w:line="360" w:lineRule="auto"/>
        <w:ind w:firstLine="480" w:firstLineChars="2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rPr>
        <w:t>11.6 供方保证合同范围内提供的备品备件</w:t>
      </w:r>
      <w:bookmarkStart w:id="823" w:name="_Hlk171611412"/>
      <w:r>
        <w:rPr>
          <w:rFonts w:hint="eastAsia" w:ascii="仿宋_GB2312" w:hAnsi="仿宋" w:eastAsia="仿宋_GB2312" w:cs="仿宋_GB2312"/>
          <w:kern w:val="0"/>
          <w:sz w:val="24"/>
          <w:highlight w:val="none"/>
        </w:rPr>
        <w:t>及易耗品</w:t>
      </w:r>
      <w:bookmarkEnd w:id="823"/>
      <w:r>
        <w:rPr>
          <w:rFonts w:hint="eastAsia" w:ascii="仿宋_GB2312" w:hAnsi="仿宋" w:eastAsia="仿宋_GB2312" w:cs="仿宋_GB2312"/>
          <w:kern w:val="0"/>
          <w:sz w:val="24"/>
          <w:highlight w:val="none"/>
        </w:rPr>
        <w:t>能够满足合同设备正式投产后3月内的正常运行及维修的需要，如在前述时间结束前因供方原因出现备品备件短缺影响合同设备正常运行的，供方应免费提供。</w:t>
      </w:r>
    </w:p>
    <w:p w14:paraId="284C190A">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11.9 供方的产品应符合国家有关环保法律法规的规定和国家、地方政府规定的管理体系标准，如有调整，以最新标准为准，不能对环境造成污染和对人员健康造成危害。</w:t>
      </w:r>
    </w:p>
    <w:p w14:paraId="0A695DFE">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11.10供方应根据货物特点，选择相应的保险类别，为避免本合同所供货物存在严重质量缺陷给需方造成损失，供方应投保产品责任险，投保费用由供方承担。</w:t>
      </w:r>
    </w:p>
    <w:p w14:paraId="07478616">
      <w:pPr>
        <w:spacing w:line="360" w:lineRule="auto"/>
        <w:ind w:firstLine="480" w:firstLineChars="200"/>
        <w:outlineLvl w:val="2"/>
        <w:rPr>
          <w:rFonts w:hint="eastAsia" w:ascii="仿宋_GB2312" w:hAnsi="仿宋" w:eastAsia="仿宋_GB2312"/>
          <w:kern w:val="0"/>
          <w:sz w:val="24"/>
          <w:highlight w:val="none"/>
        </w:rPr>
      </w:pPr>
      <w:bookmarkStart w:id="824" w:name="_Toc156895462"/>
      <w:bookmarkStart w:id="825" w:name="_Toc205977487"/>
      <w:bookmarkStart w:id="826" w:name="_Toc166753342"/>
      <w:bookmarkStart w:id="827" w:name="_Toc171623775"/>
      <w:r>
        <w:rPr>
          <w:rFonts w:hint="eastAsia" w:ascii="仿宋_GB2312" w:hAnsi="仿宋" w:eastAsia="仿宋_GB2312"/>
          <w:kern w:val="0"/>
          <w:sz w:val="24"/>
          <w:highlight w:val="none"/>
        </w:rPr>
        <w:t>14.违约责任</w:t>
      </w:r>
      <w:bookmarkEnd w:id="824"/>
      <w:bookmarkEnd w:id="825"/>
      <w:bookmarkEnd w:id="826"/>
      <w:bookmarkEnd w:id="827"/>
    </w:p>
    <w:p w14:paraId="5DEF9EEE">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lang w:val="zh-CN"/>
        </w:rPr>
        <w:t xml:space="preserve">14.2 </w:t>
      </w:r>
      <w:r>
        <w:rPr>
          <w:rFonts w:hint="eastAsia" w:ascii="仿宋_GB2312" w:hAnsi="仿宋" w:eastAsia="仿宋_GB2312" w:cs="仿宋_GB2312"/>
          <w:kern w:val="0"/>
          <w:sz w:val="24"/>
          <w:szCs w:val="20"/>
          <w:highlight w:val="none"/>
        </w:rPr>
        <w:t>供方未能按时交付合同设备（包括仅迟延交付技术资料但足以导致合同设备安装、调试、考核、验收工作推迟的）的，应向需方支付迟延交付违约金。迟延交付违约金的计算方法如下：</w:t>
      </w:r>
    </w:p>
    <w:p w14:paraId="4CB0FF5B">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自需方发出中标通知书后15个日历天内完成所有设备、材料的供货。</w:t>
      </w:r>
    </w:p>
    <w:p w14:paraId="3D41194E">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注：供货逾期7个日历天，违约金金额为该批迟交货物金额的1%；</w:t>
      </w:r>
    </w:p>
    <w:p w14:paraId="0574979C">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供货逾期14个日历天，每周违约金金额为该批迟交货物金额的2%；</w:t>
      </w:r>
    </w:p>
    <w:p w14:paraId="64E90014">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供货逾期21个日历天，每周违约金金额为该批迟交货物金额的3%；</w:t>
      </w:r>
    </w:p>
    <w:p w14:paraId="59B4F93F">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供货逾期28个日历天，每周违约金金额为该批迟交货物金额的4%；</w:t>
      </w:r>
    </w:p>
    <w:p w14:paraId="0ECADB01">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如上述供货迟交不足7个日历天按7个日历天计取。</w:t>
      </w:r>
    </w:p>
    <w:p w14:paraId="1740652C">
      <w:pPr>
        <w:snapToGrid w:val="0"/>
        <w:spacing w:line="360" w:lineRule="auto"/>
        <w:ind w:firstLine="480" w:firstLineChars="200"/>
        <w:rPr>
          <w:rFonts w:hint="eastAsia" w:ascii="宋体" w:hAnsi="宋体" w:cs="宋体"/>
          <w:color w:val="000000"/>
          <w:sz w:val="24"/>
          <w:highlight w:val="none"/>
        </w:rPr>
      </w:pPr>
      <w:r>
        <w:rPr>
          <w:rFonts w:hint="eastAsia" w:ascii="仿宋_GB2312" w:hAnsi="仿宋" w:eastAsia="仿宋_GB2312" w:cs="仿宋_GB2312"/>
          <w:kern w:val="0"/>
          <w:sz w:val="24"/>
          <w:szCs w:val="20"/>
          <w:highlight w:val="none"/>
        </w:rPr>
        <w:t>如因供方原因（如供货不及时、设备运行不合格以及其他任何由投标人引起的原因）导致滁州市琅琊区重点流域农业面源污染治理项目EPC工期延误，需方对供方可另行处以违约金：供货期每延误一天，处以20000元违约金，最高赔偿金额为84.33万元。违约金在结算时直接从结算款中扣除。</w:t>
      </w:r>
    </w:p>
    <w:p w14:paraId="1C75F81E">
      <w:pPr>
        <w:snapToGrid w:val="0"/>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cs="仿宋_GB2312"/>
          <w:kern w:val="0"/>
          <w:sz w:val="24"/>
          <w:szCs w:val="20"/>
          <w:highlight w:val="none"/>
        </w:rPr>
        <w:t>14.3 如供方发生违约行为，</w:t>
      </w:r>
      <w:r>
        <w:rPr>
          <w:rFonts w:hint="eastAsia" w:ascii="仿宋_GB2312" w:hAnsi="仿宋" w:eastAsia="仿宋_GB2312" w:cs="仿宋_GB2312"/>
          <w:kern w:val="0"/>
          <w:sz w:val="24"/>
          <w:szCs w:val="20"/>
          <w:highlight w:val="none"/>
          <w:lang w:val="zh-CN"/>
        </w:rPr>
        <w:t>收到需方书面索赔通知后7日内未予书面答复，视为供方已接受需方的索赔要求。</w:t>
      </w:r>
      <w:r>
        <w:rPr>
          <w:rFonts w:hint="eastAsia" w:ascii="仿宋_GB2312" w:hAnsi="仿宋" w:eastAsia="仿宋_GB2312" w:cs="仿宋_GB2312"/>
          <w:kern w:val="0"/>
          <w:sz w:val="24"/>
          <w:szCs w:val="20"/>
          <w:highlight w:val="none"/>
        </w:rPr>
        <w:t>需方有权从应付给供方的款项中扣除索赔金额，</w:t>
      </w:r>
      <w:r>
        <w:rPr>
          <w:rFonts w:hint="eastAsia" w:ascii="仿宋_GB2312" w:hAnsi="仿宋" w:eastAsia="仿宋_GB2312" w:cs="仿宋_GB2312"/>
          <w:kern w:val="0"/>
          <w:sz w:val="24"/>
          <w:szCs w:val="20"/>
          <w:highlight w:val="none"/>
          <w:lang w:val="zh-CN"/>
        </w:rPr>
        <w:t>不足部分向供方追偿。</w:t>
      </w:r>
    </w:p>
    <w:p w14:paraId="74BC5409">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14.4 货物存在质量问题的，为供方违约，需方有权要求供方按下述方式处理：</w:t>
      </w:r>
    </w:p>
    <w:p w14:paraId="77F0E5DC">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（1）根据货物质量问题严重程度，在不影响正常使用的前提下，供方同意降低货物价格；</w:t>
      </w:r>
    </w:p>
    <w:p w14:paraId="6FAF2E37">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2）经需方外观检查、内在检测或试运行检验其规格、质量或性能达不到验收要求的部件，供方应无条件修理、换货或退货，以达到合同规定的规格、质量和性能，供方承担相关费用并赔偿因此给需方造成的损失；</w:t>
      </w:r>
    </w:p>
    <w:p w14:paraId="2E8CF994">
      <w:pPr>
        <w:snapToGrid w:val="0"/>
        <w:spacing w:line="360" w:lineRule="auto"/>
        <w:ind w:firstLine="480" w:firstLineChars="200"/>
        <w:rPr>
          <w:rFonts w:hint="eastAsia" w:ascii="仿宋_GB2312" w:hAnsi="仿宋" w:eastAsia="仿宋_GB2312" w:cs="仿宋_GB2312"/>
          <w:kern w:val="0"/>
          <w:sz w:val="24"/>
          <w:szCs w:val="20"/>
          <w:highlight w:val="none"/>
        </w:rPr>
      </w:pPr>
      <w:r>
        <w:rPr>
          <w:rFonts w:hint="eastAsia" w:ascii="仿宋_GB2312" w:hAnsi="仿宋" w:eastAsia="仿宋_GB2312" w:cs="仿宋_GB2312"/>
          <w:kern w:val="0"/>
          <w:sz w:val="24"/>
          <w:szCs w:val="20"/>
          <w:highlight w:val="none"/>
        </w:rPr>
        <w:t>（3）部分或全部退货的，供方应将退货部分相应货款以合同规定的同类货币退还给需方；供方承担退货过程中发生的费用，并赔偿因此给需方造成的损失。</w:t>
      </w:r>
    </w:p>
    <w:p w14:paraId="714F7782">
      <w:pPr>
        <w:spacing w:line="360" w:lineRule="auto"/>
        <w:ind w:firstLine="480" w:firstLineChars="200"/>
        <w:outlineLvl w:val="2"/>
        <w:rPr>
          <w:rFonts w:hint="eastAsia" w:ascii="仿宋_GB2312" w:hAnsi="仿宋" w:eastAsia="仿宋_GB2312"/>
          <w:kern w:val="0"/>
          <w:sz w:val="24"/>
          <w:highlight w:val="none"/>
        </w:rPr>
      </w:pPr>
      <w:bookmarkStart w:id="828" w:name="_Toc156895463"/>
      <w:bookmarkStart w:id="829" w:name="_Toc171623776"/>
      <w:bookmarkStart w:id="830" w:name="_Toc205977488"/>
      <w:bookmarkStart w:id="831" w:name="_Toc166753343"/>
      <w:r>
        <w:rPr>
          <w:rFonts w:hint="eastAsia" w:ascii="仿宋_GB2312" w:hAnsi="仿宋" w:eastAsia="仿宋_GB2312"/>
          <w:kern w:val="0"/>
          <w:sz w:val="24"/>
          <w:highlight w:val="none"/>
        </w:rPr>
        <w:t>17.争议的解决</w:t>
      </w:r>
      <w:bookmarkEnd w:id="828"/>
      <w:bookmarkEnd w:id="829"/>
      <w:bookmarkEnd w:id="830"/>
      <w:bookmarkEnd w:id="831"/>
    </w:p>
    <w:p w14:paraId="10A8A0C7">
      <w:pPr>
        <w:spacing w:line="360" w:lineRule="auto"/>
        <w:ind w:firstLine="480" w:firstLineChars="200"/>
        <w:rPr>
          <w:rFonts w:hint="eastAsia" w:ascii="仿宋_GB2312" w:hAnsi="仿宋" w:eastAsia="仿宋_GB2312"/>
          <w:kern w:val="0"/>
          <w:sz w:val="24"/>
          <w:highlight w:val="none"/>
        </w:rPr>
      </w:pPr>
      <w:r>
        <w:rPr>
          <w:rFonts w:hint="eastAsia" w:ascii="仿宋_GB2312" w:hAnsi="仿宋" w:eastAsia="仿宋_GB2312"/>
          <w:kern w:val="0"/>
          <w:sz w:val="24"/>
          <w:highlight w:val="none"/>
        </w:rPr>
        <w:t>双方约定，在履行本合同过程中发生争议，双方协商解决；协商不成时双方当事人同意采取提交深圳国际仲裁院仲裁解决。</w:t>
      </w:r>
    </w:p>
    <w:p w14:paraId="302CB129">
      <w:pPr>
        <w:pStyle w:val="26"/>
        <w:ind w:firstLineChars="140"/>
        <w:rPr>
          <w:sz w:val="30"/>
          <w:szCs w:val="30"/>
          <w:highlight w:val="none"/>
        </w:rPr>
      </w:pPr>
      <w:r>
        <w:rPr>
          <w:sz w:val="30"/>
          <w:szCs w:val="30"/>
          <w:highlight w:val="none"/>
        </w:rPr>
        <w:br w:type="page"/>
      </w:r>
    </w:p>
    <w:p w14:paraId="3D953495">
      <w:pPr>
        <w:pStyle w:val="26"/>
        <w:ind w:left="0" w:leftChars="0" w:firstLine="0" w:firstLineChars="0"/>
        <w:jc w:val="center"/>
        <w:outlineLvl w:val="0"/>
        <w:rPr>
          <w:rFonts w:hint="eastAsia" w:ascii="宋体" w:hAnsi="宋体" w:cs="宋体"/>
          <w:color w:val="000000"/>
          <w:szCs w:val="21"/>
          <w:highlight w:val="none"/>
        </w:rPr>
      </w:pPr>
      <w:r>
        <w:rPr>
          <w:rFonts w:hint="eastAsia" w:ascii="仿宋_GB2312" w:hAnsi="仿宋" w:eastAsia="仿宋_GB2312"/>
          <w:b/>
          <w:bCs/>
          <w:sz w:val="32"/>
          <w:szCs w:val="32"/>
          <w:highlight w:val="none"/>
        </w:rPr>
        <w:t>合同附件</w:t>
      </w:r>
    </w:p>
    <w:p w14:paraId="200F04EF">
      <w:pPr>
        <w:pStyle w:val="18"/>
        <w:ind w:left="982" w:hanging="562"/>
        <w:rPr>
          <w:rFonts w:hint="eastAsia" w:ascii="仿宋_GB2312" w:hAnsi="仿宋" w:eastAsia="仿宋_GB2312"/>
          <w:b/>
          <w:bCs/>
          <w:kern w:val="0"/>
          <w:sz w:val="28"/>
          <w:szCs w:val="28"/>
          <w:highlight w:val="none"/>
        </w:rPr>
      </w:pPr>
      <w:r>
        <w:rPr>
          <w:rFonts w:hint="eastAsia" w:ascii="仿宋_GB2312" w:hAnsi="仿宋" w:eastAsia="仿宋_GB2312"/>
          <w:b/>
          <w:bCs/>
          <w:kern w:val="0"/>
          <w:sz w:val="28"/>
          <w:szCs w:val="28"/>
          <w:highlight w:val="none"/>
        </w:rPr>
        <w:t>附件一：供货一览表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1451"/>
        <w:gridCol w:w="4212"/>
        <w:gridCol w:w="973"/>
        <w:gridCol w:w="809"/>
        <w:gridCol w:w="1296"/>
        <w:gridCol w:w="799"/>
      </w:tblGrid>
      <w:tr w14:paraId="5915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blHeader/>
          <w:jc w:val="center"/>
        </w:trPr>
        <w:tc>
          <w:tcPr>
            <w:tcW w:w="390" w:type="pct"/>
            <w:vAlign w:val="center"/>
          </w:tcPr>
          <w:p w14:paraId="7B3CFF44">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序号</w:t>
            </w:r>
          </w:p>
        </w:tc>
        <w:tc>
          <w:tcPr>
            <w:tcW w:w="701" w:type="pct"/>
            <w:vAlign w:val="center"/>
          </w:tcPr>
          <w:p w14:paraId="6E19C79D">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货物名称</w:t>
            </w:r>
          </w:p>
        </w:tc>
        <w:tc>
          <w:tcPr>
            <w:tcW w:w="2035" w:type="pct"/>
            <w:vAlign w:val="center"/>
          </w:tcPr>
          <w:p w14:paraId="6E0BD23C">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规格型号</w:t>
            </w:r>
          </w:p>
        </w:tc>
        <w:tc>
          <w:tcPr>
            <w:tcW w:w="470" w:type="pct"/>
            <w:vAlign w:val="center"/>
          </w:tcPr>
          <w:p w14:paraId="568D3FE8">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单位</w:t>
            </w:r>
          </w:p>
        </w:tc>
        <w:tc>
          <w:tcPr>
            <w:tcW w:w="391" w:type="pct"/>
            <w:vAlign w:val="center"/>
          </w:tcPr>
          <w:p w14:paraId="03D987B8">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数量</w:t>
            </w:r>
          </w:p>
        </w:tc>
        <w:tc>
          <w:tcPr>
            <w:tcW w:w="626" w:type="pct"/>
            <w:vAlign w:val="center"/>
          </w:tcPr>
          <w:p w14:paraId="4B38488D">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要求到货日期</w:t>
            </w:r>
          </w:p>
        </w:tc>
        <w:tc>
          <w:tcPr>
            <w:tcW w:w="386" w:type="pct"/>
            <w:vAlign w:val="center"/>
          </w:tcPr>
          <w:p w14:paraId="49443797">
            <w:pPr>
              <w:snapToGrid w:val="0"/>
              <w:spacing w:line="320" w:lineRule="exact"/>
              <w:jc w:val="center"/>
              <w:rPr>
                <w:rFonts w:hint="eastAsia" w:ascii="仿宋_GB2312" w:hAnsi="仿宋" w:eastAsia="仿宋_GB2312" w:cs="仿宋"/>
                <w:b/>
                <w:bCs/>
                <w:sz w:val="24"/>
                <w:highlight w:val="none"/>
              </w:rPr>
            </w:pPr>
            <w:r>
              <w:rPr>
                <w:rFonts w:hint="eastAsia" w:ascii="仿宋_GB2312" w:hAnsi="仿宋" w:eastAsia="仿宋_GB2312" w:cs="仿宋"/>
                <w:b/>
                <w:bCs/>
                <w:sz w:val="24"/>
                <w:highlight w:val="none"/>
              </w:rPr>
              <w:t>备注</w:t>
            </w:r>
          </w:p>
        </w:tc>
      </w:tr>
      <w:tr w14:paraId="2825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90" w:type="pct"/>
            <w:vAlign w:val="center"/>
          </w:tcPr>
          <w:p w14:paraId="2A843A7B">
            <w:pPr>
              <w:snapToGrid w:val="0"/>
              <w:jc w:val="center"/>
              <w:rPr>
                <w:rFonts w:hint="eastAsia" w:ascii="仿宋_GB2312" w:hAnsi="仿宋" w:eastAsia="仿宋_GB2312" w:cs="仿宋"/>
                <w:szCs w:val="21"/>
                <w:highlight w:val="none"/>
              </w:rPr>
            </w:pPr>
            <w:r>
              <w:rPr>
                <w:rFonts w:hint="eastAsia" w:ascii="仿宋_GB2312" w:hAnsi="仿宋" w:eastAsia="仿宋_GB2312" w:cs="仿宋"/>
                <w:szCs w:val="21"/>
                <w:highlight w:val="none"/>
              </w:rPr>
              <w:t>1</w:t>
            </w:r>
          </w:p>
        </w:tc>
        <w:tc>
          <w:tcPr>
            <w:tcW w:w="701" w:type="pct"/>
            <w:vAlign w:val="center"/>
          </w:tcPr>
          <w:p w14:paraId="2DC44279">
            <w:pPr>
              <w:snapToGrid w:val="0"/>
              <w:spacing w:line="300" w:lineRule="exact"/>
              <w:jc w:val="left"/>
              <w:rPr>
                <w:rFonts w:hint="eastAsia" w:ascii="仿宋_GB2312" w:hAnsi="仿宋" w:eastAsia="仿宋_GB2312" w:cs="仿宋"/>
                <w:szCs w:val="21"/>
                <w:highlight w:val="none"/>
              </w:rPr>
            </w:pPr>
          </w:p>
        </w:tc>
        <w:tc>
          <w:tcPr>
            <w:tcW w:w="2035" w:type="pct"/>
            <w:vAlign w:val="center"/>
          </w:tcPr>
          <w:p w14:paraId="5D36E1DD">
            <w:pPr>
              <w:snapToGrid w:val="0"/>
              <w:spacing w:line="300" w:lineRule="exact"/>
              <w:jc w:val="left"/>
              <w:rPr>
                <w:rFonts w:hint="eastAsia" w:ascii="仿宋_GB2312" w:hAnsi="仿宋" w:eastAsia="仿宋_GB2312" w:cs="仿宋"/>
                <w:szCs w:val="21"/>
                <w:highlight w:val="none"/>
              </w:rPr>
            </w:pPr>
          </w:p>
        </w:tc>
        <w:tc>
          <w:tcPr>
            <w:tcW w:w="470" w:type="pct"/>
            <w:vAlign w:val="center"/>
          </w:tcPr>
          <w:p w14:paraId="1D83C72F">
            <w:pPr>
              <w:snapToGrid w:val="0"/>
              <w:spacing w:line="300" w:lineRule="exact"/>
              <w:jc w:val="center"/>
              <w:rPr>
                <w:rFonts w:hint="eastAsia" w:ascii="仿宋_GB2312" w:hAnsi="仿宋" w:eastAsia="仿宋_GB2312" w:cs="仿宋"/>
                <w:szCs w:val="21"/>
                <w:highlight w:val="none"/>
              </w:rPr>
            </w:pPr>
          </w:p>
        </w:tc>
        <w:tc>
          <w:tcPr>
            <w:tcW w:w="391" w:type="pct"/>
            <w:vAlign w:val="center"/>
          </w:tcPr>
          <w:p w14:paraId="637D1F21">
            <w:pPr>
              <w:snapToGrid w:val="0"/>
              <w:spacing w:line="300" w:lineRule="exact"/>
              <w:jc w:val="center"/>
              <w:rPr>
                <w:rFonts w:hint="eastAsia" w:ascii="仿宋_GB2312" w:hAnsi="仿宋" w:eastAsia="仿宋_GB2312" w:cs="仿宋"/>
                <w:szCs w:val="21"/>
                <w:highlight w:val="none"/>
              </w:rPr>
            </w:pPr>
          </w:p>
        </w:tc>
        <w:tc>
          <w:tcPr>
            <w:tcW w:w="626" w:type="pct"/>
            <w:vAlign w:val="center"/>
          </w:tcPr>
          <w:p w14:paraId="522012A6">
            <w:pPr>
              <w:snapToGrid w:val="0"/>
              <w:spacing w:line="300" w:lineRule="exact"/>
              <w:jc w:val="center"/>
              <w:rPr>
                <w:rFonts w:hint="eastAsia" w:ascii="仿宋_GB2312" w:hAnsi="仿宋" w:eastAsia="仿宋_GB2312" w:cs="仿宋"/>
                <w:szCs w:val="21"/>
                <w:highlight w:val="none"/>
              </w:rPr>
            </w:pPr>
          </w:p>
        </w:tc>
        <w:tc>
          <w:tcPr>
            <w:tcW w:w="386" w:type="pct"/>
            <w:vAlign w:val="center"/>
          </w:tcPr>
          <w:p w14:paraId="33784618">
            <w:pPr>
              <w:snapToGrid w:val="0"/>
              <w:spacing w:line="480" w:lineRule="atLeast"/>
              <w:jc w:val="center"/>
              <w:rPr>
                <w:rFonts w:hint="eastAsia" w:ascii="仿宋_GB2312" w:hAnsi="仿宋" w:eastAsia="仿宋_GB2312" w:cs="仿宋"/>
                <w:sz w:val="24"/>
                <w:highlight w:val="none"/>
              </w:rPr>
            </w:pPr>
          </w:p>
        </w:tc>
      </w:tr>
      <w:tr w14:paraId="22F7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390" w:type="pct"/>
            <w:vAlign w:val="center"/>
          </w:tcPr>
          <w:p w14:paraId="4D532015">
            <w:pPr>
              <w:snapToGrid w:val="0"/>
              <w:jc w:val="center"/>
              <w:rPr>
                <w:rFonts w:hint="eastAsia" w:ascii="仿宋_GB2312" w:hAnsi="仿宋" w:eastAsia="仿宋_GB2312" w:cs="仿宋"/>
                <w:szCs w:val="21"/>
                <w:highlight w:val="none"/>
              </w:rPr>
            </w:pPr>
            <w:r>
              <w:rPr>
                <w:rFonts w:hint="eastAsia" w:ascii="仿宋_GB2312" w:hAnsi="仿宋" w:eastAsia="仿宋_GB2312" w:cs="仿宋"/>
                <w:szCs w:val="21"/>
                <w:highlight w:val="none"/>
              </w:rPr>
              <w:t>2</w:t>
            </w:r>
          </w:p>
        </w:tc>
        <w:tc>
          <w:tcPr>
            <w:tcW w:w="701" w:type="pct"/>
            <w:vAlign w:val="center"/>
          </w:tcPr>
          <w:p w14:paraId="09029D99">
            <w:pPr>
              <w:snapToGrid w:val="0"/>
              <w:spacing w:line="300" w:lineRule="exact"/>
              <w:jc w:val="left"/>
              <w:rPr>
                <w:rFonts w:hint="eastAsia" w:ascii="仿宋_GB2312" w:hAnsi="仿宋" w:eastAsia="仿宋_GB2312" w:cs="仿宋"/>
                <w:szCs w:val="21"/>
                <w:highlight w:val="none"/>
              </w:rPr>
            </w:pPr>
          </w:p>
        </w:tc>
        <w:tc>
          <w:tcPr>
            <w:tcW w:w="2035" w:type="pct"/>
            <w:vAlign w:val="center"/>
          </w:tcPr>
          <w:p w14:paraId="4464B380">
            <w:pPr>
              <w:snapToGrid w:val="0"/>
              <w:spacing w:line="300" w:lineRule="exact"/>
              <w:jc w:val="left"/>
              <w:rPr>
                <w:rFonts w:hint="eastAsia" w:ascii="仿宋_GB2312" w:hAnsi="仿宋" w:eastAsia="仿宋_GB2312" w:cs="仿宋"/>
                <w:szCs w:val="21"/>
                <w:highlight w:val="none"/>
              </w:rPr>
            </w:pPr>
          </w:p>
        </w:tc>
        <w:tc>
          <w:tcPr>
            <w:tcW w:w="470" w:type="pct"/>
            <w:vAlign w:val="center"/>
          </w:tcPr>
          <w:p w14:paraId="664702D3">
            <w:pPr>
              <w:snapToGrid w:val="0"/>
              <w:spacing w:line="300" w:lineRule="exact"/>
              <w:jc w:val="center"/>
              <w:rPr>
                <w:rFonts w:hint="eastAsia" w:ascii="仿宋_GB2312" w:hAnsi="仿宋" w:eastAsia="仿宋_GB2312" w:cs="仿宋"/>
                <w:szCs w:val="21"/>
                <w:highlight w:val="none"/>
              </w:rPr>
            </w:pPr>
          </w:p>
        </w:tc>
        <w:tc>
          <w:tcPr>
            <w:tcW w:w="391" w:type="pct"/>
            <w:vAlign w:val="center"/>
          </w:tcPr>
          <w:p w14:paraId="4D4443E0">
            <w:pPr>
              <w:snapToGrid w:val="0"/>
              <w:spacing w:line="300" w:lineRule="exact"/>
              <w:jc w:val="center"/>
              <w:rPr>
                <w:rFonts w:hint="eastAsia" w:ascii="仿宋_GB2312" w:hAnsi="仿宋" w:eastAsia="仿宋_GB2312" w:cs="仿宋"/>
                <w:szCs w:val="21"/>
                <w:highlight w:val="none"/>
              </w:rPr>
            </w:pPr>
          </w:p>
        </w:tc>
        <w:tc>
          <w:tcPr>
            <w:tcW w:w="626" w:type="pct"/>
            <w:vAlign w:val="center"/>
          </w:tcPr>
          <w:p w14:paraId="4EECBF71">
            <w:pPr>
              <w:snapToGrid w:val="0"/>
              <w:spacing w:line="300" w:lineRule="exact"/>
              <w:jc w:val="center"/>
              <w:rPr>
                <w:rFonts w:hint="eastAsia" w:ascii="仿宋_GB2312" w:hAnsi="仿宋" w:eastAsia="仿宋_GB2312" w:cs="仿宋"/>
                <w:szCs w:val="21"/>
                <w:highlight w:val="none"/>
              </w:rPr>
            </w:pPr>
          </w:p>
        </w:tc>
        <w:tc>
          <w:tcPr>
            <w:tcW w:w="386" w:type="pct"/>
            <w:vAlign w:val="center"/>
          </w:tcPr>
          <w:p w14:paraId="6B792E6F">
            <w:pPr>
              <w:snapToGrid w:val="0"/>
              <w:spacing w:line="480" w:lineRule="atLeast"/>
              <w:jc w:val="center"/>
              <w:rPr>
                <w:rFonts w:hint="eastAsia" w:ascii="仿宋_GB2312" w:hAnsi="仿宋" w:eastAsia="仿宋_GB2312" w:cs="仿宋"/>
                <w:sz w:val="24"/>
                <w:highlight w:val="none"/>
              </w:rPr>
            </w:pPr>
          </w:p>
        </w:tc>
      </w:tr>
      <w:tr w14:paraId="6F5B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90" w:type="pct"/>
            <w:vAlign w:val="center"/>
          </w:tcPr>
          <w:p w14:paraId="05D5672D">
            <w:pPr>
              <w:snapToGrid w:val="0"/>
              <w:jc w:val="center"/>
              <w:rPr>
                <w:rFonts w:hint="eastAsia" w:ascii="仿宋_GB2312" w:hAnsi="仿宋" w:eastAsia="仿宋_GB2312" w:cs="仿宋"/>
                <w:szCs w:val="21"/>
                <w:highlight w:val="none"/>
              </w:rPr>
            </w:pPr>
            <w:r>
              <w:rPr>
                <w:rFonts w:hint="eastAsia" w:ascii="仿宋_GB2312" w:hAnsi="仿宋" w:eastAsia="仿宋_GB2312" w:cs="仿宋"/>
                <w:szCs w:val="21"/>
                <w:highlight w:val="none"/>
              </w:rPr>
              <w:t>3</w:t>
            </w:r>
          </w:p>
        </w:tc>
        <w:tc>
          <w:tcPr>
            <w:tcW w:w="701" w:type="pct"/>
            <w:vAlign w:val="center"/>
          </w:tcPr>
          <w:p w14:paraId="66E3DDF2">
            <w:pPr>
              <w:snapToGrid w:val="0"/>
              <w:spacing w:line="300" w:lineRule="exact"/>
              <w:jc w:val="left"/>
              <w:rPr>
                <w:rFonts w:hint="eastAsia" w:ascii="仿宋_GB2312" w:hAnsi="仿宋" w:eastAsia="仿宋_GB2312" w:cs="仿宋"/>
                <w:szCs w:val="21"/>
                <w:highlight w:val="none"/>
              </w:rPr>
            </w:pPr>
          </w:p>
        </w:tc>
        <w:tc>
          <w:tcPr>
            <w:tcW w:w="2035" w:type="pct"/>
            <w:vAlign w:val="center"/>
          </w:tcPr>
          <w:p w14:paraId="4EC67A62">
            <w:pPr>
              <w:snapToGrid w:val="0"/>
              <w:spacing w:line="300" w:lineRule="exact"/>
              <w:jc w:val="left"/>
              <w:rPr>
                <w:rFonts w:hint="eastAsia" w:ascii="仿宋_GB2312" w:hAnsi="仿宋" w:eastAsia="仿宋_GB2312" w:cs="仿宋"/>
                <w:szCs w:val="21"/>
                <w:highlight w:val="none"/>
              </w:rPr>
            </w:pPr>
          </w:p>
        </w:tc>
        <w:tc>
          <w:tcPr>
            <w:tcW w:w="470" w:type="pct"/>
            <w:vAlign w:val="center"/>
          </w:tcPr>
          <w:p w14:paraId="2F51E9E7">
            <w:pPr>
              <w:snapToGrid w:val="0"/>
              <w:spacing w:line="300" w:lineRule="exact"/>
              <w:jc w:val="center"/>
              <w:rPr>
                <w:rFonts w:hint="eastAsia" w:ascii="仿宋_GB2312" w:hAnsi="仿宋" w:eastAsia="仿宋_GB2312" w:cs="仿宋"/>
                <w:szCs w:val="21"/>
                <w:highlight w:val="none"/>
              </w:rPr>
            </w:pPr>
          </w:p>
        </w:tc>
        <w:tc>
          <w:tcPr>
            <w:tcW w:w="391" w:type="pct"/>
            <w:vAlign w:val="center"/>
          </w:tcPr>
          <w:p w14:paraId="748716C3">
            <w:pPr>
              <w:snapToGrid w:val="0"/>
              <w:spacing w:line="300" w:lineRule="exact"/>
              <w:jc w:val="center"/>
              <w:rPr>
                <w:rFonts w:hint="eastAsia" w:ascii="仿宋_GB2312" w:hAnsi="仿宋" w:eastAsia="仿宋_GB2312" w:cs="仿宋"/>
                <w:szCs w:val="21"/>
                <w:highlight w:val="none"/>
              </w:rPr>
            </w:pPr>
          </w:p>
        </w:tc>
        <w:tc>
          <w:tcPr>
            <w:tcW w:w="626" w:type="pct"/>
            <w:vAlign w:val="center"/>
          </w:tcPr>
          <w:p w14:paraId="7D811A7E">
            <w:pPr>
              <w:snapToGrid w:val="0"/>
              <w:spacing w:line="300" w:lineRule="exact"/>
              <w:jc w:val="center"/>
              <w:rPr>
                <w:rFonts w:hint="eastAsia" w:ascii="仿宋_GB2312" w:hAnsi="仿宋" w:eastAsia="仿宋_GB2312" w:cs="仿宋"/>
                <w:szCs w:val="21"/>
                <w:highlight w:val="none"/>
              </w:rPr>
            </w:pPr>
          </w:p>
        </w:tc>
        <w:tc>
          <w:tcPr>
            <w:tcW w:w="386" w:type="pct"/>
            <w:vAlign w:val="center"/>
          </w:tcPr>
          <w:p w14:paraId="5CE24417">
            <w:pPr>
              <w:snapToGrid w:val="0"/>
              <w:spacing w:line="480" w:lineRule="atLeast"/>
              <w:jc w:val="center"/>
              <w:rPr>
                <w:rFonts w:hint="eastAsia" w:ascii="仿宋_GB2312" w:hAnsi="仿宋" w:eastAsia="仿宋_GB2312" w:cs="仿宋"/>
                <w:sz w:val="24"/>
                <w:highlight w:val="none"/>
              </w:rPr>
            </w:pPr>
          </w:p>
        </w:tc>
      </w:tr>
      <w:tr w14:paraId="0B89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90" w:type="pct"/>
            <w:vAlign w:val="center"/>
          </w:tcPr>
          <w:p w14:paraId="12C13D37">
            <w:pPr>
              <w:snapToGrid w:val="0"/>
              <w:jc w:val="center"/>
              <w:rPr>
                <w:rFonts w:hint="eastAsia" w:ascii="仿宋_GB2312" w:hAnsi="仿宋" w:eastAsia="仿宋_GB2312" w:cs="仿宋"/>
                <w:szCs w:val="21"/>
                <w:highlight w:val="none"/>
              </w:rPr>
            </w:pPr>
            <w:r>
              <w:rPr>
                <w:rFonts w:hint="eastAsia" w:ascii="仿宋_GB2312" w:hAnsi="仿宋" w:eastAsia="仿宋_GB2312" w:cs="仿宋"/>
                <w:szCs w:val="21"/>
                <w:highlight w:val="none"/>
              </w:rPr>
              <w:t>4</w:t>
            </w:r>
          </w:p>
        </w:tc>
        <w:tc>
          <w:tcPr>
            <w:tcW w:w="701" w:type="pct"/>
            <w:vAlign w:val="center"/>
          </w:tcPr>
          <w:p w14:paraId="1A562E8A">
            <w:pPr>
              <w:snapToGrid w:val="0"/>
              <w:spacing w:line="300" w:lineRule="exact"/>
              <w:jc w:val="left"/>
              <w:rPr>
                <w:rFonts w:hint="eastAsia" w:ascii="仿宋_GB2312" w:hAnsi="仿宋" w:eastAsia="仿宋_GB2312" w:cs="仿宋"/>
                <w:szCs w:val="21"/>
                <w:highlight w:val="none"/>
              </w:rPr>
            </w:pPr>
          </w:p>
        </w:tc>
        <w:tc>
          <w:tcPr>
            <w:tcW w:w="2035" w:type="pct"/>
            <w:vAlign w:val="center"/>
          </w:tcPr>
          <w:p w14:paraId="77442983">
            <w:pPr>
              <w:snapToGrid w:val="0"/>
              <w:spacing w:line="300" w:lineRule="exact"/>
              <w:jc w:val="left"/>
              <w:rPr>
                <w:rFonts w:hint="eastAsia" w:ascii="仿宋_GB2312" w:hAnsi="仿宋" w:eastAsia="仿宋_GB2312" w:cs="仿宋"/>
                <w:szCs w:val="21"/>
                <w:highlight w:val="none"/>
              </w:rPr>
            </w:pPr>
          </w:p>
        </w:tc>
        <w:tc>
          <w:tcPr>
            <w:tcW w:w="470" w:type="pct"/>
            <w:vAlign w:val="center"/>
          </w:tcPr>
          <w:p w14:paraId="0CF98E70">
            <w:pPr>
              <w:snapToGrid w:val="0"/>
              <w:spacing w:line="300" w:lineRule="exact"/>
              <w:jc w:val="center"/>
              <w:rPr>
                <w:rFonts w:hint="eastAsia" w:ascii="仿宋_GB2312" w:hAnsi="仿宋" w:eastAsia="仿宋_GB2312" w:cs="仿宋"/>
                <w:szCs w:val="21"/>
                <w:highlight w:val="none"/>
              </w:rPr>
            </w:pPr>
          </w:p>
        </w:tc>
        <w:tc>
          <w:tcPr>
            <w:tcW w:w="391" w:type="pct"/>
            <w:vAlign w:val="center"/>
          </w:tcPr>
          <w:p w14:paraId="5CDA1E4D">
            <w:pPr>
              <w:snapToGrid w:val="0"/>
              <w:spacing w:line="300" w:lineRule="exact"/>
              <w:jc w:val="center"/>
              <w:rPr>
                <w:rFonts w:hint="eastAsia" w:ascii="仿宋_GB2312" w:hAnsi="仿宋" w:eastAsia="仿宋_GB2312" w:cs="仿宋"/>
                <w:szCs w:val="21"/>
                <w:highlight w:val="none"/>
              </w:rPr>
            </w:pPr>
          </w:p>
        </w:tc>
        <w:tc>
          <w:tcPr>
            <w:tcW w:w="626" w:type="pct"/>
            <w:vAlign w:val="center"/>
          </w:tcPr>
          <w:p w14:paraId="36C951FB">
            <w:pPr>
              <w:snapToGrid w:val="0"/>
              <w:spacing w:line="300" w:lineRule="exact"/>
              <w:jc w:val="center"/>
              <w:rPr>
                <w:rFonts w:hint="eastAsia" w:ascii="仿宋_GB2312" w:hAnsi="仿宋" w:eastAsia="仿宋_GB2312" w:cs="仿宋"/>
                <w:szCs w:val="21"/>
                <w:highlight w:val="none"/>
              </w:rPr>
            </w:pPr>
          </w:p>
        </w:tc>
        <w:tc>
          <w:tcPr>
            <w:tcW w:w="386" w:type="pct"/>
            <w:vAlign w:val="center"/>
          </w:tcPr>
          <w:p w14:paraId="645AD423">
            <w:pPr>
              <w:snapToGrid w:val="0"/>
              <w:spacing w:line="480" w:lineRule="atLeast"/>
              <w:jc w:val="center"/>
              <w:rPr>
                <w:rFonts w:hint="eastAsia" w:ascii="仿宋_GB2312" w:hAnsi="仿宋" w:eastAsia="仿宋_GB2312" w:cs="仿宋"/>
                <w:sz w:val="24"/>
                <w:highlight w:val="none"/>
              </w:rPr>
            </w:pPr>
          </w:p>
        </w:tc>
      </w:tr>
      <w:tr w14:paraId="1A9F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390" w:type="pct"/>
            <w:vAlign w:val="center"/>
          </w:tcPr>
          <w:p w14:paraId="27B452C4">
            <w:pPr>
              <w:snapToGrid w:val="0"/>
              <w:jc w:val="center"/>
              <w:rPr>
                <w:rFonts w:hint="eastAsia" w:ascii="仿宋_GB2312" w:hAnsi="仿宋" w:eastAsia="仿宋_GB2312" w:cs="仿宋"/>
                <w:szCs w:val="21"/>
                <w:highlight w:val="none"/>
              </w:rPr>
            </w:pPr>
            <w:r>
              <w:rPr>
                <w:rFonts w:ascii="仿宋_GB2312" w:hAnsi="仿宋" w:eastAsia="仿宋_GB2312" w:cs="仿宋"/>
                <w:szCs w:val="21"/>
                <w:highlight w:val="none"/>
              </w:rPr>
              <w:t>……</w:t>
            </w:r>
          </w:p>
        </w:tc>
        <w:tc>
          <w:tcPr>
            <w:tcW w:w="701" w:type="pct"/>
            <w:vAlign w:val="center"/>
          </w:tcPr>
          <w:p w14:paraId="4BD7F4BB">
            <w:pPr>
              <w:snapToGrid w:val="0"/>
              <w:spacing w:line="300" w:lineRule="exact"/>
              <w:jc w:val="left"/>
              <w:rPr>
                <w:rFonts w:hint="eastAsia" w:ascii="仿宋_GB2312" w:hAnsi="仿宋" w:eastAsia="仿宋_GB2312" w:cs="仿宋"/>
                <w:szCs w:val="21"/>
                <w:highlight w:val="none"/>
              </w:rPr>
            </w:pPr>
          </w:p>
        </w:tc>
        <w:tc>
          <w:tcPr>
            <w:tcW w:w="2035" w:type="pct"/>
            <w:vAlign w:val="center"/>
          </w:tcPr>
          <w:p w14:paraId="36D4875F">
            <w:pPr>
              <w:snapToGrid w:val="0"/>
              <w:spacing w:line="300" w:lineRule="exact"/>
              <w:jc w:val="left"/>
              <w:rPr>
                <w:rFonts w:hint="eastAsia" w:ascii="仿宋_GB2312" w:hAnsi="仿宋" w:eastAsia="仿宋_GB2312" w:cs="仿宋"/>
                <w:szCs w:val="21"/>
                <w:highlight w:val="none"/>
              </w:rPr>
            </w:pPr>
          </w:p>
        </w:tc>
        <w:tc>
          <w:tcPr>
            <w:tcW w:w="470" w:type="pct"/>
            <w:vAlign w:val="center"/>
          </w:tcPr>
          <w:p w14:paraId="125A0E66">
            <w:pPr>
              <w:snapToGrid w:val="0"/>
              <w:spacing w:line="300" w:lineRule="exact"/>
              <w:jc w:val="center"/>
              <w:rPr>
                <w:rFonts w:hint="eastAsia" w:ascii="仿宋_GB2312" w:hAnsi="仿宋" w:eastAsia="仿宋_GB2312" w:cs="仿宋"/>
                <w:szCs w:val="21"/>
                <w:highlight w:val="none"/>
              </w:rPr>
            </w:pPr>
          </w:p>
        </w:tc>
        <w:tc>
          <w:tcPr>
            <w:tcW w:w="391" w:type="pct"/>
            <w:vAlign w:val="center"/>
          </w:tcPr>
          <w:p w14:paraId="23E70C17">
            <w:pPr>
              <w:snapToGrid w:val="0"/>
              <w:spacing w:line="300" w:lineRule="exact"/>
              <w:jc w:val="center"/>
              <w:rPr>
                <w:rFonts w:hint="eastAsia" w:ascii="仿宋_GB2312" w:hAnsi="仿宋" w:eastAsia="仿宋_GB2312" w:cs="仿宋"/>
                <w:szCs w:val="21"/>
                <w:highlight w:val="none"/>
              </w:rPr>
            </w:pPr>
          </w:p>
        </w:tc>
        <w:tc>
          <w:tcPr>
            <w:tcW w:w="626" w:type="pct"/>
            <w:vAlign w:val="center"/>
          </w:tcPr>
          <w:p w14:paraId="71C78833">
            <w:pPr>
              <w:snapToGrid w:val="0"/>
              <w:spacing w:line="300" w:lineRule="exact"/>
              <w:jc w:val="center"/>
              <w:rPr>
                <w:rFonts w:hint="eastAsia" w:ascii="仿宋_GB2312" w:hAnsi="仿宋" w:eastAsia="仿宋_GB2312" w:cs="仿宋"/>
                <w:szCs w:val="21"/>
                <w:highlight w:val="none"/>
              </w:rPr>
            </w:pPr>
          </w:p>
        </w:tc>
        <w:tc>
          <w:tcPr>
            <w:tcW w:w="386" w:type="pct"/>
            <w:vAlign w:val="center"/>
          </w:tcPr>
          <w:p w14:paraId="0EC0EF10">
            <w:pPr>
              <w:snapToGrid w:val="0"/>
              <w:spacing w:line="480" w:lineRule="atLeast"/>
              <w:jc w:val="center"/>
              <w:rPr>
                <w:rFonts w:hint="eastAsia" w:ascii="仿宋_GB2312" w:hAnsi="仿宋" w:eastAsia="仿宋_GB2312" w:cs="仿宋"/>
                <w:sz w:val="24"/>
                <w:highlight w:val="none"/>
              </w:rPr>
            </w:pPr>
          </w:p>
        </w:tc>
      </w:tr>
    </w:tbl>
    <w:p w14:paraId="0369ADDF">
      <w:pPr>
        <w:pStyle w:val="26"/>
        <w:ind w:firstLineChars="140"/>
        <w:rPr>
          <w:sz w:val="30"/>
          <w:szCs w:val="30"/>
          <w:highlight w:val="none"/>
        </w:rPr>
      </w:pPr>
      <w:r>
        <w:rPr>
          <w:sz w:val="30"/>
          <w:szCs w:val="30"/>
          <w:highlight w:val="none"/>
        </w:rPr>
        <w:br w:type="page"/>
      </w:r>
    </w:p>
    <w:p w14:paraId="083FECDA">
      <w:pPr>
        <w:spacing w:line="360" w:lineRule="auto"/>
        <w:jc w:val="left"/>
        <w:outlineLvl w:val="2"/>
        <w:rPr>
          <w:rFonts w:ascii="仿宋_GB2312" w:eastAsia="仿宋_GB2312"/>
          <w:sz w:val="28"/>
          <w:szCs w:val="22"/>
          <w:highlight w:val="none"/>
        </w:rPr>
      </w:pPr>
      <w:bookmarkStart w:id="832" w:name="_Toc171623779"/>
      <w:bookmarkStart w:id="833" w:name="_Toc205977491"/>
      <w:r>
        <w:rPr>
          <w:rFonts w:hint="eastAsia" w:ascii="仿宋_GB2312" w:hAnsi="仿宋" w:eastAsia="仿宋_GB2312"/>
          <w:b/>
          <w:bCs/>
          <w:kern w:val="0"/>
          <w:sz w:val="28"/>
          <w:szCs w:val="28"/>
          <w:highlight w:val="none"/>
        </w:rPr>
        <w:t>附件二：廉政责任书</w:t>
      </w:r>
      <w:bookmarkEnd w:id="832"/>
      <w:bookmarkEnd w:id="833"/>
    </w:p>
    <w:p w14:paraId="176E1A73">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根据工程建设、物资采购、廉政建设的有关规定，为做好招标采购中的廉政建设，保证工程建设、设备物资采购高效优质，保证国有资金的安全、有效及效益，供需双方签署本责任书：</w:t>
      </w:r>
    </w:p>
    <w:p w14:paraId="75F96A8B">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第一条  供需双方的权利和义务</w:t>
      </w:r>
    </w:p>
    <w:p w14:paraId="7C793C3F">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（一）严格遵守国家有关法律法规及国资委对资金使用的有关规定。</w:t>
      </w:r>
    </w:p>
    <w:p w14:paraId="52093080">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（二）严格执行合同文件，自觉按合同办事。</w:t>
      </w:r>
    </w:p>
    <w:p w14:paraId="459682D4">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（三）双方的业务活动坚持公开、公正、诚信、透明的原则（除法律认定的商业秘密和合同文件另有规定之外），不得损害国家和集体利益，违反工程建设管理规章制度。</w:t>
      </w:r>
    </w:p>
    <w:p w14:paraId="3A25E12C">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（四）建立健全廉政制度，开展廉政教育，设立廉政告示牌，公布举报电话，监督并认真查处违法违纪行为。</w:t>
      </w:r>
    </w:p>
    <w:p w14:paraId="5A3C2CE0">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（五）发现对方在业务活动中有违反廉政规定的行为，有及时提醒对方纠正的权利和义务</w:t>
      </w:r>
    </w:p>
    <w:p w14:paraId="519269B0">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（六）发现对方严重违反本合同义务条款的行为，有向其上级有关部门举报、建议给予处理并要求告知处理结果的权利。</w:t>
      </w:r>
    </w:p>
    <w:p w14:paraId="78ED5662">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第二条  需方的义务</w:t>
      </w:r>
    </w:p>
    <w:p w14:paraId="4417D873">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（一）需方及其工作人员不得索要或接受供方的礼金、有价证券和贵重物品，不得在供方报销任何应由需方或个人支付的费用等。</w:t>
      </w:r>
    </w:p>
    <w:p w14:paraId="61D78E84">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（二）需方工作人员不得参加供方安排的超标准宴请和娱乐活动，不得接受供方提供的通信工具、交通工具和高档办公用品等。</w:t>
      </w:r>
    </w:p>
    <w:p w14:paraId="25833685">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（三）需方及其工作人员不得要求或者接受供方为其住房装修、婚丧嫁娶活动、配偶子女的工作安排以及出国出境、旅游等提供方便等。</w:t>
      </w:r>
    </w:p>
    <w:p w14:paraId="35CF5A9E">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（四）需方工作人员的配偶、子女不得从事与需方工程有关的材料设备供应、工程分包、劳务等经济活动等。</w:t>
      </w:r>
    </w:p>
    <w:p w14:paraId="6ED4321E">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（五）需方及其工作人员不得以任何理由向供方推荐分包单位，不得要求供方购买合同外的材料和设备。</w:t>
      </w:r>
    </w:p>
    <w:p w14:paraId="5D93971E">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第三条  供方义务</w:t>
      </w:r>
    </w:p>
    <w:p w14:paraId="02193B3C">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（一）供方不得以任何理由向需方及其工作人员行贿或馈赠礼金，有价证券、贵重礼品。</w:t>
      </w:r>
    </w:p>
    <w:p w14:paraId="1D021E67">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（二）供方不得以任何名义为需方及其工作人员报销应由需方单位或个人支付的任何费用。</w:t>
      </w:r>
    </w:p>
    <w:p w14:paraId="75551256">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（三）供方不得以任何理由安排需方工作人员参加超标准宴请及娱乐活动。</w:t>
      </w:r>
    </w:p>
    <w:p w14:paraId="5BAD5192">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（四）供方不得为需方单位和个人购置或提供通信工具、交通工具和高档办公用品等。</w:t>
      </w:r>
    </w:p>
    <w:p w14:paraId="231F3046">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第四条  违约责任</w:t>
      </w:r>
    </w:p>
    <w:p w14:paraId="7E8BA5EC">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（一）需方及其工作人员违反本合同第一、二条，按管理权限，依据有关规定给予党纪、政纪或组织处理；涉嫌犯罪的，移交司法机关追究刑事责任；给供方单位造成经济损失的，应予以赔偿。</w:t>
      </w:r>
    </w:p>
    <w:p w14:paraId="4E694D4A">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二）供方及其工作人员违反本合同第一、三条，按管理权限，依据有关规定、给予党纪、政纪或组织处理；给需方单位造成经济损失的，应予以赔偿；情节严重的，需方建议上级给予供方若干年内禁止参加中国电力建设股份有限公司和其成员企业及三级子公司组织的招标投标活动。</w:t>
      </w:r>
    </w:p>
    <w:p w14:paraId="38C6E1C8">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第五条  双方约定</w:t>
      </w:r>
    </w:p>
    <w:p w14:paraId="40D07D96">
      <w:pPr>
        <w:spacing w:line="360" w:lineRule="auto"/>
        <w:ind w:firstLine="482"/>
        <w:rPr>
          <w:rFonts w:hint="eastAsia" w:ascii="仿宋_GB2312" w:hAnsi="仿宋" w:eastAsia="仿宋_GB2312"/>
          <w:sz w:val="24"/>
          <w:highlight w:val="none"/>
        </w:rPr>
      </w:pPr>
      <w:r>
        <w:rPr>
          <w:rFonts w:hint="eastAsia" w:ascii="仿宋_GB2312" w:hAnsi="仿宋" w:eastAsia="仿宋_GB2312"/>
          <w:sz w:val="24"/>
          <w:highlight w:val="none"/>
        </w:rPr>
        <w:t>本责任书由双方或双方上级单位的纪检监察机关负责监督。由需方或需方上级单位的纪检监察机关约请供方或供方上级单位纪检监察机关对本合同履行情况进行检查。</w:t>
      </w:r>
    </w:p>
    <w:p w14:paraId="196ECBB8">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第六条  本责任书有效期与合同有效期一致。</w:t>
      </w:r>
    </w:p>
    <w:p w14:paraId="4A8A1EB8">
      <w:pPr>
        <w:spacing w:line="360" w:lineRule="auto"/>
        <w:rPr>
          <w:rFonts w:hint="eastAsia" w:ascii="仿宋_GB2312" w:hAnsi="仿宋" w:eastAsia="仿宋_GB2312"/>
          <w:b/>
          <w:sz w:val="24"/>
          <w:highlight w:val="none"/>
        </w:rPr>
      </w:pPr>
      <w:r>
        <w:rPr>
          <w:rFonts w:hint="eastAsia" w:ascii="仿宋_GB2312" w:hAnsi="仿宋" w:eastAsia="仿宋_GB2312"/>
          <w:b/>
          <w:sz w:val="24"/>
          <w:highlight w:val="none"/>
        </w:rPr>
        <w:t>第七条  本责任书经双方盖章签署后生效。</w:t>
      </w:r>
    </w:p>
    <w:p w14:paraId="2FC9609F">
      <w:pPr>
        <w:spacing w:line="360" w:lineRule="auto"/>
        <w:rPr>
          <w:rFonts w:hint="eastAsia" w:ascii="仿宋_GB2312" w:hAnsi="仿宋" w:eastAsia="仿宋_GB2312"/>
          <w:sz w:val="24"/>
          <w:highlight w:val="none"/>
        </w:rPr>
      </w:pPr>
    </w:p>
    <w:p w14:paraId="5B8C7D31">
      <w:pPr>
        <w:spacing w:line="360" w:lineRule="auto"/>
        <w:rPr>
          <w:rFonts w:hint="eastAsia" w:ascii="仿宋_GB2312" w:hAnsi="仿宋" w:eastAsia="仿宋_GB2312"/>
          <w:sz w:val="24"/>
          <w:highlight w:val="none"/>
        </w:rPr>
      </w:pPr>
      <w:r>
        <w:rPr>
          <w:rFonts w:hint="eastAsia" w:ascii="仿宋_GB2312" w:hAnsi="仿宋" w:eastAsia="仿宋_GB2312"/>
          <w:sz w:val="24"/>
          <w:highlight w:val="none"/>
        </w:rPr>
        <w:t xml:space="preserve">需方： </w:t>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 xml:space="preserve">                            供方：  </w:t>
      </w:r>
    </w:p>
    <w:p w14:paraId="37AB9AF1">
      <w:pPr>
        <w:spacing w:line="360" w:lineRule="auto"/>
        <w:rPr>
          <w:rFonts w:hint="eastAsia" w:ascii="仿宋_GB2312" w:hAnsi="仿宋" w:eastAsia="仿宋_GB2312"/>
          <w:sz w:val="24"/>
          <w:highlight w:val="none"/>
        </w:rPr>
      </w:pPr>
      <w:r>
        <w:rPr>
          <w:rFonts w:hint="eastAsia" w:ascii="仿宋_GB2312" w:hAnsi="仿宋" w:eastAsia="仿宋_GB2312"/>
          <w:sz w:val="24"/>
          <w:highlight w:val="none"/>
        </w:rPr>
        <w:t>法定代表人</w:t>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法定代表人</w:t>
      </w:r>
    </w:p>
    <w:p w14:paraId="4D63D6BB">
      <w:pPr>
        <w:spacing w:line="360" w:lineRule="auto"/>
        <w:rPr>
          <w:rFonts w:hint="eastAsia" w:ascii="仿宋_GB2312" w:hAnsi="仿宋" w:eastAsia="仿宋_GB2312"/>
          <w:sz w:val="24"/>
          <w:highlight w:val="none"/>
        </w:rPr>
      </w:pPr>
      <w:r>
        <w:rPr>
          <w:rFonts w:hint="eastAsia" w:ascii="仿宋_GB2312" w:hAnsi="仿宋" w:eastAsia="仿宋_GB2312"/>
          <w:sz w:val="24"/>
          <w:highlight w:val="none"/>
        </w:rPr>
        <w:t>或委托代理人：</w:t>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或委托代理人：</w:t>
      </w:r>
    </w:p>
    <w:p w14:paraId="0A31B335">
      <w:pPr>
        <w:adjustRightInd w:val="0"/>
        <w:snapToGrid w:val="0"/>
        <w:spacing w:line="360" w:lineRule="auto"/>
        <w:rPr>
          <w:rFonts w:hint="eastAsia" w:ascii="仿宋_GB2312" w:hAnsi="仿宋" w:eastAsia="仿宋_GB2312"/>
          <w:sz w:val="24"/>
          <w:highlight w:val="none"/>
        </w:rPr>
      </w:pPr>
      <w:r>
        <w:rPr>
          <w:rFonts w:hint="eastAsia" w:ascii="仿宋_GB2312" w:hAnsi="仿宋" w:eastAsia="仿宋_GB2312"/>
          <w:sz w:val="24"/>
          <w:highlight w:val="none"/>
        </w:rPr>
        <w:t>2026年  月  日</w:t>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ab/>
      </w:r>
      <w:r>
        <w:rPr>
          <w:rFonts w:hint="eastAsia" w:ascii="仿宋_GB2312" w:hAnsi="仿宋" w:eastAsia="仿宋_GB2312"/>
          <w:sz w:val="24"/>
          <w:highlight w:val="none"/>
        </w:rPr>
        <w:t>2026年  月  日</w:t>
      </w:r>
    </w:p>
    <w:p w14:paraId="2FB4A19E">
      <w:pPr>
        <w:rPr>
          <w:rFonts w:hint="eastAsia" w:ascii="宋体" w:hAnsi="宋体" w:cs="宋体"/>
          <w:bCs/>
          <w:color w:val="000000"/>
          <w:kern w:val="44"/>
          <w:sz w:val="36"/>
          <w:szCs w:val="36"/>
          <w:highlight w:val="none"/>
        </w:rPr>
      </w:pPr>
      <w:r>
        <w:rPr>
          <w:rFonts w:hint="eastAsia" w:ascii="宋体" w:hAnsi="宋体" w:cs="宋体"/>
          <w:bCs/>
          <w:color w:val="000000"/>
          <w:kern w:val="44"/>
          <w:sz w:val="36"/>
          <w:szCs w:val="36"/>
          <w:highlight w:val="none"/>
        </w:rPr>
        <w:br w:type="page"/>
      </w:r>
    </w:p>
    <w:p w14:paraId="3FA8E811">
      <w:pPr>
        <w:rPr>
          <w:rFonts w:hint="eastAsia" w:ascii="宋体" w:hAnsi="宋体" w:cs="宋体"/>
          <w:bCs/>
          <w:color w:val="000000"/>
          <w:kern w:val="44"/>
          <w:sz w:val="36"/>
          <w:szCs w:val="36"/>
          <w:highlight w:val="none"/>
        </w:rPr>
      </w:pPr>
    </w:p>
    <w:p w14:paraId="4DDB9A75">
      <w:pPr>
        <w:pStyle w:val="26"/>
        <w:ind w:left="0" w:leftChars="0" w:firstLine="0" w:firstLineChars="0"/>
        <w:jc w:val="center"/>
        <w:outlineLvl w:val="0"/>
        <w:rPr>
          <w:color w:val="000000"/>
          <w:highlight w:val="none"/>
        </w:rPr>
      </w:pPr>
      <w:r>
        <w:rPr>
          <w:rFonts w:hint="eastAsia" w:ascii="宋体" w:hAnsi="宋体" w:cs="宋体"/>
          <w:bCs/>
          <w:color w:val="000000"/>
          <w:kern w:val="44"/>
          <w:sz w:val="36"/>
          <w:szCs w:val="36"/>
          <w:highlight w:val="none"/>
        </w:rPr>
        <w:t>第六章  工程量清单</w:t>
      </w:r>
      <w:bookmarkEnd w:id="714"/>
      <w:bookmarkEnd w:id="715"/>
      <w:r>
        <w:rPr>
          <w:rFonts w:hint="eastAsia" w:ascii="宋体" w:hAnsi="宋体" w:cs="宋体"/>
          <w:bCs/>
          <w:color w:val="000000"/>
          <w:kern w:val="44"/>
          <w:sz w:val="36"/>
          <w:szCs w:val="36"/>
          <w:highlight w:val="none"/>
        </w:rPr>
        <w:t>（采购清单）</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003"/>
        <w:gridCol w:w="6737"/>
        <w:gridCol w:w="1086"/>
        <w:gridCol w:w="760"/>
      </w:tblGrid>
      <w:tr w14:paraId="5F96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trPr>
        <w:tc>
          <w:tcPr>
            <w:tcW w:w="817" w:type="dxa"/>
            <w:noWrap/>
            <w:vAlign w:val="center"/>
          </w:tcPr>
          <w:p w14:paraId="7CC162E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序号</w:t>
            </w:r>
          </w:p>
        </w:tc>
        <w:tc>
          <w:tcPr>
            <w:tcW w:w="1084" w:type="dxa"/>
            <w:noWrap/>
            <w:vAlign w:val="center"/>
          </w:tcPr>
          <w:p w14:paraId="21FB2C8E">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名称</w:t>
            </w:r>
          </w:p>
        </w:tc>
        <w:tc>
          <w:tcPr>
            <w:tcW w:w="7411" w:type="dxa"/>
            <w:noWrap/>
            <w:vAlign w:val="center"/>
          </w:tcPr>
          <w:p w14:paraId="3BE8FCC2">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技术规格</w:t>
            </w:r>
          </w:p>
        </w:tc>
        <w:tc>
          <w:tcPr>
            <w:tcW w:w="0" w:type="auto"/>
          </w:tcPr>
          <w:p w14:paraId="743568A7">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单位</w:t>
            </w:r>
          </w:p>
        </w:tc>
        <w:tc>
          <w:tcPr>
            <w:tcW w:w="0" w:type="auto"/>
          </w:tcPr>
          <w:p w14:paraId="3FFCC821">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数量</w:t>
            </w:r>
          </w:p>
        </w:tc>
      </w:tr>
      <w:tr w14:paraId="3CFEF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0" w:hRule="atLeast"/>
        </w:trPr>
        <w:tc>
          <w:tcPr>
            <w:tcW w:w="817" w:type="dxa"/>
            <w:noWrap/>
            <w:vAlign w:val="center"/>
          </w:tcPr>
          <w:p w14:paraId="26B042AD">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1</w:t>
            </w:r>
          </w:p>
        </w:tc>
        <w:tc>
          <w:tcPr>
            <w:tcW w:w="1084" w:type="dxa"/>
            <w:noWrap/>
            <w:vAlign w:val="center"/>
          </w:tcPr>
          <w:p w14:paraId="52FAB599">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太阳能杀虫灯</w:t>
            </w:r>
          </w:p>
        </w:tc>
        <w:tc>
          <w:tcPr>
            <w:tcW w:w="7411" w:type="dxa"/>
            <w:vAlign w:val="center"/>
          </w:tcPr>
          <w:p w14:paraId="771584BF">
            <w:pPr>
              <w:widowControl/>
              <w:adjustRightInd w:val="0"/>
              <w:snapToGrid w:val="0"/>
              <w:rPr>
                <w:rFonts w:hint="eastAsia" w:ascii="宋体" w:hAnsi="宋体" w:cs="宋体"/>
                <w:kern w:val="0"/>
                <w:sz w:val="24"/>
                <w:highlight w:val="none"/>
              </w:rPr>
            </w:pPr>
            <w:r>
              <w:rPr>
                <w:rFonts w:ascii="宋体" w:hAnsi="宋体" w:cs="宋体"/>
                <w:kern w:val="0"/>
                <w:sz w:val="24"/>
                <w:highlight w:val="none"/>
              </w:rPr>
              <w:t>1.1 执行标准：GB/T 24689.2-2017《植物保护机械 杀虫灯》。</w:t>
            </w:r>
          </w:p>
          <w:p w14:paraId="0F928F3F">
            <w:pPr>
              <w:widowControl/>
              <w:adjustRightInd w:val="0"/>
              <w:snapToGrid w:val="0"/>
              <w:rPr>
                <w:rFonts w:hint="eastAsia" w:ascii="宋体" w:hAnsi="宋体" w:cs="宋体"/>
                <w:kern w:val="0"/>
                <w:sz w:val="24"/>
                <w:highlight w:val="none"/>
              </w:rPr>
            </w:pPr>
            <w:r>
              <w:rPr>
                <w:rFonts w:ascii="宋体" w:hAnsi="宋体" w:cs="宋体"/>
                <w:kern w:val="0"/>
                <w:sz w:val="24"/>
                <w:highlight w:val="none"/>
              </w:rPr>
              <w:t>1.2 采用太阳能风力式（风吸型），具有灯诱、撞击、风吸等功能，防护等级应不低于GB/T 4208-2017规定的外壳防护等级IP55。</w:t>
            </w:r>
          </w:p>
          <w:p w14:paraId="048E211B">
            <w:pPr>
              <w:widowControl/>
              <w:adjustRightInd w:val="0"/>
              <w:snapToGrid w:val="0"/>
              <w:rPr>
                <w:rFonts w:hint="eastAsia" w:ascii="宋体" w:hAnsi="宋体" w:cs="宋体"/>
                <w:kern w:val="0"/>
                <w:sz w:val="24"/>
                <w:highlight w:val="none"/>
              </w:rPr>
            </w:pPr>
            <w:r>
              <w:rPr>
                <w:rFonts w:ascii="宋体" w:hAnsi="宋体" w:cs="宋体"/>
                <w:kern w:val="0"/>
                <w:sz w:val="24"/>
                <w:highlight w:val="none"/>
              </w:rPr>
              <w:t>1.3 灯杆：采用钢管，内外镀锌后表面户外粉末喷塑防腐处理；具备可靠锁紧固定机构，无松动滑落；具备足够抗风能力</w:t>
            </w:r>
            <w:r>
              <w:rPr>
                <w:rFonts w:hint="eastAsia" w:ascii="宋体" w:hAnsi="宋体" w:cs="宋体"/>
                <w:kern w:val="0"/>
                <w:sz w:val="24"/>
                <w:highlight w:val="none"/>
              </w:rPr>
              <w:t>，</w:t>
            </w:r>
            <w:r>
              <w:rPr>
                <w:rFonts w:ascii="宋体" w:hAnsi="宋体" w:cs="宋体"/>
                <w:kern w:val="0"/>
                <w:sz w:val="24"/>
                <w:highlight w:val="none"/>
              </w:rPr>
              <w:t>整灯高度≥2400mm</w:t>
            </w:r>
            <w:r>
              <w:rPr>
                <w:rFonts w:hint="eastAsia" w:ascii="宋体" w:hAnsi="宋体" w:cs="宋体"/>
                <w:kern w:val="0"/>
                <w:sz w:val="24"/>
                <w:highlight w:val="none"/>
              </w:rPr>
              <w:t>，灯杆直径φ</w:t>
            </w:r>
            <w:r>
              <w:rPr>
                <w:rFonts w:ascii="宋体" w:hAnsi="宋体" w:cs="宋体"/>
                <w:kern w:val="0"/>
                <w:sz w:val="24"/>
                <w:highlight w:val="none"/>
              </w:rPr>
              <w:t>≥</w:t>
            </w:r>
            <w:r>
              <w:rPr>
                <w:rFonts w:hint="eastAsia" w:ascii="宋体" w:hAnsi="宋体" w:cs="宋体"/>
                <w:kern w:val="0"/>
                <w:sz w:val="24"/>
                <w:highlight w:val="none"/>
              </w:rPr>
              <w:t>100</w:t>
            </w:r>
            <w:r>
              <w:rPr>
                <w:rFonts w:ascii="宋体" w:hAnsi="宋体" w:cs="宋体"/>
                <w:kern w:val="0"/>
                <w:sz w:val="24"/>
                <w:highlight w:val="none"/>
              </w:rPr>
              <w:t>mm</w:t>
            </w:r>
            <w:r>
              <w:rPr>
                <w:rFonts w:hint="eastAsia" w:ascii="宋体" w:hAnsi="宋体" w:cs="宋体"/>
                <w:kern w:val="0"/>
                <w:sz w:val="24"/>
                <w:highlight w:val="none"/>
              </w:rPr>
              <w:t>或长≥100mm、宽≥100mm，壁厚≥2mm。</w:t>
            </w:r>
          </w:p>
          <w:p w14:paraId="5B98CBA5">
            <w:pPr>
              <w:widowControl/>
              <w:adjustRightInd w:val="0"/>
              <w:snapToGrid w:val="0"/>
              <w:rPr>
                <w:rFonts w:hint="eastAsia" w:ascii="宋体" w:hAnsi="宋体" w:cs="宋体"/>
                <w:kern w:val="0"/>
                <w:sz w:val="24"/>
                <w:highlight w:val="none"/>
              </w:rPr>
            </w:pPr>
            <w:r>
              <w:rPr>
                <w:rFonts w:ascii="宋体" w:hAnsi="宋体" w:cs="宋体"/>
                <w:kern w:val="0"/>
                <w:sz w:val="24"/>
                <w:highlight w:val="none"/>
              </w:rPr>
              <w:t>1.4 风机：采用直流无刷风机，风机防护等级≥IP55，具备防卡死功能。</w:t>
            </w:r>
          </w:p>
          <w:p w14:paraId="0FC953AF">
            <w:pPr>
              <w:widowControl/>
              <w:adjustRightInd w:val="0"/>
              <w:snapToGrid w:val="0"/>
              <w:rPr>
                <w:rFonts w:hint="eastAsia" w:ascii="宋体" w:hAnsi="宋体" w:cs="宋体"/>
                <w:kern w:val="0"/>
                <w:sz w:val="24"/>
                <w:highlight w:val="none"/>
              </w:rPr>
            </w:pPr>
            <w:r>
              <w:rPr>
                <w:rFonts w:ascii="宋体" w:hAnsi="宋体" w:cs="宋体"/>
                <w:kern w:val="0"/>
                <w:sz w:val="24"/>
                <w:highlight w:val="none"/>
              </w:rPr>
              <w:t xml:space="preserve">1.5 </w:t>
            </w:r>
            <w:r>
              <w:rPr>
                <w:rFonts w:hint="eastAsia" w:ascii="宋体" w:hAnsi="宋体" w:cs="宋体"/>
                <w:kern w:val="0"/>
                <w:sz w:val="24"/>
                <w:highlight w:val="none"/>
              </w:rPr>
              <w:t>灯体规格</w:t>
            </w:r>
            <w:r>
              <w:rPr>
                <w:rFonts w:ascii="宋体" w:hAnsi="宋体" w:cs="宋体"/>
                <w:kern w:val="0"/>
                <w:sz w:val="24"/>
                <w:highlight w:val="none"/>
              </w:rPr>
              <w:t>：</w:t>
            </w:r>
            <w:r>
              <w:rPr>
                <w:rFonts w:hint="eastAsia" w:ascii="宋体" w:hAnsi="宋体" w:cs="宋体"/>
                <w:kern w:val="0"/>
                <w:sz w:val="24"/>
                <w:highlight w:val="none"/>
              </w:rPr>
              <w:t>方形长</w:t>
            </w:r>
            <w:r>
              <w:rPr>
                <w:rFonts w:ascii="宋体" w:hAnsi="宋体" w:cs="宋体"/>
                <w:kern w:val="0"/>
                <w:sz w:val="24"/>
                <w:highlight w:val="none"/>
              </w:rPr>
              <w:t>≥</w:t>
            </w:r>
            <w:r>
              <w:rPr>
                <w:rFonts w:hint="eastAsia" w:ascii="宋体" w:hAnsi="宋体" w:cs="宋体"/>
                <w:kern w:val="0"/>
                <w:sz w:val="24"/>
                <w:highlight w:val="none"/>
              </w:rPr>
              <w:t>220mm、宽≥220mm</w:t>
            </w:r>
            <w:r>
              <w:rPr>
                <w:rFonts w:ascii="宋体" w:hAnsi="宋体" w:cs="宋体"/>
                <w:kern w:val="0"/>
                <w:sz w:val="24"/>
                <w:highlight w:val="none"/>
              </w:rPr>
              <w:t>，进风口风速≥</w:t>
            </w:r>
            <w:r>
              <w:rPr>
                <w:rFonts w:hint="eastAsia" w:ascii="宋体" w:hAnsi="宋体" w:cs="宋体"/>
                <w:kern w:val="0"/>
                <w:sz w:val="24"/>
                <w:highlight w:val="none"/>
              </w:rPr>
              <w:t>2</w:t>
            </w:r>
            <w:r>
              <w:rPr>
                <w:rFonts w:ascii="宋体" w:hAnsi="宋体" w:cs="宋体"/>
                <w:kern w:val="0"/>
                <w:sz w:val="24"/>
                <w:highlight w:val="none"/>
              </w:rPr>
              <w:t>.0m/s</w:t>
            </w:r>
            <w:r>
              <w:rPr>
                <w:rFonts w:hint="eastAsia" w:ascii="宋体" w:hAnsi="宋体" w:cs="宋体"/>
                <w:kern w:val="0"/>
                <w:sz w:val="24"/>
                <w:highlight w:val="none"/>
              </w:rPr>
              <w:t>。</w:t>
            </w:r>
          </w:p>
          <w:p w14:paraId="399C12C7">
            <w:pPr>
              <w:widowControl/>
              <w:adjustRightInd w:val="0"/>
              <w:snapToGrid w:val="0"/>
              <w:rPr>
                <w:rFonts w:hint="eastAsia" w:ascii="宋体" w:hAnsi="宋体" w:cs="宋体"/>
                <w:kern w:val="0"/>
                <w:sz w:val="24"/>
                <w:highlight w:val="none"/>
              </w:rPr>
            </w:pPr>
            <w:r>
              <w:rPr>
                <w:rFonts w:ascii="宋体" w:hAnsi="宋体" w:cs="宋体"/>
                <w:kern w:val="0"/>
                <w:sz w:val="24"/>
                <w:highlight w:val="none"/>
              </w:rPr>
              <w:t>1.6 透明撞虫屏：撞虫面积≥0.</w:t>
            </w:r>
            <w:r>
              <w:rPr>
                <w:rFonts w:hint="eastAsia" w:ascii="宋体" w:hAnsi="宋体" w:cs="宋体"/>
                <w:kern w:val="0"/>
                <w:sz w:val="24"/>
                <w:highlight w:val="none"/>
              </w:rPr>
              <w:t>2</w:t>
            </w:r>
            <w:r>
              <w:rPr>
                <w:rFonts w:ascii="宋体" w:hAnsi="宋体" w:cs="宋体"/>
                <w:kern w:val="0"/>
                <w:sz w:val="24"/>
                <w:highlight w:val="none"/>
              </w:rPr>
              <w:t>㎡</w:t>
            </w:r>
          </w:p>
          <w:p w14:paraId="33892A98">
            <w:pPr>
              <w:widowControl/>
              <w:adjustRightInd w:val="0"/>
              <w:snapToGrid w:val="0"/>
              <w:rPr>
                <w:rFonts w:hint="eastAsia" w:ascii="宋体" w:hAnsi="宋体" w:cs="宋体"/>
                <w:kern w:val="0"/>
                <w:sz w:val="24"/>
                <w:highlight w:val="none"/>
              </w:rPr>
            </w:pPr>
            <w:r>
              <w:rPr>
                <w:rFonts w:ascii="宋体" w:hAnsi="宋体" w:cs="宋体"/>
                <w:kern w:val="0"/>
                <w:sz w:val="24"/>
                <w:highlight w:val="none"/>
              </w:rPr>
              <w:t>1.7 储能电池：锂电池额定容量≥24Ah；整套系统须满足连续 3 天无光照条件下正常工作，无光照定义为太阳能组件零输出，不利用微弱光照补能；无光照期间光源、风机按照设备既定控制逻辑运行，不得出现熄灯、风机停机</w:t>
            </w:r>
            <w:r>
              <w:rPr>
                <w:rFonts w:hint="eastAsia" w:ascii="宋体" w:hAnsi="宋体" w:cs="宋体"/>
                <w:kern w:val="0"/>
                <w:sz w:val="24"/>
                <w:highlight w:val="none"/>
              </w:rPr>
              <w:t>。</w:t>
            </w:r>
          </w:p>
          <w:p w14:paraId="3033DBF1">
            <w:pPr>
              <w:widowControl/>
              <w:adjustRightInd w:val="0"/>
              <w:snapToGrid w:val="0"/>
              <w:rPr>
                <w:rFonts w:hint="eastAsia" w:ascii="宋体" w:hAnsi="宋体" w:cs="宋体"/>
                <w:kern w:val="0"/>
                <w:sz w:val="24"/>
                <w:highlight w:val="none"/>
              </w:rPr>
            </w:pPr>
            <w:r>
              <w:rPr>
                <w:rFonts w:ascii="宋体" w:hAnsi="宋体" w:cs="宋体"/>
                <w:kern w:val="0"/>
                <w:sz w:val="24"/>
                <w:highlight w:val="none"/>
              </w:rPr>
              <w:t>1.8 太阳能电池板：功率≥50Wp。</w:t>
            </w:r>
          </w:p>
          <w:p w14:paraId="50897468">
            <w:pPr>
              <w:widowControl/>
              <w:adjustRightInd w:val="0"/>
              <w:snapToGrid w:val="0"/>
              <w:rPr>
                <w:rFonts w:hint="eastAsia" w:ascii="宋体" w:hAnsi="宋体" w:cs="宋体"/>
                <w:kern w:val="0"/>
                <w:sz w:val="24"/>
                <w:highlight w:val="none"/>
              </w:rPr>
            </w:pPr>
            <w:r>
              <w:rPr>
                <w:rFonts w:ascii="宋体" w:hAnsi="宋体" w:cs="宋体"/>
                <w:kern w:val="0"/>
                <w:sz w:val="24"/>
                <w:highlight w:val="none"/>
              </w:rPr>
              <w:t>1.9 诱虫光源：H型结构；白色和黑色灯管组合；</w:t>
            </w:r>
            <w:bookmarkStart w:id="834" w:name="OLE_LINK6"/>
            <w:r>
              <w:rPr>
                <w:rFonts w:ascii="宋体" w:hAnsi="宋体" w:cs="宋体"/>
                <w:kern w:val="0"/>
                <w:sz w:val="24"/>
                <w:highlight w:val="none"/>
              </w:rPr>
              <w:t>光源功率≥1</w:t>
            </w:r>
            <w:r>
              <w:rPr>
                <w:rFonts w:hint="eastAsia" w:ascii="宋体" w:hAnsi="宋体" w:cs="宋体"/>
                <w:kern w:val="0"/>
                <w:sz w:val="24"/>
                <w:highlight w:val="none"/>
              </w:rPr>
              <w:t>2</w:t>
            </w:r>
            <w:r>
              <w:rPr>
                <w:rFonts w:ascii="宋体" w:hAnsi="宋体" w:cs="宋体"/>
                <w:kern w:val="0"/>
                <w:sz w:val="24"/>
                <w:highlight w:val="none"/>
              </w:rPr>
              <w:t>W</w:t>
            </w:r>
            <w:bookmarkEnd w:id="834"/>
            <w:r>
              <w:rPr>
                <w:rFonts w:ascii="宋体" w:hAnsi="宋体" w:cs="宋体"/>
                <w:kern w:val="0"/>
                <w:sz w:val="24"/>
                <w:highlight w:val="none"/>
              </w:rPr>
              <w:t>；光谱范围覆盖 320</w:t>
            </w:r>
            <w:r>
              <w:rPr>
                <w:rFonts w:ascii="宋体" w:hAnsi="宋体" w:cs="宋体"/>
                <w:kern w:val="0"/>
                <w:sz w:val="24"/>
                <w:highlight w:val="none"/>
              </w:rPr>
              <w:noBreakHyphen/>
            </w:r>
            <w:r>
              <w:rPr>
                <w:rFonts w:ascii="宋体" w:hAnsi="宋体" w:cs="宋体"/>
                <w:kern w:val="0"/>
                <w:sz w:val="24"/>
                <w:highlight w:val="none"/>
              </w:rPr>
              <w:t>680nm，光源长度≥</w:t>
            </w:r>
            <w:r>
              <w:rPr>
                <w:rFonts w:hint="eastAsia" w:ascii="宋体" w:hAnsi="宋体" w:cs="宋体"/>
                <w:kern w:val="0"/>
                <w:sz w:val="24"/>
                <w:highlight w:val="none"/>
              </w:rPr>
              <w:t>19</w:t>
            </w:r>
            <w:r>
              <w:rPr>
                <w:rFonts w:ascii="宋体" w:hAnsi="宋体" w:cs="宋体"/>
                <w:kern w:val="0"/>
                <w:sz w:val="24"/>
                <w:highlight w:val="none"/>
              </w:rPr>
              <w:t>0mm。</w:t>
            </w:r>
          </w:p>
          <w:p w14:paraId="44439B0A">
            <w:pPr>
              <w:widowControl/>
              <w:adjustRightInd w:val="0"/>
              <w:snapToGrid w:val="0"/>
              <w:rPr>
                <w:rFonts w:hint="eastAsia" w:ascii="宋体" w:hAnsi="宋体" w:cs="宋体"/>
                <w:kern w:val="0"/>
                <w:sz w:val="24"/>
                <w:highlight w:val="none"/>
              </w:rPr>
            </w:pPr>
            <w:r>
              <w:rPr>
                <w:rFonts w:ascii="宋体" w:hAnsi="宋体" w:cs="宋体"/>
                <w:kern w:val="0"/>
                <w:sz w:val="24"/>
                <w:highlight w:val="none"/>
              </w:rPr>
              <w:t>1.10 温控功能：环境温度低于10℃，灯停止工作，进入保护状态；高于15℃恢复工作。</w:t>
            </w:r>
          </w:p>
          <w:p w14:paraId="709F9FA1">
            <w:pPr>
              <w:widowControl/>
              <w:adjustRightInd w:val="0"/>
              <w:snapToGrid w:val="0"/>
              <w:rPr>
                <w:rFonts w:hint="eastAsia" w:ascii="宋体" w:hAnsi="宋体" w:cs="宋体"/>
                <w:kern w:val="0"/>
                <w:sz w:val="24"/>
                <w:highlight w:val="none"/>
              </w:rPr>
            </w:pPr>
            <w:r>
              <w:rPr>
                <w:rFonts w:ascii="宋体" w:hAnsi="宋体" w:cs="宋体"/>
                <w:kern w:val="0"/>
                <w:sz w:val="24"/>
                <w:highlight w:val="none"/>
              </w:rPr>
              <w:t>1.11 倒虫阀门：倒虫口位于灯体下方，具有防逃逸功能</w:t>
            </w:r>
            <w:r>
              <w:rPr>
                <w:rFonts w:hint="eastAsia" w:ascii="宋体" w:hAnsi="宋体" w:cs="宋体"/>
                <w:kern w:val="0"/>
                <w:sz w:val="24"/>
                <w:highlight w:val="none"/>
              </w:rPr>
              <w:t>，</w:t>
            </w:r>
            <w:r>
              <w:rPr>
                <w:rFonts w:ascii="宋体" w:hAnsi="宋体" w:cs="宋体"/>
                <w:kern w:val="0"/>
                <w:sz w:val="24"/>
                <w:highlight w:val="none"/>
              </w:rPr>
              <w:t>防止集虫箱内害虫向上逃逸；结构拆装清理方便，与下部集虫盒可靠对接。</w:t>
            </w:r>
          </w:p>
          <w:p w14:paraId="36BBCAE4">
            <w:pPr>
              <w:widowControl/>
              <w:adjustRightInd w:val="0"/>
              <w:snapToGrid w:val="0"/>
              <w:rPr>
                <w:rFonts w:hint="eastAsia" w:ascii="宋体" w:hAnsi="宋体" w:cs="宋体"/>
                <w:kern w:val="0"/>
                <w:sz w:val="24"/>
                <w:highlight w:val="none"/>
              </w:rPr>
            </w:pPr>
            <w:r>
              <w:rPr>
                <w:rFonts w:ascii="宋体" w:hAnsi="宋体" w:cs="宋体"/>
                <w:kern w:val="0"/>
                <w:sz w:val="24"/>
                <w:highlight w:val="none"/>
              </w:rPr>
              <w:t>1.12 控制系统：时控、光控、温控、具有PWM功能，适合不同串联数目的单晶硅、多晶硅和非晶硅电池板，能显著提高太阳能电池板利用率。</w:t>
            </w:r>
          </w:p>
          <w:p w14:paraId="5D6359C7">
            <w:pPr>
              <w:widowControl/>
              <w:adjustRightInd w:val="0"/>
              <w:snapToGrid w:val="0"/>
              <w:rPr>
                <w:rFonts w:hint="eastAsia" w:ascii="宋体" w:hAnsi="宋体" w:cs="宋体"/>
                <w:kern w:val="0"/>
                <w:sz w:val="24"/>
                <w:highlight w:val="none"/>
              </w:rPr>
            </w:pPr>
            <w:r>
              <w:rPr>
                <w:rFonts w:ascii="宋体" w:hAnsi="宋体" w:cs="宋体"/>
                <w:kern w:val="0"/>
                <w:sz w:val="24"/>
                <w:highlight w:val="none"/>
              </w:rPr>
              <w:t>1.13 安全标志：在灯体的明显部位应有符合GB10396规定的安全标志。</w:t>
            </w:r>
          </w:p>
        </w:tc>
        <w:tc>
          <w:tcPr>
            <w:tcW w:w="0" w:type="auto"/>
            <w:vAlign w:val="center"/>
          </w:tcPr>
          <w:p w14:paraId="4778160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盏</w:t>
            </w:r>
          </w:p>
        </w:tc>
        <w:tc>
          <w:tcPr>
            <w:tcW w:w="0" w:type="auto"/>
            <w:vAlign w:val="center"/>
          </w:tcPr>
          <w:p w14:paraId="64F242F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82</w:t>
            </w:r>
          </w:p>
        </w:tc>
      </w:tr>
      <w:tr w14:paraId="1E9E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17" w:type="dxa"/>
            <w:noWrap/>
            <w:vAlign w:val="center"/>
          </w:tcPr>
          <w:p w14:paraId="1B9939D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2-1</w:t>
            </w:r>
          </w:p>
        </w:tc>
        <w:tc>
          <w:tcPr>
            <w:tcW w:w="1084" w:type="dxa"/>
            <w:noWrap/>
            <w:vAlign w:val="center"/>
          </w:tcPr>
          <w:p w14:paraId="604CA16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除草机（手持式）</w:t>
            </w:r>
          </w:p>
        </w:tc>
        <w:tc>
          <w:tcPr>
            <w:tcW w:w="7411" w:type="dxa"/>
            <w:vAlign w:val="center"/>
          </w:tcPr>
          <w:p w14:paraId="76D8E460">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1.1 执行标准：GB/T 19725.1-2020《农林机械 便携式割灌机和割草机安全要求和试验 第 1 部分：侧挂式动力机械》。</w:t>
            </w:r>
          </w:p>
          <w:p w14:paraId="79BE2FA8">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1.2 发动机形式：单缸</w:t>
            </w:r>
            <w:r>
              <w:rPr>
                <w:rFonts w:hint="eastAsia" w:ascii="宋体" w:hAnsi="宋体" w:cs="宋体"/>
                <w:kern w:val="0"/>
                <w:sz w:val="24"/>
                <w:highlight w:val="none"/>
              </w:rPr>
              <w:t>两</w:t>
            </w:r>
            <w:r>
              <w:rPr>
                <w:rFonts w:ascii="宋体" w:hAnsi="宋体" w:cs="宋体"/>
                <w:kern w:val="0"/>
                <w:sz w:val="24"/>
                <w:highlight w:val="none"/>
              </w:rPr>
              <w:t>冲程风冷汽油机。</w:t>
            </w:r>
          </w:p>
          <w:p w14:paraId="103738BE">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1.3 工作形式：手持式作业，可配套悬挂辅助装置，适用于田间、林地杂草清理作业。</w:t>
            </w:r>
          </w:p>
          <w:p w14:paraId="31889C7A">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1.4 刀具配置：标配尼龙打草头、金属刀片两种刀具，两种刀具可快速互换使用。</w:t>
            </w:r>
          </w:p>
          <w:p w14:paraId="60E7CAC9">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1.5 燃料类型：汽油。</w:t>
            </w:r>
          </w:p>
          <w:p w14:paraId="375B7263">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1.6 操作部件：配备全包围安全防护装置、减震手柄，握持舒适，有效降低作业震动传递。</w:t>
            </w:r>
          </w:p>
          <w:p w14:paraId="4A4012FC">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1.7 关键性能参数</w:t>
            </w:r>
            <w:r>
              <w:rPr>
                <w:rFonts w:hint="eastAsia" w:ascii="宋体" w:hAnsi="宋体" w:cs="宋体"/>
                <w:kern w:val="0"/>
                <w:sz w:val="24"/>
                <w:highlight w:val="none"/>
              </w:rPr>
              <w:t>：</w:t>
            </w:r>
            <w:r>
              <w:rPr>
                <w:rFonts w:ascii="宋体" w:hAnsi="宋体" w:cs="宋体"/>
                <w:kern w:val="0"/>
                <w:sz w:val="24"/>
                <w:highlight w:val="none"/>
              </w:rPr>
              <w:t>发动机排量：≥</w:t>
            </w:r>
            <w:r>
              <w:rPr>
                <w:rFonts w:hint="eastAsia" w:ascii="宋体" w:hAnsi="宋体" w:cs="宋体"/>
                <w:kern w:val="0"/>
                <w:sz w:val="24"/>
                <w:highlight w:val="none"/>
              </w:rPr>
              <w:t>31</w:t>
            </w:r>
            <w:r>
              <w:rPr>
                <w:kern w:val="0"/>
                <w:sz w:val="24"/>
                <w:highlight w:val="none"/>
              </w:rPr>
              <w:t> </w:t>
            </w:r>
            <w:r>
              <w:rPr>
                <w:rFonts w:ascii="宋体" w:hAnsi="宋体" w:cs="宋体"/>
                <w:kern w:val="0"/>
                <w:sz w:val="24"/>
                <w:highlight w:val="none"/>
              </w:rPr>
              <w:t>mL</w:t>
            </w:r>
            <w:r>
              <w:rPr>
                <w:rFonts w:hint="eastAsia" w:ascii="宋体" w:hAnsi="宋体" w:cs="宋体"/>
                <w:kern w:val="0"/>
                <w:sz w:val="24"/>
                <w:highlight w:val="none"/>
              </w:rPr>
              <w:t>；</w:t>
            </w:r>
            <w:r>
              <w:rPr>
                <w:rFonts w:ascii="宋体" w:hAnsi="宋体" w:cs="宋体"/>
                <w:kern w:val="0"/>
                <w:sz w:val="24"/>
                <w:highlight w:val="none"/>
              </w:rPr>
              <w:t>额定输出功率：≥</w:t>
            </w:r>
            <w:r>
              <w:rPr>
                <w:rFonts w:hint="eastAsia" w:ascii="宋体" w:hAnsi="宋体" w:cs="宋体"/>
                <w:kern w:val="0"/>
                <w:sz w:val="24"/>
                <w:highlight w:val="none"/>
              </w:rPr>
              <w:t>0.8</w:t>
            </w:r>
            <w:r>
              <w:rPr>
                <w:kern w:val="0"/>
                <w:sz w:val="24"/>
                <w:highlight w:val="none"/>
              </w:rPr>
              <w:t> </w:t>
            </w:r>
            <w:r>
              <w:rPr>
                <w:rFonts w:ascii="宋体" w:hAnsi="宋体" w:cs="宋体"/>
                <w:kern w:val="0"/>
                <w:sz w:val="24"/>
                <w:highlight w:val="none"/>
              </w:rPr>
              <w:t>kW</w:t>
            </w:r>
            <w:r>
              <w:rPr>
                <w:rFonts w:hint="eastAsia" w:ascii="宋体" w:hAnsi="宋体" w:cs="宋体"/>
                <w:kern w:val="0"/>
                <w:sz w:val="24"/>
                <w:highlight w:val="none"/>
              </w:rPr>
              <w:t>；</w:t>
            </w:r>
            <w:r>
              <w:rPr>
                <w:rFonts w:ascii="宋体" w:hAnsi="宋体" w:cs="宋体"/>
                <w:kern w:val="0"/>
                <w:sz w:val="24"/>
                <w:highlight w:val="none"/>
              </w:rPr>
              <w:t>工作转速：</w:t>
            </w:r>
            <w:r>
              <w:rPr>
                <w:rFonts w:hint="eastAsia" w:ascii="宋体" w:hAnsi="宋体" w:cs="宋体"/>
                <w:kern w:val="0"/>
                <w:sz w:val="24"/>
                <w:highlight w:val="none"/>
              </w:rPr>
              <w:t>≥7</w:t>
            </w:r>
            <w:r>
              <w:rPr>
                <w:rFonts w:ascii="宋体" w:hAnsi="宋体" w:cs="宋体"/>
                <w:kern w:val="0"/>
                <w:sz w:val="24"/>
                <w:highlight w:val="none"/>
              </w:rPr>
              <w:t>500</w:t>
            </w:r>
            <w:r>
              <w:rPr>
                <w:kern w:val="0"/>
                <w:sz w:val="24"/>
                <w:highlight w:val="none"/>
              </w:rPr>
              <w:t> </w:t>
            </w:r>
            <w:r>
              <w:rPr>
                <w:rFonts w:ascii="宋体" w:hAnsi="宋体" w:cs="宋体"/>
                <w:kern w:val="0"/>
                <w:sz w:val="24"/>
                <w:highlight w:val="none"/>
              </w:rPr>
              <w:t>r/min</w:t>
            </w:r>
            <w:r>
              <w:rPr>
                <w:rFonts w:hint="eastAsia" w:ascii="宋体" w:hAnsi="宋体" w:cs="宋体"/>
                <w:kern w:val="0"/>
                <w:sz w:val="24"/>
                <w:highlight w:val="none"/>
              </w:rPr>
              <w:t>。</w:t>
            </w:r>
          </w:p>
          <w:p w14:paraId="17253147">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ascii="宋体" w:hAnsi="宋体" w:cs="宋体"/>
                <w:kern w:val="0"/>
                <w:sz w:val="24"/>
                <w:highlight w:val="none"/>
              </w:rPr>
              <w:noBreakHyphen/>
            </w:r>
            <w:r>
              <w:rPr>
                <w:rFonts w:ascii="宋体" w:hAnsi="宋体" w:cs="宋体"/>
                <w:kern w:val="0"/>
                <w:sz w:val="24"/>
                <w:highlight w:val="none"/>
              </w:rPr>
              <w:t>1.8 安全配置：设置紧急熄火开关、离合防护装置、防缠绕结构，整机振动、噪声及安全性能符合现行国家标准要求。</w:t>
            </w:r>
          </w:p>
        </w:tc>
        <w:tc>
          <w:tcPr>
            <w:tcW w:w="0" w:type="auto"/>
            <w:vAlign w:val="center"/>
          </w:tcPr>
          <w:p w14:paraId="08E0419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1E402A2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r>
      <w:tr w14:paraId="0FDC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817" w:type="dxa"/>
            <w:noWrap/>
            <w:vAlign w:val="center"/>
          </w:tcPr>
          <w:p w14:paraId="4951583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2-2</w:t>
            </w:r>
          </w:p>
        </w:tc>
        <w:tc>
          <w:tcPr>
            <w:tcW w:w="1084" w:type="dxa"/>
            <w:noWrap/>
            <w:vAlign w:val="center"/>
          </w:tcPr>
          <w:p w14:paraId="50B29F4E">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除草机（手扶式）</w:t>
            </w:r>
          </w:p>
        </w:tc>
        <w:tc>
          <w:tcPr>
            <w:tcW w:w="7411" w:type="dxa"/>
            <w:vAlign w:val="center"/>
          </w:tcPr>
          <w:p w14:paraId="6F96654D">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2-2.1 执行标准：手推式割草松土两用设备执行LY/T 3307-2022《以汽油机为动力的手推式割草松土两用机》</w:t>
            </w:r>
            <w:r>
              <w:rPr>
                <w:rFonts w:hint="eastAsia" w:ascii="宋体" w:hAnsi="宋体" w:cs="宋体"/>
                <w:kern w:val="0"/>
                <w:sz w:val="24"/>
                <w:highlight w:val="none"/>
              </w:rPr>
              <w:t>。</w:t>
            </w:r>
          </w:p>
          <w:p w14:paraId="77B91F60">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2-2.2 发动机功率：</w:t>
            </w:r>
            <w:r>
              <w:rPr>
                <w:rFonts w:hint="eastAsia" w:ascii="宋体" w:hAnsi="宋体" w:cs="宋体"/>
                <w:kern w:val="0"/>
                <w:sz w:val="24"/>
                <w:highlight w:val="none"/>
              </w:rPr>
              <w:t>额定功率不低于5.5</w:t>
            </w:r>
            <w:r>
              <w:rPr>
                <w:kern w:val="0"/>
                <w:sz w:val="24"/>
                <w:highlight w:val="none"/>
              </w:rPr>
              <w:t> </w:t>
            </w:r>
            <w:r>
              <w:rPr>
                <w:rFonts w:ascii="宋体" w:hAnsi="宋体" w:cs="Calibri"/>
                <w:kern w:val="0"/>
                <w:sz w:val="24"/>
                <w:highlight w:val="none"/>
              </w:rPr>
              <w:t>k</w:t>
            </w:r>
            <w:r>
              <w:rPr>
                <w:rFonts w:ascii="宋体" w:hAnsi="宋体" w:cs="宋体"/>
                <w:kern w:val="0"/>
                <w:sz w:val="24"/>
                <w:highlight w:val="none"/>
              </w:rPr>
              <w:t>W</w:t>
            </w:r>
          </w:p>
          <w:p w14:paraId="13F58F01">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w:t>
            </w:r>
            <w:r>
              <w:rPr>
                <w:rFonts w:hint="eastAsia" w:ascii="宋体" w:hAnsi="宋体" w:cs="宋体"/>
                <w:kern w:val="0"/>
                <w:sz w:val="24"/>
                <w:highlight w:val="none"/>
              </w:rPr>
              <w:t>3</w:t>
            </w:r>
            <w:r>
              <w:rPr>
                <w:rFonts w:ascii="宋体" w:hAnsi="宋体" w:cs="宋体"/>
                <w:kern w:val="0"/>
                <w:sz w:val="24"/>
                <w:highlight w:val="none"/>
              </w:rPr>
              <w:t xml:space="preserve"> 燃料类型：汽油</w:t>
            </w:r>
          </w:p>
          <w:p w14:paraId="4E7BC6D8">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w:t>
            </w:r>
            <w:r>
              <w:rPr>
                <w:rFonts w:hint="eastAsia" w:ascii="宋体" w:hAnsi="宋体" w:cs="宋体"/>
                <w:kern w:val="0"/>
                <w:sz w:val="24"/>
                <w:highlight w:val="none"/>
              </w:rPr>
              <w:t>4</w:t>
            </w:r>
            <w:r>
              <w:rPr>
                <w:rFonts w:ascii="宋体" w:hAnsi="宋体" w:cs="宋体"/>
                <w:kern w:val="0"/>
                <w:sz w:val="24"/>
                <w:highlight w:val="none"/>
              </w:rPr>
              <w:t xml:space="preserve"> 行走方式：手扶推行式</w:t>
            </w:r>
          </w:p>
          <w:p w14:paraId="7D88301F">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w:t>
            </w:r>
            <w:r>
              <w:rPr>
                <w:rFonts w:hint="eastAsia" w:ascii="宋体" w:hAnsi="宋体" w:cs="宋体"/>
                <w:kern w:val="0"/>
                <w:sz w:val="24"/>
                <w:highlight w:val="none"/>
              </w:rPr>
              <w:t>5</w:t>
            </w:r>
            <w:r>
              <w:rPr>
                <w:rFonts w:ascii="宋体" w:hAnsi="宋体" w:cs="宋体"/>
                <w:kern w:val="0"/>
                <w:sz w:val="24"/>
                <w:highlight w:val="none"/>
              </w:rPr>
              <w:t>操作部件：配备安全防护装置、减震手柄，降低作业震动传递</w:t>
            </w:r>
          </w:p>
          <w:p w14:paraId="6CAB056D">
            <w:pPr>
              <w:widowControl/>
              <w:adjustRightInd w:val="0"/>
              <w:snapToGrid w:val="0"/>
              <w:rPr>
                <w:rFonts w:hint="eastAsia" w:ascii="宋体" w:hAnsi="宋体" w:cs="宋体"/>
                <w:kern w:val="0"/>
                <w:sz w:val="24"/>
                <w:highlight w:val="none"/>
              </w:rPr>
            </w:pPr>
            <w:r>
              <w:rPr>
                <w:rFonts w:ascii="宋体" w:hAnsi="宋体" w:cs="宋体"/>
                <w:kern w:val="0"/>
                <w:sz w:val="24"/>
                <w:highlight w:val="none"/>
              </w:rPr>
              <w:t>2-2.</w:t>
            </w:r>
            <w:r>
              <w:rPr>
                <w:rFonts w:hint="eastAsia" w:ascii="宋体" w:hAnsi="宋体" w:cs="宋体"/>
                <w:kern w:val="0"/>
                <w:sz w:val="24"/>
                <w:highlight w:val="none"/>
              </w:rPr>
              <w:t>6</w:t>
            </w:r>
            <w:r>
              <w:rPr>
                <w:rFonts w:ascii="宋体" w:hAnsi="宋体" w:cs="宋体"/>
                <w:kern w:val="0"/>
                <w:sz w:val="24"/>
                <w:highlight w:val="none"/>
              </w:rPr>
              <w:t xml:space="preserve"> 割草高度：割草作业高度可调，调节范围 20</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m～80</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m</w:t>
            </w:r>
          </w:p>
        </w:tc>
        <w:tc>
          <w:tcPr>
            <w:tcW w:w="0" w:type="auto"/>
            <w:vAlign w:val="center"/>
          </w:tcPr>
          <w:p w14:paraId="77FC23A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1EF09DA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218F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17" w:type="dxa"/>
            <w:noWrap/>
            <w:vAlign w:val="center"/>
          </w:tcPr>
          <w:p w14:paraId="272546DA">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3</w:t>
            </w:r>
          </w:p>
        </w:tc>
        <w:tc>
          <w:tcPr>
            <w:tcW w:w="1084" w:type="dxa"/>
            <w:noWrap/>
            <w:vAlign w:val="center"/>
          </w:tcPr>
          <w:p w14:paraId="5C1BDBA8">
            <w:pPr>
              <w:widowControl/>
              <w:adjustRightInd w:val="0"/>
              <w:snapToGrid w:val="0"/>
              <w:rPr>
                <w:rFonts w:hint="eastAsia" w:ascii="宋体" w:hAnsi="宋体" w:cs="宋体"/>
                <w:kern w:val="0"/>
                <w:sz w:val="24"/>
                <w:highlight w:val="none"/>
              </w:rPr>
            </w:pPr>
            <w:r>
              <w:rPr>
                <w:rFonts w:ascii="宋体" w:hAnsi="宋体" w:cs="宋体"/>
                <w:kern w:val="0"/>
                <w:sz w:val="24"/>
                <w:highlight w:val="none"/>
              </w:rPr>
              <w:t>粉碎机</w:t>
            </w:r>
          </w:p>
        </w:tc>
        <w:tc>
          <w:tcPr>
            <w:tcW w:w="7411" w:type="dxa"/>
            <w:vAlign w:val="center"/>
          </w:tcPr>
          <w:p w14:paraId="33C69A4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w:t>
            </w:r>
            <w:r>
              <w:rPr>
                <w:rFonts w:ascii="宋体" w:hAnsi="宋体" w:cs="宋体"/>
                <w:kern w:val="0"/>
                <w:sz w:val="24"/>
                <w:highlight w:val="none"/>
              </w:rPr>
              <w:t xml:space="preserve">.1 </w:t>
            </w:r>
            <w:r>
              <w:rPr>
                <w:rFonts w:hint="eastAsia" w:ascii="宋体" w:hAnsi="宋体" w:cs="宋体"/>
                <w:kern w:val="0"/>
                <w:sz w:val="24"/>
                <w:highlight w:val="none"/>
              </w:rPr>
              <w:t>主要参数：</w:t>
            </w:r>
            <w:r>
              <w:rPr>
                <w:rFonts w:ascii="宋体" w:hAnsi="宋体" w:cs="宋体"/>
                <w:kern w:val="0"/>
                <w:sz w:val="24"/>
                <w:highlight w:val="none"/>
              </w:rPr>
              <w:t>主机功率：≥90kW。处理产量：2～3t/h。设备工作电压：380 V。</w:t>
            </w:r>
          </w:p>
          <w:p w14:paraId="6519F60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 xml:space="preserve">3.2 </w:t>
            </w:r>
            <w:r>
              <w:rPr>
                <w:rFonts w:ascii="宋体" w:hAnsi="宋体" w:cs="宋体"/>
                <w:kern w:val="0"/>
                <w:sz w:val="24"/>
                <w:highlight w:val="none"/>
              </w:rPr>
              <w:t>除尘引风系统：配置</w:t>
            </w:r>
            <w:r>
              <w:rPr>
                <w:rFonts w:hint="eastAsia" w:ascii="宋体" w:hAnsi="宋体" w:cs="宋体"/>
                <w:kern w:val="0"/>
                <w:sz w:val="24"/>
                <w:highlight w:val="none"/>
              </w:rPr>
              <w:t>相应配套</w:t>
            </w:r>
            <w:r>
              <w:rPr>
                <w:rFonts w:ascii="宋体" w:hAnsi="宋体" w:cs="宋体"/>
                <w:kern w:val="0"/>
                <w:sz w:val="24"/>
                <w:highlight w:val="none"/>
              </w:rPr>
              <w:t>离心除尘引风机，配套电机功率 22 kW。风机在本项目除尘系统实际工况点下，应同时满足工艺所需风量及克服管路阻力对应的全压要求；除尘接口与闭风器密封对接，实现负压除尘，降低作业粉尘。</w:t>
            </w:r>
          </w:p>
          <w:p w14:paraId="3001438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3.3</w:t>
            </w:r>
            <w:r>
              <w:rPr>
                <w:rFonts w:ascii="宋体" w:hAnsi="宋体" w:cs="宋体"/>
                <w:kern w:val="0"/>
                <w:sz w:val="24"/>
                <w:highlight w:val="none"/>
              </w:rPr>
              <w:t xml:space="preserve"> 闭风器参数：闭风器驱动电机功率 3 kW，额定电压 380 V，额定电流约 6.8 A，叶轮转速</w:t>
            </w:r>
            <w:r>
              <w:rPr>
                <w:rFonts w:hint="eastAsia" w:ascii="宋体" w:hAnsi="宋体" w:cs="宋体"/>
                <w:kern w:val="0"/>
                <w:sz w:val="24"/>
                <w:highlight w:val="none"/>
              </w:rPr>
              <w:t>53</w:t>
            </w:r>
            <w:r>
              <w:rPr>
                <w:rFonts w:ascii="宋体" w:hAnsi="宋体" w:cs="宋体"/>
                <w:kern w:val="0"/>
                <w:sz w:val="24"/>
                <w:highlight w:val="none"/>
              </w:rPr>
              <w:t>r/min；设备运行稳定，锁风效果良好，保障粉碎除尘系统负压稳定。</w:t>
            </w:r>
          </w:p>
          <w:p w14:paraId="3B87DCE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3.4</w:t>
            </w:r>
            <w:r>
              <w:rPr>
                <w:rFonts w:ascii="宋体" w:hAnsi="宋体" w:cs="宋体"/>
                <w:kern w:val="0"/>
                <w:sz w:val="24"/>
                <w:highlight w:val="none"/>
              </w:rPr>
              <w:t xml:space="preserve"> 核心易损件配置：锤片表面采用碳化物合金喷焊耐磨强化处理；在正常规范作业工况、无硬质石块等硬物进入设备的情况下，锤片设计使用寿命可达 </w:t>
            </w:r>
            <w:r>
              <w:rPr>
                <w:rFonts w:hint="eastAsia" w:ascii="宋体" w:hAnsi="宋体" w:cs="宋体"/>
                <w:kern w:val="0"/>
                <w:sz w:val="24"/>
                <w:highlight w:val="none"/>
              </w:rPr>
              <w:t>3</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 xml:space="preserve"> 个月。</w:t>
            </w:r>
          </w:p>
          <w:p w14:paraId="6633058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3.5</w:t>
            </w:r>
            <w:r>
              <w:rPr>
                <w:rFonts w:ascii="宋体" w:hAnsi="宋体" w:cs="宋体"/>
                <w:kern w:val="0"/>
                <w:sz w:val="24"/>
                <w:highlight w:val="none"/>
              </w:rPr>
              <w:t xml:space="preserve"> 出料对接：设备可通过输送带或料仓与下游设备对接。</w:t>
            </w:r>
          </w:p>
          <w:p w14:paraId="4E67E3E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3.6</w:t>
            </w:r>
            <w:r>
              <w:rPr>
                <w:rFonts w:ascii="宋体" w:hAnsi="宋体" w:cs="宋体"/>
                <w:kern w:val="0"/>
                <w:sz w:val="24"/>
                <w:highlight w:val="none"/>
              </w:rPr>
              <w:t xml:space="preserve"> 进料输送系统：配套进料输送机，进料输送速度</w:t>
            </w:r>
            <w:r>
              <w:rPr>
                <w:rFonts w:hint="eastAsia" w:ascii="宋体" w:hAnsi="宋体" w:cs="宋体"/>
                <w:kern w:val="0"/>
                <w:sz w:val="24"/>
                <w:highlight w:val="none"/>
              </w:rPr>
              <w:t>约</w:t>
            </w:r>
            <w:r>
              <w:rPr>
                <w:rFonts w:ascii="宋体" w:hAnsi="宋体" w:cs="宋体"/>
                <w:kern w:val="0"/>
                <w:sz w:val="24"/>
                <w:highlight w:val="none"/>
              </w:rPr>
              <w:t>25.9 m/min</w:t>
            </w:r>
            <w:r>
              <w:rPr>
                <w:rFonts w:hint="eastAsia" w:ascii="宋体" w:hAnsi="宋体" w:cs="宋体"/>
                <w:kern w:val="0"/>
                <w:sz w:val="24"/>
                <w:highlight w:val="none"/>
              </w:rPr>
              <w:t>,</w:t>
            </w:r>
            <w:r>
              <w:rPr>
                <w:rFonts w:ascii="宋体" w:hAnsi="宋体" w:cs="宋体"/>
                <w:kern w:val="0"/>
                <w:sz w:val="24"/>
                <w:highlight w:val="none"/>
              </w:rPr>
              <w:t>变频可调，实现连续均匀进料，保障粉碎工况稳定。</w:t>
            </w:r>
          </w:p>
          <w:p w14:paraId="02A0242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3.7</w:t>
            </w:r>
            <w:r>
              <w:rPr>
                <w:rFonts w:ascii="宋体" w:hAnsi="宋体" w:cs="宋体"/>
                <w:kern w:val="0"/>
                <w:sz w:val="24"/>
                <w:highlight w:val="none"/>
              </w:rPr>
              <w:t xml:space="preserve"> 性能要求：设备结构紧凑，运转平稳，噪声低；负压除尘系统密封可靠，粉尘排放满足要求；耐磨部件耐用性好，故障率低，适配秸秆类生物质原料连续粉碎作业。</w:t>
            </w:r>
          </w:p>
        </w:tc>
        <w:tc>
          <w:tcPr>
            <w:tcW w:w="0" w:type="auto"/>
            <w:vAlign w:val="center"/>
          </w:tcPr>
          <w:p w14:paraId="5497242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455323B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r>
      <w:tr w14:paraId="4C55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17" w:type="dxa"/>
            <w:noWrap/>
            <w:vAlign w:val="center"/>
          </w:tcPr>
          <w:p w14:paraId="0B096BF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p>
        </w:tc>
        <w:tc>
          <w:tcPr>
            <w:tcW w:w="1084" w:type="dxa"/>
            <w:noWrap/>
            <w:vAlign w:val="center"/>
          </w:tcPr>
          <w:p w14:paraId="037F93B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植保无人机</w:t>
            </w:r>
          </w:p>
        </w:tc>
        <w:tc>
          <w:tcPr>
            <w:tcW w:w="7411" w:type="dxa"/>
            <w:vAlign w:val="center"/>
          </w:tcPr>
          <w:p w14:paraId="50536531">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1</w:t>
            </w:r>
            <w:r>
              <w:rPr>
                <w:rFonts w:ascii="宋体" w:hAnsi="宋体" w:cs="宋体"/>
                <w:kern w:val="0"/>
                <w:sz w:val="24"/>
                <w:highlight w:val="none"/>
              </w:rPr>
              <w:t xml:space="preserve"> 执行标准：GB 42590-2023《民用无人驾驶航空器系统安全要求》、GB/T 43071-2023《植保无人飞机》、NY/T 3213-2023《植保无人驾驶航空器 质量评价技术规范》、GB 46750-2025《民用无人驾驶航空器系统运行识别规范》；作业质量满足 NY/T 4258-2022《植保无人飞机 作业质量》；电池安全满足 GB 31241-2022。</w:t>
            </w:r>
          </w:p>
          <w:p w14:paraId="2A5DF71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 xml:space="preserve"> 整机重量：≥56kg（含电池）。</w:t>
            </w:r>
          </w:p>
          <w:p w14:paraId="71DD3BF1">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 xml:space="preserve"> 最大起飞重量：额定喷洒工况≥136kg。</w:t>
            </w:r>
          </w:p>
          <w:p w14:paraId="4F517FCA">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 xml:space="preserve"> 最大轴距：≥3250mm。</w:t>
            </w:r>
          </w:p>
          <w:p w14:paraId="04A05050">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5</w:t>
            </w:r>
            <w:r>
              <w:rPr>
                <w:rFonts w:ascii="宋体" w:hAnsi="宋体" w:cs="宋体"/>
                <w:kern w:val="0"/>
                <w:sz w:val="24"/>
                <w:highlight w:val="none"/>
              </w:rPr>
              <w:t xml:space="preserve"> 悬停精度（GNSS信号良好条件下）：启用RTK时，水平±10cm、垂直±10cm；未启用RTK时，水平±0.6m、垂直±0.3m。</w:t>
            </w:r>
          </w:p>
          <w:p w14:paraId="1535BE12">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6</w:t>
            </w:r>
            <w:r>
              <w:rPr>
                <w:rFonts w:ascii="宋体" w:hAnsi="宋体" w:cs="宋体"/>
                <w:kern w:val="0"/>
                <w:sz w:val="24"/>
                <w:highlight w:val="none"/>
              </w:rPr>
              <w:t xml:space="preserve"> RTK/GNSS支持频段：B1I、B2I、B3I、B1C、B2a、B2b；RTK 支持基站/网络模式，具备信号盲区应对能力，可采用GNSS RTK、手持测绘器、遥控器、专用基站作为移动基站。</w:t>
            </w:r>
          </w:p>
          <w:p w14:paraId="49C96412">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 xml:space="preserve"> 可设置最大飞行半径：≥2000m；具备全自主避障、仿地飞行、自动喷洒等功能。</w:t>
            </w:r>
          </w:p>
          <w:p w14:paraId="4E10F4D5">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 xml:space="preserve"> 最大可承受风速：≥6m/s。</w:t>
            </w:r>
          </w:p>
          <w:p w14:paraId="7B8D779A">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9</w:t>
            </w:r>
            <w:r>
              <w:rPr>
                <w:rFonts w:ascii="宋体" w:hAnsi="宋体" w:cs="宋体"/>
                <w:kern w:val="0"/>
                <w:sz w:val="24"/>
                <w:highlight w:val="none"/>
              </w:rPr>
              <w:t xml:space="preserve"> 电机 KV 值：≥68rpm/V。</w:t>
            </w:r>
          </w:p>
          <w:p w14:paraId="7D32422E">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10</w:t>
            </w:r>
            <w:r>
              <w:rPr>
                <w:rFonts w:ascii="宋体" w:hAnsi="宋体" w:cs="宋体"/>
                <w:kern w:val="0"/>
                <w:sz w:val="24"/>
                <w:highlight w:val="none"/>
              </w:rPr>
              <w:t xml:space="preserve"> 电机功率：≥4850W。</w:t>
            </w:r>
          </w:p>
          <w:p w14:paraId="0C21ED01">
            <w:pPr>
              <w:widowControl/>
              <w:adjustRightInd w:val="0"/>
              <w:snapToGrid w:val="0"/>
              <w:rPr>
                <w:rFonts w:hint="eastAsia" w:ascii="宋体" w:hAnsi="宋体" w:cs="宋体"/>
                <w:kern w:val="0"/>
                <w:sz w:val="24"/>
                <w:highlight w:val="none"/>
              </w:rPr>
            </w:pPr>
            <w:r>
              <w:rPr>
                <w:rFonts w:ascii="宋体" w:hAnsi="宋体" w:cs="宋体"/>
                <w:kern w:val="0"/>
                <w:sz w:val="24"/>
                <w:highlight w:val="none"/>
              </w:rPr>
              <w:t>4.1</w:t>
            </w:r>
            <w:r>
              <w:rPr>
                <w:rFonts w:hint="eastAsia" w:ascii="宋体" w:hAnsi="宋体" w:cs="宋体"/>
                <w:kern w:val="0"/>
                <w:sz w:val="24"/>
                <w:highlight w:val="none"/>
              </w:rPr>
              <w:t>1</w:t>
            </w:r>
            <w:r>
              <w:rPr>
                <w:rFonts w:ascii="宋体" w:hAnsi="宋体" w:cs="宋体"/>
                <w:kern w:val="0"/>
                <w:sz w:val="24"/>
                <w:highlight w:val="none"/>
              </w:rPr>
              <w:t xml:space="preserve"> 作业载荷：额定容量≥75L（75kg）。</w:t>
            </w:r>
          </w:p>
          <w:p w14:paraId="0C8DF072">
            <w:pPr>
              <w:widowControl/>
              <w:adjustRightInd w:val="0"/>
              <w:snapToGrid w:val="0"/>
              <w:rPr>
                <w:rFonts w:hint="eastAsia" w:ascii="宋体" w:hAnsi="宋体" w:cs="宋体"/>
                <w:kern w:val="0"/>
                <w:sz w:val="24"/>
                <w:highlight w:val="none"/>
              </w:rPr>
            </w:pPr>
            <w:r>
              <w:rPr>
                <w:rFonts w:ascii="宋体" w:hAnsi="宋体" w:cs="宋体"/>
                <w:kern w:val="0"/>
                <w:sz w:val="24"/>
                <w:highlight w:val="none"/>
              </w:rPr>
              <w:t>4.1</w:t>
            </w:r>
            <w:r>
              <w:rPr>
                <w:rFonts w:hint="eastAsia" w:ascii="宋体" w:hAnsi="宋体" w:cs="宋体"/>
                <w:kern w:val="0"/>
                <w:sz w:val="24"/>
                <w:highlight w:val="none"/>
              </w:rPr>
              <w:t>2</w:t>
            </w:r>
            <w:r>
              <w:rPr>
                <w:rFonts w:ascii="宋体" w:hAnsi="宋体" w:cs="宋体"/>
                <w:kern w:val="0"/>
                <w:sz w:val="24"/>
                <w:highlight w:val="none"/>
              </w:rPr>
              <w:t xml:space="preserve"> 药液箱数量：1个；药箱容量≥75L，作业效率≥50亩/小时。</w:t>
            </w:r>
          </w:p>
        </w:tc>
        <w:tc>
          <w:tcPr>
            <w:tcW w:w="0" w:type="auto"/>
            <w:vAlign w:val="center"/>
          </w:tcPr>
          <w:p w14:paraId="3C4DF7E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架</w:t>
            </w:r>
          </w:p>
        </w:tc>
        <w:tc>
          <w:tcPr>
            <w:tcW w:w="0" w:type="auto"/>
            <w:vAlign w:val="center"/>
          </w:tcPr>
          <w:p w14:paraId="162CB62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r>
      <w:tr w14:paraId="4617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17" w:type="dxa"/>
            <w:noWrap/>
            <w:vAlign w:val="center"/>
          </w:tcPr>
          <w:p w14:paraId="1731256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p>
        </w:tc>
        <w:tc>
          <w:tcPr>
            <w:tcW w:w="1084" w:type="dxa"/>
            <w:noWrap/>
            <w:vAlign w:val="center"/>
          </w:tcPr>
          <w:p w14:paraId="53754D0A">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旋耕机</w:t>
            </w:r>
          </w:p>
        </w:tc>
        <w:tc>
          <w:tcPr>
            <w:tcW w:w="7411" w:type="dxa"/>
            <w:vAlign w:val="center"/>
          </w:tcPr>
          <w:p w14:paraId="56196A4C">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 xml:space="preserve"> 执行标准：GB/T 5668-2017《旋耕机》。</w:t>
            </w:r>
          </w:p>
          <w:p w14:paraId="280FD48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 xml:space="preserve"> 工作耕幅：≥300</w:t>
            </w:r>
            <w:r>
              <w:rPr>
                <w:kern w:val="0"/>
                <w:sz w:val="24"/>
                <w:highlight w:val="none"/>
              </w:rPr>
              <w:t> </w:t>
            </w:r>
            <w:r>
              <w:rPr>
                <w:rFonts w:ascii="宋体" w:hAnsi="宋体" w:cs="宋体"/>
                <w:kern w:val="0"/>
                <w:sz w:val="24"/>
                <w:highlight w:val="none"/>
              </w:rPr>
              <w:t>cm；结构型式：框架式、中间传动；采用标准三点悬挂连接方式，适配配套拖拉机悬挂系统</w:t>
            </w:r>
            <w:r>
              <w:rPr>
                <w:rFonts w:hint="eastAsia" w:ascii="宋体" w:hAnsi="宋体" w:cs="宋体"/>
                <w:kern w:val="0"/>
                <w:sz w:val="24"/>
                <w:highlight w:val="none"/>
              </w:rPr>
              <w:t>。</w:t>
            </w:r>
          </w:p>
          <w:p w14:paraId="02582C1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 xml:space="preserve"> 作业参数：耕深可在 12</w:t>
            </w:r>
            <w:r>
              <w:rPr>
                <w:kern w:val="0"/>
                <w:sz w:val="24"/>
                <w:highlight w:val="none"/>
              </w:rPr>
              <w:t> </w:t>
            </w:r>
            <w:r>
              <w:rPr>
                <w:rFonts w:ascii="宋体" w:hAnsi="宋体" w:cs="宋体"/>
                <w:kern w:val="0"/>
                <w:sz w:val="24"/>
                <w:highlight w:val="none"/>
              </w:rPr>
              <w:t>cm～16</w:t>
            </w:r>
            <w:r>
              <w:rPr>
                <w:kern w:val="0"/>
                <w:sz w:val="24"/>
                <w:highlight w:val="none"/>
              </w:rPr>
              <w:t> </w:t>
            </w:r>
            <w:r>
              <w:rPr>
                <w:rFonts w:ascii="宋体" w:hAnsi="宋体" w:cs="宋体"/>
                <w:kern w:val="0"/>
                <w:sz w:val="24"/>
                <w:highlight w:val="none"/>
              </w:rPr>
              <w:t>cm 范围内自由调节；刀辊工作转速</w:t>
            </w:r>
            <w:r>
              <w:rPr>
                <w:rFonts w:hint="eastAsia" w:ascii="宋体" w:hAnsi="宋体" w:cs="宋体"/>
                <w:kern w:val="0"/>
                <w:sz w:val="24"/>
                <w:highlight w:val="none"/>
              </w:rPr>
              <w:t>≥</w:t>
            </w:r>
            <w:r>
              <w:rPr>
                <w:rFonts w:ascii="宋体" w:hAnsi="宋体" w:cs="宋体"/>
                <w:kern w:val="0"/>
                <w:sz w:val="24"/>
                <w:highlight w:val="none"/>
              </w:rPr>
              <w:t>300</w:t>
            </w:r>
            <w:r>
              <w:rPr>
                <w:kern w:val="0"/>
                <w:sz w:val="24"/>
                <w:highlight w:val="none"/>
              </w:rPr>
              <w:t> </w:t>
            </w:r>
            <w:r>
              <w:rPr>
                <w:rFonts w:ascii="宋体" w:hAnsi="宋体" w:cs="宋体"/>
                <w:kern w:val="0"/>
                <w:sz w:val="24"/>
                <w:highlight w:val="none"/>
              </w:rPr>
              <w:t>r/min；耕作均匀、稳定性强。</w:t>
            </w:r>
          </w:p>
          <w:p w14:paraId="0BA1007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 xml:space="preserve"> 刀具配置：旋耕刀采用高锰钢材质，耐磨抗冲击、使用寿命长；刀片采用标准螺旋排列结构，耕作阻力小、碎土效果好、作业无漏耕；旋耕刀、刀座性能符合 GB/T 5669</w:t>
            </w:r>
            <w:r>
              <w:rPr>
                <w:rFonts w:ascii="宋体" w:hAnsi="宋体" w:cs="宋体"/>
                <w:kern w:val="0"/>
                <w:sz w:val="24"/>
                <w:highlight w:val="none"/>
              </w:rPr>
              <w:noBreakHyphen/>
            </w:r>
            <w:r>
              <w:rPr>
                <w:rFonts w:ascii="宋体" w:hAnsi="宋体" w:cs="宋体"/>
                <w:kern w:val="0"/>
                <w:sz w:val="24"/>
                <w:highlight w:val="none"/>
              </w:rPr>
              <w:t>2017 标准要求。</w:t>
            </w:r>
          </w:p>
          <w:p w14:paraId="3A9AD9D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5</w:t>
            </w:r>
            <w:r>
              <w:rPr>
                <w:rFonts w:ascii="宋体" w:hAnsi="宋体" w:cs="宋体"/>
                <w:kern w:val="0"/>
                <w:sz w:val="24"/>
                <w:highlight w:val="none"/>
              </w:rPr>
              <w:t xml:space="preserve"> 作业适配性：支持宽幅作业，可适配水田、旱田多种作业场景，通用性强，满足不同地块耕作需求。</w:t>
            </w:r>
          </w:p>
        </w:tc>
        <w:tc>
          <w:tcPr>
            <w:tcW w:w="0" w:type="auto"/>
            <w:vAlign w:val="center"/>
          </w:tcPr>
          <w:p w14:paraId="61A35E4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5364337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r>
      <w:tr w14:paraId="3059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817" w:type="dxa"/>
            <w:noWrap/>
            <w:vAlign w:val="center"/>
          </w:tcPr>
          <w:p w14:paraId="02C46AC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6</w:t>
            </w:r>
          </w:p>
        </w:tc>
        <w:tc>
          <w:tcPr>
            <w:tcW w:w="1084" w:type="dxa"/>
            <w:vAlign w:val="center"/>
          </w:tcPr>
          <w:p w14:paraId="443FFE39">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打捆机</w:t>
            </w:r>
          </w:p>
        </w:tc>
        <w:tc>
          <w:tcPr>
            <w:tcW w:w="7411" w:type="dxa"/>
            <w:vAlign w:val="center"/>
          </w:tcPr>
          <w:p w14:paraId="6608AC9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.1 执行标准：设备设计、制造、检验执行 GB/T 14290-2021《圆草捆打捆机》。整机性能、结构强度、安全防护满足田间秸秆捡拾打捆作业要求。</w:t>
            </w:r>
            <w:r>
              <w:rPr>
                <w:rFonts w:hint="eastAsia" w:ascii="宋体" w:hAnsi="宋体" w:cs="宋体"/>
                <w:kern w:val="0"/>
                <w:sz w:val="24"/>
                <w:highlight w:val="none"/>
              </w:rPr>
              <w:t>主传动机构链轮、带轮、传动带、链条等外露动力传动部件及牵引杆、捡拾器、喂入器、后尾门等应有防护装置，防护装置应符合GB 10395.20的规定。在捡拾机构、传动机构等对操作者存在危险部位的明显位置处应设置安全警示标志，安全标志应符合GB10396规定的要求。</w:t>
            </w:r>
          </w:p>
          <w:p w14:paraId="75D1420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 xml:space="preserve">.2 </w:t>
            </w:r>
            <w:r>
              <w:rPr>
                <w:rFonts w:hint="eastAsia" w:ascii="宋体" w:hAnsi="宋体" w:cs="宋体"/>
                <w:kern w:val="0"/>
                <w:sz w:val="24"/>
                <w:highlight w:val="none"/>
              </w:rPr>
              <w:t>牵引式，</w:t>
            </w:r>
            <w:r>
              <w:rPr>
                <w:rFonts w:ascii="宋体" w:hAnsi="宋体" w:cs="宋体"/>
                <w:kern w:val="0"/>
                <w:sz w:val="24"/>
                <w:highlight w:val="none"/>
              </w:rPr>
              <w:t>配套动力要求：设备适配配套动力≥75 kW，动力匹配合理，作业负荷稳定，可满足连续田间作业工况。</w:t>
            </w:r>
          </w:p>
          <w:p w14:paraId="77DF7423">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.3 外形尺寸：设备整体外形尺寸</w:t>
            </w:r>
            <w:r>
              <w:rPr>
                <w:rFonts w:hint="eastAsia" w:ascii="宋体" w:hAnsi="宋体" w:cs="宋体"/>
                <w:kern w:val="0"/>
                <w:sz w:val="24"/>
                <w:highlight w:val="none"/>
              </w:rPr>
              <w:t>长</w:t>
            </w:r>
            <w:r>
              <w:rPr>
                <w:rFonts w:ascii="宋体" w:hAnsi="宋体" w:cs="宋体"/>
                <w:kern w:val="0"/>
                <w:sz w:val="24"/>
                <w:highlight w:val="none"/>
              </w:rPr>
              <w:t>4100</w:t>
            </w:r>
            <w:r>
              <w:rPr>
                <w:rFonts w:hint="eastAsia" w:ascii="宋体" w:hAnsi="宋体" w:cs="宋体"/>
                <w:kern w:val="0"/>
                <w:sz w:val="24"/>
                <w:highlight w:val="none"/>
              </w:rPr>
              <w:t>±150</w:t>
            </w:r>
            <w:r>
              <w:rPr>
                <w:rFonts w:ascii="宋体" w:hAnsi="宋体" w:cs="宋体"/>
                <w:kern w:val="0"/>
                <w:sz w:val="24"/>
                <w:highlight w:val="none"/>
              </w:rPr>
              <w:t>mm</w:t>
            </w:r>
            <w:r>
              <w:rPr>
                <w:rFonts w:hint="eastAsia" w:ascii="宋体" w:hAnsi="宋体" w:cs="宋体"/>
                <w:kern w:val="0"/>
                <w:sz w:val="24"/>
                <w:highlight w:val="none"/>
              </w:rPr>
              <w:t>、宽</w:t>
            </w:r>
            <w:r>
              <w:rPr>
                <w:rFonts w:ascii="宋体" w:hAnsi="宋体" w:cs="宋体"/>
                <w:kern w:val="0"/>
                <w:sz w:val="24"/>
                <w:highlight w:val="none"/>
              </w:rPr>
              <w:t>2960</w:t>
            </w:r>
            <w:r>
              <w:rPr>
                <w:rFonts w:hint="eastAsia" w:ascii="宋体" w:hAnsi="宋体" w:cs="宋体"/>
                <w:kern w:val="0"/>
                <w:sz w:val="24"/>
                <w:highlight w:val="none"/>
              </w:rPr>
              <w:t>±150</w:t>
            </w:r>
            <w:r>
              <w:rPr>
                <w:rFonts w:ascii="宋体" w:hAnsi="宋体" w:cs="宋体"/>
                <w:kern w:val="0"/>
                <w:sz w:val="24"/>
                <w:highlight w:val="none"/>
              </w:rPr>
              <w:t>mm</w:t>
            </w:r>
            <w:r>
              <w:rPr>
                <w:rFonts w:hint="eastAsia" w:ascii="宋体" w:hAnsi="宋体" w:cs="宋体"/>
                <w:kern w:val="0"/>
                <w:sz w:val="24"/>
                <w:highlight w:val="none"/>
              </w:rPr>
              <w:t>、高</w:t>
            </w:r>
            <w:r>
              <w:rPr>
                <w:rFonts w:ascii="宋体" w:hAnsi="宋体" w:cs="宋体"/>
                <w:kern w:val="0"/>
                <w:sz w:val="24"/>
                <w:highlight w:val="none"/>
              </w:rPr>
              <w:t>2300</w:t>
            </w:r>
            <w:r>
              <w:rPr>
                <w:rFonts w:hint="eastAsia" w:ascii="宋体" w:hAnsi="宋体" w:cs="宋体"/>
                <w:kern w:val="0"/>
                <w:sz w:val="24"/>
                <w:highlight w:val="none"/>
              </w:rPr>
              <w:t>±150</w:t>
            </w:r>
            <w:r>
              <w:rPr>
                <w:rFonts w:ascii="宋体" w:hAnsi="宋体" w:cs="宋体"/>
                <w:kern w:val="0"/>
                <w:sz w:val="24"/>
                <w:highlight w:val="none"/>
              </w:rPr>
              <w:t>mm，成捆尺寸</w:t>
            </w:r>
            <w:r>
              <w:rPr>
                <w:rFonts w:hint="eastAsia" w:ascii="宋体" w:hAnsi="宋体" w:cs="宋体"/>
                <w:kern w:val="0"/>
                <w:sz w:val="24"/>
                <w:highlight w:val="none"/>
              </w:rPr>
              <w:t>直径φ≥120</w:t>
            </w:r>
            <w:r>
              <w:rPr>
                <w:rFonts w:ascii="宋体" w:hAnsi="宋体" w:cs="宋体"/>
                <w:kern w:val="0"/>
                <w:sz w:val="24"/>
                <w:highlight w:val="none"/>
              </w:rPr>
              <w:t>0</w:t>
            </w:r>
            <w:r>
              <w:rPr>
                <w:rFonts w:hint="eastAsia" w:ascii="宋体" w:hAnsi="宋体" w:cs="宋体"/>
                <w:kern w:val="0"/>
                <w:sz w:val="24"/>
                <w:highlight w:val="none"/>
              </w:rPr>
              <w:t>mm，高度≥140</w:t>
            </w:r>
            <w:r>
              <w:rPr>
                <w:rFonts w:ascii="宋体" w:hAnsi="宋体" w:cs="宋体"/>
                <w:kern w:val="0"/>
                <w:sz w:val="24"/>
                <w:highlight w:val="none"/>
              </w:rPr>
              <w:t>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w:t>
            </w:r>
            <w:r>
              <w:rPr>
                <w:rFonts w:ascii="宋体" w:hAnsi="宋体" w:cs="宋体"/>
                <w:kern w:val="0"/>
                <w:sz w:val="24"/>
                <w:highlight w:val="none"/>
              </w:rPr>
              <w:t>结构布局合理，适配田间作业通行及场地转运要求。</w:t>
            </w:r>
          </w:p>
          <w:p w14:paraId="52776251">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.4 结构形式：采用螺旋输送式喂入机构，喂料均匀、输送顺畅、不易堵料，有效提升秸秆喂入效率与打捆连续性。</w:t>
            </w:r>
          </w:p>
          <w:p w14:paraId="4903A427">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.5 捡拾性能参数：配置宽幅捡拾器，捡拾宽度≥2000 mm，捡拾覆盖面广、捡拾干净率高，适配田间散铺秸秆收集作业。</w:t>
            </w:r>
          </w:p>
          <w:p w14:paraId="2BBD472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.6 工序衔接要求：设备结构及作业流程可与前端秸秆捡拾、后端</w:t>
            </w:r>
            <w:r>
              <w:rPr>
                <w:rFonts w:hint="eastAsia" w:ascii="宋体" w:hAnsi="宋体" w:cs="宋体"/>
                <w:kern w:val="0"/>
                <w:sz w:val="24"/>
                <w:highlight w:val="none"/>
              </w:rPr>
              <w:t>可与</w:t>
            </w:r>
            <w:r>
              <w:rPr>
                <w:rFonts w:ascii="宋体" w:hAnsi="宋体" w:cs="宋体"/>
                <w:kern w:val="0"/>
                <w:sz w:val="24"/>
                <w:highlight w:val="none"/>
              </w:rPr>
              <w:t>包膜工序高效衔接，整套作业流程连贯顺畅，适配秸秆回收、打包、包膜一体化作业生产线。</w:t>
            </w:r>
          </w:p>
          <w:p w14:paraId="175EAA7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.7 整体性能要求：整机结构坚固、抗震耐磨、故障率低；打捆成型紧实、均匀，成型质量稳定；田间通过性好，适应多种地块工况，可满足长时间连续作业需求。</w:t>
            </w:r>
          </w:p>
          <w:p w14:paraId="25BE32C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6</w:t>
            </w:r>
            <w:r>
              <w:rPr>
                <w:rFonts w:ascii="宋体" w:hAnsi="宋体" w:cs="宋体"/>
                <w:kern w:val="0"/>
                <w:sz w:val="24"/>
                <w:highlight w:val="none"/>
              </w:rPr>
              <w:t>.8 资料要求：供货</w:t>
            </w:r>
            <w:r>
              <w:rPr>
                <w:rFonts w:hint="eastAsia" w:ascii="宋体" w:hAnsi="宋体" w:cs="宋体"/>
                <w:kern w:val="0"/>
                <w:sz w:val="24"/>
                <w:highlight w:val="none"/>
              </w:rPr>
              <w:t>时</w:t>
            </w:r>
            <w:r>
              <w:rPr>
                <w:rFonts w:ascii="宋体" w:hAnsi="宋体" w:cs="宋体"/>
                <w:kern w:val="0"/>
                <w:sz w:val="24"/>
                <w:highlight w:val="none"/>
              </w:rPr>
              <w:t>提供设备合格证、设备安装使用维护说明书、主要结构材质及性能参数说明文件。</w:t>
            </w:r>
          </w:p>
        </w:tc>
        <w:tc>
          <w:tcPr>
            <w:tcW w:w="0" w:type="auto"/>
            <w:vAlign w:val="center"/>
          </w:tcPr>
          <w:p w14:paraId="0CAFDCA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51B1E2D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4533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771C0C1">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7</w:t>
            </w:r>
          </w:p>
        </w:tc>
        <w:tc>
          <w:tcPr>
            <w:tcW w:w="1084" w:type="dxa"/>
            <w:noWrap/>
            <w:vAlign w:val="center"/>
          </w:tcPr>
          <w:p w14:paraId="11FCAB6B">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虫情测报灯</w:t>
            </w:r>
          </w:p>
        </w:tc>
        <w:tc>
          <w:tcPr>
            <w:tcW w:w="7411" w:type="dxa"/>
            <w:vAlign w:val="center"/>
          </w:tcPr>
          <w:p w14:paraId="2548F2A7">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 执行标准：GB/T 24689.1-2009《植物保护机械 虫情测报灯》标准。</w:t>
            </w:r>
          </w:p>
          <w:p w14:paraId="7A91AEC8">
            <w:pPr>
              <w:widowControl/>
              <w:adjustRightInd w:val="0"/>
              <w:snapToGrid w:val="0"/>
              <w:rPr>
                <w:rFonts w:hint="eastAsia" w:ascii="宋体" w:hAnsi="宋体" w:cs="宋体"/>
                <w:kern w:val="0"/>
                <w:sz w:val="24"/>
                <w:highlight w:val="none"/>
              </w:rPr>
            </w:pPr>
            <w:r>
              <w:rPr>
                <w:rFonts w:ascii="宋体" w:hAnsi="宋体" w:cs="宋体"/>
                <w:kern w:val="0"/>
                <w:sz w:val="24"/>
                <w:highlight w:val="none"/>
              </w:rPr>
              <w:t>7.2 设备结构：整机采用不锈钢喷塑材质，配置防雨大雨蓬结构，带百叶窗、触摸屏操作模块；设备由害虫诱捕装置、害虫灭杀装置、害虫散虫及震动装置、高清摄像机与传送带装置、自动虫体收纳及向外自动排除装置、控制器、显示器、电源与防雷系统、网络传输模块组成。</w:t>
            </w:r>
          </w:p>
          <w:p w14:paraId="41EB1EC0">
            <w:pPr>
              <w:widowControl/>
              <w:adjustRightInd w:val="0"/>
              <w:snapToGrid w:val="0"/>
              <w:rPr>
                <w:rFonts w:hint="eastAsia" w:ascii="宋体" w:hAnsi="宋体" w:cs="宋体"/>
                <w:kern w:val="0"/>
                <w:sz w:val="24"/>
                <w:highlight w:val="none"/>
              </w:rPr>
            </w:pPr>
            <w:r>
              <w:rPr>
                <w:rFonts w:ascii="宋体" w:hAnsi="宋体" w:cs="宋体"/>
                <w:kern w:val="0"/>
                <w:sz w:val="24"/>
                <w:highlight w:val="none"/>
              </w:rPr>
              <w:t>7.3 人机交互：配置 7 寸彩色触摸屏；可显示设备工作状态、工作电压、虫仓温度、故障等状态信息；支持光控、时控、调试、强制四种工作模式设置；具备本地手动及远程控制能力，可控制诱虫灯开启、拍照、加热、转仓等动作；可查阅害虫数量、环境温度等监测数据；支持参数配置：加热时间、落虫时间、振动时间等时序设置、虫仓加热温度调节、工作时段设置、上传地址修改、防盗参数设置。</w:t>
            </w:r>
          </w:p>
          <w:p w14:paraId="74077B65">
            <w:pPr>
              <w:widowControl/>
              <w:adjustRightInd w:val="0"/>
              <w:snapToGrid w:val="0"/>
              <w:rPr>
                <w:rFonts w:hint="eastAsia" w:ascii="宋体" w:hAnsi="宋体" w:cs="宋体"/>
                <w:kern w:val="0"/>
                <w:sz w:val="24"/>
                <w:highlight w:val="none"/>
              </w:rPr>
            </w:pPr>
            <w:r>
              <w:rPr>
                <w:rFonts w:ascii="宋体" w:hAnsi="宋体" w:cs="宋体"/>
                <w:kern w:val="0"/>
                <w:sz w:val="24"/>
                <w:highlight w:val="none"/>
              </w:rPr>
              <w:t>7.4 光控控制：夜间自动开灯，白天自动关灯；夜间工作状态下，不受瞬间强光干扰改变工作状态。</w:t>
            </w:r>
          </w:p>
          <w:p w14:paraId="5E15D51D">
            <w:pPr>
              <w:widowControl/>
              <w:adjustRightInd w:val="0"/>
              <w:snapToGrid w:val="0"/>
              <w:rPr>
                <w:rFonts w:hint="eastAsia" w:ascii="宋体" w:hAnsi="宋体" w:cs="宋体"/>
                <w:kern w:val="0"/>
                <w:sz w:val="24"/>
                <w:highlight w:val="none"/>
              </w:rPr>
            </w:pPr>
            <w:r>
              <w:rPr>
                <w:rFonts w:ascii="宋体" w:hAnsi="宋体" w:cs="宋体"/>
                <w:kern w:val="0"/>
                <w:sz w:val="24"/>
                <w:highlight w:val="none"/>
              </w:rPr>
              <w:t>7.5 雨控系统：配备雨控传感器，可根据外界雨量变化自动控制测报灯启停工作。</w:t>
            </w:r>
          </w:p>
          <w:p w14:paraId="069DAA75">
            <w:pPr>
              <w:widowControl/>
              <w:adjustRightInd w:val="0"/>
              <w:snapToGrid w:val="0"/>
              <w:rPr>
                <w:rFonts w:hint="eastAsia" w:ascii="宋体" w:hAnsi="宋体" w:cs="宋体"/>
                <w:kern w:val="0"/>
                <w:sz w:val="24"/>
                <w:highlight w:val="none"/>
              </w:rPr>
            </w:pPr>
            <w:r>
              <w:rPr>
                <w:rFonts w:ascii="宋体" w:hAnsi="宋体" w:cs="宋体"/>
                <w:kern w:val="0"/>
                <w:sz w:val="24"/>
                <w:highlight w:val="none"/>
              </w:rPr>
              <w:t>7.6 时段控制：可依据靶标害虫生活习性，自定义设置工作时间段及工作时长。</w:t>
            </w:r>
          </w:p>
          <w:p w14:paraId="69A0F3B6">
            <w:pPr>
              <w:widowControl/>
              <w:adjustRightInd w:val="0"/>
              <w:snapToGrid w:val="0"/>
              <w:rPr>
                <w:rFonts w:hint="eastAsia" w:ascii="宋体" w:hAnsi="宋体" w:cs="宋体"/>
                <w:kern w:val="0"/>
                <w:sz w:val="24"/>
                <w:highlight w:val="none"/>
              </w:rPr>
            </w:pPr>
            <w:r>
              <w:rPr>
                <w:rFonts w:ascii="宋体" w:hAnsi="宋体" w:cs="宋体"/>
                <w:kern w:val="0"/>
                <w:sz w:val="24"/>
                <w:highlight w:val="none"/>
              </w:rPr>
              <w:t>7.7 远程控制：支持远程控制接虫仓、诱虫灯开关、加热管开关、杀虫仓和烘干仓清空、震动电机开关、拍照开关、工作模式切换、设备重启、上传地址修改等操作。</w:t>
            </w:r>
          </w:p>
          <w:p w14:paraId="5EB28992">
            <w:pPr>
              <w:widowControl/>
              <w:adjustRightInd w:val="0"/>
              <w:snapToGrid w:val="0"/>
              <w:rPr>
                <w:rFonts w:hint="eastAsia" w:ascii="宋体" w:hAnsi="宋体" w:cs="宋体"/>
                <w:kern w:val="0"/>
                <w:sz w:val="24"/>
                <w:highlight w:val="none"/>
              </w:rPr>
            </w:pPr>
            <w:r>
              <w:rPr>
                <w:rFonts w:ascii="宋体" w:hAnsi="宋体" w:cs="宋体"/>
                <w:kern w:val="0"/>
                <w:sz w:val="24"/>
                <w:highlight w:val="none"/>
              </w:rPr>
              <w:t>7.8 诱集光源：配置 20W 专用诱虫光源，主波长 365nm 黑光灯管</w:t>
            </w:r>
            <w:r>
              <w:rPr>
                <w:rFonts w:hint="eastAsia" w:ascii="宋体" w:hAnsi="宋体" w:cs="宋体"/>
                <w:kern w:val="0"/>
                <w:sz w:val="24"/>
                <w:highlight w:val="none"/>
              </w:rPr>
              <w:t>。</w:t>
            </w:r>
          </w:p>
          <w:p w14:paraId="02549AEE">
            <w:pPr>
              <w:widowControl/>
              <w:adjustRightInd w:val="0"/>
              <w:snapToGrid w:val="0"/>
              <w:rPr>
                <w:rFonts w:hint="eastAsia" w:ascii="宋体" w:hAnsi="宋体" w:cs="宋体"/>
                <w:kern w:val="0"/>
                <w:sz w:val="24"/>
                <w:highlight w:val="none"/>
              </w:rPr>
            </w:pPr>
            <w:r>
              <w:rPr>
                <w:rFonts w:ascii="宋体" w:hAnsi="宋体" w:cs="宋体"/>
                <w:kern w:val="0"/>
                <w:sz w:val="24"/>
                <w:highlight w:val="none"/>
              </w:rPr>
              <w:t>7.9 控制器：可完成光控传感器、雨控传感器、定位传感器信号采集、处理与存储；实现计时控制、诱集光源控制、远红外虫体处理、排水、分时存放等作业逻辑控制。</w:t>
            </w:r>
          </w:p>
          <w:p w14:paraId="02C85DBA">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7.10 远红外虫体处理仓温控：设备工作 15 分钟后仓内温度≥90℃；远红外虫体处理致死率≥98%，虫体完整率≥95%。</w:t>
            </w:r>
          </w:p>
          <w:p w14:paraId="5BC06410">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7.11 电气与结构参数：待机功耗≤5W；整机功率≤450W；太阳能供电配置：太阳能板</w:t>
            </w:r>
            <w:r>
              <w:rPr>
                <w:rFonts w:hint="eastAsia" w:ascii="宋体" w:hAnsi="宋体" w:cs="宋体"/>
                <w:kern w:val="0"/>
                <w:sz w:val="24"/>
                <w:highlight w:val="none"/>
              </w:rPr>
              <w:t>≥</w:t>
            </w:r>
            <w:r>
              <w:rPr>
                <w:rFonts w:ascii="宋体" w:hAnsi="宋体" w:cs="宋体"/>
                <w:kern w:val="0"/>
                <w:sz w:val="24"/>
                <w:highlight w:val="none"/>
              </w:rPr>
              <w:t>600W，蓄电池 2×12V100AH；整套太阳能系统满足连续 3 天无光照条件下设备完整正常运行；灯管 5s 内启动；绝缘电阻≥2.5M</w:t>
            </w:r>
            <w:r>
              <w:rPr>
                <w:rFonts w:ascii="宋体" w:hAnsi="宋体" w:cs="Calibri"/>
                <w:kern w:val="0"/>
                <w:sz w:val="24"/>
                <w:highlight w:val="none"/>
              </w:rPr>
              <w:t>Ω</w:t>
            </w:r>
            <w:r>
              <w:rPr>
                <w:rFonts w:ascii="宋体" w:hAnsi="宋体" w:cs="宋体"/>
                <w:kern w:val="0"/>
                <w:sz w:val="24"/>
                <w:highlight w:val="none"/>
              </w:rPr>
              <w:t>；配置漏电保护装置；撞击屏互成 120° 夹角，厚度≥5mm。</w:t>
            </w:r>
          </w:p>
          <w:p w14:paraId="7ECBB330">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7.12 图像采集：内置</w:t>
            </w:r>
            <w:r>
              <w:rPr>
                <w:rFonts w:hint="eastAsia" w:ascii="宋体" w:hAnsi="宋体" w:cs="宋体"/>
                <w:kern w:val="0"/>
                <w:sz w:val="24"/>
                <w:highlight w:val="none"/>
              </w:rPr>
              <w:t>20</w:t>
            </w:r>
            <w:r>
              <w:rPr>
                <w:rFonts w:ascii="宋体" w:hAnsi="宋体" w:cs="宋体"/>
                <w:kern w:val="0"/>
                <w:sz w:val="24"/>
                <w:highlight w:val="none"/>
              </w:rPr>
              <w:t>00万像素工业摄像头，支持自定义自动拍照时段、拍照频率。</w:t>
            </w:r>
          </w:p>
          <w:p w14:paraId="67A63AE3">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7.13 自动识别：具备害虫自动识别能力；可识别一类农作物病虫害（稻飞虱、稻纵卷叶螟、二化螟、草地贪夜蛾等）、二类农作物病虫害（玉米螟、斜纹夜蛾、棉铃虫、小菜蛾等）及其他趋光性害虫。对项目主要靶标害虫识别计数准确率不低于 80%，</w:t>
            </w:r>
            <w:r>
              <w:rPr>
                <w:rFonts w:hint="eastAsia" w:ascii="宋体" w:hAnsi="宋体" w:cs="宋体"/>
                <w:kern w:val="0"/>
                <w:sz w:val="24"/>
                <w:highlight w:val="none"/>
              </w:rPr>
              <w:t>并</w:t>
            </w:r>
            <w:r>
              <w:rPr>
                <w:rFonts w:ascii="宋体" w:hAnsi="宋体" w:cs="宋体"/>
                <w:kern w:val="0"/>
                <w:sz w:val="24"/>
                <w:highlight w:val="none"/>
              </w:rPr>
              <w:t>供货</w:t>
            </w:r>
            <w:r>
              <w:rPr>
                <w:rFonts w:hint="eastAsia" w:ascii="宋体" w:hAnsi="宋体" w:cs="宋体"/>
                <w:kern w:val="0"/>
                <w:sz w:val="24"/>
                <w:highlight w:val="none"/>
              </w:rPr>
              <w:t>时</w:t>
            </w:r>
            <w:r>
              <w:rPr>
                <w:rFonts w:ascii="宋体" w:hAnsi="宋体" w:cs="宋体"/>
                <w:kern w:val="0"/>
                <w:sz w:val="24"/>
                <w:highlight w:val="none"/>
              </w:rPr>
              <w:t>提供第三方 CMA 识别检测报告作为佐证。</w:t>
            </w:r>
          </w:p>
          <w:p w14:paraId="6F2DF971">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7.14</w:t>
            </w:r>
            <w:r>
              <w:rPr>
                <w:rFonts w:hint="eastAsia" w:ascii="宋体" w:hAnsi="宋体" w:cs="宋体"/>
                <w:kern w:val="0"/>
                <w:sz w:val="24"/>
                <w:highlight w:val="none"/>
              </w:rPr>
              <w:t>虫情列表：展示虫情测报灯所上传的虫情照片，支持样本图片预览，可查看虫情详细信息(自动识别害虫类型，害虫数量),可自动设置标记虫体大小的网格：可手动标记未识别或者识别有误的虫害种类，并可有针对性的提出针对识别害虫的防治意见。</w:t>
            </w:r>
          </w:p>
          <w:p w14:paraId="51C7623B">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7.15 标本存储：需留存标本的虫体存放于储存仓，供人工定期收集；无需留存标本的虫体可直接自动排出设备外部，减少现场作业频次，仅需定期巡检；配置定位传感器，支持每日自动切换接虫仓，避免不同日期虫体堆叠，便于人工校对分析，满足人工测报业务需求。</w:t>
            </w:r>
          </w:p>
          <w:p w14:paraId="691046C6">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7.16 数据管理查看：支持 PC 电脑端、手机 APP、小程序访问；可查看设备地理位置、运行状态，完成故障分析与预警。</w:t>
            </w:r>
          </w:p>
          <w:p w14:paraId="307815DD">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7.17 售后功能：每台设备配备专属二维码，扫码跳转售后系统完成安装登记、故障报修；配套售后APP可供查询售后相关信息。</w:t>
            </w:r>
          </w:p>
          <w:p w14:paraId="09EB8366">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7.18 定位功能：内置 GPS 定位模块，平台地图可展示设备位置、设备编号及在线运行状态。</w:t>
            </w:r>
          </w:p>
          <w:p w14:paraId="2B1C97CE">
            <w:pPr>
              <w:widowControl/>
              <w:adjustRightInd w:val="0"/>
              <w:snapToGrid w:val="0"/>
              <w:rPr>
                <w:rFonts w:hint="eastAsia" w:ascii="宋体" w:hAnsi="宋体" w:cs="宋体"/>
                <w:kern w:val="0"/>
                <w:sz w:val="24"/>
                <w:highlight w:val="none"/>
              </w:rPr>
            </w:pPr>
            <w:r>
              <w:rPr>
                <w:rFonts w:ascii="宋体" w:hAnsi="宋体" w:cs="宋体"/>
                <w:kern w:val="0"/>
                <w:sz w:val="24"/>
                <w:highlight w:val="none"/>
              </w:rPr>
              <w:t>7.19 数据传输：支持 4G、WIFI、有线多种联网方式，可按需选用，实现随时随地联网管理。</w:t>
            </w:r>
          </w:p>
          <w:p w14:paraId="02F872B6">
            <w:pPr>
              <w:widowControl/>
              <w:adjustRightInd w:val="0"/>
              <w:snapToGrid w:val="0"/>
              <w:rPr>
                <w:rFonts w:hint="eastAsia" w:ascii="宋体" w:hAnsi="宋体" w:cs="宋体"/>
                <w:kern w:val="0"/>
                <w:sz w:val="24"/>
                <w:highlight w:val="none"/>
              </w:rPr>
            </w:pPr>
            <w:r>
              <w:rPr>
                <w:rFonts w:ascii="宋体" w:hAnsi="宋体" w:cs="宋体"/>
                <w:kern w:val="0"/>
                <w:sz w:val="24"/>
                <w:highlight w:val="none"/>
              </w:rPr>
              <w:t>7.20 故障报警：PC 端、手机 APP、小程序可实时查看设备运行参数，设备异常时推送故障报警信息。</w:t>
            </w:r>
          </w:p>
          <w:p w14:paraId="10555E6D">
            <w:pPr>
              <w:widowControl/>
              <w:adjustRightInd w:val="0"/>
              <w:snapToGrid w:val="0"/>
              <w:rPr>
                <w:rFonts w:hint="eastAsia" w:ascii="宋体" w:hAnsi="宋体" w:cs="宋体"/>
                <w:kern w:val="0"/>
                <w:sz w:val="24"/>
                <w:highlight w:val="none"/>
              </w:rPr>
            </w:pPr>
            <w:r>
              <w:rPr>
                <w:rFonts w:ascii="宋体" w:hAnsi="宋体" w:cs="宋体"/>
                <w:kern w:val="0"/>
                <w:sz w:val="24"/>
                <w:highlight w:val="none"/>
              </w:rPr>
              <w:t>7.21 软件配套：供货</w:t>
            </w:r>
            <w:r>
              <w:rPr>
                <w:rFonts w:hint="eastAsia" w:ascii="宋体" w:hAnsi="宋体" w:cs="宋体"/>
                <w:kern w:val="0"/>
                <w:sz w:val="24"/>
                <w:highlight w:val="none"/>
              </w:rPr>
              <w:t>时</w:t>
            </w:r>
            <w:r>
              <w:rPr>
                <w:rFonts w:ascii="宋体" w:hAnsi="宋体" w:cs="宋体"/>
                <w:kern w:val="0"/>
                <w:sz w:val="24"/>
                <w:highlight w:val="none"/>
              </w:rPr>
              <w:t>提供虫情测报灯控制系统软件。</w:t>
            </w:r>
          </w:p>
          <w:p w14:paraId="361438D1">
            <w:pPr>
              <w:widowControl/>
              <w:adjustRightInd w:val="0"/>
              <w:snapToGrid w:val="0"/>
              <w:rPr>
                <w:rFonts w:hint="eastAsia" w:ascii="宋体" w:hAnsi="宋体" w:cs="宋体"/>
                <w:kern w:val="0"/>
                <w:sz w:val="24"/>
                <w:highlight w:val="none"/>
              </w:rPr>
            </w:pPr>
            <w:r>
              <w:rPr>
                <w:rFonts w:ascii="宋体" w:hAnsi="宋体" w:cs="宋体"/>
                <w:kern w:val="0"/>
                <w:sz w:val="24"/>
                <w:highlight w:val="none"/>
              </w:rPr>
              <w:t>7.22 外形尺寸：</w:t>
            </w:r>
            <w:r>
              <w:rPr>
                <w:rFonts w:hint="eastAsia" w:ascii="宋体" w:hAnsi="宋体" w:cs="宋体"/>
                <w:kern w:val="0"/>
                <w:sz w:val="24"/>
                <w:highlight w:val="none"/>
              </w:rPr>
              <w:t>长</w:t>
            </w:r>
            <w:r>
              <w:rPr>
                <w:rFonts w:ascii="宋体" w:hAnsi="宋体" w:cs="宋体"/>
                <w:kern w:val="0"/>
                <w:sz w:val="24"/>
                <w:highlight w:val="none"/>
              </w:rPr>
              <w:t>≥</w:t>
            </w:r>
            <w:r>
              <w:rPr>
                <w:rFonts w:hint="eastAsia" w:ascii="宋体" w:hAnsi="宋体" w:cs="宋体"/>
                <w:kern w:val="0"/>
                <w:sz w:val="24"/>
                <w:highlight w:val="none"/>
              </w:rPr>
              <w:t>890mm；宽</w:t>
            </w:r>
            <w:r>
              <w:rPr>
                <w:rFonts w:ascii="宋体" w:hAnsi="宋体" w:cs="宋体"/>
                <w:kern w:val="0"/>
                <w:sz w:val="24"/>
                <w:highlight w:val="none"/>
              </w:rPr>
              <w:t>≥</w:t>
            </w:r>
            <w:r>
              <w:rPr>
                <w:rFonts w:hint="eastAsia" w:ascii="宋体" w:hAnsi="宋体" w:cs="宋体"/>
                <w:kern w:val="0"/>
                <w:sz w:val="24"/>
                <w:highlight w:val="none"/>
              </w:rPr>
              <w:t>730mm；高</w:t>
            </w:r>
            <w:r>
              <w:rPr>
                <w:rFonts w:ascii="宋体" w:hAnsi="宋体" w:cs="宋体"/>
                <w:kern w:val="0"/>
                <w:sz w:val="24"/>
                <w:highlight w:val="none"/>
              </w:rPr>
              <w:t>≥</w:t>
            </w:r>
            <w:r>
              <w:rPr>
                <w:rFonts w:hint="eastAsia" w:ascii="宋体" w:hAnsi="宋体" w:cs="宋体"/>
                <w:kern w:val="0"/>
                <w:sz w:val="24"/>
                <w:highlight w:val="none"/>
              </w:rPr>
              <w:t>2200mm。</w:t>
            </w:r>
          </w:p>
        </w:tc>
        <w:tc>
          <w:tcPr>
            <w:tcW w:w="0" w:type="auto"/>
            <w:vAlign w:val="center"/>
          </w:tcPr>
          <w:p w14:paraId="40D483C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33CFC7E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r>
      <w:tr w14:paraId="79C5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17" w:type="dxa"/>
            <w:noWrap/>
            <w:vAlign w:val="center"/>
          </w:tcPr>
          <w:p w14:paraId="6BD0EE6D">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8</w:t>
            </w:r>
          </w:p>
        </w:tc>
        <w:tc>
          <w:tcPr>
            <w:tcW w:w="1084" w:type="dxa"/>
            <w:noWrap/>
            <w:vAlign w:val="center"/>
          </w:tcPr>
          <w:p w14:paraId="4957BDB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田间小气候仪</w:t>
            </w:r>
          </w:p>
        </w:tc>
        <w:tc>
          <w:tcPr>
            <w:tcW w:w="7411" w:type="dxa"/>
            <w:vAlign w:val="center"/>
          </w:tcPr>
          <w:p w14:paraId="4615E188">
            <w:pPr>
              <w:widowControl/>
              <w:adjustRightInd w:val="0"/>
              <w:snapToGrid w:val="0"/>
              <w:rPr>
                <w:rFonts w:hint="eastAsia" w:ascii="宋体" w:hAnsi="宋体" w:cs="宋体"/>
                <w:kern w:val="0"/>
                <w:sz w:val="24"/>
                <w:highlight w:val="none"/>
              </w:rPr>
            </w:pPr>
            <w:r>
              <w:rPr>
                <w:rFonts w:ascii="宋体" w:hAnsi="宋体" w:cs="宋体"/>
                <w:kern w:val="0"/>
                <w:sz w:val="24"/>
                <w:highlight w:val="none"/>
              </w:rPr>
              <w:t>8.1 执行标准：</w:t>
            </w:r>
            <w:r>
              <w:rPr>
                <w:rFonts w:hint="eastAsia" w:ascii="宋体" w:hAnsi="宋体" w:cs="宋体"/>
                <w:kern w:val="0"/>
                <w:sz w:val="24"/>
                <w:highlight w:val="none"/>
              </w:rPr>
              <w:t>GB/T 2468 9.6-2009《植物保护机械农林小气候信息采集系统》。</w:t>
            </w:r>
          </w:p>
          <w:p w14:paraId="507A0642">
            <w:pPr>
              <w:widowControl/>
              <w:adjustRightInd w:val="0"/>
              <w:snapToGrid w:val="0"/>
              <w:rPr>
                <w:rFonts w:hint="eastAsia" w:ascii="宋体" w:hAnsi="宋体" w:cs="宋体"/>
                <w:kern w:val="0"/>
                <w:sz w:val="24"/>
                <w:highlight w:val="none"/>
              </w:rPr>
            </w:pPr>
            <w:r>
              <w:rPr>
                <w:rFonts w:ascii="宋体" w:hAnsi="宋体" w:cs="宋体"/>
                <w:kern w:val="0"/>
                <w:sz w:val="24"/>
                <w:highlight w:val="none"/>
              </w:rPr>
              <w:t>8.2 人机交互：配置 7 寸全彩触摸屏，Android 操作系统，全中文操作菜单，直观展示各项监测数据；具备实时时钟及时间校准功能。</w:t>
            </w:r>
          </w:p>
          <w:p w14:paraId="744EE25F">
            <w:pPr>
              <w:widowControl/>
              <w:adjustRightInd w:val="0"/>
              <w:snapToGrid w:val="0"/>
              <w:rPr>
                <w:rFonts w:hint="eastAsia" w:ascii="宋体" w:hAnsi="宋体" w:cs="宋体"/>
                <w:kern w:val="0"/>
                <w:sz w:val="24"/>
                <w:highlight w:val="none"/>
              </w:rPr>
            </w:pPr>
            <w:r>
              <w:rPr>
                <w:rFonts w:ascii="宋体" w:hAnsi="宋体" w:cs="宋体"/>
                <w:kern w:val="0"/>
                <w:sz w:val="24"/>
                <w:highlight w:val="none"/>
              </w:rPr>
              <w:t>8.3 数据查看：气象参数采集时间间隔支持调节；实现气象数据实时显示、移动端查看、自动存储、远程传输功能；支持外接扩展 LED 显示屏展示数据。</w:t>
            </w:r>
          </w:p>
          <w:p w14:paraId="114F52E5">
            <w:pPr>
              <w:widowControl/>
              <w:adjustRightInd w:val="0"/>
              <w:snapToGrid w:val="0"/>
              <w:rPr>
                <w:rFonts w:hint="eastAsia" w:ascii="宋体" w:hAnsi="宋体" w:cs="宋体"/>
                <w:kern w:val="0"/>
                <w:sz w:val="24"/>
                <w:highlight w:val="none"/>
              </w:rPr>
            </w:pPr>
            <w:r>
              <w:rPr>
                <w:rFonts w:ascii="宋体" w:hAnsi="宋体" w:cs="宋体"/>
                <w:kern w:val="0"/>
                <w:sz w:val="24"/>
                <w:highlight w:val="none"/>
              </w:rPr>
              <w:t>8.4 传感器性能：探头测量一致性良好，不同气象参数传感器接口可互换，互换后不降低测量精度。</w:t>
            </w:r>
          </w:p>
          <w:p w14:paraId="2B2BE2C0">
            <w:pPr>
              <w:widowControl/>
              <w:adjustRightInd w:val="0"/>
              <w:snapToGrid w:val="0"/>
              <w:rPr>
                <w:rFonts w:hint="eastAsia" w:ascii="宋体" w:hAnsi="宋体" w:cs="宋体"/>
                <w:kern w:val="0"/>
                <w:sz w:val="24"/>
                <w:highlight w:val="none"/>
              </w:rPr>
            </w:pPr>
            <w:r>
              <w:rPr>
                <w:rFonts w:ascii="宋体" w:hAnsi="宋体" w:cs="宋体"/>
                <w:kern w:val="0"/>
                <w:sz w:val="24"/>
                <w:highlight w:val="none"/>
              </w:rPr>
              <w:t>8.5 数据传输及同步：支持有线、3G/4G/5G 全网通无线方式接入互联网，监测数据上传至软件中心平台；具备通讯断点续传功能，网络恢复后自动将本地缓存数据补传；实现数据自动存储与远程传输，手机端与 PC 电脑端数据同步共享。</w:t>
            </w:r>
          </w:p>
          <w:p w14:paraId="4DA6A522">
            <w:pPr>
              <w:widowControl/>
              <w:adjustRightInd w:val="0"/>
              <w:snapToGrid w:val="0"/>
              <w:rPr>
                <w:rFonts w:hint="eastAsia" w:ascii="宋体" w:hAnsi="宋体" w:cs="宋体"/>
                <w:kern w:val="0"/>
                <w:sz w:val="24"/>
                <w:highlight w:val="none"/>
              </w:rPr>
            </w:pPr>
            <w:r>
              <w:rPr>
                <w:rFonts w:ascii="宋体" w:hAnsi="宋体" w:cs="宋体"/>
                <w:kern w:val="0"/>
                <w:sz w:val="24"/>
                <w:highlight w:val="none"/>
              </w:rPr>
              <w:t>8.6 数据保存：采集数据按小时存储，可满足十年以上数据存储；既可本机主机查询历史数据，也支持 U 盘导出数据。</w:t>
            </w:r>
          </w:p>
          <w:p w14:paraId="0D19EAD6">
            <w:pPr>
              <w:widowControl/>
              <w:adjustRightInd w:val="0"/>
              <w:snapToGrid w:val="0"/>
              <w:rPr>
                <w:rFonts w:hint="eastAsia" w:ascii="宋体" w:hAnsi="宋体" w:cs="宋体"/>
                <w:kern w:val="0"/>
                <w:sz w:val="24"/>
                <w:highlight w:val="none"/>
              </w:rPr>
            </w:pPr>
            <w:r>
              <w:rPr>
                <w:rFonts w:ascii="宋体" w:hAnsi="宋体" w:cs="宋体"/>
                <w:kern w:val="0"/>
                <w:sz w:val="24"/>
                <w:highlight w:val="none"/>
              </w:rPr>
              <w:t>8.7</w:t>
            </w:r>
            <w:r>
              <w:rPr>
                <w:rFonts w:hint="eastAsia" w:ascii="宋体" w:hAnsi="宋体" w:cs="宋体"/>
                <w:kern w:val="0"/>
                <w:sz w:val="24"/>
                <w:highlight w:val="none"/>
              </w:rPr>
              <w:t>预警功能：可设置预警限值，以短信形式发送用户提醒报警，具有电池电量、太阳能电压、移位报警、震动报警等功能。</w:t>
            </w:r>
          </w:p>
          <w:p w14:paraId="3652D348">
            <w:pPr>
              <w:widowControl/>
              <w:adjustRightInd w:val="0"/>
              <w:snapToGrid w:val="0"/>
              <w:rPr>
                <w:rFonts w:hint="eastAsia" w:ascii="宋体" w:hAnsi="宋体" w:cs="宋体"/>
                <w:kern w:val="0"/>
                <w:sz w:val="24"/>
                <w:highlight w:val="none"/>
              </w:rPr>
            </w:pPr>
            <w:r>
              <w:rPr>
                <w:rFonts w:ascii="宋体" w:hAnsi="宋体" w:cs="宋体"/>
                <w:kern w:val="0"/>
                <w:sz w:val="24"/>
                <w:highlight w:val="none"/>
              </w:rPr>
              <w:t>8.8 空气温湿度气压一体化传感器：可同步监测大气温度、大气湿度、大气气压；配套外置百叶箱，具备防风、防雨、防辐射、通风透气、耐腐蚀特性，集成度高、体积轻巧、现场安装便捷。</w:t>
            </w:r>
          </w:p>
          <w:p w14:paraId="22804C32">
            <w:pPr>
              <w:widowControl/>
              <w:adjustRightInd w:val="0"/>
              <w:snapToGrid w:val="0"/>
              <w:rPr>
                <w:rFonts w:hint="eastAsia" w:ascii="宋体" w:hAnsi="宋体" w:cs="宋体"/>
                <w:kern w:val="0"/>
                <w:sz w:val="24"/>
                <w:highlight w:val="none"/>
              </w:rPr>
            </w:pPr>
            <w:r>
              <w:rPr>
                <w:rFonts w:ascii="宋体" w:hAnsi="宋体" w:cs="宋体"/>
                <w:kern w:val="0"/>
                <w:sz w:val="24"/>
                <w:highlight w:val="none"/>
              </w:rPr>
              <w:t>8.9 主要传感器技术参数：</w:t>
            </w:r>
          </w:p>
          <w:p w14:paraId="2EF7E83E">
            <w:pPr>
              <w:widowControl/>
              <w:adjustRightInd w:val="0"/>
              <w:snapToGrid w:val="0"/>
              <w:rPr>
                <w:rFonts w:hint="eastAsia" w:ascii="宋体" w:hAnsi="宋体" w:cs="宋体"/>
                <w:kern w:val="0"/>
                <w:sz w:val="24"/>
                <w:highlight w:val="none"/>
              </w:rPr>
            </w:pPr>
            <w:r>
              <w:rPr>
                <w:rFonts w:ascii="宋体" w:hAnsi="宋体" w:cs="宋体"/>
                <w:kern w:val="0"/>
                <w:sz w:val="24"/>
                <w:highlight w:val="none"/>
              </w:rPr>
              <w:t>（1）空气温度：测量范围-30℃～70℃，分辨率 0.1℃，准确度 ±0.4℃。</w:t>
            </w:r>
          </w:p>
          <w:p w14:paraId="77955056">
            <w:pPr>
              <w:widowControl/>
              <w:adjustRightInd w:val="0"/>
              <w:snapToGrid w:val="0"/>
              <w:rPr>
                <w:rFonts w:hint="eastAsia" w:ascii="宋体" w:hAnsi="宋体" w:cs="宋体"/>
                <w:kern w:val="0"/>
                <w:sz w:val="24"/>
                <w:highlight w:val="none"/>
              </w:rPr>
            </w:pPr>
            <w:r>
              <w:rPr>
                <w:rFonts w:ascii="宋体" w:hAnsi="宋体" w:cs="宋体"/>
                <w:kern w:val="0"/>
                <w:sz w:val="24"/>
                <w:highlight w:val="none"/>
              </w:rPr>
              <w:t>（2）空气相对湿度：测量范围 0～100%，分辨率 0.1%，准确度 ±</w:t>
            </w:r>
            <w:r>
              <w:rPr>
                <w:rFonts w:hint="eastAsia" w:ascii="宋体" w:hAnsi="宋体" w:cs="宋体"/>
                <w:kern w:val="0"/>
                <w:sz w:val="24"/>
                <w:highlight w:val="none"/>
              </w:rPr>
              <w:t>3</w:t>
            </w:r>
            <w:r>
              <w:rPr>
                <w:rFonts w:ascii="宋体" w:hAnsi="宋体" w:cs="宋体"/>
                <w:kern w:val="0"/>
                <w:sz w:val="24"/>
                <w:highlight w:val="none"/>
              </w:rPr>
              <w:t>%。</w:t>
            </w:r>
          </w:p>
          <w:p w14:paraId="3637EDD3">
            <w:pPr>
              <w:widowControl/>
              <w:adjustRightInd w:val="0"/>
              <w:snapToGrid w:val="0"/>
              <w:rPr>
                <w:rFonts w:hint="eastAsia" w:ascii="宋体" w:hAnsi="宋体" w:cs="宋体"/>
                <w:kern w:val="0"/>
                <w:sz w:val="24"/>
                <w:highlight w:val="none"/>
              </w:rPr>
            </w:pPr>
            <w:r>
              <w:rPr>
                <w:rFonts w:ascii="宋体" w:hAnsi="宋体" w:cs="宋体"/>
                <w:kern w:val="0"/>
                <w:sz w:val="24"/>
                <w:highlight w:val="none"/>
              </w:rPr>
              <w:t>（3）光照强度：量程 0～200000LUX，分辨率 1LUX，准确度 ±</w:t>
            </w:r>
            <w:r>
              <w:rPr>
                <w:rFonts w:hint="eastAsia" w:ascii="宋体" w:hAnsi="宋体" w:cs="宋体"/>
                <w:kern w:val="0"/>
                <w:sz w:val="24"/>
                <w:highlight w:val="none"/>
              </w:rPr>
              <w:t>5</w:t>
            </w:r>
            <w:r>
              <w:rPr>
                <w:rFonts w:ascii="宋体" w:hAnsi="宋体" w:cs="宋体"/>
                <w:kern w:val="0"/>
                <w:sz w:val="24"/>
                <w:highlight w:val="none"/>
              </w:rPr>
              <w:t>％FS。</w:t>
            </w:r>
          </w:p>
          <w:p w14:paraId="1AAB97CA">
            <w:pPr>
              <w:widowControl/>
              <w:adjustRightInd w:val="0"/>
              <w:snapToGrid w:val="0"/>
              <w:rPr>
                <w:rFonts w:hint="eastAsia" w:ascii="宋体" w:hAnsi="宋体" w:cs="宋体"/>
                <w:kern w:val="0"/>
                <w:sz w:val="24"/>
                <w:highlight w:val="none"/>
              </w:rPr>
            </w:pPr>
            <w:r>
              <w:rPr>
                <w:rFonts w:ascii="宋体" w:hAnsi="宋体" w:cs="宋体"/>
                <w:kern w:val="0"/>
                <w:sz w:val="24"/>
                <w:highlight w:val="none"/>
              </w:rPr>
              <w:t>（4）风速：测量范围 0</w:t>
            </w:r>
            <w:r>
              <w:rPr>
                <w:rFonts w:ascii="宋体" w:hAnsi="宋体" w:cs="宋体"/>
                <w:kern w:val="0"/>
                <w:sz w:val="24"/>
                <w:highlight w:val="none"/>
              </w:rPr>
              <w:noBreakHyphen/>
            </w:r>
            <w:r>
              <w:rPr>
                <w:rFonts w:ascii="宋体" w:hAnsi="宋体" w:cs="宋体"/>
                <w:kern w:val="0"/>
                <w:sz w:val="24"/>
                <w:highlight w:val="none"/>
              </w:rPr>
              <w:t>60m/s，分辨率 0.1m/s，准确度 ±</w:t>
            </w:r>
            <w:r>
              <w:rPr>
                <w:rFonts w:hint="eastAsia" w:ascii="宋体" w:hAnsi="宋体" w:cs="宋体"/>
                <w:kern w:val="0"/>
                <w:sz w:val="24"/>
                <w:highlight w:val="none"/>
              </w:rPr>
              <w:t>2%</w:t>
            </w:r>
            <w:r>
              <w:rPr>
                <w:rFonts w:ascii="宋体" w:hAnsi="宋体" w:cs="宋体"/>
                <w:kern w:val="0"/>
                <w:sz w:val="24"/>
                <w:highlight w:val="none"/>
              </w:rPr>
              <w:t>。</w:t>
            </w:r>
          </w:p>
          <w:p w14:paraId="43EAD595">
            <w:pPr>
              <w:widowControl/>
              <w:adjustRightInd w:val="0"/>
              <w:snapToGrid w:val="0"/>
              <w:rPr>
                <w:rFonts w:hint="eastAsia" w:ascii="宋体" w:hAnsi="宋体" w:cs="宋体"/>
                <w:kern w:val="0"/>
                <w:sz w:val="24"/>
                <w:highlight w:val="none"/>
              </w:rPr>
            </w:pPr>
            <w:r>
              <w:rPr>
                <w:rFonts w:ascii="宋体" w:hAnsi="宋体" w:cs="宋体"/>
                <w:kern w:val="0"/>
                <w:sz w:val="24"/>
                <w:highlight w:val="none"/>
              </w:rPr>
              <w:t xml:space="preserve">（5）风向：测量范围 0～359°，分辨率 1°，准确度 </w:t>
            </w:r>
            <w:bookmarkStart w:id="835" w:name="OLE_LINK11"/>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w:t>
            </w:r>
            <w:bookmarkEnd w:id="835"/>
          </w:p>
          <w:p w14:paraId="23108D9F">
            <w:pPr>
              <w:widowControl/>
              <w:adjustRightInd w:val="0"/>
              <w:snapToGrid w:val="0"/>
              <w:rPr>
                <w:rFonts w:hint="eastAsia" w:ascii="宋体" w:hAnsi="宋体" w:cs="宋体"/>
                <w:kern w:val="0"/>
                <w:sz w:val="24"/>
                <w:highlight w:val="none"/>
              </w:rPr>
            </w:pPr>
            <w:r>
              <w:rPr>
                <w:rFonts w:ascii="宋体" w:hAnsi="宋体" w:cs="宋体"/>
                <w:kern w:val="0"/>
                <w:sz w:val="24"/>
                <w:highlight w:val="none"/>
              </w:rPr>
              <w:t xml:space="preserve">（6）降雨量：测量范围 0～4mm/min，分辨率 0.1mm，准确度 </w:t>
            </w:r>
            <w:bookmarkStart w:id="836" w:name="OLE_LINK12"/>
            <w:r>
              <w:rPr>
                <w:rFonts w:ascii="宋体" w:hAnsi="宋体" w:cs="宋体"/>
                <w:kern w:val="0"/>
                <w:sz w:val="24"/>
                <w:highlight w:val="none"/>
              </w:rPr>
              <w:t>±</w:t>
            </w:r>
            <w:bookmarkEnd w:id="836"/>
            <w:r>
              <w:rPr>
                <w:rFonts w:hint="eastAsia" w:ascii="宋体" w:hAnsi="宋体" w:cs="宋体"/>
                <w:kern w:val="0"/>
                <w:sz w:val="24"/>
                <w:highlight w:val="none"/>
              </w:rPr>
              <w:t>4%</w:t>
            </w:r>
            <w:r>
              <w:rPr>
                <w:rFonts w:ascii="宋体" w:hAnsi="宋体" w:cs="宋体"/>
                <w:kern w:val="0"/>
                <w:sz w:val="24"/>
                <w:highlight w:val="none"/>
              </w:rPr>
              <w:t>。</w:t>
            </w:r>
          </w:p>
          <w:p w14:paraId="4D15D418">
            <w:pPr>
              <w:widowControl/>
              <w:adjustRightInd w:val="0"/>
              <w:snapToGrid w:val="0"/>
              <w:rPr>
                <w:rFonts w:hint="eastAsia" w:ascii="宋体" w:hAnsi="宋体" w:cs="宋体"/>
                <w:kern w:val="0"/>
                <w:sz w:val="24"/>
                <w:highlight w:val="none"/>
              </w:rPr>
            </w:pPr>
            <w:r>
              <w:rPr>
                <w:rFonts w:ascii="宋体" w:hAnsi="宋体" w:cs="宋体"/>
                <w:kern w:val="0"/>
                <w:sz w:val="24"/>
                <w:highlight w:val="none"/>
              </w:rPr>
              <w:t>（7）大气压强：测量范围 300.0hPa～1100.0hPa，</w:t>
            </w:r>
            <w:r>
              <w:rPr>
                <w:rFonts w:hint="eastAsia" w:ascii="宋体" w:hAnsi="宋体" w:cs="宋体"/>
                <w:kern w:val="0"/>
                <w:sz w:val="24"/>
                <w:highlight w:val="none"/>
              </w:rPr>
              <w:t>分辨率0.1</w:t>
            </w:r>
            <w:r>
              <w:rPr>
                <w:rFonts w:ascii="宋体" w:hAnsi="宋体" w:cs="宋体"/>
                <w:kern w:val="0"/>
                <w:sz w:val="24"/>
                <w:highlight w:val="none"/>
              </w:rPr>
              <w:t>hPa</w:t>
            </w:r>
            <w:r>
              <w:rPr>
                <w:rFonts w:hint="eastAsia" w:ascii="宋体" w:hAnsi="宋体" w:cs="宋体"/>
                <w:kern w:val="0"/>
                <w:sz w:val="24"/>
                <w:highlight w:val="none"/>
              </w:rPr>
              <w:t>，</w:t>
            </w:r>
            <w:r>
              <w:rPr>
                <w:rFonts w:ascii="宋体" w:hAnsi="宋体" w:cs="宋体"/>
                <w:kern w:val="0"/>
                <w:sz w:val="24"/>
                <w:highlight w:val="none"/>
              </w:rPr>
              <w:t>精度±0.1hPa。</w:t>
            </w:r>
          </w:p>
          <w:p w14:paraId="5976738F">
            <w:pPr>
              <w:widowControl/>
              <w:adjustRightInd w:val="0"/>
              <w:snapToGrid w:val="0"/>
              <w:rPr>
                <w:rFonts w:hint="eastAsia" w:ascii="宋体" w:hAnsi="宋体" w:cs="宋体"/>
                <w:kern w:val="0"/>
                <w:sz w:val="24"/>
                <w:highlight w:val="none"/>
              </w:rPr>
            </w:pPr>
            <w:r>
              <w:rPr>
                <w:rFonts w:ascii="宋体" w:hAnsi="宋体" w:cs="宋体"/>
                <w:kern w:val="0"/>
                <w:sz w:val="24"/>
                <w:highlight w:val="none"/>
              </w:rPr>
              <w:t>8.10 供电配置：太阳能供电系统，太阳能板≥80W，蓄电池容量≥24AH；整套系统须满足连续 3 天无光照条件下完整正常工作。</w:t>
            </w:r>
          </w:p>
          <w:p w14:paraId="303C22CC">
            <w:pPr>
              <w:widowControl/>
              <w:adjustRightInd w:val="0"/>
              <w:snapToGrid w:val="0"/>
              <w:rPr>
                <w:rFonts w:hint="eastAsia" w:ascii="宋体" w:hAnsi="宋体" w:cs="宋体"/>
                <w:kern w:val="0"/>
                <w:sz w:val="24"/>
                <w:highlight w:val="none"/>
              </w:rPr>
            </w:pPr>
            <w:r>
              <w:rPr>
                <w:rFonts w:ascii="宋体" w:hAnsi="宋体" w:cs="宋体"/>
                <w:kern w:val="0"/>
                <w:sz w:val="24"/>
                <w:highlight w:val="none"/>
              </w:rPr>
              <w:t>8.11 定位功能：内置 GPS 定位模块；可在 PC 云端地图查看设备站点相关信息，支持设备被盗追踪。</w:t>
            </w:r>
          </w:p>
          <w:p w14:paraId="0E0FAA87">
            <w:pPr>
              <w:widowControl/>
              <w:adjustRightInd w:val="0"/>
              <w:snapToGrid w:val="0"/>
              <w:rPr>
                <w:rFonts w:hint="eastAsia" w:ascii="宋体" w:hAnsi="宋体" w:cs="宋体"/>
                <w:kern w:val="0"/>
                <w:sz w:val="24"/>
                <w:highlight w:val="none"/>
              </w:rPr>
            </w:pPr>
            <w:r>
              <w:rPr>
                <w:rFonts w:ascii="宋体" w:hAnsi="宋体" w:cs="宋体"/>
                <w:kern w:val="0"/>
                <w:sz w:val="24"/>
                <w:highlight w:val="none"/>
              </w:rPr>
              <w:t>8.12 设备立杆：气象站专用立杆，白色碳钢喷塑材质；立杆高度≥3m，管材壁厚≥1.8mm；配套安装地笼及传感器安装横臂；不限制立杆截面外形尺寸，满足强度及抗风要求即可。</w:t>
            </w:r>
          </w:p>
          <w:p w14:paraId="0A0DBC49">
            <w:pPr>
              <w:widowControl/>
              <w:adjustRightInd w:val="0"/>
              <w:snapToGrid w:val="0"/>
              <w:rPr>
                <w:rFonts w:hint="eastAsia" w:ascii="宋体" w:hAnsi="宋体" w:cs="宋体"/>
                <w:kern w:val="0"/>
                <w:sz w:val="24"/>
                <w:highlight w:val="none"/>
              </w:rPr>
            </w:pPr>
            <w:r>
              <w:rPr>
                <w:rFonts w:ascii="宋体" w:hAnsi="宋体" w:cs="宋体"/>
                <w:kern w:val="0"/>
                <w:sz w:val="24"/>
                <w:highlight w:val="none"/>
              </w:rPr>
              <w:t>8.13 软件配套：供货</w:t>
            </w:r>
            <w:r>
              <w:rPr>
                <w:rFonts w:hint="eastAsia" w:ascii="宋体" w:hAnsi="宋体" w:cs="宋体"/>
                <w:kern w:val="0"/>
                <w:sz w:val="24"/>
                <w:highlight w:val="none"/>
              </w:rPr>
              <w:t>时</w:t>
            </w:r>
            <w:r>
              <w:rPr>
                <w:rFonts w:ascii="宋体" w:hAnsi="宋体" w:cs="宋体"/>
                <w:kern w:val="0"/>
                <w:sz w:val="24"/>
                <w:highlight w:val="none"/>
              </w:rPr>
              <w:t>提供完整小气候观测仪信息管理系统（气象站管理系统），支持数据查看、导出、设备管理。</w:t>
            </w:r>
          </w:p>
        </w:tc>
        <w:tc>
          <w:tcPr>
            <w:tcW w:w="0" w:type="auto"/>
            <w:vAlign w:val="center"/>
          </w:tcPr>
          <w:p w14:paraId="4BFCFBA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4350472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0C19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817" w:type="dxa"/>
            <w:noWrap/>
            <w:vAlign w:val="center"/>
          </w:tcPr>
          <w:p w14:paraId="334B033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9</w:t>
            </w:r>
          </w:p>
        </w:tc>
        <w:tc>
          <w:tcPr>
            <w:tcW w:w="1084" w:type="dxa"/>
            <w:noWrap/>
            <w:vAlign w:val="center"/>
          </w:tcPr>
          <w:p w14:paraId="5FC71471">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黄板</w:t>
            </w:r>
          </w:p>
        </w:tc>
        <w:tc>
          <w:tcPr>
            <w:tcW w:w="7411" w:type="dxa"/>
            <w:vAlign w:val="center"/>
          </w:tcPr>
          <w:p w14:paraId="73682D7B">
            <w:pPr>
              <w:widowControl/>
              <w:adjustRightInd w:val="0"/>
              <w:snapToGrid w:val="0"/>
              <w:rPr>
                <w:rFonts w:hint="eastAsia" w:ascii="宋体" w:hAnsi="宋体" w:cs="宋体"/>
                <w:kern w:val="0"/>
                <w:sz w:val="24"/>
                <w:highlight w:val="none"/>
              </w:rPr>
            </w:pPr>
            <w:r>
              <w:rPr>
                <w:rFonts w:ascii="宋体" w:hAnsi="宋体" w:cs="宋体"/>
                <w:kern w:val="0"/>
                <w:sz w:val="24"/>
                <w:highlight w:val="none"/>
              </w:rPr>
              <w:t>9.</w:t>
            </w:r>
            <w:r>
              <w:rPr>
                <w:rFonts w:hint="eastAsia" w:ascii="宋体" w:hAnsi="宋体" w:cs="宋体"/>
                <w:kern w:val="0"/>
                <w:sz w:val="24"/>
                <w:highlight w:val="none"/>
              </w:rPr>
              <w:t>1</w:t>
            </w:r>
            <w:r>
              <w:rPr>
                <w:rFonts w:ascii="宋体" w:hAnsi="宋体" w:cs="宋体"/>
                <w:kern w:val="0"/>
                <w:sz w:val="24"/>
                <w:highlight w:val="none"/>
              </w:rPr>
              <w:t xml:space="preserve"> 执行标准：GB/T 24689.4-2009《植物保护机械 诱虫板》。</w:t>
            </w:r>
          </w:p>
          <w:p w14:paraId="7EA5C03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9.2 生物堆肥降解性能符合国家标准GB/T19277.1-2025《受控堆肥条件下材料最终需氧生物分解能力的测定》。</w:t>
            </w:r>
          </w:p>
          <w:p w14:paraId="37CCEE67">
            <w:pPr>
              <w:widowControl/>
              <w:adjustRightInd w:val="0"/>
              <w:snapToGrid w:val="0"/>
              <w:rPr>
                <w:rFonts w:hint="eastAsia" w:ascii="宋体" w:hAnsi="宋体" w:cs="宋体"/>
                <w:kern w:val="0"/>
                <w:sz w:val="24"/>
                <w:highlight w:val="none"/>
              </w:rPr>
            </w:pPr>
            <w:r>
              <w:rPr>
                <w:rFonts w:ascii="宋体" w:hAnsi="宋体" w:cs="宋体"/>
                <w:kern w:val="0"/>
                <w:sz w:val="24"/>
                <w:highlight w:val="none"/>
              </w:rPr>
              <w:t>9.</w:t>
            </w:r>
            <w:r>
              <w:rPr>
                <w:rFonts w:hint="eastAsia" w:ascii="宋体" w:hAnsi="宋体" w:cs="宋体"/>
                <w:kern w:val="0"/>
                <w:sz w:val="24"/>
                <w:highlight w:val="none"/>
              </w:rPr>
              <w:t>3</w:t>
            </w:r>
            <w:r>
              <w:rPr>
                <w:rFonts w:ascii="宋体" w:hAnsi="宋体" w:cs="宋体"/>
                <w:kern w:val="0"/>
                <w:sz w:val="24"/>
                <w:highlight w:val="none"/>
              </w:rPr>
              <w:t xml:space="preserve"> 产品规格：单张尺寸20cm×25cm，</w:t>
            </w:r>
            <w:r>
              <w:rPr>
                <w:rFonts w:hint="eastAsia" w:ascii="宋体" w:hAnsi="宋体" w:cs="宋体"/>
                <w:kern w:val="0"/>
                <w:sz w:val="24"/>
                <w:highlight w:val="none"/>
              </w:rPr>
              <w:t>基材厚度：0.3mm；双面附格拉辛纸。</w:t>
            </w:r>
          </w:p>
          <w:p w14:paraId="4BE2C43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9.4粘虫胶化学性能稳定，无毒、无公害，胶体粘接力：大于 6 .8×10-4N/mm2，抗日晒雨淋防水性能好、粘度高，持久耐用有效期3个月以上。</w:t>
            </w:r>
          </w:p>
        </w:tc>
        <w:tc>
          <w:tcPr>
            <w:tcW w:w="0" w:type="auto"/>
            <w:vAlign w:val="center"/>
          </w:tcPr>
          <w:p w14:paraId="558DD01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张</w:t>
            </w:r>
          </w:p>
        </w:tc>
        <w:tc>
          <w:tcPr>
            <w:tcW w:w="0" w:type="auto"/>
            <w:vAlign w:val="center"/>
          </w:tcPr>
          <w:p w14:paraId="3C75BE7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26600</w:t>
            </w:r>
          </w:p>
        </w:tc>
      </w:tr>
      <w:tr w14:paraId="352D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3E1D87EF">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10</w:t>
            </w:r>
          </w:p>
        </w:tc>
        <w:tc>
          <w:tcPr>
            <w:tcW w:w="1084" w:type="dxa"/>
            <w:noWrap/>
            <w:vAlign w:val="center"/>
          </w:tcPr>
          <w:p w14:paraId="0DF4BCEF">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恒压变频控制柜</w:t>
            </w:r>
          </w:p>
        </w:tc>
        <w:tc>
          <w:tcPr>
            <w:tcW w:w="7411" w:type="dxa"/>
            <w:vAlign w:val="center"/>
          </w:tcPr>
          <w:p w14:paraId="0100DFE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0.1 执行标准：成套柜体执行GB/T 7251.1-2023《低压成套开关设备和控制设备 第 1 部分：总则》；变频传动单元额定性能符合GB/T 12668.2-2002《调速电气传动系统 第 2 部分：一般要求 低压交流变频电气传动系统额定值的规定》；变频传动单元电磁兼容满足GB/T 12668.3-2025《调速电气传动系统 第 3 部分：电气传动系统和机床的电磁兼容性要求及其特定的试验方法》；外壳防护符合 GB/T 4208-2017《外壳防护等级（IP 代码）》；电磁抗扰度满足 GB/T 17626 系列相关要求。</w:t>
            </w:r>
          </w:p>
          <w:p w14:paraId="1999D0B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0.2 柜体尺寸与基础保护：柜体外形尺寸长×宽×高为40cm×60cm×150cm；具备欠压、过压、过流、过载、短路、过热自动保护功能，设备运行安全可靠。</w:t>
            </w:r>
          </w:p>
          <w:p w14:paraId="3CE9FB97">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0.3 变频调节与电气参数：采用数字PID调节，控制精度高，水压波动小，可实现管路恒压稳压供水；输入电压380V，输入频率50/60Hz，电压允许变动范围340V～460V；输出电压0～460V，输出频率0～300Hz；过载能力为额定电流120%，持续1分钟；支持V/F控制模式，可适配接入压力变送器、远传压力表，实现自动恒压调节。</w:t>
            </w:r>
          </w:p>
          <w:p w14:paraId="7765AAC7">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0.4 状态监测、保护及故障记忆：设备运行过程可实时监测输出频率、输出电流、输出电压、电机转速、设定频率、模块温度、PID设定值等核心参数；具备过电流、过电压、欠压、模块故障、过热、短路、输入输出缺相、电机故障等全方位保护功能；可保存最近6条故障记录，便于故障排查与设备运维。</w:t>
            </w:r>
          </w:p>
          <w:p w14:paraId="1255916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0.5 使用环境与散热：工作环境温度-10℃～+40℃，环境湿度无凝露；适用于室内安装，规避阳光直射、腐蚀性气体、易燃气体、油雾等恶劣工况；柜体配备散热风扇，保障设备长期稳定散热运行。</w:t>
            </w:r>
          </w:p>
          <w:p w14:paraId="77B8C34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w:t>
            </w:r>
            <w:r>
              <w:rPr>
                <w:rFonts w:ascii="宋体" w:hAnsi="宋体" w:cs="宋体"/>
                <w:kern w:val="0"/>
                <w:sz w:val="24"/>
                <w:highlight w:val="none"/>
              </w:rPr>
              <w:t>0.6 远程功能：具备物联网通讯能力，支持远程调压、运行状态监测、参数远程修改，适配智能化水肥灌溉系统集中管控需求。</w:t>
            </w:r>
          </w:p>
        </w:tc>
        <w:tc>
          <w:tcPr>
            <w:tcW w:w="0" w:type="auto"/>
            <w:vAlign w:val="center"/>
          </w:tcPr>
          <w:p w14:paraId="0627B1D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3BDD55B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4E0D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2E637DEF">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11</w:t>
            </w:r>
          </w:p>
        </w:tc>
        <w:tc>
          <w:tcPr>
            <w:tcW w:w="1084" w:type="dxa"/>
            <w:noWrap/>
            <w:vAlign w:val="center"/>
          </w:tcPr>
          <w:p w14:paraId="39E3188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无线阀控及太阳能板</w:t>
            </w:r>
          </w:p>
        </w:tc>
        <w:tc>
          <w:tcPr>
            <w:tcW w:w="7411" w:type="dxa"/>
            <w:vAlign w:val="center"/>
          </w:tcPr>
          <w:p w14:paraId="58310A06">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1.1</w:t>
            </w:r>
            <w:r>
              <w:rPr>
                <w:rFonts w:ascii="宋体" w:hAnsi="宋体" w:cs="宋体"/>
                <w:kern w:val="0"/>
                <w:sz w:val="24"/>
                <w:highlight w:val="none"/>
              </w:rPr>
              <w:t xml:space="preserve"> 执行的标准：电磁阀设备性能执行 GB/T 18691.1-2021《农业灌溉设备 灌溉阀 第 1 部分：通用要求》；太阳能光伏组件执行 GB/T 9535.1-2025《地面用光伏组件 设计鉴定和定型 第 1 部分：测试要求》；储能蓄电池执行 GB/T 22473.1-2021《储能用蓄电池 第 1 部分：光伏离网应用技术条件》；设备外壳防护性能符合 GB/T 4208-2017《外壳防护等级（IP 代码）》；设备电磁抗扰度满足 GB/T 17626 系列相关要求；同时满足 SL/T 476-2023 《节水产品认证规范》及其他国家现行相关规范。</w:t>
            </w:r>
          </w:p>
          <w:p w14:paraId="6C5A623E">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1.2</w:t>
            </w:r>
            <w:r>
              <w:rPr>
                <w:rFonts w:ascii="宋体" w:hAnsi="宋体" w:cs="宋体"/>
                <w:kern w:val="0"/>
                <w:sz w:val="24"/>
                <w:highlight w:val="none"/>
              </w:rPr>
              <w:t xml:space="preserve"> 无线阀门控制器：4G 通讯，最大支持 2 路脉冲电磁阀控制；具备阀门状态、电池电压、信号强度采集主动周期上报，支持低电量、设备离线告警；断网可本地存储并独立执行灌溉计划，网络恢复自动同步状态。控制器工作环境温度-20℃～+60℃。</w:t>
            </w:r>
          </w:p>
          <w:p w14:paraId="6277CB19">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1.3</w:t>
            </w:r>
            <w:r>
              <w:rPr>
                <w:rFonts w:ascii="宋体" w:hAnsi="宋体" w:cs="宋体"/>
                <w:kern w:val="0"/>
                <w:sz w:val="24"/>
                <w:highlight w:val="none"/>
              </w:rPr>
              <w:t xml:space="preserve"> 太阳能板功率：6W，单晶硅；封装形式：高透钢化玻璃层压；工作温度：-40℃～+75℃；防护等级 IP67。</w:t>
            </w:r>
          </w:p>
          <w:p w14:paraId="28B7718C">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1.4</w:t>
            </w:r>
            <w:r>
              <w:rPr>
                <w:rFonts w:ascii="宋体" w:hAnsi="宋体" w:cs="宋体"/>
                <w:kern w:val="0"/>
                <w:sz w:val="24"/>
                <w:highlight w:val="none"/>
              </w:rPr>
              <w:t xml:space="preserve"> 电池：工业级18650锂电池组，电压 3.7V，容量 5000mAh；具备过充、过放、过流、短路保护；无光照条件下，按每日 2 次阀门启闭、设备按项目配置周期向平台上报在线状态工况，完整保持通讯、告警、阀门启闭全部功能，连续2周可正常运行；电池工作温度-20℃~+60℃。</w:t>
            </w:r>
          </w:p>
          <w:p w14:paraId="208BDE2E">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1.5</w:t>
            </w:r>
            <w:r>
              <w:rPr>
                <w:rFonts w:ascii="宋体" w:hAnsi="宋体" w:cs="宋体"/>
                <w:kern w:val="0"/>
                <w:sz w:val="24"/>
                <w:highlight w:val="none"/>
              </w:rPr>
              <w:t xml:space="preserve"> 控制器采用 MPPT 充电跟踪技术；具备双路供电模式，光伏可直接给控制器供电；电池断开失效情况下，在满足光伏额定输出条件时，设备可实现 4G 通讯及阀门启闭功能；多余光伏电量对电池充电，夜间由电池供电。</w:t>
            </w:r>
          </w:p>
          <w:p w14:paraId="30D747C7">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1.6</w:t>
            </w:r>
            <w:r>
              <w:rPr>
                <w:rFonts w:ascii="宋体" w:hAnsi="宋体" w:cs="宋体"/>
                <w:kern w:val="0"/>
                <w:sz w:val="24"/>
                <w:highlight w:val="none"/>
              </w:rPr>
              <w:t xml:space="preserve"> 阀控终端输出适配 DC12-40V 脉冲锁存电磁阀；配套电磁阀阀体工作压力 0.05MPa～1.0MPa；设备仅可驱动脉冲锁存型电磁阀，不支持直流保持型电磁阀。</w:t>
            </w:r>
          </w:p>
          <w:p w14:paraId="4DE9788E">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1.7</w:t>
            </w:r>
            <w:r>
              <w:rPr>
                <w:rFonts w:ascii="宋体" w:hAnsi="宋体" w:cs="宋体"/>
                <w:kern w:val="0"/>
                <w:sz w:val="24"/>
                <w:highlight w:val="none"/>
              </w:rPr>
              <w:t xml:space="preserve"> 供货包含一体化安装支架及阀控主机外壳；支架采用热浸镀锌或同等防腐工艺；主机防护等级 IP68；所有外接接头防护等级不低于IP67。</w:t>
            </w:r>
          </w:p>
          <w:p w14:paraId="10C2C292">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1.8</w:t>
            </w:r>
            <w:r>
              <w:rPr>
                <w:rFonts w:ascii="宋体" w:hAnsi="宋体" w:cs="宋体"/>
                <w:kern w:val="0"/>
                <w:sz w:val="24"/>
                <w:highlight w:val="none"/>
              </w:rPr>
              <w:t xml:space="preserve"> 设备单体直接通过 4G 与云平台通讯；同时支持平台软件联动、硬件干接点DI/IO联动两种模式，可接收首部水肥一体机、施肥设备、过滤系统设备信号并实现联动控制；上行通信采用 MQTT 协议，采用 MQTT-TLS 加密传输；须供货</w:t>
            </w:r>
            <w:r>
              <w:rPr>
                <w:rFonts w:hint="eastAsia" w:ascii="宋体" w:hAnsi="宋体" w:cs="宋体"/>
                <w:kern w:val="0"/>
                <w:sz w:val="24"/>
                <w:highlight w:val="none"/>
              </w:rPr>
              <w:t>时</w:t>
            </w:r>
            <w:r>
              <w:rPr>
                <w:rFonts w:ascii="宋体" w:hAnsi="宋体" w:cs="宋体"/>
                <w:kern w:val="0"/>
                <w:sz w:val="24"/>
                <w:highlight w:val="none"/>
              </w:rPr>
              <w:t>提供完整接口文档，包含主题定义、报文格式说明，保障系统互联互通。</w:t>
            </w:r>
          </w:p>
        </w:tc>
        <w:tc>
          <w:tcPr>
            <w:tcW w:w="0" w:type="auto"/>
            <w:vAlign w:val="center"/>
          </w:tcPr>
          <w:p w14:paraId="1AAF0C7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487F131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113</w:t>
            </w:r>
          </w:p>
        </w:tc>
      </w:tr>
      <w:tr w14:paraId="5ECC6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CAF2EB3">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12</w:t>
            </w:r>
          </w:p>
        </w:tc>
        <w:tc>
          <w:tcPr>
            <w:tcW w:w="1084" w:type="dxa"/>
            <w:noWrap/>
            <w:vAlign w:val="center"/>
          </w:tcPr>
          <w:p w14:paraId="179F8D81">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灌溉网关总控器</w:t>
            </w:r>
          </w:p>
        </w:tc>
        <w:tc>
          <w:tcPr>
            <w:tcW w:w="7411" w:type="dxa"/>
            <w:vAlign w:val="center"/>
          </w:tcPr>
          <w:p w14:paraId="5F0446B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12</w:t>
            </w:r>
            <w:r>
              <w:rPr>
                <w:rFonts w:ascii="宋体" w:hAnsi="宋体" w:cs="宋体"/>
                <w:kern w:val="0"/>
                <w:sz w:val="24"/>
                <w:highlight w:val="none"/>
              </w:rPr>
              <w:t>.1 执行标准：设备设计、制造及检测执行GB/T 4208-2017《外壳防护等级（IP代码）》、GB/T 17626系列电磁兼容标准、GB 10396-2006《农林拖拉机和机械、草坪和园艺动力机械 安全标志和危险图形 总则》，电气性能符合工业控制设备通用规范，满足国家现行相关行业标准及规范要求。</w:t>
            </w:r>
          </w:p>
          <w:p w14:paraId="421A6EF7">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12</w:t>
            </w:r>
            <w:r>
              <w:rPr>
                <w:rFonts w:ascii="宋体" w:hAnsi="宋体" w:cs="宋体"/>
                <w:kern w:val="0"/>
                <w:sz w:val="24"/>
                <w:highlight w:val="none"/>
              </w:rPr>
              <w:t>.2 通讯方式：内置4G全网通通讯模块，支持远程联网、实时数据上传、平台指令下行控制，适配野外露天、信号复杂的作业通讯环境，通讯稳定、抗干扰能力强。</w:t>
            </w:r>
          </w:p>
          <w:p w14:paraId="0B1FDD50">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12</w:t>
            </w:r>
            <w:r>
              <w:rPr>
                <w:rFonts w:ascii="宋体" w:hAnsi="宋体" w:cs="宋体"/>
                <w:kern w:val="0"/>
                <w:sz w:val="24"/>
                <w:highlight w:val="none"/>
              </w:rPr>
              <w:t>.3 控制路数：设备最大支持256路独立控制通道，各通道可单独参数配置、分区分组管控，可根据现场灌溉布局、地块工况灵活设置各类终端设备启停、运行时序、工作参数，扩展性强、适配性广。</w:t>
            </w:r>
          </w:p>
          <w:p w14:paraId="607A08E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12</w:t>
            </w:r>
            <w:r>
              <w:rPr>
                <w:rFonts w:ascii="宋体" w:hAnsi="宋体" w:cs="宋体"/>
                <w:kern w:val="0"/>
                <w:sz w:val="24"/>
                <w:highlight w:val="none"/>
              </w:rPr>
              <w:t>.4 存储与防护性能：具备断电记忆保护功能，设备断电重启后可自动恢复历史运行参数、灌溉计划及设备工作状态，无需重新配置；整机外壳防护等级不低于IP65，可适应户外多尘、潮湿、温差大、露天值守等复杂作业环境，耐候性、稳定性优异。</w:t>
            </w:r>
          </w:p>
          <w:p w14:paraId="44B43A4B">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2</w:t>
            </w:r>
            <w:r>
              <w:rPr>
                <w:rFonts w:ascii="宋体" w:hAnsi="宋体" w:cs="宋体"/>
                <w:kern w:val="0"/>
                <w:sz w:val="24"/>
                <w:highlight w:val="none"/>
              </w:rPr>
              <w:t>.5 控制模式：支持三种操控模式，包含手机移动端远程遥控、电脑云端平台集中管控、本机触控屏本地手动控制，多模式无缝切换，适配日常运维、现场调试、远程管控等多场景管理需求。</w:t>
            </w:r>
          </w:p>
          <w:p w14:paraId="512D27D0">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2</w:t>
            </w:r>
            <w:r>
              <w:rPr>
                <w:rFonts w:ascii="宋体" w:hAnsi="宋体" w:cs="宋体"/>
                <w:kern w:val="0"/>
                <w:sz w:val="24"/>
                <w:highlight w:val="none"/>
              </w:rPr>
              <w:t>.6 供电与电气防护：适配常规工频供电，支持AC220V或AC380V供电；内置防浪涌、过压、过载保护装置，可有效抵御电网电压波动、瞬时电流冲击及户外电磁干扰，保障设备长期连续稳定、安全运行。</w:t>
            </w:r>
          </w:p>
          <w:p w14:paraId="4C5D24DD">
            <w:pPr>
              <w:widowControl/>
              <w:adjustRightInd w:val="0"/>
              <w:snapToGrid w:val="0"/>
              <w:rPr>
                <w:rFonts w:hint="eastAsia"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2</w:t>
            </w:r>
            <w:r>
              <w:rPr>
                <w:rFonts w:ascii="宋体" w:hAnsi="宋体" w:cs="宋体"/>
                <w:kern w:val="0"/>
                <w:sz w:val="24"/>
                <w:highlight w:val="none"/>
              </w:rPr>
              <w:t>.7 联动与兼容性：可与项目配套无线阀控终端、施肥机、砂石过滤器、田间监测设备无缝联动，统一接入系统平台，实现灌溉、施肥、过滤、环境监测一体化集中管控；供货</w:t>
            </w:r>
            <w:r>
              <w:rPr>
                <w:rFonts w:hint="eastAsia" w:ascii="宋体" w:hAnsi="宋体" w:cs="宋体"/>
                <w:kern w:val="0"/>
                <w:sz w:val="24"/>
                <w:highlight w:val="none"/>
              </w:rPr>
              <w:t>时</w:t>
            </w:r>
            <w:r>
              <w:rPr>
                <w:rFonts w:ascii="宋体" w:hAnsi="宋体" w:cs="宋体"/>
                <w:kern w:val="0"/>
                <w:sz w:val="24"/>
                <w:highlight w:val="none"/>
              </w:rPr>
              <w:t>须提供完整通讯协议、接口文档，保障全系统互联互通、数据共享。</w:t>
            </w:r>
          </w:p>
        </w:tc>
        <w:tc>
          <w:tcPr>
            <w:tcW w:w="0" w:type="auto"/>
            <w:vAlign w:val="center"/>
          </w:tcPr>
          <w:p w14:paraId="2C5C050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6138E59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1399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280B4F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13</w:t>
            </w:r>
          </w:p>
        </w:tc>
        <w:tc>
          <w:tcPr>
            <w:tcW w:w="1084" w:type="dxa"/>
            <w:noWrap/>
            <w:vAlign w:val="center"/>
          </w:tcPr>
          <w:p w14:paraId="7EAB28C4">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液位传感器</w:t>
            </w:r>
          </w:p>
        </w:tc>
        <w:tc>
          <w:tcPr>
            <w:tcW w:w="7411" w:type="dxa"/>
            <w:vAlign w:val="center"/>
          </w:tcPr>
          <w:p w14:paraId="0747DA8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.1 执行标准：本设备为投入式静压液位传感器，设备制造、性能检验、试验方法严格执行现行国家及行业标准：JB/T 12598-2016《投入式液位传感器》；压力传感单元性能符合GB/T 34073-2017《物联网压力变送器规范》；设备电磁兼容性能满足GB/T 17626系列电磁兼容试验和测量技术要求；设备外壳防护等级符合GB/T 4208-2017《外壳防护等级（IP代码）》。</w:t>
            </w:r>
          </w:p>
          <w:p w14:paraId="6A96E8C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.2 测量信号与量程精度：设备支持多路标准工业信号输出，包含4-20mA模拟量信号、0-5V电压信号、RS485数字通讯信号；标准测量量程为0-5m液位高度，常规测量精度可达0.1m，测量稳定、重复性好，可满足水肥一体化罐体、蓄水池、田间水池液位常态化监测需求。</w:t>
            </w:r>
          </w:p>
          <w:p w14:paraId="3A6CC03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.3 供电参数：采用工业宽压直流供电模式，工作电压范围9-36VDC，适配野外太阳能供电、直流控制柜供电等多种现场供电工况，电压适应性强，不易因电压波动导致设备异常。</w:t>
            </w:r>
          </w:p>
          <w:p w14:paraId="791687A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.4 环境适应条件：设备工作温度区间为-40℃～+85℃，可适应高温夏季、低温冬季野外露天工况；整机防护等级达到IP65，具备防尘、防水、防潮、防结露能力，适配田间潮湿、多尘、户外复杂作业环境。</w:t>
            </w:r>
          </w:p>
          <w:p w14:paraId="705EAF5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.5 设备材质：传感器主体结构可选用优质不锈钢或铝合金材质，结构强度高、耐腐蚀、抗老化，可长期适配肥料水体、普通自然水体监测，不易锈蚀、变形，使用寿命长。</w:t>
            </w:r>
          </w:p>
          <w:p w14:paraId="7B7973B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13</w:t>
            </w:r>
            <w:r>
              <w:rPr>
                <w:rFonts w:ascii="宋体" w:hAnsi="宋体" w:cs="宋体"/>
                <w:kern w:val="0"/>
                <w:sz w:val="24"/>
                <w:highlight w:val="none"/>
              </w:rPr>
              <w:t>.6 安装连接方式：设备支持两种安装结构可选：标准M20×1.5螺纹固定安装、一体式电缆直连安装，安装方式灵活，适配施肥罐、水箱、蓄水池等不同现场结构，拆装便捷、后期维护简单。</w:t>
            </w:r>
          </w:p>
        </w:tc>
        <w:tc>
          <w:tcPr>
            <w:tcW w:w="0" w:type="auto"/>
            <w:vAlign w:val="center"/>
          </w:tcPr>
          <w:p w14:paraId="7D5A49D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0BCEB24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r>
      <w:tr w14:paraId="2C458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075D3074">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14</w:t>
            </w:r>
          </w:p>
        </w:tc>
        <w:tc>
          <w:tcPr>
            <w:tcW w:w="1084" w:type="dxa"/>
            <w:noWrap/>
            <w:vAlign w:val="center"/>
          </w:tcPr>
          <w:p w14:paraId="1D187D60">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压力仪表</w:t>
            </w:r>
          </w:p>
        </w:tc>
        <w:tc>
          <w:tcPr>
            <w:tcW w:w="7411" w:type="dxa"/>
            <w:vAlign w:val="center"/>
          </w:tcPr>
          <w:p w14:paraId="4F8E9E4C">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.1 执行标准：设备制造检验执行 GB/T 34073-2017《物联网压力变送器规范》；性能试验符合 GB/T 15478-2015《压力传感器性能试验方法》；电磁抗扰度满足 GB/T 17626 系列电磁兼容试验和测量技术要求；外壳防护性能符合 GB/T 4208-2017《外壳防护等级（IP 代码）》。</w:t>
            </w:r>
          </w:p>
          <w:p w14:paraId="2D5B9BF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.2 信号与性能：支持4-20mA、0-5V 信号输出；测量量程 0-1.6</w:t>
            </w:r>
            <w:r>
              <w:rPr>
                <w:kern w:val="0"/>
                <w:sz w:val="24"/>
                <w:highlight w:val="none"/>
              </w:rPr>
              <w:t> </w:t>
            </w:r>
            <w:r>
              <w:rPr>
                <w:rFonts w:ascii="宋体" w:hAnsi="宋体" w:cs="宋体"/>
                <w:kern w:val="0"/>
                <w:sz w:val="24"/>
                <w:highlight w:val="none"/>
              </w:rPr>
              <w:t>MPa，测量精度 0.01</w:t>
            </w:r>
            <w:r>
              <w:rPr>
                <w:kern w:val="0"/>
                <w:sz w:val="24"/>
                <w:highlight w:val="none"/>
              </w:rPr>
              <w:t> </w:t>
            </w:r>
            <w:r>
              <w:rPr>
                <w:rFonts w:ascii="宋体" w:hAnsi="宋体" w:cs="宋体"/>
                <w:kern w:val="0"/>
                <w:sz w:val="24"/>
                <w:highlight w:val="none"/>
              </w:rPr>
              <w:t>MPa；配套防震减震弯管。</w:t>
            </w:r>
          </w:p>
          <w:p w14:paraId="2E7AD16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.3 供电参数：工作电源 9-36</w:t>
            </w:r>
            <w:r>
              <w:rPr>
                <w:kern w:val="0"/>
                <w:sz w:val="24"/>
                <w:highlight w:val="none"/>
              </w:rPr>
              <w:t> </w:t>
            </w:r>
            <w:r>
              <w:rPr>
                <w:rFonts w:ascii="宋体" w:hAnsi="宋体" w:cs="宋体"/>
                <w:kern w:val="0"/>
                <w:sz w:val="24"/>
                <w:highlight w:val="none"/>
              </w:rPr>
              <w:t>VDC。</w:t>
            </w:r>
          </w:p>
          <w:p w14:paraId="38BF6C1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.4 环境条件：工作温度-40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～+85</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；防护等级 IP65。</w:t>
            </w:r>
          </w:p>
          <w:p w14:paraId="22A2F09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.5 材质：仪表主体可选用不锈钢、铝合金材质。</w:t>
            </w:r>
          </w:p>
          <w:p w14:paraId="5FF3E3A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14</w:t>
            </w:r>
            <w:r>
              <w:rPr>
                <w:rFonts w:ascii="宋体" w:hAnsi="宋体" w:cs="宋体"/>
                <w:kern w:val="0"/>
                <w:sz w:val="24"/>
                <w:highlight w:val="none"/>
              </w:rPr>
              <w:t>.6 安装连接：支持 M20×1.5 螺纹连接、电缆直连两种方式可选。</w:t>
            </w:r>
          </w:p>
        </w:tc>
        <w:tc>
          <w:tcPr>
            <w:tcW w:w="0" w:type="auto"/>
            <w:vAlign w:val="center"/>
          </w:tcPr>
          <w:p w14:paraId="2A7297D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09375F0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1072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0246D3F8">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15</w:t>
            </w:r>
          </w:p>
        </w:tc>
        <w:tc>
          <w:tcPr>
            <w:tcW w:w="1084" w:type="dxa"/>
            <w:noWrap/>
            <w:vAlign w:val="center"/>
          </w:tcPr>
          <w:p w14:paraId="723E8C4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压力传感器</w:t>
            </w:r>
          </w:p>
        </w:tc>
        <w:tc>
          <w:tcPr>
            <w:tcW w:w="7411" w:type="dxa"/>
            <w:vAlign w:val="center"/>
          </w:tcPr>
          <w:p w14:paraId="6498B96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.1 执行标准：整机性能及物联网应用符合 GB/T 34073</w:t>
            </w:r>
            <w:r>
              <w:rPr>
                <w:rFonts w:ascii="宋体" w:hAnsi="宋体" w:cs="宋体"/>
                <w:kern w:val="0"/>
                <w:sz w:val="24"/>
                <w:highlight w:val="none"/>
              </w:rPr>
              <w:noBreakHyphen/>
            </w:r>
            <w:r>
              <w:rPr>
                <w:rFonts w:ascii="宋体" w:hAnsi="宋体" w:cs="宋体"/>
                <w:kern w:val="0"/>
                <w:sz w:val="24"/>
                <w:highlight w:val="none"/>
              </w:rPr>
              <w:t>2017《物联网压力变送器规范》；设备性能试验方法执行 GB/T 15478</w:t>
            </w:r>
            <w:r>
              <w:rPr>
                <w:rFonts w:ascii="宋体" w:hAnsi="宋体" w:cs="宋体"/>
                <w:kern w:val="0"/>
                <w:sz w:val="24"/>
                <w:highlight w:val="none"/>
              </w:rPr>
              <w:noBreakHyphen/>
            </w:r>
            <w:r>
              <w:rPr>
                <w:rFonts w:ascii="宋体" w:hAnsi="宋体" w:cs="宋体"/>
                <w:kern w:val="0"/>
                <w:sz w:val="24"/>
                <w:highlight w:val="none"/>
              </w:rPr>
              <w:t>2015《压力传感器性能试验方法》；工业变送器性能评定符合 GB/T 17614.1</w:t>
            </w:r>
            <w:r>
              <w:rPr>
                <w:rFonts w:ascii="宋体" w:hAnsi="宋体" w:cs="宋体"/>
                <w:kern w:val="0"/>
                <w:sz w:val="24"/>
                <w:highlight w:val="none"/>
              </w:rPr>
              <w:noBreakHyphen/>
            </w:r>
            <w:r>
              <w:rPr>
                <w:rFonts w:ascii="宋体" w:hAnsi="宋体" w:cs="宋体"/>
                <w:kern w:val="0"/>
                <w:sz w:val="24"/>
                <w:highlight w:val="none"/>
              </w:rPr>
              <w:t>2015《工业过程控制系统用变送器 第 1 部分：性能评定方法》；电磁兼容抗扰度满足 GB/T 17626 系列相关要求；外壳防尘防水防护等级符合 GB/T 4208</w:t>
            </w:r>
            <w:r>
              <w:rPr>
                <w:rFonts w:ascii="宋体" w:hAnsi="宋体" w:cs="宋体"/>
                <w:kern w:val="0"/>
                <w:sz w:val="24"/>
                <w:highlight w:val="none"/>
              </w:rPr>
              <w:noBreakHyphen/>
            </w:r>
            <w:r>
              <w:rPr>
                <w:rFonts w:ascii="宋体" w:hAnsi="宋体" w:cs="宋体"/>
                <w:kern w:val="0"/>
                <w:sz w:val="24"/>
                <w:highlight w:val="none"/>
              </w:rPr>
              <w:t>2017《外壳防护等级（IP 代码）》。</w:t>
            </w:r>
          </w:p>
          <w:p w14:paraId="520D1F3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.2 信号与性能：支持 4</w:t>
            </w:r>
            <w:r>
              <w:rPr>
                <w:rFonts w:ascii="宋体" w:hAnsi="宋体" w:cs="宋体"/>
                <w:kern w:val="0"/>
                <w:sz w:val="24"/>
                <w:highlight w:val="none"/>
              </w:rPr>
              <w:noBreakHyphen/>
            </w:r>
            <w:r>
              <w:rPr>
                <w:rFonts w:ascii="宋体" w:hAnsi="宋体" w:cs="宋体"/>
                <w:kern w:val="0"/>
                <w:sz w:val="24"/>
                <w:highlight w:val="none"/>
              </w:rPr>
              <w:t>20mA、0</w:t>
            </w:r>
            <w:r>
              <w:rPr>
                <w:rFonts w:ascii="宋体" w:hAnsi="宋体" w:cs="宋体"/>
                <w:kern w:val="0"/>
                <w:sz w:val="24"/>
                <w:highlight w:val="none"/>
              </w:rPr>
              <w:noBreakHyphen/>
            </w:r>
            <w:r>
              <w:rPr>
                <w:rFonts w:ascii="宋体" w:hAnsi="宋体" w:cs="宋体"/>
                <w:kern w:val="0"/>
                <w:sz w:val="24"/>
                <w:highlight w:val="none"/>
              </w:rPr>
              <w:t>5V、RS485 信号输出；设备地址可调节，默认波特率 9600；测量量程 0</w:t>
            </w:r>
            <w:r>
              <w:rPr>
                <w:rFonts w:ascii="宋体" w:hAnsi="宋体" w:cs="宋体"/>
                <w:kern w:val="0"/>
                <w:sz w:val="24"/>
                <w:highlight w:val="none"/>
              </w:rPr>
              <w:noBreakHyphen/>
            </w:r>
            <w:r>
              <w:rPr>
                <w:rFonts w:ascii="宋体" w:hAnsi="宋体" w:cs="宋体"/>
                <w:kern w:val="0"/>
                <w:sz w:val="24"/>
                <w:highlight w:val="none"/>
              </w:rPr>
              <w:t>1.6</w:t>
            </w:r>
            <w:r>
              <w:rPr>
                <w:kern w:val="0"/>
                <w:sz w:val="24"/>
                <w:highlight w:val="none"/>
              </w:rPr>
              <w:t> </w:t>
            </w:r>
            <w:r>
              <w:rPr>
                <w:rFonts w:ascii="宋体" w:hAnsi="宋体" w:cs="宋体"/>
                <w:kern w:val="0"/>
                <w:sz w:val="24"/>
                <w:highlight w:val="none"/>
              </w:rPr>
              <w:t>MPa，测量精度 0.01</w:t>
            </w:r>
            <w:r>
              <w:rPr>
                <w:kern w:val="0"/>
                <w:sz w:val="24"/>
                <w:highlight w:val="none"/>
              </w:rPr>
              <w:t> </w:t>
            </w:r>
            <w:r>
              <w:rPr>
                <w:rFonts w:ascii="宋体" w:hAnsi="宋体" w:cs="宋体"/>
                <w:kern w:val="0"/>
                <w:sz w:val="24"/>
                <w:highlight w:val="none"/>
              </w:rPr>
              <w:t>MPa。</w:t>
            </w:r>
          </w:p>
          <w:p w14:paraId="5C749FA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.3 供电参数：工作电源 9</w:t>
            </w:r>
            <w:r>
              <w:rPr>
                <w:rFonts w:ascii="宋体" w:hAnsi="宋体" w:cs="宋体"/>
                <w:kern w:val="0"/>
                <w:sz w:val="24"/>
                <w:highlight w:val="none"/>
              </w:rPr>
              <w:noBreakHyphen/>
            </w:r>
            <w:r>
              <w:rPr>
                <w:rFonts w:ascii="宋体" w:hAnsi="宋体" w:cs="宋体"/>
                <w:kern w:val="0"/>
                <w:sz w:val="24"/>
                <w:highlight w:val="none"/>
              </w:rPr>
              <w:t>36</w:t>
            </w:r>
            <w:r>
              <w:rPr>
                <w:kern w:val="0"/>
                <w:sz w:val="24"/>
                <w:highlight w:val="none"/>
              </w:rPr>
              <w:t> </w:t>
            </w:r>
            <w:r>
              <w:rPr>
                <w:rFonts w:ascii="宋体" w:hAnsi="宋体" w:cs="宋体"/>
                <w:kern w:val="0"/>
                <w:sz w:val="24"/>
                <w:highlight w:val="none"/>
              </w:rPr>
              <w:t>VDC。</w:t>
            </w:r>
          </w:p>
          <w:p w14:paraId="011CEB5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.4 环境条件：工作温度</w:t>
            </w:r>
            <w:r>
              <w:rPr>
                <w:rFonts w:ascii="宋体" w:hAnsi="宋体" w:cs="宋体"/>
                <w:kern w:val="0"/>
                <w:sz w:val="24"/>
                <w:highlight w:val="none"/>
              </w:rPr>
              <w:noBreakHyphen/>
            </w:r>
            <w:r>
              <w:rPr>
                <w:rFonts w:ascii="宋体" w:hAnsi="宋体" w:cs="宋体"/>
                <w:kern w:val="0"/>
                <w:sz w:val="24"/>
                <w:highlight w:val="none"/>
              </w:rPr>
              <w:t>40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～+85</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；防护等级 IP65。</w:t>
            </w:r>
          </w:p>
          <w:p w14:paraId="4D7D01C8">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.5 材质：传感器主体可选用不锈钢、铝合金材质。</w:t>
            </w:r>
          </w:p>
          <w:p w14:paraId="4FBA30B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15</w:t>
            </w:r>
            <w:r>
              <w:rPr>
                <w:rFonts w:ascii="宋体" w:hAnsi="宋体" w:cs="宋体"/>
                <w:kern w:val="0"/>
                <w:sz w:val="24"/>
                <w:highlight w:val="none"/>
              </w:rPr>
              <w:t>.6 安装连接：支持 M20×1.5 螺纹连接、电缆直连两种方式可选。</w:t>
            </w:r>
          </w:p>
        </w:tc>
        <w:tc>
          <w:tcPr>
            <w:tcW w:w="0" w:type="auto"/>
            <w:vAlign w:val="center"/>
          </w:tcPr>
          <w:p w14:paraId="34EAF63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34F4050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63FB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1A7A935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16</w:t>
            </w:r>
          </w:p>
        </w:tc>
        <w:tc>
          <w:tcPr>
            <w:tcW w:w="1084" w:type="dxa"/>
            <w:noWrap/>
            <w:vAlign w:val="center"/>
          </w:tcPr>
          <w:p w14:paraId="6B72178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超声波流量计</w:t>
            </w:r>
          </w:p>
        </w:tc>
        <w:tc>
          <w:tcPr>
            <w:tcW w:w="7411" w:type="dxa"/>
            <w:vAlign w:val="center"/>
          </w:tcPr>
          <w:p w14:paraId="12FDDAC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.1 执行标准：设备制造检验执行GB/T 35138-2017《封闭管道中流体流量的测量 渡越时间法液体超声流量计》；变送器性能评定符合GB/T 17614.1-2015《工业过程控制系统用变送器 第 1 部分：性能评定方法》；电磁抗扰度满足GB/T 17626 系列相关要求；外壳防护性能符合GB/T 4208-2017《外壳防护等级（IP 代码）》。</w:t>
            </w:r>
          </w:p>
          <w:p w14:paraId="2FBFEA60">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.2 本体规格：采用DN150管段式超声波流量计，配置法兰连接接口，安装便捷、密封性好。</w:t>
            </w:r>
          </w:p>
          <w:p w14:paraId="708F4109">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.3 性能参数：设备公称承压等级1.</w:t>
            </w:r>
            <w:r>
              <w:rPr>
                <w:rFonts w:hint="eastAsia" w:ascii="宋体" w:hAnsi="宋体" w:cs="宋体"/>
                <w:kern w:val="0"/>
                <w:sz w:val="24"/>
                <w:highlight w:val="none"/>
              </w:rPr>
              <w:t>0</w:t>
            </w:r>
            <w:r>
              <w:rPr>
                <w:rFonts w:ascii="宋体" w:hAnsi="宋体" w:cs="宋体"/>
                <w:kern w:val="0"/>
                <w:sz w:val="24"/>
                <w:highlight w:val="none"/>
              </w:rPr>
              <w:t>MPa，液体流量测量范围4-315m³/h；测量精度优于±1%FS（20%～100%量程区间），测量性能稳定，满足灌溉系统精准流量监测、统计需求。整机防护等级不低于IP67。</w:t>
            </w:r>
          </w:p>
          <w:p w14:paraId="42BEE02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.4 通讯参数：内置RS485通讯接口，支持数据远程传输，设备地址、波特率可自定义设置，通讯适配性强，可适配平台协议对接。</w:t>
            </w:r>
          </w:p>
          <w:p w14:paraId="2FA9B83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.5 使用环境：适配工作环境温度-30℃～+45℃，可承受100%RH相对湿度，适应户外及田间复杂工况。</w:t>
            </w:r>
          </w:p>
          <w:p w14:paraId="1D0E035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16</w:t>
            </w:r>
            <w:r>
              <w:rPr>
                <w:rFonts w:ascii="宋体" w:hAnsi="宋体" w:cs="宋体"/>
                <w:kern w:val="0"/>
                <w:sz w:val="24"/>
                <w:highlight w:val="none"/>
              </w:rPr>
              <w:t>.6 安装要求：设备安装需满足直管段规范要求，上游直管段长度＞5D，下游直管段长度＞3D；安装位置距离泵出口＞20D（D为管道公称直径），测量管路全程保证满管水流状态，确保测量数据精准可靠。</w:t>
            </w:r>
          </w:p>
        </w:tc>
        <w:tc>
          <w:tcPr>
            <w:tcW w:w="0" w:type="auto"/>
            <w:vAlign w:val="center"/>
          </w:tcPr>
          <w:p w14:paraId="3DA2A16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2317D2B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2CDE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53D6FEF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17</w:t>
            </w:r>
          </w:p>
        </w:tc>
        <w:tc>
          <w:tcPr>
            <w:tcW w:w="1084" w:type="dxa"/>
            <w:noWrap/>
            <w:vAlign w:val="center"/>
          </w:tcPr>
          <w:p w14:paraId="79FF3166">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软密封闸阀</w:t>
            </w:r>
          </w:p>
        </w:tc>
        <w:tc>
          <w:tcPr>
            <w:tcW w:w="7411" w:type="dxa"/>
            <w:vAlign w:val="center"/>
          </w:tcPr>
          <w:p w14:paraId="4E170BB1">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17</w:t>
            </w:r>
            <w:r>
              <w:rPr>
                <w:rFonts w:ascii="宋体" w:hAnsi="宋体" w:cs="宋体"/>
                <w:kern w:val="0"/>
                <w:sz w:val="24"/>
                <w:highlight w:val="none"/>
              </w:rPr>
              <w:t>.1 执行标准：设备制造执行 GB/T 13927</w:t>
            </w:r>
            <w:r>
              <w:rPr>
                <w:rFonts w:ascii="宋体" w:hAnsi="宋体" w:cs="宋体"/>
                <w:kern w:val="0"/>
                <w:sz w:val="24"/>
                <w:highlight w:val="none"/>
              </w:rPr>
              <w:noBreakHyphen/>
            </w:r>
            <w:r>
              <w:rPr>
                <w:rFonts w:ascii="宋体" w:hAnsi="宋体" w:cs="宋体"/>
                <w:kern w:val="0"/>
                <w:sz w:val="24"/>
                <w:highlight w:val="none"/>
              </w:rPr>
              <w:t>2022《工业阀门 压力试验》；球墨铸铁阀体产品应符合 CJ/T 216</w:t>
            </w:r>
            <w:r>
              <w:rPr>
                <w:rFonts w:ascii="宋体" w:hAnsi="宋体" w:cs="宋体"/>
                <w:kern w:val="0"/>
                <w:sz w:val="24"/>
                <w:highlight w:val="none"/>
              </w:rPr>
              <w:noBreakHyphen/>
            </w:r>
            <w:r>
              <w:rPr>
                <w:rFonts w:ascii="宋体" w:hAnsi="宋体" w:cs="宋体"/>
                <w:kern w:val="0"/>
                <w:sz w:val="24"/>
                <w:highlight w:val="none"/>
              </w:rPr>
              <w:t>2013《给水排水用软密封闸阀》；铸碳钢阀体产品应符合 GB/T 12224</w:t>
            </w:r>
            <w:r>
              <w:rPr>
                <w:rFonts w:ascii="宋体" w:hAnsi="宋体" w:cs="宋体"/>
                <w:kern w:val="0"/>
                <w:sz w:val="24"/>
                <w:highlight w:val="none"/>
              </w:rPr>
              <w:noBreakHyphen/>
            </w:r>
            <w:r>
              <w:rPr>
                <w:rFonts w:ascii="宋体" w:hAnsi="宋体" w:cs="宋体"/>
                <w:kern w:val="0"/>
                <w:sz w:val="24"/>
                <w:highlight w:val="none"/>
              </w:rPr>
              <w:t>2015《钢制阀门 一般要求》。</w:t>
            </w:r>
          </w:p>
          <w:p w14:paraId="65286608">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17</w:t>
            </w:r>
            <w:r>
              <w:rPr>
                <w:rFonts w:ascii="宋体" w:hAnsi="宋体" w:cs="宋体"/>
                <w:kern w:val="0"/>
                <w:sz w:val="24"/>
                <w:highlight w:val="none"/>
              </w:rPr>
              <w:t>.2 规格材质：公称直径 DN</w:t>
            </w:r>
            <w:r>
              <w:rPr>
                <w:rFonts w:hint="eastAsia" w:ascii="宋体" w:hAnsi="宋体" w:cs="宋体"/>
                <w:kern w:val="0"/>
                <w:sz w:val="24"/>
                <w:highlight w:val="none"/>
              </w:rPr>
              <w:t>15</w:t>
            </w:r>
            <w:r>
              <w:rPr>
                <w:rFonts w:ascii="宋体" w:hAnsi="宋体" w:cs="宋体"/>
                <w:kern w:val="0"/>
                <w:sz w:val="24"/>
                <w:highlight w:val="none"/>
              </w:rPr>
              <w:t>0，法兰连接；阀体采用球墨铸铁 QT450</w:t>
            </w:r>
            <w:r>
              <w:rPr>
                <w:rFonts w:ascii="宋体" w:hAnsi="宋体" w:cs="宋体"/>
                <w:kern w:val="0"/>
                <w:sz w:val="24"/>
                <w:highlight w:val="none"/>
              </w:rPr>
              <w:noBreakHyphen/>
            </w:r>
            <w:r>
              <w:rPr>
                <w:rFonts w:ascii="宋体" w:hAnsi="宋体" w:cs="宋体"/>
                <w:kern w:val="0"/>
                <w:sz w:val="24"/>
                <w:highlight w:val="none"/>
              </w:rPr>
              <w:t>10；软密封结构，闸板包覆 EPDM 橡胶。</w:t>
            </w:r>
          </w:p>
          <w:p w14:paraId="59DF2DD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17</w:t>
            </w:r>
            <w:r>
              <w:rPr>
                <w:rFonts w:ascii="宋体" w:hAnsi="宋体" w:cs="宋体"/>
                <w:kern w:val="0"/>
                <w:sz w:val="24"/>
                <w:highlight w:val="none"/>
              </w:rPr>
              <w:t>.3 性能参数：公称压力 PN1</w:t>
            </w:r>
            <w:r>
              <w:rPr>
                <w:rFonts w:hint="eastAsia" w:ascii="宋体" w:hAnsi="宋体" w:cs="宋体"/>
                <w:kern w:val="0"/>
                <w:sz w:val="24"/>
                <w:highlight w:val="none"/>
              </w:rPr>
              <w:t>0</w:t>
            </w:r>
            <w:r>
              <w:rPr>
                <w:rFonts w:ascii="宋体" w:hAnsi="宋体" w:cs="宋体"/>
                <w:kern w:val="0"/>
                <w:sz w:val="24"/>
                <w:highlight w:val="none"/>
              </w:rPr>
              <w:t>；启闭灵活，壳体、密封无外漏及内漏；适用于灌溉清水介质。</w:t>
            </w:r>
          </w:p>
        </w:tc>
        <w:tc>
          <w:tcPr>
            <w:tcW w:w="0" w:type="auto"/>
            <w:vAlign w:val="center"/>
          </w:tcPr>
          <w:p w14:paraId="61EEE21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246409F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7DB1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7CD284B9">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18</w:t>
            </w:r>
          </w:p>
        </w:tc>
        <w:tc>
          <w:tcPr>
            <w:tcW w:w="1084" w:type="dxa"/>
            <w:noWrap/>
            <w:vAlign w:val="center"/>
          </w:tcPr>
          <w:p w14:paraId="333AA0F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真空破坏器</w:t>
            </w:r>
          </w:p>
        </w:tc>
        <w:tc>
          <w:tcPr>
            <w:tcW w:w="7411" w:type="dxa"/>
            <w:vAlign w:val="center"/>
          </w:tcPr>
          <w:p w14:paraId="6B3E3C5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18</w:t>
            </w:r>
            <w:r>
              <w:rPr>
                <w:rFonts w:ascii="宋体" w:hAnsi="宋体" w:cs="宋体"/>
                <w:kern w:val="0"/>
                <w:sz w:val="24"/>
                <w:highlight w:val="none"/>
              </w:rPr>
              <w:t>.1 执行标准：设备制造执行 CJ/T 324</w:t>
            </w:r>
            <w:r>
              <w:rPr>
                <w:rFonts w:ascii="宋体" w:hAnsi="宋体" w:cs="宋体"/>
                <w:kern w:val="0"/>
                <w:sz w:val="24"/>
                <w:highlight w:val="none"/>
              </w:rPr>
              <w:noBreakHyphen/>
            </w:r>
            <w:r>
              <w:rPr>
                <w:rFonts w:ascii="宋体" w:hAnsi="宋体" w:cs="宋体"/>
                <w:kern w:val="0"/>
                <w:sz w:val="24"/>
                <w:highlight w:val="none"/>
              </w:rPr>
              <w:t>2010《真空破坏器》、GB/T 13927</w:t>
            </w:r>
            <w:r>
              <w:rPr>
                <w:rFonts w:ascii="宋体" w:hAnsi="宋体" w:cs="宋体"/>
                <w:kern w:val="0"/>
                <w:sz w:val="24"/>
                <w:highlight w:val="none"/>
              </w:rPr>
              <w:noBreakHyphen/>
            </w:r>
            <w:r>
              <w:rPr>
                <w:rFonts w:ascii="宋体" w:hAnsi="宋体" w:cs="宋体"/>
                <w:kern w:val="0"/>
                <w:sz w:val="24"/>
                <w:highlight w:val="none"/>
              </w:rPr>
              <w:t>2022《工业阀门 压力试验》。</w:t>
            </w:r>
          </w:p>
          <w:p w14:paraId="4D9E6F5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18</w:t>
            </w:r>
            <w:r>
              <w:rPr>
                <w:rFonts w:ascii="宋体" w:hAnsi="宋体" w:cs="宋体"/>
                <w:kern w:val="0"/>
                <w:sz w:val="24"/>
                <w:highlight w:val="none"/>
              </w:rPr>
              <w:t>.2 规格参数：公称直径 DN25（1 英寸外螺纹），工作压力 0</w:t>
            </w:r>
            <w:r>
              <w:rPr>
                <w:rFonts w:ascii="宋体" w:hAnsi="宋体" w:cs="宋体"/>
                <w:kern w:val="0"/>
                <w:sz w:val="24"/>
                <w:highlight w:val="none"/>
              </w:rPr>
              <w:noBreakHyphen/>
            </w:r>
            <w:r>
              <w:rPr>
                <w:rFonts w:ascii="宋体" w:hAnsi="宋体" w:cs="宋体"/>
                <w:kern w:val="0"/>
                <w:sz w:val="24"/>
                <w:highlight w:val="none"/>
              </w:rPr>
              <w:t>0.5</w:t>
            </w:r>
            <w:r>
              <w:rPr>
                <w:kern w:val="0"/>
                <w:sz w:val="24"/>
                <w:highlight w:val="none"/>
              </w:rPr>
              <w:t> </w:t>
            </w:r>
            <w:r>
              <w:rPr>
                <w:rFonts w:ascii="宋体" w:hAnsi="宋体" w:cs="宋体"/>
                <w:kern w:val="0"/>
                <w:sz w:val="24"/>
                <w:highlight w:val="none"/>
              </w:rPr>
              <w:t>MPa；阀体、阀芯材质均为不锈钢。</w:t>
            </w:r>
          </w:p>
          <w:p w14:paraId="52220EE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18</w:t>
            </w:r>
            <w:r>
              <w:rPr>
                <w:rFonts w:ascii="宋体" w:hAnsi="宋体" w:cs="宋体"/>
                <w:kern w:val="0"/>
                <w:sz w:val="24"/>
                <w:highlight w:val="none"/>
              </w:rPr>
              <w:t>.3 环境介质：工作温度</w:t>
            </w:r>
            <w:r>
              <w:rPr>
                <w:rFonts w:ascii="宋体" w:hAnsi="宋体" w:cs="宋体"/>
                <w:kern w:val="0"/>
                <w:sz w:val="24"/>
                <w:highlight w:val="none"/>
              </w:rPr>
              <w:noBreakHyphen/>
            </w:r>
            <w:r>
              <w:rPr>
                <w:rFonts w:ascii="宋体" w:hAnsi="宋体" w:cs="宋体"/>
                <w:kern w:val="0"/>
                <w:sz w:val="24"/>
                <w:highlight w:val="none"/>
              </w:rPr>
              <w:t>20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～+100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；适用介质：水、气体。</w:t>
            </w:r>
          </w:p>
          <w:p w14:paraId="7FA1C95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18</w:t>
            </w:r>
            <w:r>
              <w:rPr>
                <w:rFonts w:ascii="宋体" w:hAnsi="宋体" w:cs="宋体"/>
                <w:kern w:val="0"/>
                <w:sz w:val="24"/>
                <w:highlight w:val="none"/>
              </w:rPr>
              <w:t>.4 连接方式：外螺纹连接。</w:t>
            </w:r>
          </w:p>
        </w:tc>
        <w:tc>
          <w:tcPr>
            <w:tcW w:w="0" w:type="auto"/>
            <w:vAlign w:val="center"/>
          </w:tcPr>
          <w:p w14:paraId="7CB7101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15F1F0D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5B5A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15DF5FB5">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19</w:t>
            </w:r>
          </w:p>
        </w:tc>
        <w:tc>
          <w:tcPr>
            <w:tcW w:w="1084" w:type="dxa"/>
            <w:noWrap/>
            <w:vAlign w:val="center"/>
          </w:tcPr>
          <w:p w14:paraId="356761EB">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持压阀</w:t>
            </w:r>
          </w:p>
        </w:tc>
        <w:tc>
          <w:tcPr>
            <w:tcW w:w="7411" w:type="dxa"/>
            <w:vAlign w:val="center"/>
          </w:tcPr>
          <w:p w14:paraId="5A2452E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19</w:t>
            </w:r>
            <w:r>
              <w:rPr>
                <w:rFonts w:ascii="宋体" w:hAnsi="宋体" w:cs="宋体"/>
                <w:kern w:val="0"/>
                <w:sz w:val="24"/>
                <w:highlight w:val="none"/>
              </w:rPr>
              <w:t>.1 执行标准：设备制造执行 CJ/T 219</w:t>
            </w:r>
            <w:r>
              <w:rPr>
                <w:rFonts w:ascii="宋体" w:hAnsi="宋体" w:cs="宋体"/>
                <w:kern w:val="0"/>
                <w:sz w:val="24"/>
                <w:highlight w:val="none"/>
              </w:rPr>
              <w:noBreakHyphen/>
            </w:r>
            <w:r>
              <w:rPr>
                <w:rFonts w:ascii="宋体" w:hAnsi="宋体" w:cs="宋体"/>
                <w:kern w:val="0"/>
                <w:sz w:val="24"/>
                <w:highlight w:val="none"/>
              </w:rPr>
              <w:t>2017《水力控制阀》、GB/T 13927</w:t>
            </w:r>
            <w:r>
              <w:rPr>
                <w:rFonts w:ascii="宋体" w:hAnsi="宋体" w:cs="宋体"/>
                <w:kern w:val="0"/>
                <w:sz w:val="24"/>
                <w:highlight w:val="none"/>
              </w:rPr>
              <w:noBreakHyphen/>
            </w:r>
            <w:r>
              <w:rPr>
                <w:rFonts w:ascii="宋体" w:hAnsi="宋体" w:cs="宋体"/>
                <w:kern w:val="0"/>
                <w:sz w:val="24"/>
                <w:highlight w:val="none"/>
              </w:rPr>
              <w:t>2022《工业阀门 压力试验》。</w:t>
            </w:r>
          </w:p>
          <w:p w14:paraId="3E8E572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19</w:t>
            </w:r>
            <w:r>
              <w:rPr>
                <w:rFonts w:ascii="宋体" w:hAnsi="宋体" w:cs="宋体"/>
                <w:kern w:val="0"/>
                <w:sz w:val="24"/>
                <w:highlight w:val="none"/>
              </w:rPr>
              <w:t>.2 规格参数：公称直径 DN</w:t>
            </w:r>
            <w:r>
              <w:rPr>
                <w:rFonts w:hint="eastAsia" w:ascii="宋体" w:hAnsi="宋体" w:cs="宋体"/>
                <w:kern w:val="0"/>
                <w:sz w:val="24"/>
                <w:highlight w:val="none"/>
              </w:rPr>
              <w:t>15</w:t>
            </w:r>
            <w:r>
              <w:rPr>
                <w:rFonts w:ascii="宋体" w:hAnsi="宋体" w:cs="宋体"/>
                <w:kern w:val="0"/>
                <w:sz w:val="24"/>
                <w:highlight w:val="none"/>
              </w:rPr>
              <w:t>0，公称压力等级不低于 PN10，法兰连接；阀体采用球墨铸铁</w:t>
            </w:r>
            <w:r>
              <w:rPr>
                <w:rFonts w:hint="eastAsia" w:ascii="宋体" w:hAnsi="宋体" w:cs="宋体"/>
                <w:kern w:val="0"/>
                <w:sz w:val="24"/>
                <w:highlight w:val="none"/>
              </w:rPr>
              <w:t>材质</w:t>
            </w:r>
            <w:r>
              <w:rPr>
                <w:rFonts w:ascii="宋体" w:hAnsi="宋体" w:cs="宋体"/>
                <w:kern w:val="0"/>
                <w:sz w:val="24"/>
                <w:highlight w:val="none"/>
              </w:rPr>
              <w:t>。</w:t>
            </w:r>
          </w:p>
          <w:p w14:paraId="75B1E26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19</w:t>
            </w:r>
            <w:r>
              <w:rPr>
                <w:rFonts w:ascii="宋体" w:hAnsi="宋体" w:cs="宋体"/>
                <w:kern w:val="0"/>
                <w:sz w:val="24"/>
                <w:highlight w:val="none"/>
              </w:rPr>
              <w:t>.3 工作条件：适用介质为清水；工作温度 0～60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；具备稳定持压、泄压保护功能，压力可调节，维持管路设定工作压力。</w:t>
            </w:r>
          </w:p>
          <w:p w14:paraId="4446AF6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19</w:t>
            </w:r>
            <w:r>
              <w:rPr>
                <w:rFonts w:ascii="宋体" w:hAnsi="宋体" w:cs="宋体"/>
                <w:kern w:val="0"/>
                <w:sz w:val="24"/>
                <w:highlight w:val="none"/>
              </w:rPr>
              <w:t>.4 性能要求：阀门动作灵敏可靠，壳体及密封无外漏；可抵御灌溉系统常规水锤冲击，满足灌溉管路稳压保护工况使用。</w:t>
            </w:r>
          </w:p>
        </w:tc>
        <w:tc>
          <w:tcPr>
            <w:tcW w:w="0" w:type="auto"/>
            <w:vAlign w:val="center"/>
          </w:tcPr>
          <w:p w14:paraId="66C4E31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2A495BF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0B21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30352032">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20</w:t>
            </w:r>
          </w:p>
        </w:tc>
        <w:tc>
          <w:tcPr>
            <w:tcW w:w="1084" w:type="dxa"/>
            <w:noWrap/>
            <w:vAlign w:val="center"/>
          </w:tcPr>
          <w:p w14:paraId="0120E906">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hint="eastAsia" w:ascii="宋体" w:hAnsi="宋体" w:cs="宋体"/>
                <w:color w:val="000000"/>
                <w:kern w:val="0"/>
                <w:sz w:val="24"/>
                <w:highlight w:val="none"/>
              </w:rPr>
              <w:t>止回阀（单向阀）</w:t>
            </w:r>
          </w:p>
        </w:tc>
        <w:tc>
          <w:tcPr>
            <w:tcW w:w="7411" w:type="dxa"/>
            <w:vAlign w:val="center"/>
          </w:tcPr>
          <w:p w14:paraId="669829E6">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0</w:t>
            </w:r>
            <w:r>
              <w:rPr>
                <w:rFonts w:ascii="宋体" w:hAnsi="宋体" w:cs="宋体"/>
                <w:kern w:val="0"/>
                <w:sz w:val="24"/>
                <w:highlight w:val="none"/>
              </w:rPr>
              <w:t>.1</w:t>
            </w:r>
            <w:r>
              <w:rPr>
                <w:rFonts w:hint="eastAsia" w:ascii="宋体" w:hAnsi="宋体" w:cs="宋体"/>
                <w:kern w:val="0"/>
                <w:sz w:val="24"/>
                <w:highlight w:val="none"/>
              </w:rPr>
              <w:t xml:space="preserve"> </w:t>
            </w:r>
            <w:r>
              <w:rPr>
                <w:rFonts w:ascii="宋体" w:hAnsi="宋体" w:cs="宋体"/>
                <w:kern w:val="0"/>
                <w:sz w:val="24"/>
                <w:highlight w:val="none"/>
              </w:rPr>
              <w:t>执行标准：GB/T 18691.3-2021《农业灌溉设备 灌溉阀 第3部分：止回阀》、GB/T 13927-2022《工业阀门 压力试验》</w:t>
            </w:r>
            <w:r>
              <w:rPr>
                <w:rFonts w:hint="eastAsia" w:ascii="宋体" w:hAnsi="宋体" w:cs="宋体"/>
                <w:kern w:val="0"/>
                <w:sz w:val="24"/>
                <w:highlight w:val="none"/>
              </w:rPr>
              <w:t>、</w:t>
            </w:r>
            <w:r>
              <w:rPr>
                <w:rFonts w:ascii="宋体" w:hAnsi="宋体" w:cs="宋体"/>
                <w:kern w:val="0"/>
                <w:sz w:val="24"/>
                <w:highlight w:val="none"/>
              </w:rPr>
              <w:t xml:space="preserve"> CJ/T 219-2017《水力控制阀》</w:t>
            </w:r>
            <w:r>
              <w:rPr>
                <w:rFonts w:hint="eastAsia" w:ascii="宋体" w:hAnsi="宋体" w:cs="宋体"/>
                <w:kern w:val="0"/>
                <w:sz w:val="24"/>
                <w:highlight w:val="none"/>
              </w:rPr>
              <w:t>、</w:t>
            </w:r>
            <w:r>
              <w:rPr>
                <w:rFonts w:ascii="宋体" w:hAnsi="宋体" w:cs="宋体"/>
                <w:kern w:val="0"/>
                <w:sz w:val="24"/>
                <w:highlight w:val="none"/>
              </w:rPr>
              <w:t>GB/T 1348-2019《球墨铸铁件》。</w:t>
            </w:r>
          </w:p>
          <w:p w14:paraId="768C4886">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0</w:t>
            </w:r>
            <w:r>
              <w:rPr>
                <w:rFonts w:ascii="宋体" w:hAnsi="宋体" w:cs="宋体"/>
                <w:kern w:val="0"/>
                <w:sz w:val="24"/>
                <w:highlight w:val="none"/>
              </w:rPr>
              <w:t>.2 规格参数：公称直径 DN80，公称压力等级不低于 PN10；阀门本体自带法兰连接</w:t>
            </w:r>
            <w:r>
              <w:rPr>
                <w:rFonts w:hint="eastAsia" w:ascii="宋体" w:hAnsi="宋体" w:cs="宋体"/>
                <w:kern w:val="0"/>
                <w:sz w:val="24"/>
                <w:highlight w:val="none"/>
              </w:rPr>
              <w:t>接口</w:t>
            </w:r>
            <w:r>
              <w:rPr>
                <w:rFonts w:ascii="宋体" w:hAnsi="宋体" w:cs="宋体"/>
                <w:kern w:val="0"/>
                <w:sz w:val="24"/>
                <w:highlight w:val="none"/>
              </w:rPr>
              <w:t>；阀体采用球墨铸铁材质；密封件采用 EPDM 橡胶。</w:t>
            </w:r>
          </w:p>
          <w:p w14:paraId="7EC73E87">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0</w:t>
            </w:r>
            <w:r>
              <w:rPr>
                <w:rFonts w:ascii="宋体" w:hAnsi="宋体" w:cs="宋体"/>
                <w:kern w:val="0"/>
                <w:sz w:val="24"/>
                <w:highlight w:val="none"/>
              </w:rPr>
              <w:t>.3 工作条件：适用介质为清水；工作温度范围为 0 ℃～+60 ℃。</w:t>
            </w:r>
          </w:p>
          <w:p w14:paraId="3CB6B901">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0</w:t>
            </w:r>
            <w:r>
              <w:rPr>
                <w:rFonts w:ascii="宋体" w:hAnsi="宋体" w:cs="宋体"/>
                <w:kern w:val="0"/>
                <w:sz w:val="24"/>
                <w:highlight w:val="none"/>
              </w:rPr>
              <w:t>.4 性能要求：启闭</w:t>
            </w:r>
            <w:r>
              <w:rPr>
                <w:rFonts w:hint="eastAsia" w:ascii="宋体" w:hAnsi="宋体" w:cs="宋体"/>
                <w:kern w:val="0"/>
                <w:sz w:val="24"/>
                <w:highlight w:val="none"/>
              </w:rPr>
              <w:t>动作灵活</w:t>
            </w:r>
            <w:r>
              <w:rPr>
                <w:rFonts w:ascii="宋体" w:hAnsi="宋体" w:cs="宋体"/>
                <w:kern w:val="0"/>
                <w:sz w:val="24"/>
                <w:highlight w:val="none"/>
              </w:rPr>
              <w:t>；密封</w:t>
            </w:r>
            <w:r>
              <w:rPr>
                <w:rFonts w:hint="eastAsia" w:ascii="宋体" w:hAnsi="宋体" w:cs="宋体"/>
                <w:kern w:val="0"/>
                <w:sz w:val="24"/>
                <w:highlight w:val="none"/>
              </w:rPr>
              <w:t>可靠</w:t>
            </w:r>
            <w:r>
              <w:rPr>
                <w:rFonts w:ascii="宋体" w:hAnsi="宋体" w:cs="宋体"/>
                <w:kern w:val="0"/>
                <w:sz w:val="24"/>
                <w:highlight w:val="none"/>
              </w:rPr>
              <w:t>无渗漏；通水阻力小，过流能力强，可有效耐受管网启停水锤冲击，运行稳定性高，满足灌溉系统连续频繁启停工况。</w:t>
            </w:r>
          </w:p>
        </w:tc>
        <w:tc>
          <w:tcPr>
            <w:tcW w:w="0" w:type="auto"/>
            <w:vAlign w:val="center"/>
          </w:tcPr>
          <w:p w14:paraId="48E42DD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74C02A3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r>
      <w:tr w14:paraId="5356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12D831D3">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21</w:t>
            </w:r>
          </w:p>
        </w:tc>
        <w:tc>
          <w:tcPr>
            <w:tcW w:w="1084" w:type="dxa"/>
            <w:noWrap/>
            <w:vAlign w:val="center"/>
          </w:tcPr>
          <w:p w14:paraId="0AFC17DD">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底阀</w:t>
            </w:r>
          </w:p>
        </w:tc>
        <w:tc>
          <w:tcPr>
            <w:tcW w:w="7411" w:type="dxa"/>
            <w:vAlign w:val="center"/>
          </w:tcPr>
          <w:p w14:paraId="042C3335">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1</w:t>
            </w:r>
            <w:r>
              <w:rPr>
                <w:rFonts w:ascii="宋体" w:hAnsi="宋体" w:cs="宋体"/>
                <w:kern w:val="0"/>
                <w:sz w:val="24"/>
                <w:highlight w:val="none"/>
              </w:rPr>
              <w:t>.1 执行标准：GB/T 18691.3-2021《农业灌溉设备 灌溉阀 第3部分：止回阀》、GB/T 13927-2022《工业阀门 压力试验》。</w:t>
            </w:r>
          </w:p>
          <w:p w14:paraId="2EB53B64">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1</w:t>
            </w:r>
            <w:r>
              <w:rPr>
                <w:rFonts w:ascii="宋体" w:hAnsi="宋体" w:cs="宋体"/>
                <w:kern w:val="0"/>
                <w:sz w:val="24"/>
                <w:highlight w:val="none"/>
              </w:rPr>
              <w:t>.2 规格参数：公称直径DN80，公称压力等级不低于PN10；阀体采用玻纤增强尼龙材质。</w:t>
            </w:r>
          </w:p>
          <w:p w14:paraId="79B43B93">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1</w:t>
            </w:r>
            <w:r>
              <w:rPr>
                <w:rFonts w:ascii="宋体" w:hAnsi="宋体" w:cs="宋体"/>
                <w:kern w:val="0"/>
                <w:sz w:val="24"/>
                <w:highlight w:val="none"/>
              </w:rPr>
              <w:t>.3 工作条件：适用介质为清水；工作温度0℃～60℃；设备安装于水泵吸水管路末端，可长期水下浸泡运行，适配田间含少量泥沙、水草的取水工况。</w:t>
            </w:r>
          </w:p>
          <w:p w14:paraId="125E64DA">
            <w:pPr>
              <w:widowControl/>
              <w:adjustRightInd w:val="0"/>
              <w:snapToGrid w:val="0"/>
              <w:rPr>
                <w:rFonts w:hint="eastAsia" w:ascii="宋体" w:hAnsi="宋体" w:cs="宋体"/>
                <w:kern w:val="0"/>
                <w:sz w:val="24"/>
                <w:highlight w:val="none"/>
              </w:rPr>
            </w:pPr>
            <w:r>
              <w:rPr>
                <w:rFonts w:ascii="宋体" w:hAnsi="宋体" w:cs="宋体"/>
                <w:kern w:val="0"/>
                <w:sz w:val="24"/>
                <w:highlight w:val="none"/>
              </w:rPr>
              <w:t>2</w:t>
            </w:r>
            <w:r>
              <w:rPr>
                <w:rFonts w:hint="eastAsia" w:ascii="宋体" w:hAnsi="宋体" w:cs="宋体"/>
                <w:kern w:val="0"/>
                <w:sz w:val="24"/>
                <w:highlight w:val="none"/>
              </w:rPr>
              <w:t>1</w:t>
            </w:r>
            <w:r>
              <w:rPr>
                <w:rFonts w:ascii="宋体" w:hAnsi="宋体" w:cs="宋体"/>
                <w:kern w:val="0"/>
                <w:sz w:val="24"/>
                <w:highlight w:val="none"/>
              </w:rPr>
              <w:t>.4 性能要求：阀门启闭灵活、密封严密、无渗漏、无卡滞；可有效防止管路介质倒流，保障水泵引水保压稳定。设备配置一体式过滤滤网，通流面积充足，可有效拦截水草、碎石、大颗粒杂质，防止泵体堵塞、磨损；整体具备优异的抗堵塞、抗泥沙、耐浸泡、抗老化性能，适配长期连续取水工况。</w:t>
            </w:r>
          </w:p>
        </w:tc>
        <w:tc>
          <w:tcPr>
            <w:tcW w:w="0" w:type="auto"/>
            <w:vAlign w:val="center"/>
          </w:tcPr>
          <w:p w14:paraId="4A4FA8C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6D0AD33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25CD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2DBCBE45">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22</w:t>
            </w:r>
          </w:p>
        </w:tc>
        <w:tc>
          <w:tcPr>
            <w:tcW w:w="1084" w:type="dxa"/>
            <w:noWrap/>
            <w:vAlign w:val="center"/>
          </w:tcPr>
          <w:p w14:paraId="3CDC344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泄压阀</w:t>
            </w:r>
          </w:p>
        </w:tc>
        <w:tc>
          <w:tcPr>
            <w:tcW w:w="7411" w:type="dxa"/>
            <w:vAlign w:val="center"/>
          </w:tcPr>
          <w:p w14:paraId="66CE987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22</w:t>
            </w:r>
            <w:r>
              <w:rPr>
                <w:rFonts w:ascii="宋体" w:hAnsi="宋体" w:cs="宋体"/>
                <w:kern w:val="0"/>
                <w:sz w:val="24"/>
                <w:highlight w:val="none"/>
              </w:rPr>
              <w:t>.1 执行标准：设备制造执行 CJ/T 219</w:t>
            </w:r>
            <w:r>
              <w:rPr>
                <w:rFonts w:ascii="宋体" w:hAnsi="宋体" w:cs="宋体"/>
                <w:kern w:val="0"/>
                <w:sz w:val="24"/>
                <w:highlight w:val="none"/>
              </w:rPr>
              <w:noBreakHyphen/>
            </w:r>
            <w:r>
              <w:rPr>
                <w:rFonts w:ascii="宋体" w:hAnsi="宋体" w:cs="宋体"/>
                <w:kern w:val="0"/>
                <w:sz w:val="24"/>
                <w:highlight w:val="none"/>
              </w:rPr>
              <w:t>2017《水力控制阀》、GB/T 13927</w:t>
            </w:r>
            <w:r>
              <w:rPr>
                <w:rFonts w:ascii="宋体" w:hAnsi="宋体" w:cs="宋体"/>
                <w:kern w:val="0"/>
                <w:sz w:val="24"/>
                <w:highlight w:val="none"/>
              </w:rPr>
              <w:noBreakHyphen/>
            </w:r>
            <w:r>
              <w:rPr>
                <w:rFonts w:ascii="宋体" w:hAnsi="宋体" w:cs="宋体"/>
                <w:kern w:val="0"/>
                <w:sz w:val="24"/>
                <w:highlight w:val="none"/>
              </w:rPr>
              <w:t>2022《工业阀门 压力试验》；铸碳钢 WCB 阀体参照 GB/T 12224</w:t>
            </w:r>
            <w:r>
              <w:rPr>
                <w:rFonts w:ascii="宋体" w:hAnsi="宋体" w:cs="宋体"/>
                <w:kern w:val="0"/>
                <w:sz w:val="24"/>
                <w:highlight w:val="none"/>
              </w:rPr>
              <w:noBreakHyphen/>
            </w:r>
            <w:r>
              <w:rPr>
                <w:rFonts w:ascii="宋体" w:hAnsi="宋体" w:cs="宋体"/>
                <w:kern w:val="0"/>
                <w:sz w:val="24"/>
                <w:highlight w:val="none"/>
              </w:rPr>
              <w:t>2015《钢制阀门 一般要求》；铸不锈钢 CF8 阀体参照承压铸不锈钢相关规范；玻纤增强尼龙阀体应满足 PN10 静液压强度要求。</w:t>
            </w:r>
          </w:p>
          <w:p w14:paraId="1EBC76DC">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22</w:t>
            </w:r>
            <w:r>
              <w:rPr>
                <w:rFonts w:ascii="宋体" w:hAnsi="宋体" w:cs="宋体"/>
                <w:kern w:val="0"/>
                <w:sz w:val="24"/>
                <w:highlight w:val="none"/>
              </w:rPr>
              <w:t>.2 规格参数：公称直径 DN80，公称压力等级不低于 PN10，阀门本体自带法兰连接接口；阀体可选用球墨铸铁 QT450</w:t>
            </w:r>
            <w:r>
              <w:rPr>
                <w:rFonts w:ascii="宋体" w:hAnsi="宋体" w:cs="宋体"/>
                <w:kern w:val="0"/>
                <w:sz w:val="24"/>
                <w:highlight w:val="none"/>
              </w:rPr>
              <w:noBreakHyphen/>
            </w:r>
            <w:r>
              <w:rPr>
                <w:rFonts w:ascii="宋体" w:hAnsi="宋体" w:cs="宋体"/>
                <w:kern w:val="0"/>
                <w:sz w:val="24"/>
                <w:highlight w:val="none"/>
              </w:rPr>
              <w:t>10、铸不锈钢 CF8（ZG08Cr18Ni9）或玻纤增强尼龙；球墨铸铁阀体应内外环氧树脂粉末喷涂防腐；铸碳钢 WCB 阀体应做完整可靠防腐处理；铸不锈钢阀体做固溶酸洗处理；玻纤增强尼龙阀体应满足 PN10 静液压强度要求；密封件采用 EPDM 橡胶。</w:t>
            </w:r>
          </w:p>
          <w:p w14:paraId="3F289709">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22</w:t>
            </w:r>
            <w:r>
              <w:rPr>
                <w:rFonts w:ascii="宋体" w:hAnsi="宋体" w:cs="宋体"/>
                <w:kern w:val="0"/>
                <w:sz w:val="24"/>
                <w:highlight w:val="none"/>
              </w:rPr>
              <w:t>.3 工作条件：适用介质为清水；工作温度</w:t>
            </w:r>
            <w:r>
              <w:rPr>
                <w:rFonts w:ascii="宋体" w:hAnsi="宋体" w:cs="宋体"/>
                <w:kern w:val="0"/>
                <w:sz w:val="24"/>
                <w:highlight w:val="none"/>
              </w:rPr>
              <w:noBreakHyphen/>
            </w:r>
            <w:r>
              <w:rPr>
                <w:rFonts w:ascii="宋体" w:hAnsi="宋体" w:cs="宋体"/>
                <w:kern w:val="0"/>
                <w:sz w:val="24"/>
                <w:highlight w:val="none"/>
              </w:rPr>
              <w:t>20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～+100</w:t>
            </w:r>
            <w:r>
              <w:rPr>
                <w:kern w:val="0"/>
                <w:sz w:val="24"/>
                <w:highlight w:val="none"/>
              </w:rPr>
              <w:t> </w:t>
            </w:r>
            <w:r>
              <w:rPr>
                <w:rFonts w:hint="eastAsia" w:ascii="宋体" w:hAnsi="宋体" w:cs="宋体"/>
                <w:kern w:val="0"/>
                <w:sz w:val="24"/>
                <w:highlight w:val="none"/>
              </w:rPr>
              <w:t>℃</w:t>
            </w:r>
            <w:r>
              <w:rPr>
                <w:rFonts w:ascii="宋体" w:hAnsi="宋体" w:cs="宋体"/>
                <w:kern w:val="0"/>
                <w:sz w:val="24"/>
                <w:highlight w:val="none"/>
              </w:rPr>
              <w:t>，用于灌溉管路超压安全保护。</w:t>
            </w:r>
          </w:p>
          <w:p w14:paraId="13370831">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22</w:t>
            </w:r>
            <w:r>
              <w:rPr>
                <w:rFonts w:ascii="宋体" w:hAnsi="宋体" w:cs="宋体"/>
                <w:kern w:val="0"/>
                <w:sz w:val="24"/>
                <w:highlight w:val="none"/>
              </w:rPr>
              <w:t>.4 性能要求：泄压动作灵敏，可实现超压自动泄放，泄压压力可调节，保护管路系统压力不超过设定值；正常工作状态下密封可靠，无异常渗漏；能够承受管网常规水锤冲击，适配灌溉管路安全保护工况。</w:t>
            </w:r>
          </w:p>
        </w:tc>
        <w:tc>
          <w:tcPr>
            <w:tcW w:w="0" w:type="auto"/>
            <w:vAlign w:val="center"/>
          </w:tcPr>
          <w:p w14:paraId="4142041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1CA29F8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7E8A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5CD1A168">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23</w:t>
            </w:r>
          </w:p>
        </w:tc>
        <w:tc>
          <w:tcPr>
            <w:tcW w:w="1084" w:type="dxa"/>
            <w:noWrap/>
            <w:vAlign w:val="center"/>
          </w:tcPr>
          <w:p w14:paraId="7129EF51">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水肥一体化首部系统——卧式离心泵</w:t>
            </w:r>
          </w:p>
        </w:tc>
        <w:tc>
          <w:tcPr>
            <w:tcW w:w="7411" w:type="dxa"/>
            <w:vAlign w:val="center"/>
          </w:tcPr>
          <w:p w14:paraId="70CEDCC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23</w:t>
            </w:r>
            <w:r>
              <w:rPr>
                <w:rFonts w:ascii="宋体" w:hAnsi="宋体" w:cs="宋体"/>
                <w:kern w:val="0"/>
                <w:sz w:val="24"/>
                <w:highlight w:val="none"/>
              </w:rPr>
              <w:t>.1 执行标准：设备制造执行 GB/T 5656-2008《离心泵技术条件（Ⅱ 类）》、GB 755-2025《旋转电机 定额和性能》、GB 10395.8-2006《农林拖拉机和机械 安全技术要求 第8部分：排灌泵和泵机组》、GB 10396-2006《农林拖拉机和机械、草坪和园艺动力机械 安全标志和危险图形 总则》。</w:t>
            </w:r>
          </w:p>
          <w:p w14:paraId="4AF89CE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23</w:t>
            </w:r>
            <w:r>
              <w:rPr>
                <w:rFonts w:ascii="宋体" w:hAnsi="宋体" w:cs="宋体"/>
                <w:kern w:val="0"/>
                <w:sz w:val="24"/>
                <w:highlight w:val="none"/>
              </w:rPr>
              <w:t>.2 性能参数：额定扬程 50m，额定流量 50m³/h，电机额定功率 15kW，额定转速 2950r/min，运行工况稳定、效率高，满足大田灌溉持续输水需求。</w:t>
            </w:r>
          </w:p>
          <w:p w14:paraId="3EA919D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23</w:t>
            </w:r>
            <w:r>
              <w:rPr>
                <w:rFonts w:ascii="宋体" w:hAnsi="宋体" w:cs="宋体"/>
                <w:kern w:val="0"/>
                <w:sz w:val="24"/>
                <w:highlight w:val="none"/>
              </w:rPr>
              <w:t>.3 结构与材质：泵体采用铸铁材质，结构强度高、抗震耐磨；泵轴端采用机械密封结构，密封性能可靠，有效杜绝渗水、漏水问题，适配长期连续运行工况。</w:t>
            </w:r>
          </w:p>
          <w:p w14:paraId="78507270">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23</w:t>
            </w:r>
            <w:r>
              <w:rPr>
                <w:rFonts w:ascii="宋体" w:hAnsi="宋体" w:cs="宋体"/>
                <w:kern w:val="0"/>
                <w:sz w:val="24"/>
                <w:highlight w:val="none"/>
              </w:rPr>
              <w:t>.4 接口规格：设备进水口、出水口均采用 DN100 标准法兰连接接口，对接牢固、密封性好，适配首部灌溉管路系统对接安装。</w:t>
            </w:r>
          </w:p>
        </w:tc>
        <w:tc>
          <w:tcPr>
            <w:tcW w:w="0" w:type="auto"/>
            <w:vAlign w:val="center"/>
          </w:tcPr>
          <w:p w14:paraId="41433B2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4B40585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r>
      <w:tr w14:paraId="4126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173C3A4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24</w:t>
            </w:r>
          </w:p>
        </w:tc>
        <w:tc>
          <w:tcPr>
            <w:tcW w:w="1084" w:type="dxa"/>
            <w:noWrap/>
            <w:vAlign w:val="center"/>
          </w:tcPr>
          <w:p w14:paraId="7C9371B4">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水肥一体化过滤系统——</w:t>
            </w:r>
            <w:r>
              <w:rPr>
                <w:rFonts w:ascii="宋体" w:hAnsi="宋体" w:cs="宋体"/>
                <w:color w:val="000000"/>
                <w:kern w:val="0"/>
                <w:sz w:val="24"/>
                <w:highlight w:val="none"/>
              </w:rPr>
              <w:t>自动反冲洗砂石过滤器</w:t>
            </w:r>
          </w:p>
        </w:tc>
        <w:tc>
          <w:tcPr>
            <w:tcW w:w="7411" w:type="dxa"/>
            <w:vAlign w:val="center"/>
          </w:tcPr>
          <w:p w14:paraId="3F7DF908">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.1 执行标准：SL 470-2010《灌溉用过滤器基本参数及技术条件》、GB/T 18690.4-2023《农业灌溉设备 微灌用过滤器 第 4 部分：颗粒介质过滤器》</w:t>
            </w:r>
            <w:r>
              <w:rPr>
                <w:rFonts w:hint="eastAsia" w:ascii="宋体" w:hAnsi="宋体" w:cs="宋体"/>
                <w:kern w:val="0"/>
                <w:sz w:val="24"/>
                <w:highlight w:val="none"/>
              </w:rPr>
              <w:t>。</w:t>
            </w:r>
          </w:p>
          <w:p w14:paraId="5EC77E7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.2 设备基础参数：进出口规格DN150，法兰接口，法兰公称压力PN</w:t>
            </w:r>
            <w:r>
              <w:rPr>
                <w:rFonts w:hint="eastAsia" w:ascii="宋体" w:hAnsi="宋体" w:cs="宋体"/>
                <w:kern w:val="0"/>
                <w:sz w:val="24"/>
                <w:highlight w:val="none"/>
              </w:rPr>
              <w:t>8</w:t>
            </w:r>
            <w:r>
              <w:rPr>
                <w:rFonts w:ascii="宋体" w:hAnsi="宋体" w:cs="宋体"/>
                <w:kern w:val="0"/>
                <w:sz w:val="24"/>
                <w:highlight w:val="none"/>
              </w:rPr>
              <w:t>；设备额定流量100m³/h，设备允许运行流量范围80～120m³/h；有效过滤面积0.58㎡；滤料装填量0.5t；在额定设计流量工况下，出水可截留粒径≥180μm颗粒；罐体壳体最大允许工作压力</w:t>
            </w:r>
            <w:r>
              <w:rPr>
                <w:rFonts w:hint="eastAsia" w:ascii="宋体" w:hAnsi="宋体" w:cs="宋体"/>
                <w:kern w:val="0"/>
                <w:sz w:val="24"/>
                <w:highlight w:val="none"/>
              </w:rPr>
              <w:t>0.8</w:t>
            </w:r>
            <w:r>
              <w:rPr>
                <w:rFonts w:ascii="宋体" w:hAnsi="宋体" w:cs="宋体"/>
                <w:kern w:val="0"/>
                <w:sz w:val="24"/>
                <w:highlight w:val="none"/>
              </w:rPr>
              <w:t>MPa；设备适用系统工作压力范围0.1MPa～</w:t>
            </w:r>
            <w:r>
              <w:rPr>
                <w:rFonts w:hint="eastAsia" w:ascii="宋体" w:hAnsi="宋体" w:cs="宋体"/>
                <w:kern w:val="0"/>
                <w:sz w:val="24"/>
                <w:highlight w:val="none"/>
              </w:rPr>
              <w:t>0.8</w:t>
            </w:r>
            <w:r>
              <w:rPr>
                <w:rFonts w:ascii="宋体" w:hAnsi="宋体" w:cs="宋体"/>
                <w:kern w:val="0"/>
                <w:sz w:val="24"/>
                <w:highlight w:val="none"/>
              </w:rPr>
              <w:t>MPa。设备采用模块化结构，过滤单元可根据现场流量、占地条件灵活组合配置；系统无需独立反冲洗泵即可完成自动反冲洗，运行稳定，过滤效果均匀一致。</w:t>
            </w:r>
          </w:p>
          <w:p w14:paraId="264AD3C0">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.3 控制方式：设备支持压差、时间双模式自动触发反冲洗</w:t>
            </w:r>
            <w:r>
              <w:rPr>
                <w:rFonts w:hint="eastAsia" w:ascii="宋体" w:hAnsi="宋体" w:cs="宋体"/>
                <w:kern w:val="0"/>
                <w:sz w:val="24"/>
                <w:highlight w:val="none"/>
              </w:rPr>
              <w:t>，</w:t>
            </w:r>
            <w:r>
              <w:rPr>
                <w:rFonts w:ascii="宋体" w:hAnsi="宋体" w:cs="宋体"/>
                <w:kern w:val="0"/>
                <w:sz w:val="24"/>
                <w:highlight w:val="none"/>
              </w:rPr>
              <w:t>双条件任一满足即可启动；默认压差启动阈值0.07MPa，时间、压差阈值可现场自定义设置。设备全自动运行，各过滤单元依次分时反冲洗，反冲洗过程不中断系统供水，保障灌溉连续运行。</w:t>
            </w:r>
          </w:p>
          <w:p w14:paraId="1FAA3BA7">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.4 内部布水结构：设备配置专用均匀布水水帽，布水、集水均匀，反冲洗无死角，每个过滤单元反冲洗时间60～120s可调；设备整体反冲洗耗水率≤设备额定流量的3%。设备采用整体撬装集成式结构，</w:t>
            </w:r>
            <w:r>
              <w:rPr>
                <w:rFonts w:hint="eastAsia" w:ascii="宋体" w:hAnsi="宋体" w:cs="宋体"/>
                <w:kern w:val="0"/>
                <w:sz w:val="24"/>
                <w:highlight w:val="none"/>
              </w:rPr>
              <w:t>单次反冲洗耗水量10m³-25m³设备重量范围500-700kg</w:t>
            </w:r>
            <w:r>
              <w:rPr>
                <w:rFonts w:ascii="宋体" w:hAnsi="宋体" w:cs="宋体"/>
                <w:kern w:val="0"/>
                <w:sz w:val="24"/>
                <w:highlight w:val="none"/>
              </w:rPr>
              <w:t>。</w:t>
            </w:r>
          </w:p>
          <w:p w14:paraId="60BF3368">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.5 安装适配性：设备结构紧凑、占地面积小，过滤单元排布可根据现场场地灵活调整；设备整体荷载低，无需专项设备基础，</w:t>
            </w:r>
            <w:r>
              <w:rPr>
                <w:rFonts w:hint="eastAsia" w:ascii="宋体" w:hAnsi="宋体" w:cs="宋体"/>
                <w:kern w:val="0"/>
                <w:sz w:val="24"/>
                <w:highlight w:val="none"/>
              </w:rPr>
              <w:t>普通</w:t>
            </w:r>
            <w:r>
              <w:rPr>
                <w:rFonts w:ascii="宋体" w:hAnsi="宋体" w:cs="宋体"/>
                <w:kern w:val="0"/>
                <w:sz w:val="24"/>
                <w:highlight w:val="none"/>
              </w:rPr>
              <w:t>硬化水泥地面即可满足设备安装</w:t>
            </w:r>
            <w:r>
              <w:rPr>
                <w:rFonts w:hint="eastAsia" w:ascii="宋体" w:hAnsi="宋体" w:cs="宋体"/>
                <w:kern w:val="0"/>
                <w:sz w:val="24"/>
                <w:highlight w:val="none"/>
              </w:rPr>
              <w:t>使用</w:t>
            </w:r>
            <w:r>
              <w:rPr>
                <w:rFonts w:ascii="宋体" w:hAnsi="宋体" w:cs="宋体"/>
                <w:kern w:val="0"/>
                <w:sz w:val="24"/>
                <w:highlight w:val="none"/>
              </w:rPr>
              <w:t>要求。</w:t>
            </w:r>
          </w:p>
          <w:p w14:paraId="2224106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24</w:t>
            </w:r>
            <w:r>
              <w:rPr>
                <w:rFonts w:ascii="宋体" w:hAnsi="宋体" w:cs="宋体"/>
                <w:kern w:val="0"/>
                <w:sz w:val="24"/>
                <w:highlight w:val="none"/>
              </w:rPr>
              <w:t>.6 罐体材质与防腐：罐体采用碳钢材质，</w:t>
            </w:r>
            <w:r>
              <w:rPr>
                <w:rFonts w:hint="eastAsia" w:ascii="宋体" w:hAnsi="宋体" w:cs="宋体"/>
                <w:kern w:val="0"/>
                <w:sz w:val="24"/>
                <w:highlight w:val="none"/>
              </w:rPr>
              <w:t>过滤器筒体内外表面应进行防腐处理</w:t>
            </w:r>
            <w:r>
              <w:rPr>
                <w:rFonts w:ascii="宋体" w:hAnsi="宋体" w:cs="宋体"/>
                <w:kern w:val="0"/>
                <w:sz w:val="24"/>
                <w:highlight w:val="none"/>
              </w:rPr>
              <w:t>，</w:t>
            </w:r>
            <w:r>
              <w:rPr>
                <w:rFonts w:hint="eastAsia" w:ascii="宋体" w:hAnsi="宋体" w:cs="宋体"/>
                <w:kern w:val="0"/>
                <w:sz w:val="24"/>
                <w:highlight w:val="none"/>
              </w:rPr>
              <w:t>厚度为60-200μm。</w:t>
            </w:r>
          </w:p>
        </w:tc>
        <w:tc>
          <w:tcPr>
            <w:tcW w:w="0" w:type="auto"/>
            <w:vAlign w:val="center"/>
          </w:tcPr>
          <w:p w14:paraId="5C95D6F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7B63DD1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60D1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B6C067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25</w:t>
            </w:r>
          </w:p>
        </w:tc>
        <w:tc>
          <w:tcPr>
            <w:tcW w:w="1084" w:type="dxa"/>
            <w:noWrap/>
            <w:vAlign w:val="center"/>
          </w:tcPr>
          <w:p w14:paraId="2A3FF205">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水肥一体化过滤系统——</w:t>
            </w:r>
            <w:r>
              <w:rPr>
                <w:rFonts w:ascii="宋体" w:hAnsi="宋体" w:cs="宋体"/>
                <w:color w:val="000000"/>
                <w:kern w:val="0"/>
                <w:sz w:val="24"/>
                <w:highlight w:val="none"/>
              </w:rPr>
              <w:t>自动反冲洗叠片过滤器</w:t>
            </w:r>
          </w:p>
        </w:tc>
        <w:tc>
          <w:tcPr>
            <w:tcW w:w="7411" w:type="dxa"/>
            <w:vAlign w:val="center"/>
          </w:tcPr>
          <w:p w14:paraId="7234830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执行标准：SL 470-2010《灌溉用过滤器基本参数及技术条件》、GB/T 18690.3-2017《农业灌溉设备 微灌用过滤器 第 3 部分：自动冲洗网式过滤器和叠片式过滤器》</w:t>
            </w:r>
            <w:r>
              <w:rPr>
                <w:rFonts w:hint="eastAsia" w:ascii="宋体" w:hAnsi="宋体" w:cs="宋体"/>
                <w:kern w:val="0"/>
                <w:sz w:val="24"/>
                <w:highlight w:val="none"/>
              </w:rPr>
              <w:t>。</w:t>
            </w:r>
          </w:p>
          <w:p w14:paraId="639496BC">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设备基础参数：进出水口径DN150，法兰接口，法兰公称压力PN</w:t>
            </w:r>
            <w:r>
              <w:rPr>
                <w:rFonts w:hint="eastAsia" w:ascii="宋体" w:hAnsi="宋体" w:cs="宋体"/>
                <w:kern w:val="0"/>
                <w:sz w:val="24"/>
                <w:highlight w:val="none"/>
              </w:rPr>
              <w:t>10</w:t>
            </w:r>
            <w:r>
              <w:rPr>
                <w:rFonts w:ascii="宋体" w:hAnsi="宋体" w:cs="宋体"/>
                <w:kern w:val="0"/>
                <w:sz w:val="24"/>
                <w:highlight w:val="none"/>
              </w:rPr>
              <w:t>；最大水处理量120m³/h，过滤精度</w:t>
            </w:r>
            <w:r>
              <w:rPr>
                <w:rFonts w:hint="eastAsia" w:ascii="宋体" w:hAnsi="宋体" w:cs="宋体"/>
                <w:kern w:val="0"/>
                <w:sz w:val="24"/>
                <w:highlight w:val="none"/>
              </w:rPr>
              <w:t>120</w:t>
            </w:r>
            <w:r>
              <w:rPr>
                <w:rFonts w:ascii="宋体" w:hAnsi="宋体" w:cs="宋体"/>
                <w:kern w:val="0"/>
                <w:sz w:val="24"/>
                <w:highlight w:val="none"/>
              </w:rPr>
              <w:t>μm；壳体最大允许工作压力</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0</w:t>
            </w:r>
            <w:r>
              <w:rPr>
                <w:rFonts w:ascii="宋体" w:hAnsi="宋体" w:cs="宋体"/>
                <w:kern w:val="0"/>
                <w:sz w:val="24"/>
                <w:highlight w:val="none"/>
              </w:rPr>
              <w:t>MPa。</w:t>
            </w:r>
          </w:p>
          <w:p w14:paraId="5667A4C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滤芯结构：滤芯采用无弹簧压紧结构，利用进水压力压紧叠片组，降低反冲洗压力要求；配置内置鸭嘴阀，过滤工况保障出水通量，反冲洗工况实现逆止功能。滤芯骨架工厂预制装配，按设计过滤面积出厂配置。</w:t>
            </w:r>
          </w:p>
          <w:p w14:paraId="612A4C00">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4</w:t>
            </w:r>
            <w:r>
              <w:rPr>
                <w:rFonts w:ascii="宋体" w:hAnsi="宋体" w:cs="宋体"/>
                <w:kern w:val="0"/>
                <w:sz w:val="24"/>
                <w:highlight w:val="none"/>
              </w:rPr>
              <w:t xml:space="preserve"> 叠片材质为PP，最大允许工作压力</w:t>
            </w:r>
            <w:r>
              <w:rPr>
                <w:rFonts w:hint="eastAsia" w:ascii="宋体" w:hAnsi="宋体" w:cs="宋体"/>
                <w:kern w:val="0"/>
                <w:sz w:val="24"/>
                <w:highlight w:val="none"/>
              </w:rPr>
              <w:t>1.0</w:t>
            </w:r>
            <w:r>
              <w:rPr>
                <w:rFonts w:ascii="宋体" w:hAnsi="宋体" w:cs="宋体"/>
                <w:kern w:val="0"/>
                <w:sz w:val="24"/>
                <w:highlight w:val="none"/>
              </w:rPr>
              <w:t>MPa。</w:t>
            </w:r>
          </w:p>
          <w:p w14:paraId="2EB27BAF">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 xml:space="preserve"> 控制方式：系统支持压差、时间双模式自动触发反冲洗，任一条件满足即可启动；默认压差启动阈值0.07MPa，压差、时间阈值现场可自定义设置；设备全自动运行，各过滤单元依次分时反冲洗，反冲洗过程不中断系统产水。</w:t>
            </w:r>
            <w:r>
              <w:rPr>
                <w:rFonts w:hint="eastAsia" w:ascii="宋体" w:hAnsi="宋体" w:cs="宋体"/>
                <w:kern w:val="0"/>
                <w:sz w:val="24"/>
                <w:highlight w:val="none"/>
              </w:rPr>
              <w:t>可实时检测过滤器进出口水压压力及压差值，可手机远程观测压力数值并能远程控制反冲洗阀门打开关闭，同时具备时段/压差的反冲洗控制方式，实时显示下次反冲洗阀门控制打开剩余时间。</w:t>
            </w:r>
          </w:p>
          <w:p w14:paraId="103FC0B1">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25</w:t>
            </w:r>
            <w:r>
              <w:rPr>
                <w:rFonts w:ascii="宋体" w:hAnsi="宋体" w:cs="宋体"/>
                <w:kern w:val="0"/>
                <w:sz w:val="24"/>
                <w:highlight w:val="none"/>
              </w:rPr>
              <w:t>.</w:t>
            </w:r>
            <w:r>
              <w:rPr>
                <w:rFonts w:hint="eastAsia" w:ascii="宋体" w:hAnsi="宋体" w:cs="宋体"/>
                <w:kern w:val="0"/>
                <w:sz w:val="24"/>
                <w:highlight w:val="none"/>
              </w:rPr>
              <w:t>6</w:t>
            </w:r>
            <w:r>
              <w:rPr>
                <w:rFonts w:ascii="宋体" w:hAnsi="宋体" w:cs="宋体"/>
                <w:kern w:val="0"/>
                <w:sz w:val="24"/>
                <w:highlight w:val="none"/>
              </w:rPr>
              <w:t xml:space="preserve"> 供货范围包含与砂石过滤器对接的连接管路及配套法兰连接件，满足现场对接安装要求。</w:t>
            </w:r>
          </w:p>
        </w:tc>
        <w:tc>
          <w:tcPr>
            <w:tcW w:w="0" w:type="auto"/>
            <w:vAlign w:val="center"/>
          </w:tcPr>
          <w:p w14:paraId="78D0112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612EF09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66B3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56D137D">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26</w:t>
            </w:r>
          </w:p>
        </w:tc>
        <w:tc>
          <w:tcPr>
            <w:tcW w:w="1084" w:type="dxa"/>
            <w:noWrap/>
            <w:vAlign w:val="center"/>
          </w:tcPr>
          <w:p w14:paraId="24919A13">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三通道施肥机</w:t>
            </w:r>
          </w:p>
        </w:tc>
        <w:tc>
          <w:tcPr>
            <w:tcW w:w="7411" w:type="dxa"/>
            <w:vAlign w:val="center"/>
          </w:tcPr>
          <w:p w14:paraId="00D08174">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执行标准：设备性能、制造检验执行 GB/T 43908-2024《水肥一体化设备》。</w:t>
            </w:r>
          </w:p>
          <w:p w14:paraId="5A02FB9B">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施肥通道：配置3路独立吸肥通道；设备合计最大吸肥量3000L/h；配置3路肥料流量监测单元。设备管道壳体最大允许工作压力0.8MPa；设备适用系统工作压力范围0.25MPa～0.8MPa。</w:t>
            </w:r>
          </w:p>
          <w:p w14:paraId="3F7B598D">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控制与扩展：模块化施肥灌溉控制器，配置本地人机交互显示屏；具备数据采集、本地存储、设备控制、远程访问功能；设备总线扩展最大支持256个田间电磁阀节点，支持电磁阀编组控制。设备具备手动、自动两种工作模式，断网状态下可本地独立执行施肥灌溉计划，网络恢复后同步状态。</w:t>
            </w:r>
          </w:p>
          <w:p w14:paraId="7A275F45">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4</w:t>
            </w:r>
            <w:r>
              <w:rPr>
                <w:rFonts w:ascii="宋体" w:hAnsi="宋体" w:cs="宋体"/>
                <w:kern w:val="0"/>
                <w:sz w:val="24"/>
                <w:highlight w:val="none"/>
              </w:rPr>
              <w:t xml:space="preserve"> 通讯接口：具备Modbus-RTU总线接口、RJ45以太网通信接口；支持RS485；RJ45以太网接口支持多设备组网；上行支持全网通4G；设备可直接对接云平台，支持与灌溉网关、首部过滤控制系统实现联动；供货</w:t>
            </w:r>
            <w:r>
              <w:rPr>
                <w:rFonts w:hint="eastAsia" w:ascii="宋体" w:hAnsi="宋体" w:cs="宋体"/>
                <w:kern w:val="0"/>
                <w:sz w:val="24"/>
                <w:highlight w:val="none"/>
              </w:rPr>
              <w:t>时</w:t>
            </w:r>
            <w:r>
              <w:rPr>
                <w:rFonts w:ascii="宋体" w:hAnsi="宋体" w:cs="宋体"/>
                <w:kern w:val="0"/>
                <w:sz w:val="24"/>
                <w:highlight w:val="none"/>
              </w:rPr>
              <w:t>须提供完整接口报文文档，保障互联互通。</w:t>
            </w:r>
          </w:p>
          <w:p w14:paraId="537ECD3B">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 xml:space="preserve"> 数据存储：设备内置本地数据存储，支持U盘导出运行日志。</w:t>
            </w:r>
          </w:p>
          <w:p w14:paraId="42943151">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6</w:t>
            </w:r>
            <w:r>
              <w:rPr>
                <w:rFonts w:ascii="宋体" w:hAnsi="宋体" w:cs="宋体"/>
                <w:kern w:val="0"/>
                <w:sz w:val="24"/>
                <w:highlight w:val="none"/>
              </w:rPr>
              <w:t xml:space="preserve"> 电磁兼容：整机具备雷击浪涌保护；电磁抗扰度满足GB/T 17626标准：浪涌±1kV；电快速群脉冲2kV；静电接触放电4kV，空气放电8kV。</w:t>
            </w:r>
          </w:p>
          <w:p w14:paraId="4A34C4F2">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7</w:t>
            </w:r>
            <w:r>
              <w:rPr>
                <w:rFonts w:ascii="宋体" w:hAnsi="宋体" w:cs="宋体"/>
                <w:kern w:val="0"/>
                <w:sz w:val="24"/>
                <w:highlight w:val="none"/>
              </w:rPr>
              <w:t xml:space="preserve"> 供电：设备工作电压AC220V/380V。</w:t>
            </w:r>
          </w:p>
          <w:p w14:paraId="65744D8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26</w:t>
            </w:r>
            <w:r>
              <w:rPr>
                <w:rFonts w:ascii="宋体" w:hAnsi="宋体" w:cs="宋体"/>
                <w:kern w:val="0"/>
                <w:sz w:val="24"/>
                <w:highlight w:val="none"/>
              </w:rPr>
              <w:t>.</w:t>
            </w:r>
            <w:r>
              <w:rPr>
                <w:rFonts w:hint="eastAsia" w:ascii="宋体" w:hAnsi="宋体" w:cs="宋体"/>
                <w:kern w:val="0"/>
                <w:sz w:val="24"/>
                <w:highlight w:val="none"/>
              </w:rPr>
              <w:t>8</w:t>
            </w:r>
            <w:r>
              <w:rPr>
                <w:rFonts w:ascii="宋体" w:hAnsi="宋体" w:cs="宋体"/>
                <w:kern w:val="0"/>
                <w:sz w:val="24"/>
                <w:highlight w:val="none"/>
              </w:rPr>
              <w:t xml:space="preserve"> 整机防护：电控柜体防护等级不低于IP54（依据GB/T 43908-2024、GB/T 4208-2017）；整机工作温度-10℃～+60℃，适应泵房机房工况。</w:t>
            </w:r>
          </w:p>
        </w:tc>
        <w:tc>
          <w:tcPr>
            <w:tcW w:w="0" w:type="auto"/>
            <w:vAlign w:val="center"/>
          </w:tcPr>
          <w:p w14:paraId="39D0320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031C108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2A07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7EA09799">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27</w:t>
            </w:r>
          </w:p>
        </w:tc>
        <w:tc>
          <w:tcPr>
            <w:tcW w:w="1084" w:type="dxa"/>
            <w:noWrap/>
            <w:vAlign w:val="center"/>
          </w:tcPr>
          <w:p w14:paraId="71E4D4EC">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三通道施肥机泵</w:t>
            </w:r>
          </w:p>
        </w:tc>
        <w:tc>
          <w:tcPr>
            <w:tcW w:w="7411" w:type="dxa"/>
            <w:vAlign w:val="center"/>
          </w:tcPr>
          <w:p w14:paraId="72C943D0">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.1 执行标准：GB/T 43908</w:t>
            </w:r>
            <w:r>
              <w:rPr>
                <w:rFonts w:ascii="宋体" w:hAnsi="宋体" w:cs="宋体"/>
                <w:kern w:val="0"/>
                <w:sz w:val="24"/>
                <w:highlight w:val="none"/>
              </w:rPr>
              <w:noBreakHyphen/>
            </w:r>
            <w:r>
              <w:rPr>
                <w:rFonts w:ascii="宋体" w:hAnsi="宋体" w:cs="宋体"/>
                <w:kern w:val="0"/>
                <w:sz w:val="24"/>
                <w:highlight w:val="none"/>
              </w:rPr>
              <w:t>2024《水肥一体化设备》、GB/T 5656</w:t>
            </w:r>
            <w:r>
              <w:rPr>
                <w:rFonts w:ascii="宋体" w:hAnsi="宋体" w:cs="宋体"/>
                <w:kern w:val="0"/>
                <w:sz w:val="24"/>
                <w:highlight w:val="none"/>
              </w:rPr>
              <w:noBreakHyphen/>
            </w:r>
            <w:r>
              <w:rPr>
                <w:rFonts w:ascii="宋体" w:hAnsi="宋体" w:cs="宋体"/>
                <w:kern w:val="0"/>
                <w:sz w:val="24"/>
                <w:highlight w:val="none"/>
              </w:rPr>
              <w:t>2008《离心泵技术条件（Ⅱ 类）》、GB 10395.1</w:t>
            </w:r>
            <w:r>
              <w:rPr>
                <w:rFonts w:ascii="宋体" w:hAnsi="宋体" w:cs="宋体"/>
                <w:kern w:val="0"/>
                <w:sz w:val="24"/>
                <w:highlight w:val="none"/>
              </w:rPr>
              <w:noBreakHyphen/>
            </w:r>
            <w:r>
              <w:rPr>
                <w:rFonts w:ascii="宋体" w:hAnsi="宋体" w:cs="宋体"/>
                <w:kern w:val="0"/>
                <w:sz w:val="24"/>
                <w:highlight w:val="none"/>
              </w:rPr>
              <w:t>2009、GB 10395.8</w:t>
            </w:r>
            <w:r>
              <w:rPr>
                <w:rFonts w:ascii="宋体" w:hAnsi="宋体" w:cs="宋体"/>
                <w:kern w:val="0"/>
                <w:sz w:val="24"/>
                <w:highlight w:val="none"/>
              </w:rPr>
              <w:noBreakHyphen/>
            </w:r>
            <w:r>
              <w:rPr>
                <w:rFonts w:ascii="宋体" w:hAnsi="宋体" w:cs="宋体"/>
                <w:kern w:val="0"/>
                <w:sz w:val="24"/>
                <w:highlight w:val="none"/>
              </w:rPr>
              <w:t>2006、GB 10396</w:t>
            </w:r>
            <w:r>
              <w:rPr>
                <w:rFonts w:ascii="宋体" w:hAnsi="宋体" w:cs="宋体"/>
                <w:kern w:val="0"/>
                <w:sz w:val="24"/>
                <w:highlight w:val="none"/>
              </w:rPr>
              <w:noBreakHyphen/>
            </w:r>
            <w:r>
              <w:rPr>
                <w:rFonts w:ascii="宋体" w:hAnsi="宋体" w:cs="宋体"/>
                <w:kern w:val="0"/>
                <w:sz w:val="24"/>
                <w:highlight w:val="none"/>
              </w:rPr>
              <w:t>2006，同时满足国家现行有关规范。</w:t>
            </w:r>
          </w:p>
          <w:p w14:paraId="2E3B79ED">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.2 整机性能参数：配置 1.5</w:t>
            </w:r>
            <w:r>
              <w:rPr>
                <w:kern w:val="0"/>
                <w:sz w:val="24"/>
                <w:highlight w:val="none"/>
              </w:rPr>
              <w:t> </w:t>
            </w:r>
            <w:r>
              <w:rPr>
                <w:rFonts w:ascii="宋体" w:hAnsi="宋体" w:cs="宋体"/>
                <w:kern w:val="0"/>
                <w:sz w:val="24"/>
                <w:highlight w:val="none"/>
              </w:rPr>
              <w:t>kW 不锈钢离心泵（施肥装置配套），额定流量 4</w:t>
            </w:r>
            <w:r>
              <w:rPr>
                <w:kern w:val="0"/>
                <w:sz w:val="24"/>
                <w:highlight w:val="none"/>
              </w:rPr>
              <w:t> </w:t>
            </w:r>
            <w:r>
              <w:rPr>
                <w:rFonts w:ascii="宋体" w:hAnsi="宋体" w:cs="宋体"/>
                <w:kern w:val="0"/>
                <w:sz w:val="24"/>
                <w:highlight w:val="none"/>
              </w:rPr>
              <w:t>m</w:t>
            </w:r>
            <w:r>
              <w:rPr>
                <w:rFonts w:hint="eastAsia" w:ascii="宋体" w:hAnsi="宋体" w:cs="宋体"/>
                <w:kern w:val="0"/>
                <w:sz w:val="24"/>
                <w:highlight w:val="none"/>
              </w:rPr>
              <w:t>³</w:t>
            </w:r>
            <w:r>
              <w:rPr>
                <w:rFonts w:ascii="宋体" w:hAnsi="宋体" w:cs="宋体"/>
                <w:kern w:val="0"/>
                <w:sz w:val="24"/>
                <w:highlight w:val="none"/>
              </w:rPr>
              <w:t>/h，额定扬程 57</w:t>
            </w:r>
            <w:r>
              <w:rPr>
                <w:kern w:val="0"/>
                <w:sz w:val="24"/>
                <w:highlight w:val="none"/>
              </w:rPr>
              <w:t> </w:t>
            </w:r>
            <w:r>
              <w:rPr>
                <w:rFonts w:ascii="宋体" w:hAnsi="宋体" w:cs="宋体"/>
                <w:kern w:val="0"/>
                <w:sz w:val="24"/>
                <w:highlight w:val="none"/>
              </w:rPr>
              <w:t>m，介质接触部件采用不锈钢耐腐蚀材质。</w:t>
            </w:r>
          </w:p>
          <w:p w14:paraId="3AC13A36">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.3 供电条件：三相 AC380V，50</w:t>
            </w:r>
            <w:r>
              <w:rPr>
                <w:kern w:val="0"/>
                <w:sz w:val="24"/>
                <w:highlight w:val="none"/>
              </w:rPr>
              <w:t> </w:t>
            </w:r>
            <w:r>
              <w:rPr>
                <w:rFonts w:ascii="宋体" w:hAnsi="宋体" w:cs="宋体"/>
                <w:kern w:val="0"/>
                <w:sz w:val="24"/>
                <w:highlight w:val="none"/>
              </w:rPr>
              <w:t>Hz。</w:t>
            </w:r>
          </w:p>
          <w:p w14:paraId="21E2FD8A">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.4 结构与密封：叶轮为离心结构；水泵与电动机之间采用单端面机械密封；固定止口采用 O 形密封圈径向密封，防止介质渗漏。</w:t>
            </w:r>
          </w:p>
          <w:p w14:paraId="1C255B65">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.5 适用介质工况：输送介质 pH 值 6</w:t>
            </w:r>
            <w:r>
              <w:rPr>
                <w:rFonts w:ascii="宋体" w:hAnsi="宋体" w:cs="宋体"/>
                <w:kern w:val="0"/>
                <w:sz w:val="24"/>
                <w:highlight w:val="none"/>
              </w:rPr>
              <w:noBreakHyphen/>
            </w:r>
            <w:r>
              <w:rPr>
                <w:rFonts w:ascii="宋体" w:hAnsi="宋体" w:cs="宋体"/>
                <w:kern w:val="0"/>
                <w:sz w:val="24"/>
                <w:highlight w:val="none"/>
              </w:rPr>
              <w:t>9，介质固体杂质体积比≤0.1%。</w:t>
            </w:r>
          </w:p>
          <w:p w14:paraId="602FF760">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27</w:t>
            </w:r>
            <w:r>
              <w:rPr>
                <w:rFonts w:ascii="宋体" w:hAnsi="宋体" w:cs="宋体"/>
                <w:kern w:val="0"/>
                <w:sz w:val="24"/>
                <w:highlight w:val="none"/>
              </w:rPr>
              <w:t>.6 接口形式：泵体与三通道施肥机主机之间，可采用法兰或螺纹连接，接口形式应与主机配套适配。</w:t>
            </w:r>
          </w:p>
        </w:tc>
        <w:tc>
          <w:tcPr>
            <w:tcW w:w="0" w:type="auto"/>
            <w:vAlign w:val="center"/>
          </w:tcPr>
          <w:p w14:paraId="2B31F4D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368BBE1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7570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7A2F2277">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28</w:t>
            </w:r>
          </w:p>
        </w:tc>
        <w:tc>
          <w:tcPr>
            <w:tcW w:w="1084" w:type="dxa"/>
            <w:noWrap/>
            <w:vAlign w:val="center"/>
          </w:tcPr>
          <w:p w14:paraId="7D4A3413">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施肥桶</w:t>
            </w:r>
          </w:p>
        </w:tc>
        <w:tc>
          <w:tcPr>
            <w:tcW w:w="7411" w:type="dxa"/>
            <w:vAlign w:val="center"/>
          </w:tcPr>
          <w:p w14:paraId="22BCBF0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28</w:t>
            </w:r>
            <w:r>
              <w:rPr>
                <w:rFonts w:ascii="宋体" w:hAnsi="宋体" w:cs="宋体"/>
                <w:kern w:val="0"/>
                <w:sz w:val="24"/>
                <w:highlight w:val="none"/>
              </w:rPr>
              <w:t>.1 执行标准：设备制造执行 GB/T 13508-2025《聚乙烯吹塑容器》。</w:t>
            </w:r>
          </w:p>
          <w:p w14:paraId="3DFA4331">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28</w:t>
            </w:r>
            <w:r>
              <w:rPr>
                <w:rFonts w:ascii="宋体" w:hAnsi="宋体" w:cs="宋体"/>
                <w:kern w:val="0"/>
                <w:sz w:val="24"/>
                <w:highlight w:val="none"/>
              </w:rPr>
              <w:t>.2 材质与容积：采用全新 PE 原料一体加厚吹塑成型，整体无拼接，耐水肥腐蚀、抗老化、不易变形；容器有效容积 800L，桶体加厚平底结构，承重稳定性好，适配水肥药剂长期储存工况；配套完整接线、开孔密封组件。</w:t>
            </w:r>
          </w:p>
          <w:p w14:paraId="44F0971A">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28</w:t>
            </w:r>
            <w:r>
              <w:rPr>
                <w:rFonts w:ascii="宋体" w:hAnsi="宋体" w:cs="宋体"/>
                <w:kern w:val="0"/>
                <w:sz w:val="24"/>
                <w:highlight w:val="none"/>
              </w:rPr>
              <w:t>.3 接口配置：单桶设置 3 处 DN25 标准接口，其中桶体上端设置 1 处、桶体下端设置 2 处，接口规整、密封可靠，便于管路连接、进水、吸肥及排污使用。</w:t>
            </w:r>
          </w:p>
          <w:p w14:paraId="5CE1944A">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28</w:t>
            </w:r>
            <w:r>
              <w:rPr>
                <w:rFonts w:ascii="宋体" w:hAnsi="宋体" w:cs="宋体"/>
                <w:kern w:val="0"/>
                <w:sz w:val="24"/>
                <w:highlight w:val="none"/>
              </w:rPr>
              <w:t>.4 配套构件：桶体预留专用搅拌机固定安装板，结构强度可靠，可稳定配套搅拌设备安装固定，满足水肥均匀搅拌配制作业需求。</w:t>
            </w:r>
          </w:p>
        </w:tc>
        <w:tc>
          <w:tcPr>
            <w:tcW w:w="0" w:type="auto"/>
            <w:vAlign w:val="center"/>
          </w:tcPr>
          <w:p w14:paraId="5502BE8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0" w:type="auto"/>
            <w:vAlign w:val="center"/>
          </w:tcPr>
          <w:p w14:paraId="65547DE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r>
      <w:tr w14:paraId="7CDCB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6CF355C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29</w:t>
            </w:r>
          </w:p>
        </w:tc>
        <w:tc>
          <w:tcPr>
            <w:tcW w:w="1084" w:type="dxa"/>
            <w:noWrap/>
            <w:vAlign w:val="center"/>
          </w:tcPr>
          <w:p w14:paraId="4E2E7E25">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搅拌机</w:t>
            </w:r>
          </w:p>
        </w:tc>
        <w:tc>
          <w:tcPr>
            <w:tcW w:w="7411" w:type="dxa"/>
            <w:vAlign w:val="center"/>
          </w:tcPr>
          <w:p w14:paraId="68AA3CF6">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29</w:t>
            </w:r>
            <w:r>
              <w:rPr>
                <w:rFonts w:ascii="宋体" w:hAnsi="宋体" w:cs="宋体"/>
                <w:kern w:val="0"/>
                <w:sz w:val="24"/>
                <w:highlight w:val="none"/>
              </w:rPr>
              <w:t>.1 执行标准：设备制造、检验执行 GB 755-2025《旋转电机 定额和性能》、GB 10396-2006《农林拖拉机和机械、草坪和园艺动力机械 安全标志和危险图形 总则》。</w:t>
            </w:r>
          </w:p>
          <w:p w14:paraId="65F19C4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29</w:t>
            </w:r>
            <w:r>
              <w:rPr>
                <w:rFonts w:ascii="宋体" w:hAnsi="宋体" w:cs="宋体"/>
                <w:kern w:val="0"/>
                <w:sz w:val="24"/>
                <w:highlight w:val="none"/>
              </w:rPr>
              <w:t>.2 电气参数：电机额定功率0.75kW，额定供电三相AC380V、50Hz，运行稳定、过载能力强，适配水肥搅拌连续工作制。</w:t>
            </w:r>
          </w:p>
          <w:p w14:paraId="01064E9B">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29</w:t>
            </w:r>
            <w:r>
              <w:rPr>
                <w:rFonts w:ascii="宋体" w:hAnsi="宋体" w:cs="宋体"/>
                <w:kern w:val="0"/>
                <w:sz w:val="24"/>
                <w:highlight w:val="none"/>
              </w:rPr>
              <w:t>.3 连接结构：搅拌轴与驱动主机采用专用紧固连接件连接，结构牢靠、抗扭力强，长期搅拌工况下无松动、无偏心晃动，运行平稳。</w:t>
            </w:r>
          </w:p>
          <w:p w14:paraId="6A0243DB">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29</w:t>
            </w:r>
            <w:r>
              <w:rPr>
                <w:rFonts w:ascii="宋体" w:hAnsi="宋体" w:cs="宋体"/>
                <w:kern w:val="0"/>
                <w:sz w:val="24"/>
                <w:highlight w:val="none"/>
              </w:rPr>
              <w:t>.4 搅拌部件：搅拌轴、搅拌叶轮全部采用304不锈钢材质，耐腐蚀、抗老化，适配水肥药剂酸碱工况；配置三叶式搅拌结构，搅拌器直径100mm，搅拌均匀性好，无沉淀死角。</w:t>
            </w:r>
          </w:p>
        </w:tc>
        <w:tc>
          <w:tcPr>
            <w:tcW w:w="0" w:type="auto"/>
            <w:vAlign w:val="center"/>
          </w:tcPr>
          <w:p w14:paraId="73F2278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2BE4A00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r>
      <w:tr w14:paraId="405C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817" w:type="dxa"/>
            <w:noWrap/>
            <w:vAlign w:val="center"/>
          </w:tcPr>
          <w:p w14:paraId="39CC854F">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30</w:t>
            </w:r>
          </w:p>
        </w:tc>
        <w:tc>
          <w:tcPr>
            <w:tcW w:w="1084" w:type="dxa"/>
            <w:noWrap/>
            <w:vAlign w:val="center"/>
          </w:tcPr>
          <w:p w14:paraId="7622EE0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水肥一体化注肥系统——</w:t>
            </w:r>
            <w:r>
              <w:rPr>
                <w:rFonts w:ascii="宋体" w:hAnsi="宋体" w:cs="宋体"/>
                <w:kern w:val="0"/>
                <w:sz w:val="24"/>
                <w:highlight w:val="none"/>
              </w:rPr>
              <w:t>水肥灌溉自动控制系统</w:t>
            </w:r>
          </w:p>
        </w:tc>
        <w:tc>
          <w:tcPr>
            <w:tcW w:w="7411" w:type="dxa"/>
            <w:vAlign w:val="center"/>
          </w:tcPr>
          <w:p w14:paraId="35137E6E">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.1 执行标准：设备设计制造执行 GB/T 4208</w:t>
            </w:r>
            <w:r>
              <w:rPr>
                <w:rFonts w:ascii="宋体" w:hAnsi="宋体" w:cs="宋体"/>
                <w:kern w:val="0"/>
                <w:sz w:val="24"/>
                <w:highlight w:val="none"/>
              </w:rPr>
              <w:noBreakHyphen/>
            </w:r>
            <w:r>
              <w:rPr>
                <w:rFonts w:ascii="宋体" w:hAnsi="宋体" w:cs="宋体"/>
                <w:kern w:val="0"/>
                <w:sz w:val="24"/>
                <w:highlight w:val="none"/>
              </w:rPr>
              <w:t>2017《外壳防护等级（IP 代码）》、GB/T 17626 系列电磁兼容标准、GB 10396</w:t>
            </w:r>
            <w:r>
              <w:rPr>
                <w:rFonts w:ascii="宋体" w:hAnsi="宋体" w:cs="宋体"/>
                <w:kern w:val="0"/>
                <w:sz w:val="24"/>
                <w:highlight w:val="none"/>
              </w:rPr>
              <w:noBreakHyphen/>
            </w:r>
            <w:r>
              <w:rPr>
                <w:rFonts w:ascii="宋体" w:hAnsi="宋体" w:cs="宋体"/>
                <w:kern w:val="0"/>
                <w:sz w:val="24"/>
                <w:highlight w:val="none"/>
              </w:rPr>
              <w:t>2006《农林拖拉机和机械、草坪和园艺动力机械 安全标志和危险图形 总则》。</w:t>
            </w:r>
          </w:p>
          <w:p w14:paraId="47E618CD">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.2 进肥调节：采用隔膜阀实现进肥量调节控制。</w:t>
            </w:r>
          </w:p>
          <w:p w14:paraId="61525E51">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.3 混肥搅拌：具备自动混肥搅拌控制功能。</w:t>
            </w:r>
          </w:p>
          <w:p w14:paraId="2FF92E35">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.4 工艺拓展：支持灌溉施肥工艺功能扩展。</w:t>
            </w:r>
          </w:p>
          <w:p w14:paraId="056E667F">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.5 首部控制：可实现水源水泵首部设备控制。</w:t>
            </w:r>
          </w:p>
          <w:p w14:paraId="775ED54C">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.6 灌溉模式：支持定时、定量灌溉控制模式。</w:t>
            </w:r>
          </w:p>
          <w:p w14:paraId="0C29C989">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.7 监测与报警：可实时采集注肥总量、瞬时注肥量、工作电压参数；具备各类运行故障实时监测及报警输出功能。</w:t>
            </w:r>
          </w:p>
          <w:p w14:paraId="3A25493D">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.8 水肥检测与配肥：配置 EC 肥液浓度、pH 酸碱度检测单元，检测数据可动态跟踪、显示及上传；支持依据 EC 值自动调肥、自动配肥。</w:t>
            </w:r>
          </w:p>
          <w:p w14:paraId="4377730A">
            <w:pPr>
              <w:widowControl/>
              <w:adjustRightInd w:val="0"/>
              <w:snapToGrid w:val="0"/>
              <w:rPr>
                <w:rFonts w:hint="eastAsia" w:ascii="宋体" w:hAnsi="宋体" w:cs="宋体"/>
                <w:kern w:val="0"/>
                <w:sz w:val="24"/>
                <w:highlight w:val="none"/>
              </w:rPr>
            </w:pPr>
            <w:r>
              <w:rPr>
                <w:rFonts w:hint="eastAsia" w:ascii="宋体" w:hAnsi="宋体" w:cs="宋体"/>
                <w:color w:val="000000"/>
                <w:kern w:val="0"/>
                <w:sz w:val="24"/>
                <w:highlight w:val="none"/>
              </w:rPr>
              <w:t>30</w:t>
            </w:r>
            <w:r>
              <w:rPr>
                <w:rFonts w:ascii="宋体" w:hAnsi="宋体" w:cs="宋体"/>
                <w:kern w:val="0"/>
                <w:sz w:val="24"/>
                <w:highlight w:val="none"/>
              </w:rPr>
              <w:t>.9 控制模式：配置物联网通讯接口；支持手机、电脑远程控制以及无线遥控操作。</w:t>
            </w:r>
          </w:p>
        </w:tc>
        <w:tc>
          <w:tcPr>
            <w:tcW w:w="0" w:type="auto"/>
            <w:vAlign w:val="center"/>
          </w:tcPr>
          <w:p w14:paraId="5885243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06CB4D2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77F2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17" w:type="dxa"/>
            <w:noWrap/>
            <w:vAlign w:val="center"/>
          </w:tcPr>
          <w:p w14:paraId="26C8101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1</w:t>
            </w:r>
          </w:p>
        </w:tc>
        <w:tc>
          <w:tcPr>
            <w:tcW w:w="1084" w:type="dxa"/>
            <w:noWrap/>
            <w:vAlign w:val="center"/>
          </w:tcPr>
          <w:p w14:paraId="641E90EE">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厌氧发酵罐</w:t>
            </w:r>
          </w:p>
        </w:tc>
        <w:tc>
          <w:tcPr>
            <w:tcW w:w="7411" w:type="dxa"/>
            <w:vAlign w:val="center"/>
          </w:tcPr>
          <w:p w14:paraId="03AAF25A">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规格参数：罐体材质为玻璃钢；单罐外形尺寸 </w:t>
            </w:r>
            <w:r>
              <w:rPr>
                <w:rFonts w:ascii="宋体" w:hAnsi="宋体" w:cs="Calibri"/>
                <w:kern w:val="0"/>
                <w:sz w:val="24"/>
                <w:highlight w:val="none"/>
              </w:rPr>
              <w:t>φ</w:t>
            </w:r>
            <w:r>
              <w:rPr>
                <w:rFonts w:ascii="宋体" w:hAnsi="宋体" w:cs="宋体"/>
                <w:kern w:val="0"/>
                <w:sz w:val="24"/>
                <w:highlight w:val="none"/>
              </w:rPr>
              <w:t>3.2</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×12.7</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w:t>
            </w:r>
            <w:r>
              <w:rPr>
                <w:rFonts w:hint="eastAsia" w:ascii="宋体" w:hAnsi="宋体" w:cs="宋体"/>
                <w:kern w:val="0"/>
                <w:sz w:val="24"/>
                <w:highlight w:val="none"/>
              </w:rPr>
              <w:t>单罐</w:t>
            </w:r>
            <w:r>
              <w:rPr>
                <w:rFonts w:ascii="宋体" w:hAnsi="宋体" w:cs="宋体"/>
                <w:kern w:val="0"/>
                <w:sz w:val="24"/>
                <w:highlight w:val="none"/>
              </w:rPr>
              <w:t>有效容积 100</w:t>
            </w:r>
            <w:r>
              <w:rPr>
                <w:rFonts w:hint="eastAsia" w:ascii="宋体" w:hAnsi="宋体" w:cs="宋体"/>
                <w:kern w:val="0"/>
                <w:sz w:val="24"/>
                <w:highlight w:val="none"/>
              </w:rPr>
              <w:t>±0.3</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³；罐体壁厚≥ 7</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m。</w:t>
            </w:r>
          </w:p>
          <w:p w14:paraId="50200BC9">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性能要求：罐体整体密闭防渗，耐污水、厌氧发酵介质腐蚀；结构强度满足覆土及地面荷载要求，无渗漏、变形；罐体设置必要工艺接口，满足进出水、沼气收集等使用需求。</w:t>
            </w:r>
          </w:p>
          <w:p w14:paraId="7870F47C">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工作条件：适用于污水厌氧发酵处理工况；设备出厂需进行渗漏检验，不允许出现渗水、漏气现象。</w:t>
            </w:r>
          </w:p>
        </w:tc>
        <w:tc>
          <w:tcPr>
            <w:tcW w:w="0" w:type="auto"/>
            <w:vAlign w:val="center"/>
          </w:tcPr>
          <w:p w14:paraId="20602A6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个（100m³/个）</w:t>
            </w:r>
          </w:p>
        </w:tc>
        <w:tc>
          <w:tcPr>
            <w:tcW w:w="0" w:type="auto"/>
            <w:vAlign w:val="center"/>
          </w:tcPr>
          <w:p w14:paraId="2447F79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14</w:t>
            </w:r>
          </w:p>
        </w:tc>
      </w:tr>
      <w:tr w14:paraId="4E63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817" w:type="dxa"/>
            <w:noWrap/>
            <w:vAlign w:val="center"/>
          </w:tcPr>
          <w:p w14:paraId="35C8BB98">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2</w:t>
            </w:r>
          </w:p>
        </w:tc>
        <w:tc>
          <w:tcPr>
            <w:tcW w:w="1084" w:type="dxa"/>
            <w:vAlign w:val="center"/>
          </w:tcPr>
          <w:p w14:paraId="70D18929">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干湿分离机</w:t>
            </w:r>
          </w:p>
          <w:p w14:paraId="3187ED05">
            <w:pPr>
              <w:widowControl/>
              <w:adjustRightInd w:val="0"/>
              <w:snapToGrid w:val="0"/>
              <w:rPr>
                <w:rFonts w:hint="eastAsia" w:ascii="宋体" w:hAnsi="宋体" w:cs="宋体"/>
                <w:color w:val="FF0000"/>
                <w:kern w:val="0"/>
                <w:sz w:val="24"/>
                <w:highlight w:val="none"/>
              </w:rPr>
            </w:pPr>
          </w:p>
        </w:tc>
        <w:tc>
          <w:tcPr>
            <w:tcW w:w="7411" w:type="dxa"/>
            <w:vAlign w:val="center"/>
          </w:tcPr>
          <w:p w14:paraId="469CADDC">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2</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规格参数：</w:t>
            </w:r>
            <w:r>
              <w:rPr>
                <w:rFonts w:hint="eastAsia" w:ascii="宋体" w:hAnsi="宋体" w:cs="宋体"/>
                <w:kern w:val="0"/>
                <w:sz w:val="24"/>
                <w:highlight w:val="none"/>
              </w:rPr>
              <w:t>单机配备4台压榨电机，</w:t>
            </w:r>
            <w:r>
              <w:rPr>
                <w:rFonts w:ascii="宋体" w:hAnsi="宋体" w:cs="宋体"/>
                <w:kern w:val="0"/>
                <w:sz w:val="24"/>
                <w:highlight w:val="none"/>
              </w:rPr>
              <w:t>压榨电机功率≥ 3.0</w:t>
            </w:r>
            <w:r>
              <w:rPr>
                <w:kern w:val="0"/>
                <w:sz w:val="24"/>
                <w:highlight w:val="none"/>
              </w:rPr>
              <w:t> </w:t>
            </w:r>
            <w:r>
              <w:rPr>
                <w:rFonts w:ascii="宋体" w:hAnsi="宋体" w:cs="宋体"/>
                <w:kern w:val="0"/>
                <w:sz w:val="24"/>
                <w:highlight w:val="none"/>
              </w:rPr>
              <w:t>kW；设备实际粪污工况下处理能力 25-35</w:t>
            </w:r>
            <w:r>
              <w:rPr>
                <w:kern w:val="0"/>
                <w:sz w:val="24"/>
                <w:highlight w:val="none"/>
              </w:rPr>
              <w:t> </w:t>
            </w:r>
            <w:r>
              <w:rPr>
                <w:rFonts w:ascii="宋体" w:hAnsi="宋体" w:cs="宋体"/>
                <w:kern w:val="0"/>
                <w:sz w:val="24"/>
                <w:highlight w:val="none"/>
              </w:rPr>
              <w:t>m</w:t>
            </w:r>
            <w:r>
              <w:rPr>
                <w:rFonts w:hint="eastAsia" w:ascii="宋体" w:hAnsi="宋体" w:cs="宋体"/>
                <w:kern w:val="0"/>
                <w:sz w:val="24"/>
                <w:highlight w:val="none"/>
              </w:rPr>
              <w:t>³</w:t>
            </w:r>
            <w:r>
              <w:rPr>
                <w:rFonts w:ascii="宋体" w:hAnsi="宋体" w:cs="宋体"/>
                <w:kern w:val="0"/>
                <w:sz w:val="24"/>
                <w:highlight w:val="none"/>
              </w:rPr>
              <w:t>/h；不锈钢栅条间隙 0.7-0.8</w:t>
            </w:r>
            <w:r>
              <w:rPr>
                <w:kern w:val="0"/>
                <w:sz w:val="24"/>
                <w:highlight w:val="none"/>
              </w:rPr>
              <w:t> </w:t>
            </w:r>
            <w:r>
              <w:rPr>
                <w:rFonts w:ascii="宋体" w:hAnsi="宋体" w:cs="宋体"/>
                <w:kern w:val="0"/>
                <w:sz w:val="24"/>
                <w:highlight w:val="none"/>
              </w:rPr>
              <w:t>mm；设备外形尺寸</w:t>
            </w:r>
            <w:r>
              <w:rPr>
                <w:rFonts w:hint="eastAsia" w:ascii="宋体" w:hAnsi="宋体" w:cs="宋体"/>
                <w:kern w:val="0"/>
                <w:sz w:val="24"/>
                <w:highlight w:val="none"/>
              </w:rPr>
              <w:t>长</w:t>
            </w:r>
            <w:r>
              <w:rPr>
                <w:rFonts w:ascii="宋体" w:hAnsi="宋体" w:cs="宋体"/>
                <w:kern w:val="0"/>
                <w:sz w:val="24"/>
                <w:highlight w:val="none"/>
              </w:rPr>
              <w:t>1960</w:t>
            </w:r>
            <w:r>
              <w:rPr>
                <w:rFonts w:hint="eastAsia" w:ascii="宋体" w:hAnsi="宋体" w:cs="宋体"/>
                <w:kern w:val="0"/>
                <w:sz w:val="24"/>
                <w:highlight w:val="none"/>
              </w:rPr>
              <w:t>±50</w:t>
            </w:r>
            <w:r>
              <w:rPr>
                <w:rFonts w:ascii="宋体" w:hAnsi="宋体" w:cs="宋体"/>
                <w:kern w:val="0"/>
                <w:sz w:val="24"/>
                <w:highlight w:val="none"/>
              </w:rPr>
              <w:t>mm</w:t>
            </w:r>
            <w:r>
              <w:rPr>
                <w:rFonts w:hint="eastAsia" w:ascii="宋体" w:hAnsi="宋体" w:cs="宋体"/>
                <w:kern w:val="0"/>
                <w:sz w:val="24"/>
                <w:highlight w:val="none"/>
              </w:rPr>
              <w:t>、宽</w:t>
            </w:r>
            <w:r>
              <w:rPr>
                <w:rFonts w:ascii="宋体" w:hAnsi="宋体" w:cs="宋体"/>
                <w:kern w:val="0"/>
                <w:sz w:val="24"/>
                <w:highlight w:val="none"/>
              </w:rPr>
              <w:t>1500</w:t>
            </w:r>
            <w:r>
              <w:rPr>
                <w:rFonts w:hint="eastAsia" w:ascii="宋体" w:hAnsi="宋体" w:cs="宋体"/>
                <w:kern w:val="0"/>
                <w:sz w:val="24"/>
                <w:highlight w:val="none"/>
              </w:rPr>
              <w:t>±50</w:t>
            </w:r>
            <w:r>
              <w:rPr>
                <w:rFonts w:ascii="宋体" w:hAnsi="宋体" w:cs="宋体"/>
                <w:kern w:val="0"/>
                <w:sz w:val="24"/>
                <w:highlight w:val="none"/>
              </w:rPr>
              <w:t>mm</w:t>
            </w:r>
            <w:r>
              <w:rPr>
                <w:rFonts w:hint="eastAsia" w:ascii="宋体" w:hAnsi="宋体" w:cs="宋体"/>
                <w:kern w:val="0"/>
                <w:sz w:val="24"/>
                <w:highlight w:val="none"/>
              </w:rPr>
              <w:t>、高</w:t>
            </w:r>
            <w:r>
              <w:rPr>
                <w:rFonts w:ascii="宋体" w:hAnsi="宋体" w:cs="宋体"/>
                <w:kern w:val="0"/>
                <w:sz w:val="24"/>
                <w:highlight w:val="none"/>
              </w:rPr>
              <w:t>1640</w:t>
            </w:r>
            <w:r>
              <w:rPr>
                <w:kern w:val="0"/>
                <w:sz w:val="24"/>
                <w:highlight w:val="none"/>
              </w:rPr>
              <w:t> </w:t>
            </w:r>
            <w:r>
              <w:rPr>
                <w:rFonts w:hint="eastAsia" w:ascii="宋体" w:hAnsi="宋体" w:cs="宋体"/>
                <w:kern w:val="0"/>
                <w:sz w:val="24"/>
                <w:highlight w:val="none"/>
              </w:rPr>
              <w:t>±50</w:t>
            </w:r>
            <w:r>
              <w:rPr>
                <w:rFonts w:ascii="宋体" w:hAnsi="宋体" w:cs="宋体"/>
                <w:kern w:val="0"/>
                <w:sz w:val="24"/>
                <w:highlight w:val="none"/>
              </w:rPr>
              <w:t>mm；设备形式为螺旋挤压式固液分离机，具备机械压榨脱水功能；不接受单纯斜筛式、滚筒微滤式作为主机设备。</w:t>
            </w:r>
          </w:p>
          <w:p w14:paraId="03C6B0FC">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2</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材质要求：与物料接触部件（</w:t>
            </w:r>
            <w:r>
              <w:rPr>
                <w:rFonts w:hint="eastAsia" w:ascii="宋体" w:hAnsi="宋体" w:cs="宋体"/>
                <w:kern w:val="0"/>
                <w:sz w:val="24"/>
                <w:highlight w:val="none"/>
              </w:rPr>
              <w:t>蛟龙叶片</w:t>
            </w:r>
            <w:r>
              <w:rPr>
                <w:rFonts w:ascii="宋体" w:hAnsi="宋体" w:cs="宋体"/>
                <w:kern w:val="0"/>
                <w:sz w:val="24"/>
                <w:highlight w:val="none"/>
              </w:rPr>
              <w:t xml:space="preserve">、筛网 </w:t>
            </w:r>
            <w:r>
              <w:rPr>
                <w:rFonts w:hint="eastAsia" w:ascii="宋体" w:hAnsi="宋体" w:cs="宋体"/>
                <w:kern w:val="0"/>
                <w:sz w:val="24"/>
                <w:highlight w:val="none"/>
              </w:rPr>
              <w:t>、机壳</w:t>
            </w:r>
            <w:r>
              <w:rPr>
                <w:rFonts w:ascii="宋体" w:hAnsi="宋体" w:cs="宋体"/>
                <w:kern w:val="0"/>
                <w:sz w:val="24"/>
                <w:highlight w:val="none"/>
              </w:rPr>
              <w:t>）采用304 不锈钢材质，耐腐蚀、耐磨损，满足畜禽粪污固液分离工况；易磨损部件应便于更换。</w:t>
            </w:r>
          </w:p>
          <w:p w14:paraId="788061C6">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2</w:t>
            </w:r>
            <w:r>
              <w:rPr>
                <w:rFonts w:ascii="宋体" w:hAnsi="宋体" w:cs="宋体"/>
                <w:kern w:val="0"/>
                <w:sz w:val="24"/>
                <w:highlight w:val="none"/>
              </w:rPr>
              <w:t>.4 性能要求：设备运行平稳，分离效果稳定；旋转部件设置可靠安全防护罩；整机便于维护、冲洗清理，配套可靠冲洗防堵塞机构。</w:t>
            </w:r>
          </w:p>
          <w:p w14:paraId="7033EBE7">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2</w:t>
            </w:r>
            <w:r>
              <w:rPr>
                <w:rFonts w:ascii="宋体" w:hAnsi="宋体" w:cs="宋体"/>
                <w:kern w:val="0"/>
                <w:sz w:val="24"/>
                <w:highlight w:val="none"/>
              </w:rPr>
              <w:t>.5 配套要求：设备配套完整传动组件、机架、出料机构；配套进料接口、滤液排口、固渣出料口；设备自带就地控制按钮。</w:t>
            </w:r>
          </w:p>
        </w:tc>
        <w:tc>
          <w:tcPr>
            <w:tcW w:w="0" w:type="auto"/>
            <w:vAlign w:val="center"/>
          </w:tcPr>
          <w:p w14:paraId="12EDEA3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4C40009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r>
      <w:tr w14:paraId="532A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817" w:type="dxa"/>
            <w:noWrap/>
            <w:vAlign w:val="center"/>
          </w:tcPr>
          <w:p w14:paraId="6647DBFF">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3</w:t>
            </w:r>
          </w:p>
        </w:tc>
        <w:tc>
          <w:tcPr>
            <w:tcW w:w="1084" w:type="dxa"/>
            <w:noWrap/>
            <w:vAlign w:val="center"/>
          </w:tcPr>
          <w:p w14:paraId="6DCFBD38">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污水泵</w:t>
            </w:r>
          </w:p>
        </w:tc>
        <w:tc>
          <w:tcPr>
            <w:tcW w:w="7411" w:type="dxa"/>
            <w:vAlign w:val="center"/>
          </w:tcPr>
          <w:p w14:paraId="559B09A6">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3</w:t>
            </w:r>
            <w:r>
              <w:rPr>
                <w:rFonts w:ascii="宋体" w:hAnsi="宋体" w:cs="宋体"/>
                <w:kern w:val="0"/>
                <w:sz w:val="24"/>
                <w:highlight w:val="none"/>
              </w:rPr>
              <w:t>.1 执行标准：设备制造执行 JB/T 13241-2017《无堵塞自吸式排污泵》；水力性能试验执行 GB/T 3216-2023《回转动力泵 水力性能验收试验》；电磁兼容执行 GB/T 17626 系列。</w:t>
            </w:r>
          </w:p>
          <w:p w14:paraId="37CE0C55">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3</w:t>
            </w:r>
            <w:r>
              <w:rPr>
                <w:rFonts w:ascii="宋体" w:hAnsi="宋体" w:cs="宋体"/>
                <w:kern w:val="0"/>
                <w:sz w:val="24"/>
                <w:highlight w:val="none"/>
              </w:rPr>
              <w:t>.2 规格参数：泵形式为自吸式无堵塞排污泵；吸入口径 50</w:t>
            </w:r>
            <w:r>
              <w:rPr>
                <w:kern w:val="0"/>
                <w:sz w:val="24"/>
                <w:highlight w:val="none"/>
              </w:rPr>
              <w:t> </w:t>
            </w:r>
            <w:r>
              <w:rPr>
                <w:rFonts w:ascii="宋体" w:hAnsi="宋体" w:cs="宋体"/>
                <w:kern w:val="0"/>
                <w:sz w:val="24"/>
                <w:highlight w:val="none"/>
              </w:rPr>
              <w:t>mm；过流部件材质 304 不锈钢；允许通过颗粒粒径 20</w:t>
            </w:r>
            <w:r>
              <w:rPr>
                <w:kern w:val="0"/>
                <w:sz w:val="24"/>
                <w:highlight w:val="none"/>
              </w:rPr>
              <w:t> </w:t>
            </w:r>
            <w:r>
              <w:rPr>
                <w:rFonts w:ascii="宋体" w:hAnsi="宋体" w:cs="宋体"/>
                <w:kern w:val="0"/>
                <w:sz w:val="24"/>
                <w:highlight w:val="none"/>
              </w:rPr>
              <w:t>mm；额定流量≥ 15</w:t>
            </w:r>
            <w:r>
              <w:rPr>
                <w:kern w:val="0"/>
                <w:sz w:val="24"/>
                <w:highlight w:val="none"/>
              </w:rPr>
              <w:t> </w:t>
            </w:r>
            <w:r>
              <w:rPr>
                <w:rFonts w:ascii="宋体" w:hAnsi="宋体" w:cs="宋体"/>
                <w:kern w:val="0"/>
                <w:sz w:val="24"/>
                <w:highlight w:val="none"/>
              </w:rPr>
              <w:t>m</w:t>
            </w:r>
            <w:r>
              <w:rPr>
                <w:rFonts w:hint="eastAsia" w:ascii="宋体" w:hAnsi="宋体" w:cs="宋体"/>
                <w:kern w:val="0"/>
                <w:sz w:val="24"/>
                <w:highlight w:val="none"/>
              </w:rPr>
              <w:t>³</w:t>
            </w:r>
            <w:r>
              <w:rPr>
                <w:rFonts w:ascii="宋体" w:hAnsi="宋体" w:cs="宋体"/>
                <w:kern w:val="0"/>
                <w:sz w:val="24"/>
                <w:highlight w:val="none"/>
              </w:rPr>
              <w:t>/h；额定扬程≥ 30</w:t>
            </w:r>
            <w:r>
              <w:rPr>
                <w:kern w:val="0"/>
                <w:sz w:val="24"/>
                <w:highlight w:val="none"/>
              </w:rPr>
              <w:t> </w:t>
            </w:r>
            <w:r>
              <w:rPr>
                <w:rFonts w:ascii="宋体" w:hAnsi="宋体" w:cs="宋体"/>
                <w:kern w:val="0"/>
                <w:sz w:val="24"/>
                <w:highlight w:val="none"/>
              </w:rPr>
              <w:t>m；电机功率≥ 2.2</w:t>
            </w:r>
            <w:r>
              <w:rPr>
                <w:kern w:val="0"/>
                <w:sz w:val="24"/>
                <w:highlight w:val="none"/>
              </w:rPr>
              <w:t> </w:t>
            </w:r>
            <w:r>
              <w:rPr>
                <w:rFonts w:ascii="宋体" w:hAnsi="宋体" w:cs="宋体"/>
                <w:kern w:val="0"/>
                <w:sz w:val="24"/>
                <w:highlight w:val="none"/>
              </w:rPr>
              <w:t>kW；电压等级 380V。</w:t>
            </w:r>
          </w:p>
          <w:p w14:paraId="76BBE959">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3</w:t>
            </w:r>
            <w:r>
              <w:rPr>
                <w:rFonts w:ascii="宋体" w:hAnsi="宋体" w:cs="宋体"/>
                <w:kern w:val="0"/>
                <w:sz w:val="24"/>
                <w:highlight w:val="none"/>
              </w:rPr>
              <w:t>.3 性能要求：泵无堵塞性能良好，自吸性能满足 JB/T 13241-2017 规范；运行平稳，振动、噪声满足对应产品规范；具备可靠的抗汽蚀能力，输送含颗粒污水介质时工作稳定。</w:t>
            </w:r>
          </w:p>
          <w:p w14:paraId="21F3FEAF">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3</w:t>
            </w:r>
            <w:r>
              <w:rPr>
                <w:rFonts w:ascii="宋体" w:hAnsi="宋体" w:cs="宋体"/>
                <w:kern w:val="0"/>
                <w:sz w:val="24"/>
                <w:highlight w:val="none"/>
              </w:rPr>
              <w:t>.4 配套及防护：配套底座、进出口法兰；电机防护等级不低于 IP</w:t>
            </w:r>
            <w:r>
              <w:rPr>
                <w:rFonts w:hint="eastAsia" w:ascii="宋体" w:hAnsi="宋体" w:cs="宋体"/>
                <w:kern w:val="0"/>
                <w:sz w:val="24"/>
                <w:highlight w:val="none"/>
              </w:rPr>
              <w:t>68</w:t>
            </w:r>
            <w:r>
              <w:rPr>
                <w:rFonts w:ascii="宋体" w:hAnsi="宋体" w:cs="宋体"/>
                <w:kern w:val="0"/>
                <w:sz w:val="24"/>
                <w:highlight w:val="none"/>
              </w:rPr>
              <w:t>，绝缘等级不低于 F 级；整机出厂完成水压试验及性能测试，供货</w:t>
            </w:r>
            <w:r>
              <w:rPr>
                <w:rFonts w:hint="eastAsia" w:ascii="宋体" w:hAnsi="宋体" w:cs="宋体"/>
                <w:kern w:val="0"/>
                <w:sz w:val="24"/>
                <w:highlight w:val="none"/>
              </w:rPr>
              <w:t>时</w:t>
            </w:r>
            <w:r>
              <w:rPr>
                <w:rFonts w:ascii="宋体" w:hAnsi="宋体" w:cs="宋体"/>
                <w:kern w:val="0"/>
                <w:sz w:val="24"/>
                <w:highlight w:val="none"/>
              </w:rPr>
              <w:t>提供出厂试验记录。</w:t>
            </w:r>
          </w:p>
        </w:tc>
        <w:tc>
          <w:tcPr>
            <w:tcW w:w="0" w:type="auto"/>
            <w:vAlign w:val="center"/>
          </w:tcPr>
          <w:p w14:paraId="287E431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0EE06FB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1771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trPr>
        <w:tc>
          <w:tcPr>
            <w:tcW w:w="817" w:type="dxa"/>
            <w:noWrap/>
            <w:vAlign w:val="center"/>
          </w:tcPr>
          <w:p w14:paraId="2A086E3F">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4</w:t>
            </w:r>
          </w:p>
        </w:tc>
        <w:tc>
          <w:tcPr>
            <w:tcW w:w="1084" w:type="dxa"/>
            <w:noWrap/>
            <w:vAlign w:val="center"/>
          </w:tcPr>
          <w:p w14:paraId="207A404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吸粪车</w:t>
            </w:r>
          </w:p>
        </w:tc>
        <w:tc>
          <w:tcPr>
            <w:tcW w:w="7411" w:type="dxa"/>
            <w:vAlign w:val="center"/>
          </w:tcPr>
          <w:p w14:paraId="0D00B206">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4</w:t>
            </w:r>
            <w:r>
              <w:rPr>
                <w:rFonts w:ascii="宋体" w:hAnsi="宋体" w:cs="宋体"/>
                <w:kern w:val="0"/>
                <w:sz w:val="24"/>
                <w:highlight w:val="none"/>
              </w:rPr>
              <w:t>.1 执行标准：设备制造执行 QC/T 53-2019《吸粪车》；整车运行安全执行 GB 7258-2017《机动车运行安全技术条件》；整车外廓尺寸、轴荷及质量限值执行 GB 1589-2016《汽车、挂车及汽车列车外廓尺寸、轴荷及质量限值》。车辆</w:t>
            </w:r>
            <w:r>
              <w:rPr>
                <w:rFonts w:hint="eastAsia" w:ascii="宋体" w:hAnsi="宋体" w:cs="宋体"/>
                <w:kern w:val="0"/>
                <w:sz w:val="24"/>
                <w:highlight w:val="none"/>
              </w:rPr>
              <w:t>供货时</w:t>
            </w:r>
            <w:r>
              <w:rPr>
                <w:rFonts w:ascii="宋体" w:hAnsi="宋体" w:cs="宋体"/>
                <w:kern w:val="0"/>
                <w:sz w:val="24"/>
                <w:highlight w:val="none"/>
              </w:rPr>
              <w:t>须具备完整 CCC 认证，整车及发动机满足国六排放标准，持有有效工信部机动车公告，可正常办理车辆注册、上牌及年检手续。</w:t>
            </w:r>
          </w:p>
          <w:p w14:paraId="6EBA3591">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4</w:t>
            </w:r>
            <w:r>
              <w:rPr>
                <w:rFonts w:ascii="宋体" w:hAnsi="宋体" w:cs="宋体"/>
                <w:kern w:val="0"/>
                <w:sz w:val="24"/>
                <w:highlight w:val="none"/>
              </w:rPr>
              <w:t>.2 规格参数：车辆采用工信部公告定型二类汽车底盘改装；总质量≥ 7360kg；罐体有效容积≥ 4.5m³；额定载质量≥ 3500kg；整车外形尺寸</w:t>
            </w:r>
            <w:r>
              <w:rPr>
                <w:rFonts w:hint="eastAsia" w:ascii="宋体" w:hAnsi="宋体" w:cs="宋体"/>
                <w:kern w:val="0"/>
                <w:sz w:val="24"/>
                <w:highlight w:val="none"/>
              </w:rPr>
              <w:t>长</w:t>
            </w:r>
            <w:r>
              <w:rPr>
                <w:rFonts w:ascii="宋体" w:hAnsi="宋体" w:cs="宋体"/>
                <w:kern w:val="0"/>
                <w:sz w:val="24"/>
                <w:highlight w:val="none"/>
              </w:rPr>
              <w:t>≥ 5995mm</w:t>
            </w:r>
            <w:r>
              <w:rPr>
                <w:rFonts w:hint="eastAsia" w:ascii="宋体" w:hAnsi="宋体" w:cs="宋体"/>
                <w:kern w:val="0"/>
                <w:sz w:val="24"/>
                <w:highlight w:val="none"/>
              </w:rPr>
              <w:t>、宽</w:t>
            </w:r>
            <w:r>
              <w:rPr>
                <w:rFonts w:ascii="宋体" w:hAnsi="宋体" w:cs="宋体"/>
                <w:kern w:val="0"/>
                <w:sz w:val="24"/>
                <w:highlight w:val="none"/>
              </w:rPr>
              <w:t>≥2015mm</w:t>
            </w:r>
            <w:r>
              <w:rPr>
                <w:rFonts w:hint="eastAsia" w:ascii="宋体" w:hAnsi="宋体" w:cs="宋体"/>
                <w:kern w:val="0"/>
                <w:sz w:val="24"/>
                <w:highlight w:val="none"/>
              </w:rPr>
              <w:t>、高</w:t>
            </w:r>
            <w:r>
              <w:rPr>
                <w:rFonts w:ascii="宋体" w:hAnsi="宋体" w:cs="宋体"/>
                <w:kern w:val="0"/>
                <w:sz w:val="24"/>
                <w:highlight w:val="none"/>
              </w:rPr>
              <w:t>≥2380mm，各项参数符合国家机动车上路法规要求。</w:t>
            </w:r>
          </w:p>
          <w:p w14:paraId="78A5EE03">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4</w:t>
            </w:r>
            <w:r>
              <w:rPr>
                <w:rFonts w:ascii="宋体" w:hAnsi="宋体" w:cs="宋体"/>
                <w:kern w:val="0"/>
                <w:sz w:val="24"/>
                <w:highlight w:val="none"/>
              </w:rPr>
              <w:t>.3 专用装置：配置专用真空吸粪罐体，可安全抽排、运输清水、畜禽粪便、油污、泥浆等流体介质；罐体内部设置加固防波板，避免运输介质晃动冲击；配套设置检修人孔、实时液位显示装置、防溢流保护装置、安全泄压阀及真空压力表；整车真空抽吸系统性能稳定、抽排效率高；罐体整体做防腐处理，所有焊缝焊接严密，无变形、无渗漏、无气孔缺陷。</w:t>
            </w:r>
          </w:p>
          <w:p w14:paraId="10A8F07D">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4</w:t>
            </w:r>
            <w:r>
              <w:rPr>
                <w:rFonts w:ascii="宋体" w:hAnsi="宋体" w:cs="宋体"/>
                <w:kern w:val="0"/>
                <w:sz w:val="24"/>
                <w:highlight w:val="none"/>
              </w:rPr>
              <w:t>.4 性能与配套要求：整车各项性能满足国家道路行驶及专用作业法规要求，真空抽吸、卸料排放功能完好、动作可靠；全套配备专用吸排管路、控制阀门、耐腐蚀作业软管及作业辅助配件；车辆运行平稳、抽吸无异常异响，具备防倒灌、超压保护功能，适配场区粪污收集转运工况。</w:t>
            </w:r>
          </w:p>
        </w:tc>
        <w:tc>
          <w:tcPr>
            <w:tcW w:w="0" w:type="auto"/>
            <w:vAlign w:val="center"/>
          </w:tcPr>
          <w:p w14:paraId="3C1EA79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0" w:type="auto"/>
            <w:vAlign w:val="center"/>
          </w:tcPr>
          <w:p w14:paraId="7F0FAD2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r>
      <w:tr w14:paraId="7D89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817" w:type="dxa"/>
            <w:noWrap/>
            <w:vAlign w:val="center"/>
          </w:tcPr>
          <w:p w14:paraId="069505A2">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5</w:t>
            </w:r>
          </w:p>
        </w:tc>
        <w:tc>
          <w:tcPr>
            <w:tcW w:w="1084" w:type="dxa"/>
            <w:noWrap/>
            <w:vAlign w:val="center"/>
          </w:tcPr>
          <w:p w14:paraId="1E05D1B3">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翻抛设备</w:t>
            </w:r>
          </w:p>
        </w:tc>
        <w:tc>
          <w:tcPr>
            <w:tcW w:w="7411" w:type="dxa"/>
            <w:vAlign w:val="center"/>
          </w:tcPr>
          <w:p w14:paraId="604A7C31">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.1 执行标准：设备制造、检验执行 GB/T 30471-2013《规模养猪场粪便利用设备 槽式翻抛机》。</w:t>
            </w:r>
          </w:p>
          <w:p w14:paraId="248B5E89">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.2 规格参数：设备为槽式翻抛机，翻抛宽度≥3.0m，翻抛深度≥0.8m；设备外形尺寸约3360×1970×2050mm；配置主翻抛电机15kW×2台、行走电机1.5kW、液压站电机4kW；所有电机均为国标全铜芯电机，散热性能好、运行稳定、故障率低，适配长期连续作业工况。</w:t>
            </w:r>
          </w:p>
          <w:p w14:paraId="11B6757B">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.3 主要结构材质：设备主体结构采用国标型钢、钢板制作，结构刚度大、抗形变能力强，满足重载翻抛作业要求；主机架采用160×80×4mm矩形钢管；设备立板钢板厚度≥16mm；搅拌主轴采用Φ194×6mm无缝钢管；行走传动轴采用Φ59×4mm无缝钢管，关键承重、传动部件强度充足，可长期耐受粪污重载、振动工况。</w:t>
            </w:r>
          </w:p>
          <w:p w14:paraId="1FC59CA5">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.4 辅助配套材料：设备行走配套15#国标轻轨，轨道平整度高、承重性好，行走无卡顿、无偏移；整机配套国标纯软铜芯电缆，规格包含16mm²、10mm²、4mm²，线缆耐老化、耐弯折、耐潮湿，适配户外高湿、多尘作业环境，杜绝线路老化、短路隐患。</w:t>
            </w:r>
          </w:p>
          <w:p w14:paraId="7B1718D0">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.5 电气控制系统：整机核心电气元件选用正泰、</w:t>
            </w:r>
            <w:r>
              <w:rPr>
                <w:rFonts w:hint="eastAsia" w:ascii="宋体" w:hAnsi="宋体" w:cs="宋体"/>
                <w:kern w:val="0"/>
                <w:sz w:val="24"/>
                <w:highlight w:val="none"/>
              </w:rPr>
              <w:t>德力西、人民电器</w:t>
            </w:r>
            <w:r>
              <w:rPr>
                <w:rFonts w:ascii="宋体" w:hAnsi="宋体" w:cs="宋体"/>
                <w:kern w:val="0"/>
                <w:sz w:val="24"/>
                <w:highlight w:val="none"/>
              </w:rPr>
              <w:t>或同等及以上知名品牌，质量可靠、通用性强、便于后期维保；设备配备手动现场控制+无线远程遥控双控制模式，操作便捷、适配现场不同作业场景；全程配置行程限位开关，具备超程自动断电、停机保护功能，有效避免设备碰撞、过载损坏，运行安全可控。</w:t>
            </w:r>
          </w:p>
          <w:p w14:paraId="401FF094">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.6 设备功能要求：设备翻抛深度可无级调节，可根据粪污发酵工艺需求实现分层翻抛、均匀曝气作业，保障堆体好氧发酵效果；作业完成后可实现全自动空载复位、返回初始作业起点，自动化程度高、节省人工；整机适配牛粪、鸡粪等各类畜禽粪污好氧发酵工况，可有效实现堆体翻抛、曝气、降温、混匀、除臭，提升发酵效率。</w:t>
            </w:r>
          </w:p>
          <w:p w14:paraId="245D31EA">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5</w:t>
            </w:r>
            <w:r>
              <w:rPr>
                <w:rFonts w:ascii="宋体" w:hAnsi="宋体" w:cs="宋体"/>
                <w:kern w:val="0"/>
                <w:sz w:val="24"/>
                <w:highlight w:val="none"/>
              </w:rPr>
              <w:t>.7 性能与防护要求：整机机架焊接工艺规范，焊缝饱满平整、无夹渣、无气孔、无虚焊，结构牢固不变形；整机经过除锈、除氧化皮、防锈底漆、防腐面漆多层喷涂处理，耐潮湿、耐腐蚀、耐户外风化，适配场区恶劣作业环境；液压系统运行平稳、调压灵敏，无渗漏、无卡顿、无异常异响；控制柜具备高湿、防尘、防腐防护能力，适配粪污处理车间高腐蚀工况；设备出厂前完成整机空载试运行、负载联动调试、限位保护测试，各项功能、性能达标后方可出厂。</w:t>
            </w:r>
          </w:p>
        </w:tc>
        <w:tc>
          <w:tcPr>
            <w:tcW w:w="0" w:type="auto"/>
            <w:vAlign w:val="center"/>
          </w:tcPr>
          <w:p w14:paraId="265090D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7BD034E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1251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817" w:type="dxa"/>
            <w:noWrap/>
            <w:vAlign w:val="center"/>
          </w:tcPr>
          <w:p w14:paraId="22EE2133">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6</w:t>
            </w:r>
          </w:p>
        </w:tc>
        <w:tc>
          <w:tcPr>
            <w:tcW w:w="1084" w:type="dxa"/>
            <w:vAlign w:val="center"/>
          </w:tcPr>
          <w:p w14:paraId="247C66B0">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铲车（轮胎式装载机）</w:t>
            </w:r>
          </w:p>
        </w:tc>
        <w:tc>
          <w:tcPr>
            <w:tcW w:w="7411" w:type="dxa"/>
            <w:vAlign w:val="center"/>
          </w:tcPr>
          <w:p w14:paraId="537C3A83">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6</w:t>
            </w:r>
            <w:r>
              <w:rPr>
                <w:rFonts w:ascii="宋体" w:hAnsi="宋体" w:cs="宋体"/>
                <w:kern w:val="0"/>
                <w:sz w:val="24"/>
                <w:highlight w:val="none"/>
              </w:rPr>
              <w:t>.1 执行标准：设备制造执行 GB/T 35199-2017《土方机械 轮胎式装载机 技术条件》</w:t>
            </w:r>
            <w:r>
              <w:rPr>
                <w:rFonts w:hint="eastAsia" w:ascii="宋体" w:hAnsi="宋体" w:cs="宋体"/>
                <w:kern w:val="0"/>
                <w:sz w:val="24"/>
                <w:highlight w:val="none"/>
              </w:rPr>
              <w:t>，</w:t>
            </w:r>
          </w:p>
          <w:p w14:paraId="5FDDA5DB">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6</w:t>
            </w:r>
            <w:r>
              <w:rPr>
                <w:rFonts w:ascii="宋体" w:hAnsi="宋体" w:cs="宋体"/>
                <w:kern w:val="0"/>
                <w:sz w:val="24"/>
                <w:highlight w:val="none"/>
              </w:rPr>
              <w:t>.2 规格参数：整机工作质量≥ 3500kg；采用四轮驱动结构；标准铲斗容量≥ 1.5m³；搭载国四排放标准柴油发动机，动力充足、油耗低、排放合规，满足场区长期作业要求。</w:t>
            </w:r>
          </w:p>
          <w:p w14:paraId="55309C79">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6</w:t>
            </w:r>
            <w:r>
              <w:rPr>
                <w:rFonts w:ascii="宋体" w:hAnsi="宋体" w:cs="宋体"/>
                <w:kern w:val="0"/>
                <w:sz w:val="24"/>
                <w:highlight w:val="none"/>
              </w:rPr>
              <w:t>.3 性能与结构要求：整机采用铰接式转向，转向灵活、转弯半径小，适配厂区狭窄场地作业；行车制动、驻车制动系统灵敏可靠，制动平稳无跑偏；工作液压系统动作平稳、响应迅速，铲装、举升、卸料动作顺畅、无卡滞、无渗漏；铲斗采用耐磨材质，结构强度高，适配畜禽堆肥、粪污、散料铲装转运工况；驾驶室配置ROPS/FOPS防滚翻、防落物安全保护结构；整机照明、警示、倒车提示装置齐全，满足全天候作业及安全规范要求。</w:t>
            </w:r>
          </w:p>
          <w:p w14:paraId="44EFA699">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6</w:t>
            </w:r>
            <w:r>
              <w:rPr>
                <w:rFonts w:ascii="宋体" w:hAnsi="宋体" w:cs="宋体"/>
                <w:kern w:val="0"/>
                <w:sz w:val="24"/>
                <w:highlight w:val="none"/>
              </w:rPr>
              <w:t>.4 防护与工况适配：整机结构坚固耐用，适应粉尘、潮湿、重载连续作业环境；液压系统、电气系统防尘、防污、防护性能良好，故障率低，便于日常保养维护。</w:t>
            </w:r>
          </w:p>
        </w:tc>
        <w:tc>
          <w:tcPr>
            <w:tcW w:w="0" w:type="auto"/>
            <w:vAlign w:val="center"/>
          </w:tcPr>
          <w:p w14:paraId="38D710D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0" w:type="auto"/>
            <w:vAlign w:val="center"/>
          </w:tcPr>
          <w:p w14:paraId="2DAE49C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r>
      <w:tr w14:paraId="35DF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17" w:type="dxa"/>
            <w:noWrap/>
            <w:vAlign w:val="center"/>
          </w:tcPr>
          <w:p w14:paraId="69F1EA5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7</w:t>
            </w:r>
          </w:p>
        </w:tc>
        <w:tc>
          <w:tcPr>
            <w:tcW w:w="1084" w:type="dxa"/>
            <w:noWrap/>
            <w:vAlign w:val="center"/>
          </w:tcPr>
          <w:p w14:paraId="00B7EE5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除臭系统</w:t>
            </w:r>
          </w:p>
        </w:tc>
        <w:tc>
          <w:tcPr>
            <w:tcW w:w="7411" w:type="dxa"/>
            <w:vAlign w:val="center"/>
          </w:tcPr>
          <w:p w14:paraId="2B4028B3">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7</w:t>
            </w:r>
            <w:r>
              <w:rPr>
                <w:rFonts w:ascii="宋体" w:hAnsi="宋体" w:cs="宋体"/>
                <w:kern w:val="0"/>
                <w:sz w:val="24"/>
                <w:highlight w:val="none"/>
              </w:rPr>
              <w:t>.1 执行标准</w:t>
            </w:r>
            <w:r>
              <w:rPr>
                <w:rFonts w:hint="eastAsia" w:ascii="宋体" w:hAnsi="宋体" w:cs="宋体"/>
                <w:kern w:val="0"/>
                <w:sz w:val="24"/>
                <w:highlight w:val="none"/>
              </w:rPr>
              <w:t>： GB 18596-2001《畜禽养殖业污染物排放标准》、</w:t>
            </w:r>
            <w:r>
              <w:rPr>
                <w:rFonts w:ascii="宋体" w:hAnsi="宋体" w:cs="宋体"/>
                <w:kern w:val="0"/>
                <w:sz w:val="24"/>
                <w:highlight w:val="none"/>
              </w:rPr>
              <w:t>GB 14554-93《恶臭污染物排放标准》</w:t>
            </w:r>
            <w:r>
              <w:rPr>
                <w:rFonts w:hint="eastAsia" w:ascii="宋体" w:hAnsi="宋体" w:cs="宋体"/>
                <w:kern w:val="0"/>
                <w:sz w:val="24"/>
                <w:highlight w:val="none"/>
              </w:rPr>
              <w:t>、</w:t>
            </w:r>
            <w:r>
              <w:rPr>
                <w:rFonts w:ascii="宋体" w:hAnsi="宋体" w:cs="宋体"/>
                <w:kern w:val="0"/>
                <w:sz w:val="24"/>
                <w:highlight w:val="none"/>
              </w:rPr>
              <w:t>HJ 1262-2022《空气质量 恶臭的测定 三点比较式臭袋法》</w:t>
            </w:r>
            <w:r>
              <w:rPr>
                <w:rFonts w:hint="eastAsia" w:ascii="宋体" w:hAnsi="宋体" w:cs="宋体"/>
                <w:kern w:val="0"/>
                <w:sz w:val="24"/>
                <w:highlight w:val="none"/>
              </w:rPr>
              <w:t>。</w:t>
            </w:r>
          </w:p>
          <w:p w14:paraId="5766165F">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臭气浓度（OU，无量纲）：执行 GB 18596-2001《畜禽养殖业污染物排放标准》表7，场界标准值 ≤70（三点比较式臭袋法）。</w:t>
            </w:r>
          </w:p>
          <w:p w14:paraId="02751A7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氨（NH₃）：</w:t>
            </w:r>
            <w:bookmarkStart w:id="837" w:name="OLE_LINK14"/>
            <w:r>
              <w:rPr>
                <w:rFonts w:hint="eastAsia" w:ascii="宋体" w:hAnsi="宋体" w:cs="宋体"/>
                <w:kern w:val="0"/>
                <w:sz w:val="24"/>
                <w:highlight w:val="none"/>
              </w:rPr>
              <w:t>执行 GB 14554-93《恶臭污染物排放标准》表1 二级（新扩改建），</w:t>
            </w:r>
            <w:bookmarkEnd w:id="837"/>
            <w:r>
              <w:rPr>
                <w:rFonts w:hint="eastAsia" w:ascii="宋体" w:hAnsi="宋体" w:cs="宋体"/>
                <w:kern w:val="0"/>
                <w:sz w:val="24"/>
                <w:highlight w:val="none"/>
              </w:rPr>
              <w:t>厂界 ≤1.5 mg/m³。</w:t>
            </w:r>
          </w:p>
          <w:p w14:paraId="6184D7D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硫化氢（H₂S）：执行 GB 14554-93《恶臭污染物排放标准》表1 二级（新扩改建），厂界 ≤0.06 mg/m³。</w:t>
            </w:r>
          </w:p>
          <w:p w14:paraId="405A1F91">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7</w:t>
            </w:r>
            <w:r>
              <w:rPr>
                <w:rFonts w:ascii="宋体" w:hAnsi="宋体" w:cs="宋体"/>
                <w:kern w:val="0"/>
                <w:sz w:val="24"/>
                <w:highlight w:val="none"/>
              </w:rPr>
              <w:t>.2 规格参数</w:t>
            </w:r>
            <w:r>
              <w:rPr>
                <w:rFonts w:hint="eastAsia" w:ascii="宋体" w:hAnsi="宋体" w:cs="宋体"/>
                <w:kern w:val="0"/>
                <w:sz w:val="24"/>
                <w:highlight w:val="none"/>
              </w:rPr>
              <w:t>：</w:t>
            </w:r>
            <w:r>
              <w:rPr>
                <w:rFonts w:ascii="宋体" w:hAnsi="宋体" w:cs="宋体"/>
                <w:kern w:val="0"/>
                <w:sz w:val="24"/>
                <w:highlight w:val="none"/>
              </w:rPr>
              <w:t>设备有效容积</w:t>
            </w:r>
            <w:r>
              <w:rPr>
                <w:rFonts w:hint="eastAsia" w:ascii="宋体" w:hAnsi="宋体" w:cs="宋体"/>
                <w:kern w:val="0"/>
                <w:sz w:val="24"/>
                <w:highlight w:val="none"/>
              </w:rPr>
              <w:t>≥</w:t>
            </w:r>
            <w:r>
              <w:rPr>
                <w:rFonts w:ascii="宋体" w:hAnsi="宋体" w:cs="宋体"/>
                <w:kern w:val="0"/>
                <w:sz w:val="24"/>
                <w:highlight w:val="none"/>
              </w:rPr>
              <w:t>50</w:t>
            </w:r>
            <w:r>
              <w:rPr>
                <w:kern w:val="0"/>
                <w:sz w:val="24"/>
                <w:highlight w:val="none"/>
              </w:rPr>
              <w:t> </w:t>
            </w:r>
            <w:r>
              <w:rPr>
                <w:rFonts w:ascii="宋体" w:hAnsi="宋体" w:cs="宋体"/>
                <w:kern w:val="0"/>
                <w:sz w:val="24"/>
                <w:highlight w:val="none"/>
              </w:rPr>
              <w:t>L；设备总功率≤8</w:t>
            </w:r>
            <w:r>
              <w:rPr>
                <w:kern w:val="0"/>
                <w:sz w:val="24"/>
                <w:highlight w:val="none"/>
              </w:rPr>
              <w:t> </w:t>
            </w:r>
            <w:r>
              <w:rPr>
                <w:rFonts w:ascii="宋体" w:hAnsi="宋体" w:cs="宋体"/>
                <w:kern w:val="0"/>
                <w:sz w:val="24"/>
                <w:highlight w:val="none"/>
              </w:rPr>
              <w:t>kW；设备外形尺寸</w:t>
            </w:r>
            <w:r>
              <w:rPr>
                <w:rFonts w:hint="eastAsia" w:ascii="宋体" w:hAnsi="宋体" w:cs="宋体"/>
                <w:kern w:val="0"/>
                <w:sz w:val="24"/>
                <w:highlight w:val="none"/>
              </w:rPr>
              <w:t>长</w:t>
            </w:r>
            <w:r>
              <w:rPr>
                <w:rFonts w:ascii="宋体" w:hAnsi="宋体" w:cs="宋体"/>
                <w:kern w:val="0"/>
                <w:sz w:val="24"/>
                <w:highlight w:val="none"/>
              </w:rPr>
              <w:t>1100</w:t>
            </w:r>
            <w:r>
              <w:rPr>
                <w:rFonts w:hint="eastAsia" w:ascii="宋体" w:hAnsi="宋体" w:cs="宋体"/>
                <w:kern w:val="0"/>
                <w:sz w:val="24"/>
                <w:highlight w:val="none"/>
              </w:rPr>
              <w:t>±10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、宽</w:t>
            </w:r>
            <w:r>
              <w:rPr>
                <w:rFonts w:ascii="宋体" w:hAnsi="宋体" w:cs="宋体"/>
                <w:kern w:val="0"/>
                <w:sz w:val="24"/>
                <w:highlight w:val="none"/>
              </w:rPr>
              <w:t>1060</w:t>
            </w:r>
            <w:r>
              <w:rPr>
                <w:rFonts w:hint="eastAsia" w:ascii="宋体" w:hAnsi="宋体" w:cs="宋体"/>
                <w:kern w:val="0"/>
                <w:sz w:val="24"/>
                <w:highlight w:val="none"/>
              </w:rPr>
              <w:t>±10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、高</w:t>
            </w:r>
            <w:r>
              <w:rPr>
                <w:rFonts w:ascii="宋体" w:hAnsi="宋体" w:cs="宋体"/>
                <w:kern w:val="0"/>
                <w:sz w:val="24"/>
                <w:highlight w:val="none"/>
              </w:rPr>
              <w:t>1260</w:t>
            </w:r>
            <w:r>
              <w:rPr>
                <w:rFonts w:hint="eastAsia" w:ascii="宋体" w:hAnsi="宋体" w:cs="宋体"/>
                <w:kern w:val="0"/>
                <w:sz w:val="24"/>
                <w:highlight w:val="none"/>
              </w:rPr>
              <w:t>±10</w:t>
            </w:r>
            <w:r>
              <w:rPr>
                <w:kern w:val="0"/>
                <w:sz w:val="24"/>
                <w:highlight w:val="none"/>
              </w:rPr>
              <w:t>  </w:t>
            </w:r>
            <w:r>
              <w:rPr>
                <w:rFonts w:ascii="宋体" w:hAnsi="宋体" w:cs="宋体"/>
                <w:kern w:val="0"/>
                <w:sz w:val="24"/>
                <w:highlight w:val="none"/>
              </w:rPr>
              <w:t>mm。</w:t>
            </w:r>
          </w:p>
          <w:p w14:paraId="5C79C5D5">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7</w:t>
            </w:r>
            <w:r>
              <w:rPr>
                <w:rFonts w:ascii="宋体" w:hAnsi="宋体" w:cs="宋体"/>
                <w:kern w:val="0"/>
                <w:sz w:val="24"/>
                <w:highlight w:val="none"/>
              </w:rPr>
              <w:t>.3 结构材质要求</w:t>
            </w:r>
            <w:r>
              <w:rPr>
                <w:rFonts w:hint="eastAsia" w:ascii="宋体" w:hAnsi="宋体" w:cs="宋体"/>
                <w:kern w:val="0"/>
                <w:sz w:val="24"/>
                <w:highlight w:val="none"/>
              </w:rPr>
              <w:t>：</w:t>
            </w:r>
            <w:r>
              <w:rPr>
                <w:rFonts w:ascii="宋体" w:hAnsi="宋体" w:cs="宋体"/>
                <w:kern w:val="0"/>
                <w:sz w:val="24"/>
                <w:highlight w:val="none"/>
              </w:rPr>
              <w:t>主体壳体耐腐蚀，适应畜禽粪污项目高湿、腐蚀性废气工况；设备本体密封良好，无泄漏；配套进出气接口，接口规格满足现场管路对接。</w:t>
            </w:r>
          </w:p>
          <w:p w14:paraId="46A75325">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7</w:t>
            </w:r>
            <w:r>
              <w:rPr>
                <w:rFonts w:ascii="宋体" w:hAnsi="宋体" w:cs="宋体"/>
                <w:kern w:val="0"/>
                <w:sz w:val="24"/>
                <w:highlight w:val="none"/>
              </w:rPr>
              <w:t>.4 性能要求</w:t>
            </w:r>
            <w:r>
              <w:rPr>
                <w:rFonts w:hint="eastAsia" w:ascii="宋体" w:hAnsi="宋体" w:cs="宋体"/>
                <w:kern w:val="0"/>
                <w:sz w:val="24"/>
                <w:highlight w:val="none"/>
              </w:rPr>
              <w:t>：</w:t>
            </w:r>
            <w:r>
              <w:rPr>
                <w:rFonts w:ascii="宋体" w:hAnsi="宋体" w:cs="宋体"/>
                <w:kern w:val="0"/>
                <w:sz w:val="24"/>
                <w:highlight w:val="none"/>
              </w:rPr>
              <w:t>除臭效率满足设计工艺要求</w:t>
            </w:r>
            <w:r>
              <w:rPr>
                <w:rFonts w:hint="eastAsia" w:ascii="宋体" w:hAnsi="宋体" w:cs="宋体"/>
                <w:kern w:val="0"/>
                <w:sz w:val="24"/>
                <w:highlight w:val="none"/>
              </w:rPr>
              <w:t>:</w:t>
            </w:r>
            <w:r>
              <w:rPr>
                <w:rFonts w:ascii="宋体" w:hAnsi="宋体" w:cs="宋体"/>
                <w:kern w:val="0"/>
                <w:sz w:val="24"/>
                <w:highlight w:val="none"/>
              </w:rPr>
              <w:t>采用“</w:t>
            </w:r>
            <w:r>
              <w:rPr>
                <w:rFonts w:hint="eastAsia" w:ascii="宋体" w:hAnsi="宋体" w:cs="宋体"/>
                <w:kern w:val="0"/>
                <w:sz w:val="24"/>
                <w:highlight w:val="none"/>
              </w:rPr>
              <w:t>高压雾化+生物除臭剂</w:t>
            </w:r>
            <w:r>
              <w:rPr>
                <w:rFonts w:ascii="宋体" w:hAnsi="宋体" w:cs="宋体"/>
                <w:kern w:val="0"/>
                <w:sz w:val="24"/>
                <w:highlight w:val="none"/>
              </w:rPr>
              <w:t>”； 除臭效率</w:t>
            </w:r>
            <w:r>
              <w:rPr>
                <w:rFonts w:hint="eastAsia" w:ascii="宋体" w:hAnsi="宋体" w:cs="宋体"/>
                <w:kern w:val="0"/>
                <w:sz w:val="24"/>
                <w:highlight w:val="none"/>
              </w:rPr>
              <w:t>执行 GB 18596-2001《畜禽养殖业污染物排放标准》表7，场界标准值 ≤70（三点比较式臭袋法）</w:t>
            </w:r>
            <w:r>
              <w:rPr>
                <w:rFonts w:ascii="宋体" w:hAnsi="宋体" w:cs="宋体"/>
                <w:kern w:val="0"/>
                <w:sz w:val="24"/>
                <w:highlight w:val="none"/>
              </w:rPr>
              <w:t>；设备运行噪声低；具备运行状态指示；检修维护便捷；整机出厂完成密封性及通电测试。</w:t>
            </w:r>
          </w:p>
          <w:p w14:paraId="1C2D9952">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7</w:t>
            </w:r>
            <w:r>
              <w:rPr>
                <w:rFonts w:ascii="宋体" w:hAnsi="宋体" w:cs="宋体"/>
                <w:kern w:val="0"/>
                <w:sz w:val="24"/>
                <w:highlight w:val="none"/>
              </w:rPr>
              <w:t>.5 电气与配套</w:t>
            </w:r>
            <w:r>
              <w:rPr>
                <w:rFonts w:hint="eastAsia" w:ascii="宋体" w:hAnsi="宋体" w:cs="宋体"/>
                <w:kern w:val="0"/>
                <w:sz w:val="24"/>
                <w:highlight w:val="none"/>
              </w:rPr>
              <w:t>：</w:t>
            </w:r>
            <w:r>
              <w:rPr>
                <w:rFonts w:ascii="宋体" w:hAnsi="宋体" w:cs="宋体"/>
                <w:kern w:val="0"/>
                <w:sz w:val="24"/>
                <w:highlight w:val="none"/>
              </w:rPr>
              <w:t>控制柜防护等级适应现场潮湿环境；配套完整管路、阀门等安装附件；供货</w:t>
            </w:r>
            <w:r>
              <w:rPr>
                <w:rFonts w:hint="eastAsia" w:ascii="宋体" w:hAnsi="宋体" w:cs="宋体"/>
                <w:kern w:val="0"/>
                <w:sz w:val="24"/>
                <w:highlight w:val="none"/>
              </w:rPr>
              <w:t>时</w:t>
            </w:r>
            <w:r>
              <w:rPr>
                <w:rFonts w:ascii="宋体" w:hAnsi="宋体" w:cs="宋体"/>
                <w:kern w:val="0"/>
                <w:sz w:val="24"/>
                <w:highlight w:val="none"/>
              </w:rPr>
              <w:t>提供设备操作手册、合格证。</w:t>
            </w:r>
          </w:p>
        </w:tc>
        <w:tc>
          <w:tcPr>
            <w:tcW w:w="0" w:type="auto"/>
            <w:vAlign w:val="center"/>
          </w:tcPr>
          <w:p w14:paraId="1C5FA15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1BBCD26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r>
      <w:tr w14:paraId="6D40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817" w:type="dxa"/>
            <w:noWrap/>
            <w:vAlign w:val="center"/>
          </w:tcPr>
          <w:p w14:paraId="63472FAF">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8</w:t>
            </w:r>
          </w:p>
        </w:tc>
        <w:tc>
          <w:tcPr>
            <w:tcW w:w="1084" w:type="dxa"/>
            <w:noWrap/>
            <w:vAlign w:val="center"/>
          </w:tcPr>
          <w:p w14:paraId="3CFD2D62">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秸秆打捆机</w:t>
            </w:r>
          </w:p>
        </w:tc>
        <w:tc>
          <w:tcPr>
            <w:tcW w:w="7411" w:type="dxa"/>
            <w:vAlign w:val="center"/>
          </w:tcPr>
          <w:p w14:paraId="57C2D627">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8</w:t>
            </w:r>
            <w:r>
              <w:rPr>
                <w:rFonts w:ascii="宋体" w:hAnsi="宋体" w:cs="宋体"/>
                <w:kern w:val="0"/>
                <w:sz w:val="24"/>
                <w:highlight w:val="none"/>
              </w:rPr>
              <w:t>.1 执行标准：设备制造执行 GB/T 14290-2021《圆草捆打捆机》。</w:t>
            </w:r>
          </w:p>
          <w:p w14:paraId="689E6FEE">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8</w:t>
            </w:r>
            <w:r>
              <w:rPr>
                <w:rFonts w:ascii="宋体" w:hAnsi="宋体" w:cs="宋体"/>
                <w:kern w:val="0"/>
                <w:sz w:val="24"/>
                <w:highlight w:val="none"/>
              </w:rPr>
              <w:t>.2 规格参数：</w:t>
            </w:r>
            <w:r>
              <w:rPr>
                <w:rFonts w:hint="eastAsia" w:ascii="宋体" w:hAnsi="宋体" w:cs="宋体"/>
                <w:kern w:val="0"/>
                <w:sz w:val="24"/>
                <w:highlight w:val="none"/>
              </w:rPr>
              <w:t>固定式；</w:t>
            </w:r>
            <w:r>
              <w:rPr>
                <w:rFonts w:ascii="宋体" w:hAnsi="宋体" w:cs="宋体"/>
                <w:kern w:val="0"/>
                <w:sz w:val="24"/>
                <w:highlight w:val="none"/>
              </w:rPr>
              <w:t>配套功率约 5.5</w:t>
            </w:r>
            <w:r>
              <w:rPr>
                <w:kern w:val="0"/>
                <w:sz w:val="24"/>
                <w:highlight w:val="none"/>
              </w:rPr>
              <w:t> </w:t>
            </w:r>
            <w:r>
              <w:rPr>
                <w:rFonts w:ascii="宋体" w:hAnsi="宋体" w:cs="宋体"/>
                <w:kern w:val="0"/>
                <w:sz w:val="24"/>
                <w:highlight w:val="none"/>
              </w:rPr>
              <w:t>kW</w:t>
            </w:r>
            <w:r>
              <w:rPr>
                <w:rFonts w:hint="eastAsia" w:ascii="宋体" w:hAnsi="宋体" w:cs="宋体"/>
                <w:kern w:val="0"/>
                <w:sz w:val="24"/>
                <w:highlight w:val="none"/>
              </w:rPr>
              <w:t>电机</w:t>
            </w:r>
            <w:r>
              <w:rPr>
                <w:rFonts w:ascii="宋体" w:hAnsi="宋体" w:cs="宋体"/>
                <w:kern w:val="0"/>
                <w:sz w:val="24"/>
                <w:highlight w:val="none"/>
              </w:rPr>
              <w:t>；整机外形尺寸</w:t>
            </w:r>
            <w:r>
              <w:rPr>
                <w:rFonts w:hint="eastAsia" w:ascii="宋体" w:hAnsi="宋体" w:cs="宋体"/>
                <w:kern w:val="0"/>
                <w:sz w:val="24"/>
                <w:highlight w:val="none"/>
              </w:rPr>
              <w:t>：长≥</w:t>
            </w:r>
            <w:r>
              <w:rPr>
                <w:rFonts w:ascii="宋体" w:hAnsi="宋体" w:cs="宋体"/>
                <w:kern w:val="0"/>
                <w:sz w:val="24"/>
                <w:highlight w:val="none"/>
              </w:rPr>
              <w:t xml:space="preserve"> 3200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、宽≥</w:t>
            </w:r>
            <w:r>
              <w:rPr>
                <w:rFonts w:ascii="宋体" w:hAnsi="宋体" w:cs="宋体"/>
                <w:kern w:val="0"/>
                <w:sz w:val="24"/>
                <w:highlight w:val="none"/>
              </w:rPr>
              <w:t>1600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、高≥</w:t>
            </w:r>
            <w:r>
              <w:rPr>
                <w:rFonts w:ascii="宋体" w:hAnsi="宋体" w:cs="宋体"/>
                <w:kern w:val="0"/>
                <w:sz w:val="24"/>
                <w:highlight w:val="none"/>
              </w:rPr>
              <w:t>1400</w:t>
            </w:r>
            <w:r>
              <w:rPr>
                <w:kern w:val="0"/>
                <w:sz w:val="24"/>
                <w:highlight w:val="none"/>
              </w:rPr>
              <w:t> </w:t>
            </w:r>
            <w:r>
              <w:rPr>
                <w:rFonts w:ascii="宋体" w:hAnsi="宋体" w:cs="宋体"/>
                <w:kern w:val="0"/>
                <w:sz w:val="24"/>
                <w:highlight w:val="none"/>
              </w:rPr>
              <w:t>mm；成捆尺寸</w:t>
            </w:r>
            <w:r>
              <w:rPr>
                <w:rFonts w:hint="eastAsia" w:ascii="宋体" w:hAnsi="宋体" w:cs="宋体"/>
                <w:kern w:val="0"/>
                <w:sz w:val="24"/>
                <w:highlight w:val="none"/>
              </w:rPr>
              <w:t>直径φ≥</w:t>
            </w:r>
            <w:r>
              <w:rPr>
                <w:rFonts w:ascii="宋体" w:hAnsi="宋体" w:cs="宋体"/>
                <w:kern w:val="0"/>
                <w:sz w:val="24"/>
                <w:highlight w:val="none"/>
              </w:rPr>
              <w:t>5</w:t>
            </w:r>
            <w:r>
              <w:rPr>
                <w:rFonts w:hint="eastAsia" w:ascii="宋体" w:hAnsi="宋体" w:cs="宋体"/>
                <w:kern w:val="0"/>
                <w:sz w:val="24"/>
                <w:highlight w:val="none"/>
              </w:rPr>
              <w:t>5</w:t>
            </w:r>
            <w:r>
              <w:rPr>
                <w:rFonts w:ascii="宋体" w:hAnsi="宋体" w:cs="宋体"/>
                <w:kern w:val="0"/>
                <w:sz w:val="24"/>
                <w:highlight w:val="none"/>
              </w:rPr>
              <w:t>0</w:t>
            </w:r>
            <w:r>
              <w:rPr>
                <w:rFonts w:hint="eastAsia" w:ascii="宋体" w:hAnsi="宋体" w:cs="宋体"/>
                <w:kern w:val="0"/>
                <w:sz w:val="24"/>
                <w:highlight w:val="none"/>
              </w:rPr>
              <w:t>mm，高度≥</w:t>
            </w: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0</w:t>
            </w:r>
            <w:r>
              <w:rPr>
                <w:kern w:val="0"/>
                <w:sz w:val="24"/>
                <w:highlight w:val="none"/>
              </w:rPr>
              <w:t> </w:t>
            </w:r>
            <w:r>
              <w:rPr>
                <w:rFonts w:ascii="宋体" w:hAnsi="宋体" w:cs="宋体"/>
                <w:kern w:val="0"/>
                <w:sz w:val="24"/>
                <w:highlight w:val="none"/>
              </w:rPr>
              <w:t>mm；草捆重量 40-80</w:t>
            </w:r>
            <w:r>
              <w:rPr>
                <w:kern w:val="0"/>
                <w:sz w:val="24"/>
                <w:highlight w:val="none"/>
              </w:rPr>
              <w:t> </w:t>
            </w:r>
            <w:r>
              <w:rPr>
                <w:rFonts w:ascii="宋体" w:hAnsi="宋体" w:cs="宋体"/>
                <w:kern w:val="0"/>
                <w:sz w:val="24"/>
                <w:highlight w:val="none"/>
              </w:rPr>
              <w:t>kg；生产效率约 55 捆 / 小时；机器重量≥ 550</w:t>
            </w:r>
            <w:r>
              <w:rPr>
                <w:kern w:val="0"/>
                <w:sz w:val="24"/>
                <w:highlight w:val="none"/>
              </w:rPr>
              <w:t> </w:t>
            </w:r>
            <w:r>
              <w:rPr>
                <w:rFonts w:ascii="宋体" w:hAnsi="宋体" w:cs="宋体"/>
                <w:kern w:val="0"/>
                <w:sz w:val="24"/>
                <w:highlight w:val="none"/>
              </w:rPr>
              <w:t>kg。</w:t>
            </w:r>
          </w:p>
          <w:p w14:paraId="2138EE88">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8</w:t>
            </w:r>
            <w:r>
              <w:rPr>
                <w:rFonts w:ascii="宋体" w:hAnsi="宋体" w:cs="宋体"/>
                <w:kern w:val="0"/>
                <w:sz w:val="24"/>
                <w:highlight w:val="none"/>
              </w:rPr>
              <w:t>.3 结构材质要求：整机机架焊接牢固，关键受力部件强度满足作业要求；与秸秆接触部件耐磨，适应秸秆、青贮草料打捆包膜作业工况。</w:t>
            </w:r>
          </w:p>
          <w:p w14:paraId="20238E8E">
            <w:pPr>
              <w:widowControl/>
              <w:adjustRightInd w:val="0"/>
              <w:snapToGrid w:val="0"/>
              <w:rPr>
                <w:rFonts w:hint="eastAsia" w:ascii="宋体" w:hAnsi="宋体" w:cs="宋体"/>
                <w:kern w:val="0"/>
                <w:sz w:val="24"/>
                <w:highlight w:val="none"/>
              </w:rPr>
            </w:pPr>
            <w:r>
              <w:rPr>
                <w:rFonts w:ascii="宋体" w:hAnsi="宋体" w:cs="宋体"/>
                <w:kern w:val="0"/>
                <w:sz w:val="24"/>
                <w:highlight w:val="none"/>
              </w:rPr>
              <w:t>3</w:t>
            </w:r>
            <w:r>
              <w:rPr>
                <w:rFonts w:hint="eastAsia" w:ascii="宋体" w:hAnsi="宋体" w:cs="宋体"/>
                <w:kern w:val="0"/>
                <w:sz w:val="24"/>
                <w:highlight w:val="none"/>
              </w:rPr>
              <w:t>8</w:t>
            </w:r>
            <w:r>
              <w:rPr>
                <w:rFonts w:ascii="宋体" w:hAnsi="宋体" w:cs="宋体"/>
                <w:kern w:val="0"/>
                <w:sz w:val="24"/>
                <w:highlight w:val="none"/>
              </w:rPr>
              <w:t>.4 性能要求：打捆成型稳定，草捆密实均匀；出捆顺畅，故障率低；各传动部件运转平稳，噪声振动符合规范；便于穿绳、检修及日常维护。</w:t>
            </w:r>
          </w:p>
        </w:tc>
        <w:tc>
          <w:tcPr>
            <w:tcW w:w="0" w:type="auto"/>
            <w:vAlign w:val="center"/>
          </w:tcPr>
          <w:p w14:paraId="0F20AB7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735DB6F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7284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817" w:type="dxa"/>
            <w:noWrap/>
            <w:vAlign w:val="center"/>
          </w:tcPr>
          <w:p w14:paraId="6C42D85C">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39</w:t>
            </w:r>
          </w:p>
        </w:tc>
        <w:tc>
          <w:tcPr>
            <w:tcW w:w="1084" w:type="dxa"/>
            <w:vAlign w:val="center"/>
          </w:tcPr>
          <w:p w14:paraId="5B732E9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刮粪机</w:t>
            </w:r>
          </w:p>
        </w:tc>
        <w:tc>
          <w:tcPr>
            <w:tcW w:w="7411" w:type="dxa"/>
            <w:vAlign w:val="center"/>
          </w:tcPr>
          <w:p w14:paraId="6CCF49B8">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.1 执行标准：设备制造执行JB/T 7725-2025《畜牧机械 牵引式刮板清粪机》。</w:t>
            </w:r>
          </w:p>
          <w:p w14:paraId="674C032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.2 驱动配置：采用硬齿面 R97 减速机，配套电机功率 1.5</w:t>
            </w:r>
            <w:r>
              <w:rPr>
                <w:kern w:val="0"/>
                <w:sz w:val="24"/>
                <w:highlight w:val="none"/>
              </w:rPr>
              <w:t> </w:t>
            </w:r>
            <w:r>
              <w:rPr>
                <w:rFonts w:ascii="宋体" w:hAnsi="宋体" w:cs="宋体"/>
                <w:kern w:val="0"/>
                <w:sz w:val="24"/>
                <w:highlight w:val="none"/>
              </w:rPr>
              <w:t>kW，减速机输出转速 5.4</w:t>
            </w:r>
            <w:r>
              <w:rPr>
                <w:kern w:val="0"/>
                <w:sz w:val="24"/>
                <w:highlight w:val="none"/>
              </w:rPr>
              <w:t> </w:t>
            </w:r>
            <w:r>
              <w:rPr>
                <w:rFonts w:ascii="宋体" w:hAnsi="宋体" w:cs="宋体"/>
                <w:kern w:val="0"/>
                <w:sz w:val="24"/>
                <w:highlight w:val="none"/>
              </w:rPr>
              <w:t>r/min；一号棚刮板宽度 3.5</w:t>
            </w:r>
            <w:r>
              <w:rPr>
                <w:kern w:val="0"/>
                <w:sz w:val="24"/>
                <w:highlight w:val="none"/>
              </w:rPr>
              <w:t> </w:t>
            </w:r>
            <w:r>
              <w:rPr>
                <w:rFonts w:ascii="宋体" w:hAnsi="宋体" w:cs="宋体"/>
                <w:kern w:val="0"/>
                <w:sz w:val="24"/>
                <w:highlight w:val="none"/>
              </w:rPr>
              <w:t>m；二号棚刮板宽度 4.5</w:t>
            </w:r>
            <w:r>
              <w:rPr>
                <w:kern w:val="0"/>
                <w:sz w:val="24"/>
                <w:highlight w:val="none"/>
              </w:rPr>
              <w:t> </w:t>
            </w:r>
            <w:r>
              <w:rPr>
                <w:rFonts w:ascii="宋体" w:hAnsi="宋体" w:cs="宋体"/>
                <w:kern w:val="0"/>
                <w:sz w:val="24"/>
                <w:highlight w:val="none"/>
              </w:rPr>
              <w:t>m、3.85</w:t>
            </w:r>
            <w:r>
              <w:rPr>
                <w:kern w:val="0"/>
                <w:sz w:val="24"/>
                <w:highlight w:val="none"/>
              </w:rPr>
              <w:t> </w:t>
            </w:r>
            <w:r>
              <w:rPr>
                <w:rFonts w:ascii="宋体" w:hAnsi="宋体" w:cs="宋体"/>
                <w:kern w:val="0"/>
                <w:sz w:val="24"/>
                <w:highlight w:val="none"/>
              </w:rPr>
              <w:t>m；三号棚刮板宽度 2.75</w:t>
            </w:r>
            <w:r>
              <w:rPr>
                <w:kern w:val="0"/>
                <w:sz w:val="24"/>
                <w:highlight w:val="none"/>
              </w:rPr>
              <w:t> </w:t>
            </w:r>
            <w:r>
              <w:rPr>
                <w:rFonts w:ascii="宋体" w:hAnsi="宋体" w:cs="宋体"/>
                <w:kern w:val="0"/>
                <w:sz w:val="24"/>
                <w:highlight w:val="none"/>
              </w:rPr>
              <w:t>m；四号棚刮板宽度 4.5</w:t>
            </w:r>
            <w:r>
              <w:rPr>
                <w:kern w:val="0"/>
                <w:sz w:val="24"/>
                <w:highlight w:val="none"/>
              </w:rPr>
              <w:t> </w:t>
            </w:r>
            <w:r>
              <w:rPr>
                <w:rFonts w:ascii="宋体" w:hAnsi="宋体" w:cs="宋体"/>
                <w:kern w:val="0"/>
                <w:sz w:val="24"/>
                <w:highlight w:val="none"/>
              </w:rPr>
              <w:t>m；各棚刮板单程行程均为 90</w:t>
            </w:r>
            <w:r>
              <w:rPr>
                <w:kern w:val="0"/>
                <w:sz w:val="24"/>
                <w:highlight w:val="none"/>
              </w:rPr>
              <w:t> </w:t>
            </w:r>
            <w:r>
              <w:rPr>
                <w:rFonts w:ascii="宋体" w:hAnsi="宋体" w:cs="宋体"/>
                <w:kern w:val="0"/>
                <w:sz w:val="24"/>
                <w:highlight w:val="none"/>
              </w:rPr>
              <w:t>m。</w:t>
            </w:r>
          </w:p>
          <w:p w14:paraId="6A215A1C">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.3 刮粪板结构：刮粪板高度 220</w:t>
            </w:r>
            <w:r>
              <w:rPr>
                <w:kern w:val="0"/>
                <w:sz w:val="24"/>
                <w:highlight w:val="none"/>
              </w:rPr>
              <w:t> </w:t>
            </w:r>
            <w:r>
              <w:rPr>
                <w:rFonts w:ascii="宋体" w:hAnsi="宋体" w:cs="宋体"/>
                <w:kern w:val="0"/>
                <w:sz w:val="24"/>
                <w:highlight w:val="none"/>
              </w:rPr>
              <w:t>mm；主体碳钢底板厚度 10</w:t>
            </w:r>
            <w:r>
              <w:rPr>
                <w:kern w:val="0"/>
                <w:sz w:val="24"/>
                <w:highlight w:val="none"/>
              </w:rPr>
              <w:t> </w:t>
            </w:r>
            <w:r>
              <w:rPr>
                <w:rFonts w:ascii="宋体" w:hAnsi="宋体" w:cs="宋体"/>
                <w:kern w:val="0"/>
                <w:sz w:val="24"/>
                <w:highlight w:val="none"/>
              </w:rPr>
              <w:t>mm，刮杠厚度 6</w:t>
            </w:r>
            <w:r>
              <w:rPr>
                <w:kern w:val="0"/>
                <w:sz w:val="24"/>
                <w:highlight w:val="none"/>
              </w:rPr>
              <w:t> </w:t>
            </w:r>
            <w:r>
              <w:rPr>
                <w:rFonts w:ascii="宋体" w:hAnsi="宋体" w:cs="宋体"/>
                <w:kern w:val="0"/>
                <w:sz w:val="24"/>
                <w:highlight w:val="none"/>
              </w:rPr>
              <w:t>mm；整体做热镀锌防腐处理；配置耐磨橡胶刮片。</w:t>
            </w:r>
          </w:p>
          <w:p w14:paraId="1C8AE2C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.4 运行控制：行走速度 1-6</w:t>
            </w:r>
            <w:r>
              <w:rPr>
                <w:kern w:val="0"/>
                <w:sz w:val="24"/>
                <w:highlight w:val="none"/>
              </w:rPr>
              <w:t> </w:t>
            </w:r>
            <w:r>
              <w:rPr>
                <w:rFonts w:ascii="宋体" w:hAnsi="宋体" w:cs="宋体"/>
                <w:kern w:val="0"/>
                <w:sz w:val="24"/>
                <w:highlight w:val="none"/>
              </w:rPr>
              <w:t>m/min 可调，由智能控制箱实现调速；行程长度可程序设定；具备限位保护、过载保护功能。</w:t>
            </w:r>
          </w:p>
          <w:p w14:paraId="172BAB4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.5 传动及轨道：传动链条型号 14-42，材质 20Mn2；行走轨道采用槽钢，槽钢壁厚≥ 5</w:t>
            </w:r>
            <w:r>
              <w:rPr>
                <w:kern w:val="0"/>
                <w:sz w:val="24"/>
                <w:highlight w:val="none"/>
              </w:rPr>
              <w:t> </w:t>
            </w:r>
            <w:r>
              <w:rPr>
                <w:rFonts w:ascii="宋体" w:hAnsi="宋体" w:cs="宋体"/>
                <w:kern w:val="0"/>
                <w:sz w:val="24"/>
                <w:highlight w:val="none"/>
              </w:rPr>
              <w:t>mm。</w:t>
            </w:r>
          </w:p>
          <w:p w14:paraId="01560C8D">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39</w:t>
            </w:r>
            <w:r>
              <w:rPr>
                <w:rFonts w:ascii="宋体" w:hAnsi="宋体" w:cs="宋体"/>
                <w:kern w:val="0"/>
                <w:sz w:val="24"/>
                <w:highlight w:val="none"/>
              </w:rPr>
              <w:t>.6 性能及防腐：整机焊缝牢固平整，热镀锌层均匀，适应畜禽舍高湿腐蚀环境；链条、传动部件耐磨抗疲劳；设备运行噪声低，刮粪刮除效果良好；控制柜防护等级满足现场环境使用要求。</w:t>
            </w:r>
          </w:p>
        </w:tc>
        <w:tc>
          <w:tcPr>
            <w:tcW w:w="0" w:type="auto"/>
            <w:vAlign w:val="center"/>
          </w:tcPr>
          <w:p w14:paraId="5D2C1D3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0069B65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r>
      <w:tr w14:paraId="693E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2" w:hRule="atLeast"/>
        </w:trPr>
        <w:tc>
          <w:tcPr>
            <w:tcW w:w="817" w:type="dxa"/>
            <w:noWrap/>
            <w:vAlign w:val="center"/>
          </w:tcPr>
          <w:p w14:paraId="5DD55E9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0</w:t>
            </w:r>
          </w:p>
        </w:tc>
        <w:tc>
          <w:tcPr>
            <w:tcW w:w="1084" w:type="dxa"/>
            <w:noWrap/>
            <w:vAlign w:val="center"/>
          </w:tcPr>
          <w:p w14:paraId="5D9AB1A0">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生物菌种</w:t>
            </w:r>
          </w:p>
        </w:tc>
        <w:tc>
          <w:tcPr>
            <w:tcW w:w="7411" w:type="dxa"/>
            <w:vAlign w:val="center"/>
          </w:tcPr>
          <w:p w14:paraId="129D411D">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.1 执行标准：产品环境安全评价参考HJ/T 415-2008《环保用微生物菌剂环境安全评价导则》；微生物检测、贮存运输参照GB 20287-2006《农用微生物菌剂》；产品质量以招标文件技术参数及第三方检测报告作为验收依据。</w:t>
            </w:r>
          </w:p>
          <w:p w14:paraId="35D79DE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.2 适用场景：厌氧发酵罐专用菌种，适用于①畜禽粪污厌氧发酵罐；②黑膜厌氧池；③农村化粪池厌氧发酵处理场景，适配各类粪污厌氧降解工况。</w:t>
            </w:r>
          </w:p>
          <w:p w14:paraId="2BD23CE7">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.3 活菌指标：产品有效活菌数≥10 亿 / 克，</w:t>
            </w:r>
            <w:r>
              <w:rPr>
                <w:rFonts w:hint="eastAsia" w:ascii="宋体" w:hAnsi="宋体" w:cs="宋体"/>
                <w:kern w:val="0"/>
                <w:sz w:val="24"/>
                <w:highlight w:val="none"/>
              </w:rPr>
              <w:t>优势菌种主要为枯草芽孢杆菌、酵母菌、乳酸杆菌等，</w:t>
            </w:r>
            <w:r>
              <w:rPr>
                <w:rFonts w:ascii="宋体" w:hAnsi="宋体" w:cs="宋体"/>
                <w:kern w:val="0"/>
                <w:sz w:val="24"/>
                <w:highlight w:val="none"/>
              </w:rPr>
              <w:t>活性稳定。</w:t>
            </w:r>
          </w:p>
          <w:p w14:paraId="3B773F6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.4 适用工作条件</w:t>
            </w:r>
            <w:r>
              <w:rPr>
                <w:rFonts w:hint="eastAsia" w:ascii="宋体" w:hAnsi="宋体" w:cs="宋体"/>
                <w:kern w:val="0"/>
                <w:sz w:val="24"/>
                <w:highlight w:val="none"/>
              </w:rPr>
              <w:t>：</w:t>
            </w:r>
            <w:r>
              <w:rPr>
                <w:rFonts w:ascii="宋体" w:hAnsi="宋体" w:cs="宋体"/>
                <w:kern w:val="0"/>
                <w:sz w:val="24"/>
                <w:highlight w:val="none"/>
              </w:rPr>
              <w:t>工作温度：15℃-45℃</w:t>
            </w:r>
            <w:r>
              <w:rPr>
                <w:rFonts w:hint="eastAsia" w:ascii="宋体" w:hAnsi="宋体" w:cs="宋体"/>
                <w:kern w:val="0"/>
                <w:sz w:val="24"/>
                <w:highlight w:val="none"/>
              </w:rPr>
              <w:t>；</w:t>
            </w:r>
            <w:r>
              <w:rPr>
                <w:rFonts w:ascii="宋体" w:hAnsi="宋体" w:cs="宋体"/>
                <w:kern w:val="0"/>
                <w:sz w:val="24"/>
                <w:highlight w:val="none"/>
              </w:rPr>
              <w:t>适用 pH 值：7-9（中性至弱碱性环境）</w:t>
            </w:r>
            <w:r>
              <w:rPr>
                <w:rFonts w:hint="eastAsia" w:ascii="宋体" w:hAnsi="宋体" w:cs="宋体"/>
                <w:kern w:val="0"/>
                <w:sz w:val="24"/>
                <w:highlight w:val="none"/>
              </w:rPr>
              <w:t>；</w:t>
            </w:r>
            <w:r>
              <w:rPr>
                <w:rFonts w:ascii="宋体" w:hAnsi="宋体" w:cs="宋体"/>
                <w:kern w:val="0"/>
                <w:sz w:val="24"/>
                <w:highlight w:val="none"/>
              </w:rPr>
              <w:t>耐受盐度：≤30000</w:t>
            </w:r>
            <w:r>
              <w:rPr>
                <w:kern w:val="0"/>
                <w:sz w:val="24"/>
                <w:highlight w:val="none"/>
              </w:rPr>
              <w:t> </w:t>
            </w:r>
            <w:r>
              <w:rPr>
                <w:rFonts w:ascii="宋体" w:hAnsi="宋体" w:cs="Calibri"/>
                <w:kern w:val="0"/>
                <w:sz w:val="24"/>
                <w:highlight w:val="none"/>
              </w:rPr>
              <w:t>m</w:t>
            </w:r>
            <w:r>
              <w:rPr>
                <w:rFonts w:ascii="宋体" w:hAnsi="宋体" w:cs="宋体"/>
                <w:kern w:val="0"/>
                <w:sz w:val="24"/>
                <w:highlight w:val="none"/>
              </w:rPr>
              <w:t>g/L</w:t>
            </w:r>
          </w:p>
          <w:p w14:paraId="68C882A6">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.5 储存与保质期：产品需放置在阴凉干燥处密封储存，避免暴晒、高温、潮湿环境；常温密封状态下，产品保质期≥ 12 个月。</w:t>
            </w:r>
          </w:p>
          <w:p w14:paraId="6F48FC88">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0</w:t>
            </w:r>
            <w:r>
              <w:rPr>
                <w:rFonts w:ascii="宋体" w:hAnsi="宋体" w:cs="宋体"/>
                <w:kern w:val="0"/>
                <w:sz w:val="24"/>
                <w:highlight w:val="none"/>
              </w:rPr>
              <w:t>.6 性能要求：专用厌氧发酵菌种，对畜禽粪污有机质具备优异的降解、酸化、产甲烷能力，可快速激活厌氧系统、缩短发酵启动周期；有效提升粪污厌氧处理效率，稳定系统运行工况，避免罐体酸化、产气低效等问题；菌种不含致病微生物，无二次污染，符合环保处理要求。</w:t>
            </w:r>
          </w:p>
        </w:tc>
        <w:tc>
          <w:tcPr>
            <w:tcW w:w="0" w:type="auto"/>
            <w:vAlign w:val="center"/>
          </w:tcPr>
          <w:p w14:paraId="5E0CF2A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kg</w:t>
            </w:r>
          </w:p>
        </w:tc>
        <w:tc>
          <w:tcPr>
            <w:tcW w:w="0" w:type="auto"/>
            <w:vAlign w:val="center"/>
          </w:tcPr>
          <w:p w14:paraId="31C4E2D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3930</w:t>
            </w:r>
          </w:p>
        </w:tc>
      </w:tr>
      <w:tr w14:paraId="49A9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17" w:type="dxa"/>
            <w:noWrap/>
            <w:vAlign w:val="center"/>
          </w:tcPr>
          <w:p w14:paraId="27299104">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1</w:t>
            </w:r>
          </w:p>
        </w:tc>
        <w:tc>
          <w:tcPr>
            <w:tcW w:w="1084" w:type="dxa"/>
            <w:noWrap/>
            <w:vAlign w:val="center"/>
          </w:tcPr>
          <w:p w14:paraId="00AD0D31">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太阳能微孔曝气机</w:t>
            </w:r>
          </w:p>
        </w:tc>
        <w:tc>
          <w:tcPr>
            <w:tcW w:w="7411" w:type="dxa"/>
            <w:vAlign w:val="center"/>
          </w:tcPr>
          <w:p w14:paraId="09DFAFE6">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主要性能参数：设备功率1.1kW；循环通量1480m³/h；增氧能力0.68-9.8kgO2/h；进气量≥120m³/h；工作电压48V；水花高度1.55m；水花直径2-4.8m。</w:t>
            </w:r>
          </w:p>
          <w:p w14:paraId="656BCCA4">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配置要求：配备275Wp太阳能板，配套太阳能专用铝合金导轨1套、304不锈钢支架1套；采用高密度聚乙烯（HDPE）浮筒；电箱、主机、浮筒及全套紧固件配件材质均为304不锈钢。</w:t>
            </w:r>
          </w:p>
          <w:p w14:paraId="73969CD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性能要求：设备曝气增氧效果稳定，水体循环搅拌充分；浮体结构牢靠，抗风浪，适用于户外露天水体；304不锈钢部件防腐防锈，适应野外潮湿水环境；太阳能供电系统匹配主机功率，具备充放电保护、过压过载保护功能；设备整体运行噪声低、工况稳定、故障率低，便于户外长期运行及日常维护。</w:t>
            </w:r>
          </w:p>
        </w:tc>
        <w:tc>
          <w:tcPr>
            <w:tcW w:w="0" w:type="auto"/>
            <w:vAlign w:val="center"/>
          </w:tcPr>
          <w:p w14:paraId="740C8E0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20B1377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16</w:t>
            </w:r>
          </w:p>
        </w:tc>
      </w:tr>
      <w:tr w14:paraId="3FB0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trPr>
        <w:tc>
          <w:tcPr>
            <w:tcW w:w="817" w:type="dxa"/>
            <w:noWrap/>
            <w:vAlign w:val="center"/>
          </w:tcPr>
          <w:p w14:paraId="7417E44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2</w:t>
            </w:r>
          </w:p>
        </w:tc>
        <w:tc>
          <w:tcPr>
            <w:tcW w:w="1084" w:type="dxa"/>
            <w:noWrap/>
            <w:vAlign w:val="center"/>
          </w:tcPr>
          <w:p w14:paraId="539D68DC">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污水处理设备</w:t>
            </w:r>
          </w:p>
        </w:tc>
        <w:tc>
          <w:tcPr>
            <w:tcW w:w="7411" w:type="dxa"/>
            <w:vAlign w:val="center"/>
          </w:tcPr>
          <w:p w14:paraId="58CC9D82">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.1 执行标准：出水水质满足 DB34/4722-2024《水产养殖业水污染物排放标准》二级排放限值要求；设备制造、电气配套执行相关国家及行业规范；机械电气安全符合 GB/T 5226.1-2019《机械电气安全 机械电气设备 第 1 部分：通用技术条件》。</w:t>
            </w:r>
          </w:p>
          <w:p w14:paraId="3CC3590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.2 设备组成：一体化尾水处理成套设备，包含微生物活化扩培设备（IMA微生物活化设备或同等功能设备）、微纳米曝气模块、弹性填料、MBR 膜组件、硝化液回流泵、电控系统及配套附件；工艺设计应有效延缓 MBR 膜通量衰减速率，延长膜组件使用寿命。</w:t>
            </w:r>
          </w:p>
          <w:p w14:paraId="2D3BEC84">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.3 设计处理规模：处理能力≥100m³/d。</w:t>
            </w:r>
          </w:p>
          <w:p w14:paraId="6EED3E8B">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.4 硝化液回流泵参数：流量5m³/h；扬程8m；功率0.37kW。</w:t>
            </w:r>
          </w:p>
          <w:p w14:paraId="1E855C5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.5 电气及远程控制：配置智能控制模块，实现设备自动化运行；成套提供控制柜，包含控制柜至各设备、仪表之间动力电缆、信号电缆、电缆桥架、穿线管等全套安装辅材；具备远程操作功能。</w:t>
            </w:r>
          </w:p>
          <w:p w14:paraId="7D3493ED">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2</w:t>
            </w:r>
            <w:r>
              <w:rPr>
                <w:rFonts w:ascii="宋体" w:hAnsi="宋体" w:cs="宋体"/>
                <w:kern w:val="0"/>
                <w:sz w:val="24"/>
                <w:highlight w:val="none"/>
              </w:rPr>
              <w:t>.6 性能要求：一体化设备结构紧凑，防腐性能满足养殖尾水处理工况；系统运行稳定，抗冲击负荷能力强；膜组件设置保护措施，降低膜污染速率；泵体、管路、箱体材质适配养殖尾水腐蚀性水质；微生物活化设备可实现土著微生物驯化扩培、回流投加，提升生化系统处理效能。</w:t>
            </w:r>
          </w:p>
        </w:tc>
        <w:tc>
          <w:tcPr>
            <w:tcW w:w="0" w:type="auto"/>
            <w:vAlign w:val="center"/>
          </w:tcPr>
          <w:p w14:paraId="651BE3E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7A02277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2D13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817" w:type="dxa"/>
            <w:noWrap/>
            <w:vAlign w:val="center"/>
          </w:tcPr>
          <w:p w14:paraId="6580F82E">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3</w:t>
            </w:r>
          </w:p>
        </w:tc>
        <w:tc>
          <w:tcPr>
            <w:tcW w:w="1084" w:type="dxa"/>
            <w:noWrap/>
            <w:vAlign w:val="center"/>
          </w:tcPr>
          <w:p w14:paraId="1FBDD9C6">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一体化泵站</w:t>
            </w:r>
          </w:p>
        </w:tc>
        <w:tc>
          <w:tcPr>
            <w:tcW w:w="7411" w:type="dxa"/>
            <w:vAlign w:val="center"/>
          </w:tcPr>
          <w:p w14:paraId="51584B55">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.1 执行标准：设备设计、制造、安装及验收执行 CECS 407:2015《一体化预制泵站应用技术规程》、GB/T 46595-2025《排水泵站一体化设备》、GB 50268-2008《给水排水管道工程施工及验收规范》、GB/T 5226.1-2019《机械电气安全 机械电气设备 第 1 部分：通用技术条件》；玻璃钢筒体原材料及力学性能参照 GB/T 21238-2016《玻璃纤维增强塑料夹砂管》相关指标；外壳防护等级符合 GB/T 4208-2017《外壳防护等级（IP 代码）》；电磁抗扰度满足 GB/T 17626 系列相关要求；设备标牌符合 GB/T 13306-2011《标牌》；满足户外埋地、污水提升工况设计及使用要求。</w:t>
            </w:r>
          </w:p>
          <w:p w14:paraId="434EE3E1">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.2 主体筒体参数</w:t>
            </w:r>
          </w:p>
          <w:p w14:paraId="44890D13">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.2.1 一体化提升泵站筒体采用无碱缠绕玻璃钢（GRP）材质，整体预制成型，筒体直径1200mm，总高度</w:t>
            </w:r>
            <w:r>
              <w:rPr>
                <w:rFonts w:hint="eastAsia" w:ascii="宋体" w:hAnsi="宋体" w:cs="宋体"/>
                <w:kern w:val="0"/>
                <w:sz w:val="24"/>
                <w:highlight w:val="none"/>
              </w:rPr>
              <w:t>3000-</w:t>
            </w:r>
            <w:r>
              <w:rPr>
                <w:rFonts w:ascii="宋体" w:hAnsi="宋体" w:cs="宋体"/>
                <w:kern w:val="0"/>
                <w:sz w:val="24"/>
                <w:highlight w:val="none"/>
              </w:rPr>
              <w:t>4000mm，筒体壁厚14mm～16mm，结构强度高、耐腐蚀、抗渗漏、使用寿命长。</w:t>
            </w:r>
          </w:p>
          <w:p w14:paraId="58C75FAD">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.2.2 配套GRP预制阀门井1座，直径1200mm，高度1.55m，壁厚14mm～16mm，无碱缠绕玻璃钢材质，与泵站主体材质、工艺标准一致。</w:t>
            </w:r>
          </w:p>
          <w:p w14:paraId="73AE5E84">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.3 抗浮结构设计：筒体底部一体成型外挑环形抗浮翼板（抗浮法兰），翼板坐落于混凝土基础上，采用膨胀螺栓固定；采用基础锚固+上部覆土压重+外圈环形混凝土压重环多重抗浮设计；筒体底部设置封闭配重腔，现场浇筑高密度配重混凝土，通过自重及侧向覆土压力抵消设备上浮力，满足埋地泵站抗浮稳定要求。</w:t>
            </w:r>
          </w:p>
          <w:p w14:paraId="036CD2A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.4 水泵配置：配置潜水污水提升泵2台，1用1备；铸铁材质；单泵参数：流量Q=30m³/h，扬程H=10m，额定功率N=2.2kW；水泵自带10m专用电缆，配套304不锈钢导杆、提升链条、穿线管及全套安装辅材，设备供电配套线缆预估长度100m，满足现场安装使用需求。</w:t>
            </w:r>
          </w:p>
          <w:p w14:paraId="00DA55AB">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.5 配套管路阀门及附件：泵站配套阀门组1套，包含橡胶软接头、止回阀、手动闸阀，阀体采用球墨铸铁材质；筒体内部集成304不锈钢爬梯、吊装孔；吊装孔盖板、爬梯全部采用304不锈钢材质，防腐耐用，适配户外埋地潮湿工况。</w:t>
            </w:r>
          </w:p>
          <w:p w14:paraId="53154468">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.6 自控及液位系统</w:t>
            </w:r>
          </w:p>
          <w:p w14:paraId="71EE27F7">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.6.1 配置户外防雨型落地式控制柜，柜体采用304不锈钢材质，防护等级满足户外露天使用要求；控制方式为一控二水泵直接启动，适配2.2kW水泵双泵启停控制。</w:t>
            </w:r>
          </w:p>
          <w:p w14:paraId="58802065">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.6.2 液位监测采用浮球液位开关+液位传感器双重监测，传感器配备304不锈钢保护套管；可精准设置开泵、停泵、高低液位报警信号，实现液位自动控制。</w:t>
            </w:r>
          </w:p>
          <w:p w14:paraId="4667B1A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.6.3 控制系统具备无人值守、设备运行状态实时监视、网络远程监控、短信故障报警等智能化功能，可实时反馈设备运行参数及故障信息。</w:t>
            </w:r>
          </w:p>
          <w:p w14:paraId="13177A9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3</w:t>
            </w:r>
            <w:r>
              <w:rPr>
                <w:rFonts w:ascii="宋体" w:hAnsi="宋体" w:cs="宋体"/>
                <w:kern w:val="0"/>
                <w:sz w:val="24"/>
                <w:highlight w:val="none"/>
              </w:rPr>
              <w:t>.7 安装适配要求：所有设备结构尺寸、安装标高、管路接口需完全匹配项目设计管线标高及现场工况，保证管网对接顺畅、设备运行稳定。</w:t>
            </w:r>
          </w:p>
        </w:tc>
        <w:tc>
          <w:tcPr>
            <w:tcW w:w="0" w:type="auto"/>
            <w:vAlign w:val="center"/>
          </w:tcPr>
          <w:p w14:paraId="06C780D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座</w:t>
            </w:r>
          </w:p>
        </w:tc>
        <w:tc>
          <w:tcPr>
            <w:tcW w:w="0" w:type="auto"/>
            <w:vAlign w:val="center"/>
          </w:tcPr>
          <w:p w14:paraId="2EA5E37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351C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trPr>
        <w:tc>
          <w:tcPr>
            <w:tcW w:w="817" w:type="dxa"/>
            <w:noWrap/>
            <w:vAlign w:val="center"/>
          </w:tcPr>
          <w:p w14:paraId="4F51728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4</w:t>
            </w:r>
          </w:p>
        </w:tc>
        <w:tc>
          <w:tcPr>
            <w:tcW w:w="1084" w:type="dxa"/>
            <w:noWrap/>
            <w:vAlign w:val="center"/>
          </w:tcPr>
          <w:p w14:paraId="02A37D16">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秸秆造粒机</w:t>
            </w:r>
          </w:p>
        </w:tc>
        <w:tc>
          <w:tcPr>
            <w:tcW w:w="7411" w:type="dxa"/>
            <w:vAlign w:val="center"/>
          </w:tcPr>
          <w:p w14:paraId="550278E0">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主要参数</w:t>
            </w:r>
          </w:p>
          <w:p w14:paraId="5AE418F2">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.1 配套主电机功率：≥160 kW，电机能效等级不低于 3 级。</w:t>
            </w:r>
          </w:p>
          <w:p w14:paraId="7B9DD826">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.2 设备额定产量：2～2.5 t/h。</w:t>
            </w:r>
          </w:p>
          <w:p w14:paraId="717A1AA5">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.3 设备工作电压：380 V。</w:t>
            </w:r>
          </w:p>
          <w:p w14:paraId="745D1B0F">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.4 减速机速比：1:18。</w:t>
            </w:r>
          </w:p>
          <w:p w14:paraId="32E3F6AD">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环模配置参数：设备配备专用合金钢环模，环模孔径 8mm，适配秸秆原料成型制粒工况；在正常规范作业、无硬质硬物进入设备的工况下，环模有效使用寿命为 1000～1200 吨产能。</w:t>
            </w:r>
          </w:p>
          <w:p w14:paraId="6E7B17C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进料及除尘系统：设备配套专用输送喂料机，可与前端秸秆粉碎机精准衔接，实现连续、均匀、稳定进料；整机配套风冷除尘装置，有效收集作业粉尘，降低现场粉尘污染，保障设备连续稳定运行及作业环境达标。</w:t>
            </w:r>
          </w:p>
          <w:p w14:paraId="034CDBD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4</w:t>
            </w:r>
            <w:r>
              <w:rPr>
                <w:rFonts w:ascii="宋体" w:hAnsi="宋体" w:cs="宋体"/>
                <w:kern w:val="0"/>
                <w:sz w:val="24"/>
                <w:highlight w:val="none"/>
              </w:rPr>
              <w:t>.</w:t>
            </w:r>
            <w:r>
              <w:rPr>
                <w:rFonts w:hint="eastAsia" w:ascii="宋体" w:hAnsi="宋体" w:cs="宋体"/>
                <w:kern w:val="0"/>
                <w:sz w:val="24"/>
                <w:highlight w:val="none"/>
              </w:rPr>
              <w:t>4</w:t>
            </w:r>
            <w:r>
              <w:rPr>
                <w:rFonts w:ascii="宋体" w:hAnsi="宋体" w:cs="宋体"/>
                <w:kern w:val="0"/>
                <w:sz w:val="24"/>
                <w:highlight w:val="none"/>
              </w:rPr>
              <w:t xml:space="preserve"> 整体性能要求：设备传动稳定、成型率高、运行噪音低、故障率低；合金钢环模耐磨性能优异，适配秸秆生物质连续制粒作业；风冷除尘系统结构合理、密封性能好，满足现场环保作业要求。</w:t>
            </w:r>
          </w:p>
        </w:tc>
        <w:tc>
          <w:tcPr>
            <w:tcW w:w="0" w:type="auto"/>
            <w:vAlign w:val="center"/>
          </w:tcPr>
          <w:p w14:paraId="369B260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790E4FE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r w14:paraId="2386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817" w:type="dxa"/>
            <w:noWrap/>
            <w:vAlign w:val="center"/>
          </w:tcPr>
          <w:p w14:paraId="194450BD">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5</w:t>
            </w:r>
          </w:p>
        </w:tc>
        <w:tc>
          <w:tcPr>
            <w:tcW w:w="1084" w:type="dxa"/>
            <w:noWrap/>
            <w:vAlign w:val="center"/>
          </w:tcPr>
          <w:p w14:paraId="6CDA2E09">
            <w:pPr>
              <w:widowControl/>
              <w:adjustRightInd w:val="0"/>
              <w:snapToGrid w:val="0"/>
              <w:rPr>
                <w:rFonts w:hint="eastAsia" w:ascii="宋体" w:hAnsi="宋体" w:cs="宋体"/>
                <w:kern w:val="0"/>
                <w:sz w:val="24"/>
                <w:highlight w:val="none"/>
              </w:rPr>
            </w:pPr>
            <w:r>
              <w:rPr>
                <w:rFonts w:ascii="宋体" w:hAnsi="宋体" w:cs="宋体"/>
                <w:kern w:val="0"/>
                <w:sz w:val="24"/>
                <w:highlight w:val="none"/>
              </w:rPr>
              <w:t>秸秆粉碎机</w:t>
            </w:r>
          </w:p>
        </w:tc>
        <w:tc>
          <w:tcPr>
            <w:tcW w:w="7411" w:type="dxa"/>
            <w:vAlign w:val="center"/>
          </w:tcPr>
          <w:p w14:paraId="09250523">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w:t>
            </w:r>
            <w:r>
              <w:rPr>
                <w:rFonts w:ascii="宋体" w:hAnsi="宋体" w:cs="宋体"/>
                <w:kern w:val="0"/>
                <w:sz w:val="24"/>
                <w:highlight w:val="none"/>
              </w:rPr>
              <w:t xml:space="preserve">.1 </w:t>
            </w:r>
            <w:r>
              <w:rPr>
                <w:rFonts w:hint="eastAsia" w:ascii="宋体" w:hAnsi="宋体" w:cs="宋体"/>
                <w:kern w:val="0"/>
                <w:sz w:val="24"/>
                <w:highlight w:val="none"/>
              </w:rPr>
              <w:t>主要参数：</w:t>
            </w:r>
            <w:r>
              <w:rPr>
                <w:rFonts w:ascii="宋体" w:hAnsi="宋体" w:cs="宋体"/>
                <w:kern w:val="0"/>
                <w:sz w:val="24"/>
                <w:highlight w:val="none"/>
              </w:rPr>
              <w:t>主机功率：≥90kW。处理产量：2～3t/h。设备工作电压：380 V。</w:t>
            </w:r>
          </w:p>
          <w:p w14:paraId="6C42B88C">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 xml:space="preserve">45.2 </w:t>
            </w:r>
            <w:r>
              <w:rPr>
                <w:rFonts w:ascii="宋体" w:hAnsi="宋体" w:cs="宋体"/>
                <w:kern w:val="0"/>
                <w:sz w:val="24"/>
                <w:highlight w:val="none"/>
              </w:rPr>
              <w:t>除尘引风系统：配置</w:t>
            </w:r>
            <w:r>
              <w:rPr>
                <w:rFonts w:hint="eastAsia" w:ascii="宋体" w:hAnsi="宋体" w:cs="宋体"/>
                <w:kern w:val="0"/>
                <w:sz w:val="24"/>
                <w:highlight w:val="none"/>
              </w:rPr>
              <w:t>相应配套</w:t>
            </w:r>
            <w:r>
              <w:rPr>
                <w:rFonts w:ascii="宋体" w:hAnsi="宋体" w:cs="宋体"/>
                <w:kern w:val="0"/>
                <w:sz w:val="24"/>
                <w:highlight w:val="none"/>
              </w:rPr>
              <w:t>离心除尘引风机，配套电机功率 22 kW。风机在本项目除尘系统实际工况点下，应同时满足工艺所需风量及克服管路阻力对应的全压要求；除尘接口与闭风器密封对接，实现负压除尘，降低作业粉尘。</w:t>
            </w:r>
          </w:p>
          <w:p w14:paraId="56AED2D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45.3</w:t>
            </w:r>
            <w:r>
              <w:rPr>
                <w:rFonts w:ascii="宋体" w:hAnsi="宋体" w:cs="宋体"/>
                <w:kern w:val="0"/>
                <w:sz w:val="24"/>
                <w:highlight w:val="none"/>
              </w:rPr>
              <w:t xml:space="preserve"> 闭风器参数：闭风器驱动电机功率 3 kW，额定电压 380 V，额定电流约 6.8 A，叶轮转速</w:t>
            </w:r>
            <w:r>
              <w:rPr>
                <w:rFonts w:hint="eastAsia" w:ascii="宋体" w:hAnsi="宋体" w:cs="宋体"/>
                <w:kern w:val="0"/>
                <w:sz w:val="24"/>
                <w:highlight w:val="none"/>
              </w:rPr>
              <w:t>53</w:t>
            </w:r>
            <w:r>
              <w:rPr>
                <w:rFonts w:ascii="宋体" w:hAnsi="宋体" w:cs="宋体"/>
                <w:kern w:val="0"/>
                <w:sz w:val="24"/>
                <w:highlight w:val="none"/>
              </w:rPr>
              <w:t>r/min；设备运行稳定，锁风效果良好，保障粉碎除尘系统负压稳定。</w:t>
            </w:r>
          </w:p>
          <w:p w14:paraId="0BDB3EE0">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45.4</w:t>
            </w:r>
            <w:r>
              <w:rPr>
                <w:rFonts w:ascii="宋体" w:hAnsi="宋体" w:cs="宋体"/>
                <w:kern w:val="0"/>
                <w:sz w:val="24"/>
                <w:highlight w:val="none"/>
              </w:rPr>
              <w:t xml:space="preserve"> 核心易损件配置：锤片表面采用碳化物合金喷焊耐磨强化处理；在正常规范作业工况、无硬质石块等硬物进入设备的情况下，锤片设计使用寿命可达 </w:t>
            </w:r>
            <w:r>
              <w:rPr>
                <w:rFonts w:hint="eastAsia" w:ascii="宋体" w:hAnsi="宋体" w:cs="宋体"/>
                <w:kern w:val="0"/>
                <w:sz w:val="24"/>
                <w:highlight w:val="none"/>
              </w:rPr>
              <w:t>3</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 xml:space="preserve"> 个月。</w:t>
            </w:r>
          </w:p>
          <w:p w14:paraId="7507D6C3">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45.5</w:t>
            </w:r>
            <w:r>
              <w:rPr>
                <w:rFonts w:ascii="宋体" w:hAnsi="宋体" w:cs="宋体"/>
                <w:kern w:val="0"/>
                <w:sz w:val="24"/>
                <w:highlight w:val="none"/>
              </w:rPr>
              <w:t xml:space="preserve"> 出料对接：设备可通过输送带或料仓与下游设备对接。</w:t>
            </w:r>
          </w:p>
          <w:p w14:paraId="48C6EA4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45.6</w:t>
            </w:r>
            <w:r>
              <w:rPr>
                <w:rFonts w:ascii="宋体" w:hAnsi="宋体" w:cs="宋体"/>
                <w:kern w:val="0"/>
                <w:sz w:val="24"/>
                <w:highlight w:val="none"/>
              </w:rPr>
              <w:t xml:space="preserve"> 进料输送系统：配套进料输送机，进料输送速度</w:t>
            </w:r>
            <w:r>
              <w:rPr>
                <w:rFonts w:hint="eastAsia" w:ascii="宋体" w:hAnsi="宋体" w:cs="宋体"/>
                <w:kern w:val="0"/>
                <w:sz w:val="24"/>
                <w:highlight w:val="none"/>
              </w:rPr>
              <w:t>约</w:t>
            </w:r>
            <w:r>
              <w:rPr>
                <w:rFonts w:ascii="宋体" w:hAnsi="宋体" w:cs="宋体"/>
                <w:kern w:val="0"/>
                <w:sz w:val="24"/>
                <w:highlight w:val="none"/>
              </w:rPr>
              <w:t>25.9 m/min</w:t>
            </w:r>
            <w:r>
              <w:rPr>
                <w:rFonts w:hint="eastAsia" w:ascii="宋体" w:hAnsi="宋体" w:cs="宋体"/>
                <w:kern w:val="0"/>
                <w:sz w:val="24"/>
                <w:highlight w:val="none"/>
              </w:rPr>
              <w:t>,</w:t>
            </w:r>
            <w:r>
              <w:rPr>
                <w:rFonts w:ascii="宋体" w:hAnsi="宋体" w:cs="宋体"/>
                <w:kern w:val="0"/>
                <w:sz w:val="24"/>
                <w:highlight w:val="none"/>
              </w:rPr>
              <w:t>变频可调，实现连续均匀进料，保障粉碎工况稳定。</w:t>
            </w:r>
          </w:p>
          <w:p w14:paraId="121788B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45.7</w:t>
            </w:r>
            <w:r>
              <w:rPr>
                <w:rFonts w:ascii="宋体" w:hAnsi="宋体" w:cs="宋体"/>
                <w:kern w:val="0"/>
                <w:sz w:val="24"/>
                <w:highlight w:val="none"/>
              </w:rPr>
              <w:t xml:space="preserve"> 性能要求：设备结构紧凑，运转平稳，噪声低；负压除尘系统密封可靠，粉尘排放满足要求；耐磨部件耐用性好，故障率低，适配秸秆类生物质原料连续粉碎作业。</w:t>
            </w:r>
          </w:p>
        </w:tc>
        <w:tc>
          <w:tcPr>
            <w:tcW w:w="0" w:type="auto"/>
            <w:vAlign w:val="center"/>
          </w:tcPr>
          <w:p w14:paraId="2BE531F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12BACE3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28D8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817" w:type="dxa"/>
            <w:noWrap/>
            <w:vAlign w:val="center"/>
          </w:tcPr>
          <w:p w14:paraId="022D277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6</w:t>
            </w:r>
          </w:p>
        </w:tc>
        <w:tc>
          <w:tcPr>
            <w:tcW w:w="1084" w:type="dxa"/>
            <w:noWrap/>
            <w:vAlign w:val="center"/>
          </w:tcPr>
          <w:p w14:paraId="194FC0F9">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秸秆打捆机</w:t>
            </w:r>
          </w:p>
        </w:tc>
        <w:tc>
          <w:tcPr>
            <w:tcW w:w="7411" w:type="dxa"/>
            <w:vAlign w:val="center"/>
          </w:tcPr>
          <w:p w14:paraId="23AAC18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.1 执行标准：设备设计、制造、检验执行 GB/T 14290-2021《圆草捆打捆机》。整机性能、结构强度、安全防护满足田间秸秆捡拾打捆作业要求。</w:t>
            </w:r>
            <w:r>
              <w:rPr>
                <w:rFonts w:hint="eastAsia" w:ascii="宋体" w:hAnsi="宋体" w:cs="宋体"/>
                <w:kern w:val="0"/>
                <w:sz w:val="24"/>
                <w:highlight w:val="none"/>
              </w:rPr>
              <w:t>主传动机构链轮、带轮、传动带、链条等外露动力传动部件及牵引杆、捡拾器、喂入器、后尾门等应有防护装置，防护装置应符合GB 10395.20的规定。在捡拾机构、传动机构等对操作者存在危险部位的明显位置处应设置安全警示标志，安全标志应符合GB10396规定的要求。</w:t>
            </w:r>
          </w:p>
          <w:p w14:paraId="68CF94A3">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 xml:space="preserve">.2 </w:t>
            </w:r>
            <w:r>
              <w:rPr>
                <w:rFonts w:hint="eastAsia" w:ascii="宋体" w:hAnsi="宋体" w:cs="宋体"/>
                <w:kern w:val="0"/>
                <w:sz w:val="24"/>
                <w:highlight w:val="none"/>
              </w:rPr>
              <w:t>牵引式，</w:t>
            </w:r>
            <w:r>
              <w:rPr>
                <w:rFonts w:ascii="宋体" w:hAnsi="宋体" w:cs="宋体"/>
                <w:kern w:val="0"/>
                <w:sz w:val="24"/>
                <w:highlight w:val="none"/>
              </w:rPr>
              <w:t>配套动力要求：设备适配配套动力≥75 kW，动力匹配合理，作业负荷稳定，可满足连续田间作业工况。</w:t>
            </w:r>
          </w:p>
          <w:p w14:paraId="7E861252">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.3 外形尺寸：设备整体外形尺寸</w:t>
            </w:r>
            <w:r>
              <w:rPr>
                <w:rFonts w:hint="eastAsia" w:ascii="宋体" w:hAnsi="宋体" w:cs="宋体"/>
                <w:kern w:val="0"/>
                <w:sz w:val="24"/>
                <w:highlight w:val="none"/>
              </w:rPr>
              <w:t>长</w:t>
            </w:r>
            <w:r>
              <w:rPr>
                <w:rFonts w:ascii="宋体" w:hAnsi="宋体" w:cs="宋体"/>
                <w:kern w:val="0"/>
                <w:sz w:val="24"/>
                <w:highlight w:val="none"/>
              </w:rPr>
              <w:t>4100</w:t>
            </w:r>
            <w:r>
              <w:rPr>
                <w:rFonts w:hint="eastAsia" w:ascii="宋体" w:hAnsi="宋体" w:cs="宋体"/>
                <w:kern w:val="0"/>
                <w:sz w:val="24"/>
                <w:highlight w:val="none"/>
              </w:rPr>
              <w:t>±150</w:t>
            </w:r>
            <w:r>
              <w:rPr>
                <w:rFonts w:ascii="宋体" w:hAnsi="宋体" w:cs="宋体"/>
                <w:kern w:val="0"/>
                <w:sz w:val="24"/>
                <w:highlight w:val="none"/>
              </w:rPr>
              <w:t>mm</w:t>
            </w:r>
            <w:r>
              <w:rPr>
                <w:rFonts w:hint="eastAsia" w:ascii="宋体" w:hAnsi="宋体" w:cs="宋体"/>
                <w:kern w:val="0"/>
                <w:sz w:val="24"/>
                <w:highlight w:val="none"/>
              </w:rPr>
              <w:t>、宽</w:t>
            </w:r>
            <w:r>
              <w:rPr>
                <w:rFonts w:ascii="宋体" w:hAnsi="宋体" w:cs="宋体"/>
                <w:kern w:val="0"/>
                <w:sz w:val="24"/>
                <w:highlight w:val="none"/>
              </w:rPr>
              <w:t>2960</w:t>
            </w:r>
            <w:r>
              <w:rPr>
                <w:rFonts w:hint="eastAsia" w:ascii="宋体" w:hAnsi="宋体" w:cs="宋体"/>
                <w:kern w:val="0"/>
                <w:sz w:val="24"/>
                <w:highlight w:val="none"/>
              </w:rPr>
              <w:t>±150</w:t>
            </w:r>
            <w:r>
              <w:rPr>
                <w:rFonts w:ascii="宋体" w:hAnsi="宋体" w:cs="宋体"/>
                <w:kern w:val="0"/>
                <w:sz w:val="24"/>
                <w:highlight w:val="none"/>
              </w:rPr>
              <w:t>mm</w:t>
            </w:r>
            <w:r>
              <w:rPr>
                <w:rFonts w:hint="eastAsia" w:ascii="宋体" w:hAnsi="宋体" w:cs="宋体"/>
                <w:kern w:val="0"/>
                <w:sz w:val="24"/>
                <w:highlight w:val="none"/>
              </w:rPr>
              <w:t>、高</w:t>
            </w:r>
            <w:r>
              <w:rPr>
                <w:rFonts w:ascii="宋体" w:hAnsi="宋体" w:cs="宋体"/>
                <w:kern w:val="0"/>
                <w:sz w:val="24"/>
                <w:highlight w:val="none"/>
              </w:rPr>
              <w:t>2300</w:t>
            </w:r>
            <w:r>
              <w:rPr>
                <w:rFonts w:hint="eastAsia" w:ascii="宋体" w:hAnsi="宋体" w:cs="宋体"/>
                <w:kern w:val="0"/>
                <w:sz w:val="24"/>
                <w:highlight w:val="none"/>
              </w:rPr>
              <w:t>±150</w:t>
            </w:r>
            <w:r>
              <w:rPr>
                <w:rFonts w:ascii="宋体" w:hAnsi="宋体" w:cs="宋体"/>
                <w:kern w:val="0"/>
                <w:sz w:val="24"/>
                <w:highlight w:val="none"/>
              </w:rPr>
              <w:t>mm，成捆尺寸</w:t>
            </w:r>
            <w:r>
              <w:rPr>
                <w:rFonts w:hint="eastAsia" w:ascii="宋体" w:hAnsi="宋体" w:cs="宋体"/>
                <w:kern w:val="0"/>
                <w:sz w:val="24"/>
                <w:highlight w:val="none"/>
              </w:rPr>
              <w:t>直径φ≥120</w:t>
            </w:r>
            <w:r>
              <w:rPr>
                <w:rFonts w:ascii="宋体" w:hAnsi="宋体" w:cs="宋体"/>
                <w:kern w:val="0"/>
                <w:sz w:val="24"/>
                <w:highlight w:val="none"/>
              </w:rPr>
              <w:t>0</w:t>
            </w:r>
            <w:r>
              <w:rPr>
                <w:rFonts w:hint="eastAsia" w:ascii="宋体" w:hAnsi="宋体" w:cs="宋体"/>
                <w:kern w:val="0"/>
                <w:sz w:val="24"/>
                <w:highlight w:val="none"/>
              </w:rPr>
              <w:t>mm，高度≥140</w:t>
            </w:r>
            <w:r>
              <w:rPr>
                <w:rFonts w:ascii="宋体" w:hAnsi="宋体" w:cs="宋体"/>
                <w:kern w:val="0"/>
                <w:sz w:val="24"/>
                <w:highlight w:val="none"/>
              </w:rPr>
              <w:t>0</w:t>
            </w:r>
            <w:r>
              <w:rPr>
                <w:kern w:val="0"/>
                <w:sz w:val="24"/>
                <w:highlight w:val="none"/>
              </w:rPr>
              <w:t> </w:t>
            </w:r>
            <w:r>
              <w:rPr>
                <w:rFonts w:ascii="宋体" w:hAnsi="宋体" w:cs="宋体"/>
                <w:kern w:val="0"/>
                <w:sz w:val="24"/>
                <w:highlight w:val="none"/>
              </w:rPr>
              <w:t>mm</w:t>
            </w:r>
            <w:r>
              <w:rPr>
                <w:rFonts w:hint="eastAsia" w:ascii="宋体" w:hAnsi="宋体" w:cs="宋体"/>
                <w:kern w:val="0"/>
                <w:sz w:val="24"/>
                <w:highlight w:val="none"/>
              </w:rPr>
              <w:t>，</w:t>
            </w:r>
            <w:r>
              <w:rPr>
                <w:rFonts w:ascii="宋体" w:hAnsi="宋体" w:cs="宋体"/>
                <w:kern w:val="0"/>
                <w:sz w:val="24"/>
                <w:highlight w:val="none"/>
              </w:rPr>
              <w:t>结构布局合理，适配田间作业通行及场地转运要求。</w:t>
            </w:r>
          </w:p>
          <w:p w14:paraId="7879BD3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.4 结构形式：采用螺旋输送式喂入机构，喂料均匀、输送顺畅、不易堵料，有效提升秸秆喂入效率与打捆连续性。</w:t>
            </w:r>
          </w:p>
          <w:p w14:paraId="715CB055">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.5 捡拾性能参数：配置宽幅捡拾器，捡拾宽度≥2000 mm，捡拾覆盖面广、捡拾干净率高，适配田间散铺秸秆收集作业。</w:t>
            </w:r>
          </w:p>
          <w:p w14:paraId="0BE5A67E">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.6 工序衔接要求：设备结构及作业流程可与前端秸秆捡拾、后端</w:t>
            </w:r>
            <w:r>
              <w:rPr>
                <w:rFonts w:hint="eastAsia" w:ascii="宋体" w:hAnsi="宋体" w:cs="宋体"/>
                <w:kern w:val="0"/>
                <w:sz w:val="24"/>
                <w:highlight w:val="none"/>
              </w:rPr>
              <w:t>可与</w:t>
            </w:r>
            <w:r>
              <w:rPr>
                <w:rFonts w:ascii="宋体" w:hAnsi="宋体" w:cs="宋体"/>
                <w:kern w:val="0"/>
                <w:sz w:val="24"/>
                <w:highlight w:val="none"/>
              </w:rPr>
              <w:t>包膜工序高效衔接，整套作业流程连贯顺畅，适配秸秆回收、打包、包膜一体化作业生产线。</w:t>
            </w:r>
          </w:p>
          <w:p w14:paraId="0430DBC3">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.7 整体性能要求：整机结构坚固、抗震耐磨、故障率低；打捆成型紧实、均匀，成型质量稳定；田间通过性好，适应多种地块工况，可满足长时间连续作业需求。</w:t>
            </w:r>
          </w:p>
          <w:p w14:paraId="616B6CD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46</w:t>
            </w:r>
            <w:r>
              <w:rPr>
                <w:rFonts w:ascii="宋体" w:hAnsi="宋体" w:cs="宋体"/>
                <w:kern w:val="0"/>
                <w:sz w:val="24"/>
                <w:highlight w:val="none"/>
              </w:rPr>
              <w:t>.8 资料要求：供货</w:t>
            </w:r>
            <w:r>
              <w:rPr>
                <w:rFonts w:hint="eastAsia" w:ascii="宋体" w:hAnsi="宋体" w:cs="宋体"/>
                <w:kern w:val="0"/>
                <w:sz w:val="24"/>
                <w:highlight w:val="none"/>
              </w:rPr>
              <w:t>时</w:t>
            </w:r>
            <w:r>
              <w:rPr>
                <w:rFonts w:ascii="宋体" w:hAnsi="宋体" w:cs="宋体"/>
                <w:kern w:val="0"/>
                <w:sz w:val="24"/>
                <w:highlight w:val="none"/>
              </w:rPr>
              <w:t>提供设备合格证、设备安装使用维护说明书、主要结构材质及性能参数说明文件。</w:t>
            </w:r>
          </w:p>
        </w:tc>
        <w:tc>
          <w:tcPr>
            <w:tcW w:w="0" w:type="auto"/>
            <w:vAlign w:val="center"/>
          </w:tcPr>
          <w:p w14:paraId="713BDD0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209C579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7083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817" w:type="dxa"/>
            <w:noWrap/>
            <w:vAlign w:val="center"/>
          </w:tcPr>
          <w:p w14:paraId="130F349D">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7</w:t>
            </w:r>
          </w:p>
        </w:tc>
        <w:tc>
          <w:tcPr>
            <w:tcW w:w="1084" w:type="dxa"/>
            <w:vAlign w:val="center"/>
          </w:tcPr>
          <w:p w14:paraId="49622A0D">
            <w:pPr>
              <w:widowControl/>
              <w:adjustRightInd w:val="0"/>
              <w:snapToGrid w:val="0"/>
              <w:rPr>
                <w:rFonts w:hint="eastAsia" w:ascii="宋体" w:hAnsi="宋体" w:cs="宋体"/>
                <w:kern w:val="0"/>
                <w:sz w:val="24"/>
                <w:highlight w:val="none"/>
              </w:rPr>
            </w:pPr>
            <w:r>
              <w:rPr>
                <w:rFonts w:ascii="宋体" w:hAnsi="宋体" w:cs="宋体"/>
                <w:kern w:val="0"/>
                <w:sz w:val="24"/>
                <w:highlight w:val="none"/>
              </w:rPr>
              <w:t>秸秆叉车</w:t>
            </w:r>
          </w:p>
        </w:tc>
        <w:tc>
          <w:tcPr>
            <w:tcW w:w="7411" w:type="dxa"/>
            <w:vAlign w:val="center"/>
          </w:tcPr>
          <w:p w14:paraId="55F40558">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主要参数</w:t>
            </w:r>
          </w:p>
          <w:p w14:paraId="0D7DEBE5">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.1 额定起升重量：≥3000 kg。</w:t>
            </w:r>
          </w:p>
          <w:p w14:paraId="32CF6B63">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.2 额定起升高度：≥3000 mm。</w:t>
            </w:r>
          </w:p>
          <w:p w14:paraId="5A577B7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.3 整机外形尺寸：≥4000 mm×2000 mm×3000 mm。</w:t>
            </w:r>
          </w:p>
          <w:p w14:paraId="6928A7DF">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驱动形式：采用四轮驱动结构，动力强劲、爬坡性能好、接地性佳，适配场地不平整、重载秸秆转运工况，通过性及稳定性优异。</w:t>
            </w:r>
          </w:p>
          <w:p w14:paraId="57BD0AD3">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动力及排放要求：采用柴油动力，发动机满足非道路移动机械国四排放标准，节能环保、运行稳定，符合现行环保排放管控要求。</w:t>
            </w:r>
          </w:p>
          <w:p w14:paraId="0A552150">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7</w:t>
            </w:r>
            <w:r>
              <w:rPr>
                <w:rFonts w:ascii="宋体" w:hAnsi="宋体" w:cs="宋体"/>
                <w:kern w:val="0"/>
                <w:sz w:val="24"/>
                <w:highlight w:val="none"/>
              </w:rPr>
              <w:t>.</w:t>
            </w:r>
            <w:r>
              <w:rPr>
                <w:rFonts w:hint="eastAsia" w:ascii="宋体" w:hAnsi="宋体" w:cs="宋体"/>
                <w:kern w:val="0"/>
                <w:sz w:val="24"/>
                <w:highlight w:val="none"/>
              </w:rPr>
              <w:t>4</w:t>
            </w:r>
            <w:r>
              <w:rPr>
                <w:rFonts w:ascii="宋体" w:hAnsi="宋体" w:cs="宋体"/>
                <w:kern w:val="0"/>
                <w:sz w:val="24"/>
                <w:highlight w:val="none"/>
              </w:rPr>
              <w:t xml:space="preserve"> 整体性能要求：整机结构坚固、承载能力强、操作灵活、制动可靠；适配秸秆捆重载、频繁转运作业，故障率低、续航作业能力强，满足厂区连续物料转运需求。</w:t>
            </w:r>
          </w:p>
        </w:tc>
        <w:tc>
          <w:tcPr>
            <w:tcW w:w="0" w:type="auto"/>
            <w:vAlign w:val="center"/>
          </w:tcPr>
          <w:p w14:paraId="7EEBB9A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343F03D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0B49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817" w:type="dxa"/>
            <w:noWrap/>
            <w:vAlign w:val="center"/>
          </w:tcPr>
          <w:p w14:paraId="07643026">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8</w:t>
            </w:r>
          </w:p>
        </w:tc>
        <w:tc>
          <w:tcPr>
            <w:tcW w:w="1084" w:type="dxa"/>
            <w:noWrap/>
            <w:vAlign w:val="center"/>
          </w:tcPr>
          <w:p w14:paraId="2997CC4A">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脉冲除尘器</w:t>
            </w:r>
          </w:p>
        </w:tc>
        <w:tc>
          <w:tcPr>
            <w:tcW w:w="7411" w:type="dxa"/>
            <w:vAlign w:val="center"/>
          </w:tcPr>
          <w:p w14:paraId="3F850C59">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核心技术参数</w:t>
            </w:r>
          </w:p>
          <w:p w14:paraId="6E378786">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.1 过滤面积：≥100 ㎡。</w:t>
            </w:r>
          </w:p>
          <w:p w14:paraId="63570DAC">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.2 处理风量：≥1000 m³/h。</w:t>
            </w:r>
          </w:p>
          <w:p w14:paraId="1DB47234">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.3 设备运行阻力：≤1300 Pa。</w:t>
            </w:r>
          </w:p>
          <w:p w14:paraId="2E8DEBE4">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.4 工作电压：380 V。</w:t>
            </w:r>
          </w:p>
          <w:p w14:paraId="159F49BF">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.5 配套风机功率：</w:t>
            </w:r>
            <w:r>
              <w:rPr>
                <w:rFonts w:hint="eastAsia" w:ascii="宋体" w:hAnsi="宋体" w:cs="宋体"/>
                <w:kern w:val="0"/>
                <w:sz w:val="24"/>
                <w:highlight w:val="none"/>
              </w:rPr>
              <w:t>15</w:t>
            </w:r>
            <w:r>
              <w:rPr>
                <w:rFonts w:ascii="宋体" w:hAnsi="宋体" w:cs="宋体"/>
                <w:kern w:val="0"/>
                <w:sz w:val="24"/>
                <w:highlight w:val="none"/>
              </w:rPr>
              <w:t>kW。</w:t>
            </w:r>
          </w:p>
          <w:p w14:paraId="1ADCD58B">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.6 配置脉冲阀数量：≥12个。</w:t>
            </w:r>
          </w:p>
          <w:p w14:paraId="24F8EEF8">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设备材质及结构：设备箱体采用Q235材质，箱体板厚2.75 mm，设备整体外形尺寸长≥3.5 m、宽≥</w:t>
            </w:r>
            <w:r>
              <w:rPr>
                <w:rFonts w:hint="eastAsia" w:ascii="宋体" w:hAnsi="宋体" w:cs="宋体"/>
                <w:kern w:val="0"/>
                <w:sz w:val="24"/>
                <w:highlight w:val="none"/>
              </w:rPr>
              <w:t>2.1</w:t>
            </w:r>
            <w:r>
              <w:rPr>
                <w:rFonts w:ascii="宋体" w:hAnsi="宋体" w:cs="宋体"/>
                <w:kern w:val="0"/>
                <w:sz w:val="24"/>
                <w:highlight w:val="none"/>
              </w:rPr>
              <w:t xml:space="preserve"> m、高≥4.5 m</w:t>
            </w:r>
            <w:r>
              <w:rPr>
                <w:rFonts w:hint="eastAsia" w:ascii="宋体" w:hAnsi="宋体" w:cs="宋体"/>
                <w:kern w:val="0"/>
                <w:sz w:val="24"/>
                <w:highlight w:val="none"/>
              </w:rPr>
              <w:t>，</w:t>
            </w:r>
            <w:r>
              <w:rPr>
                <w:rFonts w:ascii="宋体" w:hAnsi="宋体" w:cs="宋体"/>
                <w:kern w:val="0"/>
                <w:sz w:val="24"/>
                <w:highlight w:val="none"/>
              </w:rPr>
              <w:t>布设2</w:t>
            </w:r>
            <w:r>
              <w:rPr>
                <w:rFonts w:hint="eastAsia" w:ascii="宋体" w:hAnsi="宋体" w:cs="宋体"/>
                <w:kern w:val="0"/>
                <w:sz w:val="24"/>
                <w:highlight w:val="none"/>
              </w:rPr>
              <w:t>4</w:t>
            </w:r>
            <w:r>
              <w:rPr>
                <w:rFonts w:ascii="宋体" w:hAnsi="宋体" w:cs="宋体"/>
                <w:kern w:val="0"/>
                <w:sz w:val="24"/>
                <w:highlight w:val="none"/>
              </w:rPr>
              <w:t>0条滤袋，滤袋规格Φ133×2000 mm</w:t>
            </w:r>
            <w:r>
              <w:rPr>
                <w:rFonts w:hint="eastAsia" w:ascii="宋体" w:hAnsi="宋体" w:cs="宋体"/>
                <w:kern w:val="0"/>
                <w:sz w:val="24"/>
                <w:highlight w:val="none"/>
              </w:rPr>
              <w:t>，</w:t>
            </w:r>
            <w:r>
              <w:rPr>
                <w:rFonts w:ascii="宋体" w:hAnsi="宋体" w:cs="宋体"/>
                <w:kern w:val="0"/>
                <w:sz w:val="24"/>
                <w:highlight w:val="none"/>
              </w:rPr>
              <w:t>整体结构强度高、刚性好、不易变形，具备良好的耐磨、耐粉尘腐蚀性能，适配长期工业除尘工况。</w:t>
            </w:r>
          </w:p>
          <w:p w14:paraId="7CF45FC8">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除尘排放要求：设备除尘性能优良，正常工况下颗粒物排放浓度≤20 mg/m³，符合现行大气环保排放管控标准。</w:t>
            </w:r>
          </w:p>
          <w:p w14:paraId="460B64A1">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4</w:t>
            </w:r>
            <w:r>
              <w:rPr>
                <w:rFonts w:ascii="宋体" w:hAnsi="宋体" w:cs="宋体"/>
                <w:kern w:val="0"/>
                <w:sz w:val="24"/>
                <w:highlight w:val="none"/>
              </w:rPr>
              <w:t xml:space="preserve"> 工况匹配要求：设备风量、负压、过滤负荷与秸秆粉碎、秸秆造粒工序产尘点产尘量精准匹配，除尘风量充足、负压稳定，可有效收集工序扬尘，杜绝无组织粉尘排放。</w:t>
            </w:r>
          </w:p>
          <w:p w14:paraId="3E2060C3">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 xml:space="preserve"> 电控及清灰性能：配套专用电控系统，可实现脉冲自动喷吹清灰功能，清灰彻底、稳定可靠，可长期保证滤袋通透及设备除尘效率，支持设备连续不间断运行。</w:t>
            </w:r>
          </w:p>
          <w:p w14:paraId="7B2CDE5F">
            <w:pPr>
              <w:widowControl/>
              <w:adjustRightInd w:val="0"/>
              <w:snapToGrid w:val="0"/>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8</w:t>
            </w:r>
            <w:r>
              <w:rPr>
                <w:rFonts w:ascii="宋体" w:hAnsi="宋体" w:cs="宋体"/>
                <w:kern w:val="0"/>
                <w:sz w:val="24"/>
                <w:highlight w:val="none"/>
              </w:rPr>
              <w:t>.</w:t>
            </w:r>
            <w:r>
              <w:rPr>
                <w:rFonts w:hint="eastAsia" w:ascii="宋体" w:hAnsi="宋体" w:cs="宋体"/>
                <w:kern w:val="0"/>
                <w:sz w:val="24"/>
                <w:highlight w:val="none"/>
              </w:rPr>
              <w:t>6</w:t>
            </w:r>
            <w:r>
              <w:rPr>
                <w:rFonts w:ascii="宋体" w:hAnsi="宋体" w:cs="宋体"/>
                <w:kern w:val="0"/>
                <w:sz w:val="24"/>
                <w:highlight w:val="none"/>
              </w:rPr>
              <w:t xml:space="preserve"> 整体性能要求：设备运行阻力稳定、除尘效率高、噪音低、运行稳定；结构密封严密，无漏风、跑尘现象；维护便捷、故障率低，适配生产线连续作业。</w:t>
            </w:r>
          </w:p>
        </w:tc>
        <w:tc>
          <w:tcPr>
            <w:tcW w:w="0" w:type="auto"/>
            <w:vAlign w:val="center"/>
          </w:tcPr>
          <w:p w14:paraId="035BD1E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7491753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464F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817" w:type="dxa"/>
            <w:noWrap/>
            <w:vAlign w:val="center"/>
          </w:tcPr>
          <w:p w14:paraId="2C6CDDCC">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49</w:t>
            </w:r>
          </w:p>
        </w:tc>
        <w:tc>
          <w:tcPr>
            <w:tcW w:w="1084" w:type="dxa"/>
            <w:noWrap/>
            <w:vAlign w:val="center"/>
          </w:tcPr>
          <w:p w14:paraId="6785A463">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秸秆运输车</w:t>
            </w:r>
          </w:p>
        </w:tc>
        <w:tc>
          <w:tcPr>
            <w:tcW w:w="7411" w:type="dxa"/>
            <w:vAlign w:val="center"/>
          </w:tcPr>
          <w:p w14:paraId="0D005C89">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49</w:t>
            </w:r>
            <w:r>
              <w:rPr>
                <w:rFonts w:ascii="宋体" w:hAnsi="宋体" w:cs="宋体"/>
                <w:kern w:val="0"/>
                <w:sz w:val="24"/>
                <w:highlight w:val="none"/>
              </w:rPr>
              <w:t>.1 执行标准： GB 7258-2017《机动车运行安全技术条件》，可正常上牌、合规上路营运。</w:t>
            </w:r>
          </w:p>
          <w:p w14:paraId="61EA9CD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49</w:t>
            </w:r>
            <w:r>
              <w:rPr>
                <w:rFonts w:ascii="宋体" w:hAnsi="宋体" w:cs="宋体"/>
                <w:kern w:val="0"/>
                <w:sz w:val="24"/>
                <w:highlight w:val="none"/>
              </w:rPr>
              <w:t>.2 整车外形尺寸：车辆总长≥9000 mm，总宽≥2500 mm，总高≥3500 mm，车身结构布局合理，适配秸秆物料大批量、整批转运作业场景。</w:t>
            </w:r>
          </w:p>
          <w:p w14:paraId="008F5F8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49</w:t>
            </w:r>
            <w:r>
              <w:rPr>
                <w:rFonts w:ascii="宋体" w:hAnsi="宋体" w:cs="宋体"/>
                <w:kern w:val="0"/>
                <w:sz w:val="24"/>
                <w:highlight w:val="none"/>
              </w:rPr>
              <w:t>.3 车厢容积参数：车厢有效装载容积≥10 m³，装载空间充足，适配秸秆捆、散秸秆等物料集中转运，满足厂区秸秆储运周转需求。</w:t>
            </w:r>
          </w:p>
          <w:p w14:paraId="1750E18A">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49</w:t>
            </w:r>
            <w:r>
              <w:rPr>
                <w:rFonts w:ascii="宋体" w:hAnsi="宋体" w:cs="宋体"/>
                <w:kern w:val="0"/>
                <w:sz w:val="24"/>
                <w:highlight w:val="none"/>
              </w:rPr>
              <w:t>.4 排放及动力要求：车辆采用柴油动力，发动机排放满足道路机动车国六排放标准，符合现行生态环保及交管营运准入要求，节能环保、运行稳定。</w:t>
            </w:r>
          </w:p>
          <w:p w14:paraId="14E92BA6">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49</w:t>
            </w:r>
            <w:r>
              <w:rPr>
                <w:rFonts w:ascii="宋体" w:hAnsi="宋体" w:cs="宋体"/>
                <w:kern w:val="0"/>
                <w:sz w:val="24"/>
                <w:highlight w:val="none"/>
              </w:rPr>
              <w:t>.5 整体性能要求：整车结构坚固、承载性能稳定，制动、转向、灯光等安全系统齐全可靠；适配田间、厂区复杂路况转运作业，通过性好、故障率低，可满足长时间连续转运工况。</w:t>
            </w:r>
          </w:p>
        </w:tc>
        <w:tc>
          <w:tcPr>
            <w:tcW w:w="0" w:type="auto"/>
            <w:vAlign w:val="center"/>
          </w:tcPr>
          <w:p w14:paraId="503C4D5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0" w:type="auto"/>
            <w:vAlign w:val="center"/>
          </w:tcPr>
          <w:p w14:paraId="346FF67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46BD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17" w:type="dxa"/>
            <w:noWrap/>
            <w:vAlign w:val="center"/>
          </w:tcPr>
          <w:p w14:paraId="7B0CF952">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p>
        </w:tc>
        <w:tc>
          <w:tcPr>
            <w:tcW w:w="1084" w:type="dxa"/>
            <w:vAlign w:val="center"/>
          </w:tcPr>
          <w:p w14:paraId="3BC5AD3C">
            <w:pPr>
              <w:widowControl/>
              <w:adjustRightInd w:val="0"/>
              <w:snapToGrid w:val="0"/>
              <w:rPr>
                <w:rFonts w:hint="eastAsia" w:ascii="宋体" w:hAnsi="宋体" w:cs="宋体"/>
                <w:kern w:val="0"/>
                <w:sz w:val="24"/>
                <w:highlight w:val="none"/>
              </w:rPr>
            </w:pPr>
            <w:r>
              <w:rPr>
                <w:rFonts w:ascii="宋体" w:hAnsi="宋体" w:cs="宋体"/>
                <w:kern w:val="0"/>
                <w:sz w:val="24"/>
                <w:highlight w:val="none"/>
              </w:rPr>
              <w:t>布袋除尘</w:t>
            </w:r>
          </w:p>
        </w:tc>
        <w:tc>
          <w:tcPr>
            <w:tcW w:w="7411" w:type="dxa"/>
            <w:vAlign w:val="center"/>
          </w:tcPr>
          <w:p w14:paraId="2993A6B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设备外形及滤袋配置：设备整体外形尺寸长≥3.5 m、宽≥1.8 m、高≥4.5 m；设备箱体顶部配置滤袋安装结构，共计布设200条滤袋，滤袋规格Φ133×2000 mm；滤袋材质采用棉质滤布，透气性能好、粉尘吸附及过滤效果稳定，适配生物质秸秆粉尘工况。</w:t>
            </w:r>
          </w:p>
          <w:p w14:paraId="2070BFF6">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2</w:t>
            </w:r>
            <w:r>
              <w:rPr>
                <w:rFonts w:ascii="宋体" w:hAnsi="宋体" w:cs="宋体"/>
                <w:kern w:val="0"/>
                <w:sz w:val="24"/>
                <w:highlight w:val="none"/>
              </w:rPr>
              <w:t xml:space="preserve"> 箱体材质及防腐：设备箱体采用碳钢材质，板材厚度2.0 mm；整体表面采用喷漆防腐处理，防锈、耐蚀、结构强度高，可长期适应车间粉尘潮湿工况，设备不易锈蚀变形。</w:t>
            </w:r>
          </w:p>
          <w:p w14:paraId="2080FA4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3</w:t>
            </w:r>
            <w:r>
              <w:rPr>
                <w:rFonts w:ascii="宋体" w:hAnsi="宋体" w:cs="宋体"/>
                <w:kern w:val="0"/>
                <w:sz w:val="24"/>
                <w:highlight w:val="none"/>
              </w:rPr>
              <w:t xml:space="preserve"> 引风动力配置：配套除尘专用引风机，风机功率可根据产尘工况匹配对应风量风压，满足生产线粉尘收集风量需求，适配设备额定除尘工况稳定运行。</w:t>
            </w:r>
          </w:p>
          <w:p w14:paraId="0F0EAC06">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 xml:space="preserve">4 </w:t>
            </w:r>
            <w:r>
              <w:rPr>
                <w:rFonts w:ascii="宋体" w:hAnsi="宋体" w:cs="宋体"/>
                <w:kern w:val="0"/>
                <w:sz w:val="24"/>
                <w:highlight w:val="none"/>
              </w:rPr>
              <w:t>设备过滤、积尘、排风结构布局合理，气流顺畅，无积尘死角，保障连续除尘作业。</w:t>
            </w:r>
          </w:p>
          <w:p w14:paraId="40EA0C1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5</w:t>
            </w:r>
            <w:r>
              <w:rPr>
                <w:rFonts w:ascii="宋体" w:hAnsi="宋体" w:cs="宋体"/>
                <w:kern w:val="0"/>
                <w:sz w:val="24"/>
                <w:highlight w:val="none"/>
              </w:rPr>
              <w:t>除尘效率要求：设备对生产线粉尘收集处理效率≥99.</w:t>
            </w:r>
            <w:r>
              <w:rPr>
                <w:rFonts w:hint="eastAsia" w:ascii="宋体" w:hAnsi="宋体" w:cs="宋体"/>
                <w:kern w:val="0"/>
                <w:sz w:val="24"/>
                <w:highlight w:val="none"/>
              </w:rPr>
              <w:t>3</w:t>
            </w:r>
            <w:r>
              <w:rPr>
                <w:rFonts w:ascii="宋体" w:hAnsi="宋体" w:cs="宋体"/>
                <w:kern w:val="0"/>
                <w:sz w:val="24"/>
                <w:highlight w:val="none"/>
              </w:rPr>
              <w:t>%，符合袋式除尘器国标高效除尘要求，可有效治理秸秆粉碎、制粒工序无组织扬尘，严控车间粉尘浓度，满足环保排放及车间作业环境标准。</w:t>
            </w:r>
          </w:p>
          <w:p w14:paraId="6DDDB04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r>
              <w:rPr>
                <w:rFonts w:ascii="宋体" w:hAnsi="宋体" w:cs="宋体"/>
                <w:kern w:val="0"/>
                <w:sz w:val="24"/>
                <w:highlight w:val="none"/>
              </w:rPr>
              <w:t>.</w:t>
            </w:r>
            <w:r>
              <w:rPr>
                <w:rFonts w:hint="eastAsia" w:ascii="宋体" w:hAnsi="宋体" w:cs="宋体"/>
                <w:kern w:val="0"/>
                <w:sz w:val="24"/>
                <w:highlight w:val="none"/>
              </w:rPr>
              <w:t>6</w:t>
            </w:r>
            <w:r>
              <w:rPr>
                <w:rFonts w:ascii="宋体" w:hAnsi="宋体" w:cs="宋体"/>
                <w:kern w:val="0"/>
                <w:sz w:val="24"/>
                <w:highlight w:val="none"/>
              </w:rPr>
              <w:t xml:space="preserve"> 整体性能要求：设备密封性好、漏风率低、运行噪音小；布袋过滤阻力稳定，可长期连续不间断运行；碳钢防腐箱体耐用性强，维护便捷、故障率低，适配生物质生产线常年连续作业工况。</w:t>
            </w:r>
          </w:p>
        </w:tc>
        <w:tc>
          <w:tcPr>
            <w:tcW w:w="0" w:type="auto"/>
            <w:vAlign w:val="center"/>
          </w:tcPr>
          <w:p w14:paraId="6CBFA3C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0EFACE0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51356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817" w:type="dxa"/>
            <w:noWrap/>
            <w:vAlign w:val="center"/>
          </w:tcPr>
          <w:p w14:paraId="79513745">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1</w:t>
            </w:r>
          </w:p>
        </w:tc>
        <w:tc>
          <w:tcPr>
            <w:tcW w:w="1084" w:type="dxa"/>
            <w:vAlign w:val="center"/>
          </w:tcPr>
          <w:p w14:paraId="3BC24BFA">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回收智能收集柜</w:t>
            </w:r>
          </w:p>
        </w:tc>
        <w:tc>
          <w:tcPr>
            <w:tcW w:w="7411" w:type="dxa"/>
            <w:vAlign w:val="center"/>
          </w:tcPr>
          <w:p w14:paraId="27E97DA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1</w:t>
            </w:r>
            <w:r>
              <w:rPr>
                <w:rFonts w:ascii="宋体" w:hAnsi="宋体" w:cs="宋体"/>
                <w:kern w:val="0"/>
                <w:sz w:val="24"/>
                <w:highlight w:val="none"/>
              </w:rPr>
              <w:t xml:space="preserve"> 基本参数</w:t>
            </w:r>
          </w:p>
          <w:p w14:paraId="4387371B">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51.1.1 整体尺寸（长 × 宽 × 高）：800mm×800mm×1200mm（允许误差 ±5mm）；单仓容积：300L；称重范围：0- 100 kg，称重精度：± 20 g；工作温度：-10℃~45℃；存储温度：-20℃~55℃；误差≤±10g；延迟≤5s。核心硬件：智能扫码开门模块、称重传感器、嵌入式单片机主板、网络。</w:t>
            </w:r>
          </w:p>
          <w:p w14:paraId="3559D7C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.2.1 有效内部容积：≥180 L。</w:t>
            </w:r>
          </w:p>
          <w:p w14:paraId="52B8E13C">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.2.2 设备外部供电电压：220 V。</w:t>
            </w:r>
          </w:p>
          <w:p w14:paraId="19A5AE1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.2.3 设备内部工作电压：12 V。</w:t>
            </w:r>
          </w:p>
          <w:p w14:paraId="041556EB">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.2.4 设备额定功率：≤10 W。</w:t>
            </w:r>
          </w:p>
          <w:p w14:paraId="41B43AA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.2.5 投放口尺寸：388 mm×363 mm，允许误差 ±10 mm。</w:t>
            </w:r>
          </w:p>
          <w:p w14:paraId="3A3BFFB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.2.6 柜体结构形式：单投口、单开门结构，支持微信或支付宝扫码登录使用。</w:t>
            </w:r>
          </w:p>
          <w:p w14:paraId="2ACE463B">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.3 柜体材质及防腐性能</w:t>
            </w:r>
          </w:p>
          <w:p w14:paraId="46692019">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.3.1 投放口面板采用工业防腐钢材，结构坚固、抗老化、耐酸碱腐蚀，适配户外露天、田间复杂环境。</w:t>
            </w:r>
          </w:p>
          <w:p w14:paraId="4A0130A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.3.2 柜体主体采用厚度 1.2 mm 优质钢板折弯成型，设备底座采用厚度 3.0 mm 加厚钢板制作，整体结构刚性强、抗变形、承重性能优异。</w:t>
            </w:r>
          </w:p>
          <w:p w14:paraId="2AB555A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.3.3 柜体整体经磷化预处理后采用静电喷塑工艺，漆膜附着力强、不易脱落；整套工业防腐钢材及表面塑粉涂层具备优良防腐能力，金属构件耐中性盐雾试验时长≥480 h，满足长期户外耐腐、防锈、耐候使用要求。</w:t>
            </w:r>
          </w:p>
          <w:p w14:paraId="09A2FA3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.4 智能回收功能：设备适用于农药包装废弃物（塑料瓶、农药袋、农膜等）有偿智能回收；农户通过微信或支付宝</w:t>
            </w:r>
            <w:r>
              <w:rPr>
                <w:rFonts w:hint="eastAsia" w:ascii="宋体" w:hAnsi="宋体" w:cs="宋体"/>
                <w:kern w:val="0"/>
                <w:sz w:val="24"/>
                <w:highlight w:val="none"/>
              </w:rPr>
              <w:t>等</w:t>
            </w:r>
            <w:r>
              <w:rPr>
                <w:rFonts w:ascii="宋体" w:hAnsi="宋体" w:cs="宋体"/>
                <w:kern w:val="0"/>
                <w:sz w:val="24"/>
                <w:highlight w:val="none"/>
              </w:rPr>
              <w:t>扫码授权登录，投放废弃物后，设备自动完成称重采集、云计算数据处理，可在 1～2 秒内向农户支付宝端推送投递时间、投放重量、有偿回收金额、积分等明细数据，实现全程智能化、信息化有偿回收管理。</w:t>
            </w:r>
          </w:p>
          <w:p w14:paraId="4C6541E8">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.5 高清监控摄像头配置：设备外置配套</w:t>
            </w:r>
            <w:r>
              <w:rPr>
                <w:rFonts w:hint="eastAsia" w:ascii="宋体" w:hAnsi="宋体" w:cs="宋体"/>
                <w:kern w:val="0"/>
                <w:sz w:val="24"/>
                <w:highlight w:val="none"/>
              </w:rPr>
              <w:t>不低于800</w:t>
            </w:r>
            <w:r>
              <w:rPr>
                <w:rFonts w:ascii="宋体" w:hAnsi="宋体" w:cs="宋体"/>
                <w:kern w:val="0"/>
                <w:sz w:val="24"/>
                <w:highlight w:val="none"/>
              </w:rPr>
              <w:t>万像素高清摄像头，采用 1/2.7” 逐行扫描 CMOS 传感器；支持自适应快门，配备 2.8 mm/4 mm 双规格镜头可选，广角度监控，对角视角最高可达 122°，水平、垂直视野覆盖全面；搭载 ICR 红外滤片日夜转换、3D 数字降噪、数字宽动态技术，全天候高清录像监控，保障投放过程可追溯、可监管。</w:t>
            </w:r>
          </w:p>
          <w:p w14:paraId="639E30C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.6 嵌入式 4G 智慧控制器：配备工业级 4G 多功能嵌入式智能控制器，支持 IPv4/IPv6 双栈通信，兼容 HttpClient、HttpServer、MQTT、TCP、UDP 等主流通信协议；内置 SQLite3 数据库、FastLZ 数据压缩算法，支持 FOTA 远程在线升级；支持 MQTT+TLS 加密物联网传输，可无缝对接阿里云、百度云、华为云等主流云平台。</w:t>
            </w:r>
          </w:p>
          <w:p w14:paraId="46C237C8">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.7 外设控制与检测接口：控制器集成多路专用控制及检测接口，包含：称重传感器采集接口、开门推杆电机控制接口、红外满桶检测输入接口；设备具备 TTS 语音播报功能，可对设备异常状态、投放提示等信息进行语音播报，并自动留存运行日志与故障日志，实现设备无人值守智能运维。</w:t>
            </w:r>
          </w:p>
          <w:p w14:paraId="23E2C64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1</w:t>
            </w:r>
            <w:r>
              <w:rPr>
                <w:rFonts w:ascii="宋体" w:hAnsi="宋体" w:cs="宋体"/>
                <w:kern w:val="0"/>
                <w:sz w:val="24"/>
                <w:highlight w:val="none"/>
              </w:rPr>
              <w:t>.8 整体性能要求：设备功耗低、运行稳定、响应速度快；防腐耐候性能优异，适配乡村户外露天环境；智能识别、称重、数据上传、积分返利流程流畅，数据精准、推送及时；具备满桶检测、异常报警、视频追溯、远程运维功能，满足农资废弃物标准化、智能化回收管控需求。</w:t>
            </w:r>
          </w:p>
        </w:tc>
        <w:tc>
          <w:tcPr>
            <w:tcW w:w="0" w:type="auto"/>
            <w:vAlign w:val="center"/>
          </w:tcPr>
          <w:p w14:paraId="4DDE5F3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66F7F31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12</w:t>
            </w:r>
          </w:p>
        </w:tc>
      </w:tr>
      <w:tr w14:paraId="6C39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17" w:type="dxa"/>
            <w:noWrap/>
            <w:vAlign w:val="center"/>
          </w:tcPr>
          <w:p w14:paraId="083B68F6">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2</w:t>
            </w:r>
          </w:p>
        </w:tc>
        <w:tc>
          <w:tcPr>
            <w:tcW w:w="1084" w:type="dxa"/>
            <w:vAlign w:val="center"/>
          </w:tcPr>
          <w:p w14:paraId="6A36608F">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回收智能收集系统</w:t>
            </w:r>
          </w:p>
        </w:tc>
        <w:tc>
          <w:tcPr>
            <w:tcW w:w="7411" w:type="dxa"/>
            <w:vAlign w:val="center"/>
          </w:tcPr>
          <w:p w14:paraId="43233AD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 执行标准：平台设计、数据架构、通信安全、业务管理及运维服务执行 GH/T 1481-2024《农药包装废弃物回收服务规范》、SB/T 11261-2025《“互联网 +” 回收服务管理规范》、GB/T 45076-2024《再生资源交易平台建设规范》；配套终端设备电气安全执行 GB/T 5226.1-2019《机械电气安全 机械电气设备 第 1 部分：通用技术条件》，满足农业废弃物数字化回收、溯源监管、数据安全及平台运维规范要求。</w:t>
            </w:r>
          </w:p>
          <w:p w14:paraId="39946135">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.2 总体概述</w:t>
            </w:r>
          </w:p>
          <w:p w14:paraId="0C61FCB5">
            <w:pPr>
              <w:widowControl/>
              <w:adjustRightInd w:val="0"/>
              <w:snapToGrid w:val="0"/>
              <w:rPr>
                <w:rFonts w:hint="eastAsia" w:ascii="宋体" w:hAnsi="宋体" w:cs="宋体"/>
                <w:kern w:val="0"/>
                <w:sz w:val="24"/>
                <w:highlight w:val="none"/>
              </w:rPr>
            </w:pPr>
            <w:r>
              <w:rPr>
                <w:rFonts w:ascii="宋体" w:hAnsi="宋体" w:cs="宋体"/>
                <w:kern w:val="0"/>
                <w:sz w:val="24"/>
                <w:highlight w:val="none"/>
              </w:rPr>
              <w:t>本平台为农药包装废弃物专用数字化回收管理系统，</w:t>
            </w:r>
            <w:r>
              <w:rPr>
                <w:rFonts w:hint="eastAsia" w:ascii="宋体" w:hAnsi="宋体" w:cs="宋体"/>
                <w:kern w:val="0"/>
                <w:sz w:val="24"/>
                <w:highlight w:val="none"/>
              </w:rPr>
              <w:t>通过</w:t>
            </w:r>
            <w:r>
              <w:rPr>
                <w:rFonts w:ascii="宋体" w:hAnsi="宋体" w:cs="宋体"/>
                <w:kern w:val="0"/>
                <w:sz w:val="24"/>
                <w:highlight w:val="none"/>
              </w:rPr>
              <w:t>4G物联网通信技术、智能感知称重、AI 视频监控、支付宝小程序前端入口，实现农户实名制注册、线上预约投递、智能自动称重、实时资金结算、设备状态远程监管、清运工单闭环管理、区域数据统计分析、权限安全管控等全流程数字化、智能化、可视化闭环管理，适配辖区农药瓶、农药袋、农膜等农业废弃物规范化回收治理工作。</w:t>
            </w:r>
          </w:p>
          <w:p w14:paraId="2628660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.3 基础硬件技术参数</w:t>
            </w:r>
          </w:p>
          <w:p w14:paraId="76DFC055">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.3.1 称重精度：系统配套智能电子称重设备精度≤0.1 kg，称重数据稳定、计量精准、重复性高，满足精细化废弃物计量结算要求。</w:t>
            </w:r>
          </w:p>
          <w:p w14:paraId="00E2854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.3.2 通信配置：终端设备采用 4G Cat.1 全网通通信模块，支持 TCP、UDP 数据透传，具备自动拨号、掉线自动重连机制，保障设备长期稳定在线、数据实时上传。</w:t>
            </w:r>
          </w:p>
          <w:p w14:paraId="0D1EB235">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.4 农户实名预约认证功能</w:t>
            </w:r>
          </w:p>
          <w:p w14:paraId="6DA75971">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平台云端后台及支付宝小程序移动端，支持农户实名制注册、实名认证备案。认证通过后农户可通过小程序回收预约界面自主发起回收预约，实现线上 “点单” 预约；管理人员可根据实名信息线上 “接单” 处置。系统自动留存完整电子台账，包含预约人姓名、预约时间、预约地点、预约重量、回收金额到账流水等全量信息，预约流程全程可追溯、可核查。</w:t>
            </w:r>
          </w:p>
          <w:p w14:paraId="481F469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.5 智能自助回收与实时结算功能</w:t>
            </w:r>
          </w:p>
          <w:p w14:paraId="72E4CF52">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针对农药瓶、农药袋、农膜三类农业废弃物设置独立专项回收管理模块。农户通过支付宝小程序扫码即可开启设备投递，系统自动识别投放物料、自动精准称重、自动核算回收金额、实时上传业务数据。平台与农户支付宝账户深度对接，投递完成后资金实时到账，同步更新用户积分、投递记录、结算流水，实现无人值守、自助投递、即时结算的智能化回收闭环。</w:t>
            </w:r>
          </w:p>
          <w:p w14:paraId="4EF27845">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.6 智能清运与台账管理功能</w:t>
            </w:r>
          </w:p>
          <w:p w14:paraId="46FCD618">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具备完善的区域回收运维管理能力，支持辖区农户账号管理、实名备案登记、回收清运登记、回收网点信息管理、运输订单调度、运输路径管控、数据库运维等功能。可实现回收任务统一派发、清运过程留痕、回收数据汇总统计，规范区域农业废弃物回收、清运、处置全流程标准化管理。</w:t>
            </w:r>
          </w:p>
          <w:p w14:paraId="6CAE2730">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.7 云端服务器与系统基础运维配置</w:t>
            </w:r>
          </w:p>
          <w:p w14:paraId="70225FC9">
            <w:pPr>
              <w:widowControl/>
              <w:adjustRightInd w:val="0"/>
              <w:snapToGrid w:val="0"/>
              <w:rPr>
                <w:rFonts w:hint="eastAsia" w:ascii="宋体" w:hAnsi="宋体" w:cs="宋体"/>
                <w:kern w:val="0"/>
                <w:sz w:val="24"/>
                <w:highlight w:val="none"/>
              </w:rPr>
            </w:pPr>
            <w:r>
              <w:rPr>
                <w:rFonts w:ascii="宋体" w:hAnsi="宋体" w:cs="宋体"/>
                <w:kern w:val="0"/>
                <w:sz w:val="24"/>
                <w:highlight w:val="none"/>
              </w:rPr>
              <w:t>系统部署于天翼云</w:t>
            </w:r>
            <w:r>
              <w:rPr>
                <w:rFonts w:hint="eastAsia" w:ascii="宋体" w:hAnsi="宋体" w:cs="宋体"/>
                <w:kern w:val="0"/>
                <w:sz w:val="24"/>
                <w:highlight w:val="none"/>
              </w:rPr>
              <w:t>、移动云、联通云</w:t>
            </w:r>
            <w:bookmarkStart w:id="838" w:name="OLE_LINK7"/>
            <w:r>
              <w:rPr>
                <w:rFonts w:ascii="宋体" w:hAnsi="宋体" w:cs="宋体"/>
                <w:kern w:val="0"/>
                <w:sz w:val="24"/>
                <w:highlight w:val="none"/>
              </w:rPr>
              <w:t>或同等档次运营商</w:t>
            </w:r>
            <w:bookmarkEnd w:id="838"/>
            <w:r>
              <w:rPr>
                <w:rFonts w:ascii="宋体" w:hAnsi="宋体" w:cs="宋体"/>
                <w:kern w:val="0"/>
                <w:sz w:val="24"/>
                <w:highlight w:val="none"/>
              </w:rPr>
              <w:t>公有云服务器，支持后台自主维护回收品类、回收价格规则、辖区区域信息、服务协议、帮助中心、首页轮播图及各类系统运行参数。系统管理模块功能完善，支持角色权限分配、菜单管理、部门管理、数据字典配置、登录日志留存、操作日志溯源、附件资源管理、数据库运维、定时任务配置，满足平台长期稳定运行及规范化运维需求。</w:t>
            </w:r>
          </w:p>
          <w:p w14:paraId="71C18BE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.8 系统通信与服务架构要求</w:t>
            </w:r>
          </w:p>
          <w:p w14:paraId="29209CF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.8.1 云资源及物联网卡统一采用天翼云</w:t>
            </w:r>
            <w:r>
              <w:rPr>
                <w:rFonts w:hint="eastAsia" w:ascii="宋体" w:hAnsi="宋体" w:cs="宋体"/>
                <w:kern w:val="0"/>
                <w:sz w:val="24"/>
                <w:highlight w:val="none"/>
              </w:rPr>
              <w:t>、移动云、联通云</w:t>
            </w:r>
            <w:r>
              <w:rPr>
                <w:rFonts w:ascii="宋体" w:hAnsi="宋体" w:cs="宋体"/>
                <w:kern w:val="0"/>
                <w:sz w:val="24"/>
                <w:highlight w:val="none"/>
              </w:rPr>
              <w:t>或同等档次运营商</w:t>
            </w:r>
            <w:r>
              <w:rPr>
                <w:rFonts w:hint="eastAsia" w:ascii="宋体" w:hAnsi="宋体" w:cs="宋体"/>
                <w:kern w:val="0"/>
                <w:sz w:val="24"/>
                <w:highlight w:val="none"/>
              </w:rPr>
              <w:t>等</w:t>
            </w:r>
            <w:r>
              <w:rPr>
                <w:rFonts w:ascii="宋体" w:hAnsi="宋体" w:cs="宋体"/>
                <w:kern w:val="0"/>
                <w:sz w:val="24"/>
                <w:highlight w:val="none"/>
              </w:rPr>
              <w:t>配套资源，网络覆盖广、运行稳定、安全性高。</w:t>
            </w:r>
          </w:p>
          <w:p w14:paraId="63339D2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.8.2 前端用户投递入口采用支付宝小程序轻量化扫码投递，无需安装软件，操作便捷、推广性强。</w:t>
            </w:r>
          </w:p>
          <w:p w14:paraId="4E20DC0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.8.3 终端智能设备通过 4G Cat.1 物联网专用链路，实时上传称重数据、设备运行状态、故障信息，保障业务数据实时、准确、完整。</w:t>
            </w:r>
          </w:p>
          <w:p w14:paraId="5DA6B45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 多终端数据同步与远程管控功能</w:t>
            </w:r>
          </w:p>
          <w:p w14:paraId="5F62453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.9.1 智能回收柜体 / 移动称重设备：实时上传设备编号、实时称重数据、设备供电电压、在线状态、故障码、称重记录、投递明细，通过 4G 链路实时上传后台并入库归档。</w:t>
            </w:r>
          </w:p>
          <w:p w14:paraId="58069C0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.9.2 支付宝</w:t>
            </w:r>
            <w:r>
              <w:rPr>
                <w:rFonts w:hint="eastAsia" w:ascii="宋体" w:hAnsi="宋体" w:cs="宋体"/>
                <w:kern w:val="0"/>
                <w:sz w:val="24"/>
                <w:highlight w:val="none"/>
              </w:rPr>
              <w:t>或微信等</w:t>
            </w:r>
            <w:r>
              <w:rPr>
                <w:rFonts w:ascii="宋体" w:hAnsi="宋体" w:cs="宋体"/>
                <w:kern w:val="0"/>
                <w:sz w:val="24"/>
                <w:highlight w:val="none"/>
              </w:rPr>
              <w:t>小程序端：实现用户扫码投递、订单状态查询、历史投递记录、账户积分管理、系统消息通知，全程与后台业务数据实时交互同步。</w:t>
            </w:r>
          </w:p>
          <w:p w14:paraId="109DCB10">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.9.3 AI 视频监控设备（选配）：支持现场抓拍图片、视频片段、监控通道信息、录像索引上传，可实现视频数据与投递订单、称重记录精准关联，实现投放过程可视化溯源监管。</w:t>
            </w:r>
          </w:p>
          <w:p w14:paraId="1083CF9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.9.4 柜体系统数据同步：支持设备台账、投递数据、称重记录、用户积分、清运工单、设备告警日志全量管理，可通过 HTTPS API、消息队列、平台专用接口实现多端数据同步。</w:t>
            </w:r>
          </w:p>
          <w:p w14:paraId="2BBFEF8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.9.5 远程指令管控：后台可对前端终端设备远程下发数据归零、阈值修改、设备重启、参数更新等控制指令，实现无人值守远程运维。</w:t>
            </w:r>
          </w:p>
          <w:p w14:paraId="7D5605A8">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.10 数据可视化看板与综合业务管理</w:t>
            </w:r>
          </w:p>
          <w:p w14:paraId="6823ED86">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配置数据可视化大屏，直观展示累计投递量、回收总重量、订单数量、设备在线率、异常告警、区域运营统计等核心业务指标。集成设备管理、监控设备管理、投递订单管理、清运工单管理、用户管理、财务结算、移动端运维、系统权限八大核心模块，实现业务全流程数字化管控。</w:t>
            </w:r>
          </w:p>
          <w:p w14:paraId="455C124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.11 远程集中监控功能</w:t>
            </w:r>
          </w:p>
          <w:p w14:paraId="7837385D">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平台支持对所有前端智能回收设备集中远程监控，实时采集设备在线状态、供电状态、通信状态、故障代码、实时称重数据、监控设备运行状态，所有异常事件自动留痕，支持问题闭环处置、全程追溯查询。</w:t>
            </w:r>
          </w:p>
          <w:p w14:paraId="797A358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.12 智能告警处置功能</w:t>
            </w:r>
          </w:p>
          <w:p w14:paraId="60656678">
            <w:pPr>
              <w:widowControl/>
              <w:adjustRightInd w:val="0"/>
              <w:snapToGrid w:val="0"/>
              <w:rPr>
                <w:rFonts w:hint="eastAsia" w:ascii="宋体" w:hAnsi="宋体" w:cs="宋体"/>
                <w:kern w:val="0"/>
                <w:sz w:val="24"/>
                <w:highlight w:val="none"/>
              </w:rPr>
            </w:pPr>
            <w:r>
              <w:rPr>
                <w:rFonts w:ascii="宋体" w:hAnsi="宋体" w:cs="宋体"/>
                <w:kern w:val="0"/>
                <w:sz w:val="24"/>
                <w:highlight w:val="none"/>
              </w:rPr>
              <w:t>系统具备全方位异常告警机制，针对设备离线、供电异常、称重数据异常、箱门锁异常、视频设备故障等各类异常工况自动识别、弹窗告警、生成专属告警台账，支持人工处置、流程闭环记录，保障系统持续稳定运行。</w:t>
            </w:r>
          </w:p>
          <w:p w14:paraId="2D18FA5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.13 数据备份与存储保障</w:t>
            </w:r>
          </w:p>
          <w:p w14:paraId="3249836C">
            <w:pPr>
              <w:widowControl/>
              <w:adjustRightInd w:val="0"/>
              <w:snapToGrid w:val="0"/>
              <w:rPr>
                <w:rFonts w:hint="eastAsia" w:ascii="宋体" w:hAnsi="宋体" w:cs="宋体"/>
                <w:kern w:val="0"/>
                <w:sz w:val="24"/>
                <w:highlight w:val="none"/>
              </w:rPr>
            </w:pPr>
            <w:r>
              <w:rPr>
                <w:rFonts w:ascii="宋体" w:hAnsi="宋体" w:cs="宋体"/>
                <w:kern w:val="0"/>
                <w:sz w:val="24"/>
                <w:highlight w:val="none"/>
              </w:rPr>
              <w:t>所有业务数据统一存储于天翼云</w:t>
            </w:r>
            <w:r>
              <w:rPr>
                <w:rFonts w:hint="eastAsia" w:ascii="宋体" w:hAnsi="宋体" w:cs="宋体"/>
                <w:kern w:val="0"/>
                <w:sz w:val="24"/>
                <w:highlight w:val="none"/>
              </w:rPr>
              <w:t>、移动云、联通云</w:t>
            </w:r>
            <w:r>
              <w:rPr>
                <w:rFonts w:ascii="宋体" w:hAnsi="宋体" w:cs="宋体"/>
                <w:kern w:val="0"/>
                <w:sz w:val="24"/>
                <w:highlight w:val="none"/>
              </w:rPr>
              <w:t>或同等档次运营商服务器，依托云备份机、云硬盘实现多重安全备份；投递图片、视频索引、系统操作日志严格按照行业规范留存，保障数据安全性、完整性、长期性、可追溯性。</w:t>
            </w:r>
          </w:p>
          <w:p w14:paraId="4943A49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.14 系统安全管理要求</w:t>
            </w:r>
          </w:p>
          <w:p w14:paraId="430D42D1">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平台搭建完善的分级权限管控体系，支持角色分级授权、菜单权限隔离、登录安全校验、操作日志全程留痕、数据访问权限管控，全方位保障设备运行数据、用户隐私数据、订单业务数据、财务结算数据安全合规，杜绝数据泄露、篡改、丢失。</w:t>
            </w:r>
          </w:p>
          <w:p w14:paraId="6EC9143B">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2</w:t>
            </w:r>
            <w:r>
              <w:rPr>
                <w:rFonts w:ascii="宋体" w:hAnsi="宋体" w:cs="宋体"/>
                <w:kern w:val="0"/>
                <w:sz w:val="24"/>
                <w:highlight w:val="none"/>
              </w:rPr>
              <w:t>.15 整体性能要求</w:t>
            </w:r>
          </w:p>
          <w:p w14:paraId="331A0023">
            <w:pPr>
              <w:widowControl/>
              <w:adjustRightInd w:val="0"/>
              <w:snapToGrid w:val="0"/>
              <w:rPr>
                <w:rFonts w:hint="eastAsia" w:ascii="宋体" w:hAnsi="宋体" w:cs="宋体"/>
                <w:kern w:val="0"/>
                <w:sz w:val="24"/>
                <w:highlight w:val="none"/>
              </w:rPr>
            </w:pPr>
            <w:r>
              <w:rPr>
                <w:rFonts w:ascii="宋体" w:hAnsi="宋体" w:cs="宋体"/>
                <w:kern w:val="0"/>
                <w:sz w:val="24"/>
                <w:highlight w:val="none"/>
              </w:rPr>
              <w:t>系统架构稳定、响应速度快、兼容性强，支持多点位、多设备、多用户同时在线作业；数据传输实时稳定、资金结算精准无误、运维便捷高效，完全适配乡镇、村级农药包装废弃物常态化、标准化、智能化回收管控工作。</w:t>
            </w:r>
          </w:p>
        </w:tc>
        <w:tc>
          <w:tcPr>
            <w:tcW w:w="0" w:type="auto"/>
            <w:vAlign w:val="center"/>
          </w:tcPr>
          <w:p w14:paraId="07841D5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7266C8F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261B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17" w:type="dxa"/>
            <w:noWrap/>
            <w:vAlign w:val="center"/>
          </w:tcPr>
          <w:p w14:paraId="670EB36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3</w:t>
            </w:r>
          </w:p>
        </w:tc>
        <w:tc>
          <w:tcPr>
            <w:tcW w:w="1084" w:type="dxa"/>
            <w:vAlign w:val="center"/>
          </w:tcPr>
          <w:p w14:paraId="3A063431">
            <w:pPr>
              <w:widowControl/>
              <w:adjustRightInd w:val="0"/>
              <w:snapToGrid w:val="0"/>
              <w:rPr>
                <w:rFonts w:hint="eastAsia" w:ascii="宋体" w:hAnsi="宋体" w:cs="宋体"/>
                <w:kern w:val="0"/>
                <w:sz w:val="24"/>
                <w:highlight w:val="none"/>
              </w:rPr>
            </w:pPr>
            <w:r>
              <w:rPr>
                <w:rFonts w:ascii="宋体" w:hAnsi="宋体" w:cs="宋体"/>
                <w:kern w:val="0"/>
                <w:sz w:val="24"/>
                <w:highlight w:val="none"/>
              </w:rPr>
              <w:t>智能回收车</w:t>
            </w:r>
          </w:p>
        </w:tc>
        <w:tc>
          <w:tcPr>
            <w:tcW w:w="7411" w:type="dxa"/>
            <w:vAlign w:val="center"/>
          </w:tcPr>
          <w:p w14:paraId="1B0CFC3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.1 执行标准：整车设计、制造、安全、电气及智能化系统符合 GB 7258-2017《机动车运行安全技术条件》、GB/T 35273-2020《信息安全技术 个人信息安全规范》；整车具备工信部机动车公告资质，可正常上牌、合规上路营运，满足农业废弃物智能清运、数据联网、安全合规作业要求。</w:t>
            </w:r>
          </w:p>
          <w:p w14:paraId="5C35921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.2 整车质量参数</w:t>
            </w:r>
          </w:p>
          <w:p w14:paraId="0E3265B5">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.2.1 整车总质量：≥4495</w:t>
            </w:r>
            <w:r>
              <w:rPr>
                <w:rFonts w:hint="eastAsia" w:ascii="宋体" w:hAnsi="宋体" w:cs="宋体"/>
                <w:kern w:val="0"/>
                <w:sz w:val="24"/>
                <w:highlight w:val="none"/>
              </w:rPr>
              <w:t>kg</w:t>
            </w:r>
            <w:r>
              <w:rPr>
                <w:rFonts w:ascii="宋体" w:hAnsi="宋体" w:cs="宋体"/>
                <w:kern w:val="0"/>
                <w:sz w:val="24"/>
                <w:highlight w:val="none"/>
              </w:rPr>
              <w:t>。</w:t>
            </w:r>
          </w:p>
          <w:p w14:paraId="3E74931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.2.2 装备质量：≥2805</w:t>
            </w:r>
            <w:r>
              <w:rPr>
                <w:rFonts w:hint="eastAsia" w:ascii="宋体" w:hAnsi="宋体" w:cs="宋体"/>
                <w:kern w:val="0"/>
                <w:sz w:val="24"/>
                <w:highlight w:val="none"/>
              </w:rPr>
              <w:t>kg</w:t>
            </w:r>
            <w:r>
              <w:rPr>
                <w:rFonts w:ascii="宋体" w:hAnsi="宋体" w:cs="宋体"/>
                <w:kern w:val="0"/>
                <w:sz w:val="24"/>
                <w:highlight w:val="none"/>
              </w:rPr>
              <w:t>。</w:t>
            </w:r>
          </w:p>
          <w:p w14:paraId="193AC380">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.2.3 核定载质量：≥1495</w:t>
            </w:r>
            <w:r>
              <w:rPr>
                <w:rFonts w:hint="eastAsia" w:ascii="宋体" w:hAnsi="宋体" w:cs="宋体"/>
                <w:kern w:val="0"/>
                <w:sz w:val="24"/>
                <w:highlight w:val="none"/>
              </w:rPr>
              <w:t>kg</w:t>
            </w:r>
            <w:r>
              <w:rPr>
                <w:rFonts w:ascii="宋体" w:hAnsi="宋体" w:cs="宋体"/>
                <w:kern w:val="0"/>
                <w:sz w:val="24"/>
                <w:highlight w:val="none"/>
              </w:rPr>
              <w:t>。</w:t>
            </w:r>
          </w:p>
          <w:p w14:paraId="7E6AD48C">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.3 装卸配置要求：车辆尾部加装液压升降尾板装置，结构稳固、升降平稳、操作便捷，可满足农药包装废弃物箱体、物料箱快速装卸作业，降低人工劳动强度，提升清运作业效率，适配田间、村内多点位回收转运工况。</w:t>
            </w:r>
          </w:p>
          <w:p w14:paraId="6368F0E6">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.4 网络通信功能：设备内置多模网络通信模块，支持 4G/5G/Wi-Fi 自适应连接，可稳定对接移动端作业终端、智能回收柜体及农药包装废弃物数字化回收管理平台，保障回收作业数据、设备状态、清运轨迹信息实时稳定传输，网络容错性高、掉线自动重连。</w:t>
            </w:r>
          </w:p>
          <w:p w14:paraId="4BEE931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.5 数据传输安全协议：系统采用 HTTP/HTTPS 双协议传输机制，业务基础数据采用 HTTP 传输，涉及用户信息、结算数据、投递隐私、设备涉密数据全部采用 HTTPS 加密传输，有效防止网络数据窃取、篡改、劫持，保障全程数据传输安全、合规、可溯源。</w:t>
            </w:r>
          </w:p>
          <w:p w14:paraId="1A8D32D8">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.6 数据库及平台对接：车载终端搭载 MySQL 关系型数据库，支持本地数据缓存、批量补传、断点续传；所有车载作业数据、清运记录、装卸记录、轨迹数据可实时同步上传至农药包装废弃物数字化回收管理平台，实现回收、清运、转运全流程数字化闭环监管。</w:t>
            </w:r>
          </w:p>
          <w:p w14:paraId="35E4545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3</w:t>
            </w:r>
            <w:r>
              <w:rPr>
                <w:rFonts w:ascii="宋体" w:hAnsi="宋体" w:cs="宋体"/>
                <w:kern w:val="0"/>
                <w:sz w:val="24"/>
                <w:highlight w:val="none"/>
              </w:rPr>
              <w:t>.7 整体性能要求：整车承载能力强、通过性好、运行稳定，适配乡村复杂路况常态化清运作业；智能化系统响应迅速、联网稳定、数据上传及时、安全加密可靠，可与前端智能回收柜、支付宝</w:t>
            </w:r>
            <w:r>
              <w:rPr>
                <w:rFonts w:hint="eastAsia" w:ascii="宋体" w:hAnsi="宋体" w:cs="宋体"/>
                <w:kern w:val="0"/>
                <w:sz w:val="24"/>
                <w:highlight w:val="none"/>
              </w:rPr>
              <w:t>或微信等</w:t>
            </w:r>
            <w:r>
              <w:rPr>
                <w:rFonts w:ascii="宋体" w:hAnsi="宋体" w:cs="宋体"/>
                <w:kern w:val="0"/>
                <w:sz w:val="24"/>
                <w:highlight w:val="none"/>
              </w:rPr>
              <w:t>小程序、云端管理平台无缝联动，满足区域农药包装废弃物智能化、标准化、数字化回收清运管理要求。</w:t>
            </w:r>
          </w:p>
        </w:tc>
        <w:tc>
          <w:tcPr>
            <w:tcW w:w="0" w:type="auto"/>
            <w:vAlign w:val="center"/>
          </w:tcPr>
          <w:p w14:paraId="13859A6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0" w:type="auto"/>
            <w:vAlign w:val="center"/>
          </w:tcPr>
          <w:p w14:paraId="0782203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r>
      <w:tr w14:paraId="09B4C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817" w:type="dxa"/>
            <w:noWrap/>
            <w:vAlign w:val="center"/>
          </w:tcPr>
          <w:p w14:paraId="0BD9DF9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4</w:t>
            </w:r>
          </w:p>
        </w:tc>
        <w:tc>
          <w:tcPr>
            <w:tcW w:w="1084" w:type="dxa"/>
            <w:vAlign w:val="center"/>
          </w:tcPr>
          <w:p w14:paraId="40625F8B">
            <w:pPr>
              <w:widowControl/>
              <w:adjustRightInd w:val="0"/>
              <w:snapToGrid w:val="0"/>
              <w:rPr>
                <w:rFonts w:hint="eastAsia" w:ascii="宋体" w:hAnsi="宋体" w:cs="宋体"/>
                <w:kern w:val="0"/>
                <w:sz w:val="24"/>
                <w:highlight w:val="none"/>
              </w:rPr>
            </w:pPr>
            <w:r>
              <w:rPr>
                <w:rFonts w:ascii="宋体" w:hAnsi="宋体" w:cs="宋体"/>
                <w:kern w:val="0"/>
                <w:sz w:val="24"/>
                <w:highlight w:val="none"/>
              </w:rPr>
              <w:t>区域农业面源污染监测系统</w:t>
            </w:r>
          </w:p>
        </w:tc>
        <w:tc>
          <w:tcPr>
            <w:tcW w:w="7411" w:type="dxa"/>
            <w:vAlign w:val="center"/>
          </w:tcPr>
          <w:p w14:paraId="18F8353C">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.1 执行标准：项目实施遵循 HJ/T 96-2003《pH 水质自动分析仪技术要求》、HJ/T 97-2003《电导率水质自动分析仪技术要求》、HJ/T 99-2003《溶解氧（DO）水质自动分析仪技术要求》、HJ 377-2019《化学需氧量</w:t>
            </w:r>
            <w:r>
              <w:rPr>
                <w:rFonts w:hint="eastAsia" w:ascii="宋体" w:hAnsi="宋体" w:cs="宋体"/>
                <w:kern w:val="0"/>
                <w:sz w:val="24"/>
                <w:highlight w:val="none"/>
              </w:rPr>
              <w:t>（</w:t>
            </w:r>
            <w:r>
              <w:rPr>
                <w:rFonts w:ascii="宋体" w:hAnsi="宋体" w:cs="宋体"/>
                <w:kern w:val="0"/>
                <w:sz w:val="24"/>
                <w:highlight w:val="none"/>
              </w:rPr>
              <w:t>COD</w:t>
            </w:r>
            <w:r>
              <w:rPr>
                <w:rFonts w:ascii="宋体" w:hAnsi="宋体" w:cs="宋体"/>
                <w:kern w:val="0"/>
                <w:sz w:val="24"/>
                <w:highlight w:val="none"/>
                <w:vertAlign w:val="subscript"/>
              </w:rPr>
              <w:t>Cr</w:t>
            </w:r>
            <w:r>
              <w:rPr>
                <w:rFonts w:hint="eastAsia" w:ascii="宋体" w:hAnsi="宋体" w:cs="宋体"/>
                <w:kern w:val="0"/>
                <w:sz w:val="24"/>
                <w:highlight w:val="none"/>
              </w:rPr>
              <w:t>）</w:t>
            </w:r>
            <w:r>
              <w:rPr>
                <w:rFonts w:ascii="宋体" w:hAnsi="宋体" w:cs="宋体"/>
                <w:kern w:val="0"/>
                <w:sz w:val="24"/>
                <w:highlight w:val="none"/>
              </w:rPr>
              <w:t>水质自动分析仪技术要求及检测方法》、HJ 103-2026《水质 总磷自动监测仪技术要求及检测方法》、HJ 102-2026《水质 总氮自动监测仪技术要求及检测方法》、HJ 212-2025《污染物自动监测监控系统数据传输技术要求》；机柜电磁兼容满足 GB/T 17626 系列电磁兼容标准相关要求；机械电气安全符合 GB/T 5226.1-2019《机械电气安全 机械电气设备 第 1 部分：通用技术条件》；外壳防护等级符合 GB/T 4208-2017《外壳防护等级（IP 代码）》；设备标牌符合 GB/T 13306-2011《标牌》。</w:t>
            </w:r>
          </w:p>
          <w:p w14:paraId="051EFB31">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.2 水质监测因子及在线分析仪性能：监测因子包含：总磷、总氮、COD、电导率、pH、溶解氧（DO）、水温。</w:t>
            </w:r>
          </w:p>
          <w:p w14:paraId="109749B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.2.1 COD 水质在线分析仪：仪器检测精度高、运行可靠性强；具备多档量程，可根据水样 COD 含量自动切换量程；支持自动校准、自动清洗功能；具备故障自检、安全防护功能，保障人身与设备安全；配置漏液检测报警；全部故障信息可在终端记录存储；仪表具备（4~20）mA 输入输出、RS232/RS485 通讯、开关量输入输出等现场接口。</w:t>
            </w:r>
          </w:p>
          <w:p w14:paraId="16F3ACD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.2.2 总磷水质在线分析仪：消解系统具备安全保护功能，防范高温高压工况漏液；消解温度、消解时间可调，保证反应充分；检测精度高、可靠性强；支持多档量程自动切换；具备自动校准、自动清洗功能；故障自检与安全保护；故障信息终端记录留存；仪表具备（4~20）mA 输入输出、RS232/RS485 通讯、开关量输入输出等现场接口。</w:t>
            </w:r>
          </w:p>
          <w:p w14:paraId="1D39EF19">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.2.3 总氮水质在线分析仪：消解系统具备安全保护功能，防范高温高压工况漏液；消解温度、消解时间可调，保证反应充分；检测精度高、可靠性强；支持多档量程自动切换；具备自动校准、自动清洗功能；故障自检与安全保护；故障信息终端记录留存；仪表具备（4~20）mA 输入输出、RS232/RS485 通讯、开关量输入输出等现场接口。</w:t>
            </w:r>
          </w:p>
          <w:p w14:paraId="529660C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.2.4 常规五参数水质自动分析仪：集成水温、pH、溶解氧、电导率监测模块，各项指标满足对应国家行业技术要求。</w:t>
            </w:r>
          </w:p>
          <w:p w14:paraId="6E0AC1AC">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.3 采配水及预处理单元：采配水及预处理单元负责水样采集、配水及水样预处理，保证水样代表性，投标人应结合站点水文、地质条件编制专项采水设计方案。</w:t>
            </w:r>
          </w:p>
          <w:p w14:paraId="2DB4E37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.3.1 采水单元包含采水构筑物、采水泵、采水管道、防堵塞装置、保温配套装置。</w:t>
            </w:r>
          </w:p>
          <w:p w14:paraId="0F870900">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.3.2 采样吸水口布设水下 0.5</w:t>
            </w:r>
            <w:r>
              <w:rPr>
                <w:kern w:val="0"/>
                <w:sz w:val="24"/>
                <w:highlight w:val="none"/>
              </w:rPr>
              <w:t> </w:t>
            </w:r>
            <w:r>
              <w:rPr>
                <w:rFonts w:ascii="宋体" w:hAnsi="宋体" w:cs="宋体"/>
                <w:kern w:val="0"/>
                <w:sz w:val="24"/>
                <w:highlight w:val="none"/>
              </w:rPr>
              <w:t>m～1</w:t>
            </w:r>
            <w:r>
              <w:rPr>
                <w:kern w:val="0"/>
                <w:sz w:val="24"/>
                <w:highlight w:val="none"/>
              </w:rPr>
              <w:t> </w:t>
            </w:r>
            <w:r>
              <w:rPr>
                <w:rFonts w:ascii="宋体" w:hAnsi="宋体" w:cs="宋体"/>
                <w:kern w:val="0"/>
                <w:sz w:val="24"/>
                <w:highlight w:val="none"/>
              </w:rPr>
              <w:t>m，可随水位调整，与水底保持安全距离，避免底泥干扰，保障水样代表性与连续采样。</w:t>
            </w:r>
          </w:p>
          <w:p w14:paraId="4A71046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.3.3 采水管道配置防冻保温装置，降低环境温度对水样的影响。</w:t>
            </w:r>
          </w:p>
          <w:p w14:paraId="6CC23D6D">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.3.4 采水管道材料强度满足承压要求，化学稳定性好，不与水样组分发生反应，不污染水样；管路采用可拆洗结构，配置活接头，具备防堵塞、便于泥沙清理维护的能力。</w:t>
            </w:r>
          </w:p>
          <w:p w14:paraId="72BB7B47">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.4 数据采集传输（数采仪）：数据传输严格执行 HJ212-2025《污染物自动监测监控系统数据传输技术要求》。</w:t>
            </w:r>
          </w:p>
          <w:p w14:paraId="1D75363A">
            <w:pPr>
              <w:widowControl/>
              <w:adjustRightInd w:val="0"/>
              <w:snapToGrid w:val="0"/>
              <w:rPr>
                <w:rFonts w:hint="eastAsia" w:ascii="宋体" w:hAnsi="宋体" w:cs="宋体"/>
                <w:kern w:val="0"/>
                <w:sz w:val="24"/>
                <w:highlight w:val="none"/>
              </w:rPr>
            </w:pPr>
            <w:r>
              <w:rPr>
                <w:rFonts w:ascii="宋体" w:hAnsi="宋体" w:cs="宋体"/>
                <w:kern w:val="0"/>
                <w:sz w:val="24"/>
                <w:highlight w:val="none"/>
              </w:rPr>
              <w:t>数据采集器低功耗，兼容性、扩展性优良，本地存储容量不少于 1 年监测数据，兼容主流国内外水质自动监测仪器；支持模拟量、开关量、数字信号接入，仪器与数采器之间采用数字通讯。</w:t>
            </w:r>
          </w:p>
          <w:p w14:paraId="34AE040C">
            <w:pPr>
              <w:widowControl/>
              <w:adjustRightInd w:val="0"/>
              <w:snapToGrid w:val="0"/>
              <w:rPr>
                <w:rFonts w:hint="eastAsia" w:ascii="宋体" w:hAnsi="宋体" w:cs="宋体"/>
                <w:kern w:val="0"/>
                <w:sz w:val="24"/>
                <w:highlight w:val="none"/>
              </w:rPr>
            </w:pPr>
            <w:r>
              <w:rPr>
                <w:rFonts w:ascii="宋体" w:hAnsi="宋体" w:cs="宋体"/>
                <w:kern w:val="0"/>
                <w:sz w:val="24"/>
                <w:highlight w:val="none"/>
              </w:rPr>
              <w:t>控制单元平均无故障时间 MTBF≥2000</w:t>
            </w:r>
            <w:r>
              <w:rPr>
                <w:kern w:val="0"/>
                <w:sz w:val="24"/>
                <w:highlight w:val="none"/>
              </w:rPr>
              <w:t> </w:t>
            </w:r>
            <w:r>
              <w:rPr>
                <w:rFonts w:ascii="宋体" w:hAnsi="宋体" w:cs="宋体"/>
                <w:kern w:val="0"/>
                <w:sz w:val="24"/>
                <w:highlight w:val="none"/>
              </w:rPr>
              <w:t>h；通讯支持有线网络、4G 网络；具备断电报警、水质超标报警、通信中断报警、仪器异常报警，报警事件及处置过程可历史归档保存。</w:t>
            </w:r>
          </w:p>
          <w:p w14:paraId="12DE03F3">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 一体化监测站房（集成机柜）与基础：采用一体化集成机柜作为监测站房，机柜配置底座，通过地脚与混凝土基座可靠固定。</w:t>
            </w:r>
          </w:p>
          <w:p w14:paraId="6A4A2E9B">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.5.1 框架采用厚度≥ 1</w:t>
            </w:r>
            <w:r>
              <w:rPr>
                <w:kern w:val="0"/>
                <w:sz w:val="24"/>
                <w:highlight w:val="none"/>
              </w:rPr>
              <w:t> </w:t>
            </w:r>
            <w:r>
              <w:rPr>
                <w:rFonts w:ascii="宋体" w:hAnsi="宋体" w:cs="宋体"/>
                <w:kern w:val="0"/>
                <w:sz w:val="24"/>
                <w:highlight w:val="none"/>
              </w:rPr>
              <w:t>mm 钢板折弯焊接，防水结构；两侧板厚度≥ 1</w:t>
            </w:r>
            <w:r>
              <w:rPr>
                <w:kern w:val="0"/>
                <w:sz w:val="24"/>
                <w:highlight w:val="none"/>
              </w:rPr>
              <w:t> </w:t>
            </w:r>
            <w:r>
              <w:rPr>
                <w:rFonts w:ascii="宋体" w:hAnsi="宋体" w:cs="宋体"/>
                <w:kern w:val="0"/>
                <w:sz w:val="24"/>
                <w:highlight w:val="none"/>
              </w:rPr>
              <w:t>mm，内部填充 EVA 保温材料；前后开门结构，空调高度集成于侧门，便于维护；门板厚度≥ 1</w:t>
            </w:r>
            <w:r>
              <w:rPr>
                <w:kern w:val="0"/>
                <w:sz w:val="24"/>
                <w:highlight w:val="none"/>
              </w:rPr>
              <w:t> </w:t>
            </w:r>
            <w:r>
              <w:rPr>
                <w:rFonts w:ascii="宋体" w:hAnsi="宋体" w:cs="宋体"/>
                <w:kern w:val="0"/>
                <w:sz w:val="24"/>
                <w:highlight w:val="none"/>
              </w:rPr>
              <w:t>mm，填充 EVA 保温材料，机柜底部设置排水孔。</w:t>
            </w:r>
          </w:p>
          <w:p w14:paraId="3AEAEC64">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.5.2 电磁兼容性能满足 GB/T17626 标准；机柜具备耐湿、耐腐蚀性能，高湿高盐环境下不起泡、不生锈、不开裂、涂层不剥落。</w:t>
            </w:r>
          </w:p>
          <w:p w14:paraId="617B8A5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.5.3 不少于前后双开门，便于运维操作；内部空间容纳全部仪器设备并预留操作维护空间。</w:t>
            </w:r>
          </w:p>
          <w:p w14:paraId="5B785AB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.5.4 整机防护等级 IP55。</w:t>
            </w:r>
          </w:p>
          <w:p w14:paraId="333E0B0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.5.5 机柜底座强度满足起吊、拖动、满载、空载工况不变形，安装于混凝土基础。</w:t>
            </w:r>
          </w:p>
          <w:p w14:paraId="6E39195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.5.6 电源进线与机壳之间可承受 50</w:t>
            </w:r>
            <w:r>
              <w:rPr>
                <w:kern w:val="0"/>
                <w:sz w:val="24"/>
                <w:highlight w:val="none"/>
              </w:rPr>
              <w:t> </w:t>
            </w:r>
            <w:r>
              <w:rPr>
                <w:rFonts w:ascii="宋体" w:hAnsi="宋体" w:cs="宋体"/>
                <w:kern w:val="0"/>
                <w:sz w:val="24"/>
                <w:highlight w:val="none"/>
              </w:rPr>
              <w:t>Hz、1.5</w:t>
            </w:r>
            <w:r>
              <w:rPr>
                <w:kern w:val="0"/>
                <w:sz w:val="24"/>
                <w:highlight w:val="none"/>
              </w:rPr>
              <w:t> </w:t>
            </w:r>
            <w:r>
              <w:rPr>
                <w:rFonts w:ascii="宋体" w:hAnsi="宋体" w:cs="宋体"/>
                <w:kern w:val="0"/>
                <w:sz w:val="24"/>
                <w:highlight w:val="none"/>
              </w:rPr>
              <w:t>kV 交流有效值 1</w:t>
            </w:r>
            <w:r>
              <w:rPr>
                <w:kern w:val="0"/>
                <w:sz w:val="24"/>
                <w:highlight w:val="none"/>
              </w:rPr>
              <w:t> </w:t>
            </w:r>
            <w:r>
              <w:rPr>
                <w:rFonts w:ascii="宋体" w:hAnsi="宋体" w:cs="宋体"/>
                <w:kern w:val="0"/>
                <w:sz w:val="24"/>
                <w:highlight w:val="none"/>
              </w:rPr>
              <w:t>min 耐压试验，无飞弧、击穿现象。</w:t>
            </w:r>
          </w:p>
          <w:p w14:paraId="1F8E726E">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.5.7 机柜占地面积≤2</w:t>
            </w:r>
            <w:r>
              <w:rPr>
                <w:kern w:val="0"/>
                <w:sz w:val="24"/>
                <w:highlight w:val="none"/>
              </w:rPr>
              <w:t> </w:t>
            </w:r>
            <w:r>
              <w:rPr>
                <w:rFonts w:ascii="宋体" w:hAnsi="宋体" w:cs="宋体"/>
                <w:kern w:val="0"/>
                <w:sz w:val="24"/>
                <w:highlight w:val="none"/>
              </w:rPr>
              <w:t>㎡。</w:t>
            </w:r>
          </w:p>
          <w:p w14:paraId="36C8AC9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 质量控制与远程运维：系统支持水质分析仪自动核查、零点校准、标样校准等质控功能。</w:t>
            </w:r>
          </w:p>
          <w:p w14:paraId="4B930E40">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.6.1 每日开展 24</w:t>
            </w:r>
            <w:r>
              <w:rPr>
                <w:kern w:val="0"/>
                <w:sz w:val="24"/>
                <w:highlight w:val="none"/>
              </w:rPr>
              <w:t> </w:t>
            </w:r>
            <w:r>
              <w:rPr>
                <w:rFonts w:ascii="宋体" w:hAnsi="宋体" w:cs="宋体"/>
                <w:kern w:val="0"/>
                <w:sz w:val="24"/>
                <w:highlight w:val="none"/>
              </w:rPr>
              <w:t>h 零点漂移、量程漂移核查，完整记录核查数据结果。</w:t>
            </w:r>
          </w:p>
          <w:p w14:paraId="639699D2">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.6.2 每周至少开展 1 次标准样品核查校准，留存记录。</w:t>
            </w:r>
          </w:p>
          <w:p w14:paraId="2397EEB3">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.6.3 每月开展实际水样比对试验，留存比对记录。</w:t>
            </w:r>
          </w:p>
          <w:p w14:paraId="16AD019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.6.4 每月配合属地环境监测部门开展标样考核、实际水样比对或加标回收试验；随时接受委托方组织的质控考核。</w:t>
            </w:r>
          </w:p>
          <w:p w14:paraId="062329BF">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.6.5 远程实时监视站点监测数据、设备运行状态，完成数据审核、站点诊断运行管理，可调度运维人员，留存运行记录。</w:t>
            </w:r>
          </w:p>
          <w:p w14:paraId="0E052BBA">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.6.6 远程获取仪器关键运行参数，支持远程调试。</w:t>
            </w:r>
          </w:p>
          <w:p w14:paraId="776B3FE8">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.6.7 远程下发指令，完成校时、复位、测试、校准、清洗、漂移核查、标样核查、样品复测、留样等操作。</w:t>
            </w:r>
          </w:p>
          <w:p w14:paraId="687F901B">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.6.8 管理平台可统计评价站点运行情况：巡检频次、质控频次、故障响应、超标处置；结合数据获取率、数据有效率开展站点运行保障评价。</w:t>
            </w:r>
          </w:p>
          <w:p w14:paraId="00C83A26">
            <w:pPr>
              <w:widowControl/>
              <w:adjustRightInd w:val="0"/>
              <w:snapToGrid w:val="0"/>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4</w:t>
            </w:r>
            <w:r>
              <w:rPr>
                <w:rFonts w:ascii="宋体" w:hAnsi="宋体" w:cs="宋体"/>
                <w:kern w:val="0"/>
                <w:sz w:val="24"/>
                <w:highlight w:val="none"/>
              </w:rPr>
              <w:t>.7 软件及子系统配置要求：分析仪监测数据由数采器自动采集存储。业主控制中心提供具备固定 IP 的服务器，</w:t>
            </w:r>
            <w:r>
              <w:rPr>
                <w:rFonts w:hint="eastAsia" w:ascii="宋体" w:hAnsi="宋体" w:cs="宋体"/>
                <w:kern w:val="0"/>
                <w:sz w:val="24"/>
                <w:highlight w:val="none"/>
              </w:rPr>
              <w:t>供货商</w:t>
            </w:r>
            <w:r>
              <w:rPr>
                <w:rFonts w:ascii="宋体" w:hAnsi="宋体" w:cs="宋体"/>
                <w:kern w:val="0"/>
                <w:sz w:val="24"/>
                <w:highlight w:val="none"/>
              </w:rPr>
              <w:t>负责部署监控管理软件；软件实现数据接收、存储、监控诊断、报警处置，对子站远程监控维护；支持 WEB 对外发布监测信息。软件采用标准编程语言开发，具备良好开放性、可扩展性、可维护性。</w:t>
            </w:r>
          </w:p>
        </w:tc>
        <w:tc>
          <w:tcPr>
            <w:tcW w:w="0" w:type="auto"/>
            <w:vAlign w:val="center"/>
          </w:tcPr>
          <w:p w14:paraId="1C6B6B3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0" w:type="auto"/>
            <w:vAlign w:val="center"/>
          </w:tcPr>
          <w:p w14:paraId="5FFD0BA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r>
    </w:tbl>
    <w:p w14:paraId="78899B78">
      <w:pPr>
        <w:rPr>
          <w:rFonts w:hint="eastAsia" w:ascii="宋体" w:hAnsi="宋体" w:cs="宋体"/>
          <w:bCs/>
          <w:color w:val="000000"/>
          <w:kern w:val="44"/>
          <w:sz w:val="36"/>
          <w:szCs w:val="36"/>
          <w:highlight w:val="none"/>
        </w:rPr>
      </w:pPr>
    </w:p>
    <w:p w14:paraId="521E445A">
      <w:pPr>
        <w:rPr>
          <w:rFonts w:hint="eastAsia" w:ascii="宋体" w:hAnsi="宋体" w:cs="宋体"/>
          <w:bCs/>
          <w:color w:val="000000"/>
          <w:kern w:val="44"/>
          <w:sz w:val="36"/>
          <w:szCs w:val="36"/>
          <w:highlight w:val="none"/>
        </w:rPr>
      </w:pPr>
      <w:r>
        <w:rPr>
          <w:rFonts w:hint="eastAsia" w:ascii="宋体" w:hAnsi="宋体" w:cs="宋体"/>
          <w:bCs/>
          <w:color w:val="000000"/>
          <w:kern w:val="44"/>
          <w:sz w:val="36"/>
          <w:szCs w:val="36"/>
          <w:highlight w:val="none"/>
        </w:rPr>
        <w:br w:type="page"/>
      </w:r>
    </w:p>
    <w:p w14:paraId="6E3110FA">
      <w:pPr>
        <w:rPr>
          <w:rFonts w:hint="eastAsia" w:ascii="宋体" w:hAnsi="宋体" w:cs="宋体"/>
          <w:bCs/>
          <w:color w:val="000000"/>
          <w:kern w:val="44"/>
          <w:sz w:val="36"/>
          <w:szCs w:val="36"/>
          <w:highlight w:val="none"/>
        </w:rPr>
      </w:pPr>
    </w:p>
    <w:p w14:paraId="6B653051">
      <w:pPr>
        <w:pStyle w:val="26"/>
        <w:ind w:left="0" w:leftChars="0" w:firstLine="0" w:firstLineChars="0"/>
        <w:jc w:val="center"/>
        <w:outlineLvl w:val="0"/>
        <w:rPr>
          <w:rFonts w:hint="eastAsia" w:ascii="宋体" w:hAnsi="宋体" w:cs="宋体"/>
          <w:bCs/>
          <w:color w:val="000000"/>
          <w:kern w:val="44"/>
          <w:sz w:val="36"/>
          <w:szCs w:val="36"/>
          <w:highlight w:val="none"/>
        </w:rPr>
      </w:pPr>
    </w:p>
    <w:p w14:paraId="23FB8A0A">
      <w:pPr>
        <w:pStyle w:val="26"/>
        <w:ind w:left="0" w:leftChars="0" w:firstLine="0" w:firstLineChars="0"/>
        <w:jc w:val="center"/>
        <w:outlineLvl w:val="0"/>
        <w:rPr>
          <w:rFonts w:hint="eastAsia" w:ascii="宋体" w:hAnsi="宋体" w:cs="宋体"/>
          <w:bCs/>
          <w:color w:val="000000"/>
          <w:kern w:val="44"/>
          <w:sz w:val="36"/>
          <w:szCs w:val="36"/>
          <w:highlight w:val="none"/>
        </w:rPr>
      </w:pPr>
      <w:bookmarkStart w:id="839" w:name="_Toc95223522"/>
      <w:r>
        <w:rPr>
          <w:rFonts w:hint="eastAsia" w:ascii="宋体" w:hAnsi="宋体" w:cs="宋体"/>
          <w:bCs/>
          <w:color w:val="000000"/>
          <w:kern w:val="44"/>
          <w:sz w:val="36"/>
          <w:szCs w:val="36"/>
          <w:highlight w:val="none"/>
        </w:rPr>
        <w:t xml:space="preserve">第七章 </w:t>
      </w:r>
      <w:bookmarkStart w:id="840" w:name="_Toc10656"/>
      <w:r>
        <w:rPr>
          <w:rFonts w:hint="eastAsia" w:ascii="宋体" w:hAnsi="宋体" w:cs="宋体"/>
          <w:bCs/>
          <w:color w:val="000000"/>
          <w:kern w:val="44"/>
          <w:sz w:val="36"/>
          <w:szCs w:val="36"/>
          <w:highlight w:val="none"/>
        </w:rPr>
        <w:t>图  纸</w:t>
      </w:r>
      <w:bookmarkEnd w:id="839"/>
      <w:bookmarkEnd w:id="840"/>
    </w:p>
    <w:p w14:paraId="03EB69CB">
      <w:pPr>
        <w:rPr>
          <w:rFonts w:hint="eastAsia" w:ascii="宋体" w:hAnsi="宋体" w:cs="宋体"/>
          <w:color w:val="000000"/>
          <w:highlight w:val="none"/>
        </w:rPr>
      </w:pPr>
    </w:p>
    <w:p w14:paraId="79464126">
      <w:pPr>
        <w:ind w:firstLine="720" w:firstLineChars="200"/>
        <w:rPr>
          <w:rFonts w:hint="eastAsia" w:ascii="宋体" w:hAnsi="宋体" w:cs="宋体"/>
          <w:bCs/>
          <w:color w:val="000000"/>
          <w:kern w:val="44"/>
          <w:sz w:val="36"/>
          <w:szCs w:val="36"/>
          <w:highlight w:val="none"/>
        </w:rPr>
      </w:pPr>
      <w:r>
        <w:rPr>
          <w:rFonts w:hint="eastAsia" w:ascii="宋体" w:hAnsi="宋体" w:cs="宋体"/>
          <w:bCs/>
          <w:color w:val="000000"/>
          <w:kern w:val="44"/>
          <w:sz w:val="36"/>
          <w:szCs w:val="36"/>
          <w:highlight w:val="none"/>
        </w:rPr>
        <w:t>无图纸，具体参数详见第六章工程量清单。</w:t>
      </w:r>
    </w:p>
    <w:p w14:paraId="173E35AF">
      <w:pPr>
        <w:rPr>
          <w:rFonts w:hint="eastAsia" w:ascii="宋体" w:hAnsi="宋体" w:cs="宋体"/>
          <w:color w:val="000000"/>
          <w:highlight w:val="none"/>
        </w:rPr>
      </w:pPr>
    </w:p>
    <w:p w14:paraId="489E3D2F">
      <w:pPr>
        <w:pStyle w:val="3"/>
        <w:adjustRightInd w:val="0"/>
        <w:snapToGrid w:val="0"/>
        <w:spacing w:before="0" w:after="0" w:line="560" w:lineRule="exact"/>
        <w:jc w:val="center"/>
        <w:rPr>
          <w:rFonts w:hint="eastAsia" w:ascii="宋体" w:hAnsi="宋体" w:cs="宋体"/>
          <w:bCs w:val="0"/>
          <w:color w:val="000000"/>
          <w:sz w:val="32"/>
          <w:highlight w:val="none"/>
        </w:rPr>
      </w:pPr>
      <w:r>
        <w:rPr>
          <w:rFonts w:hint="eastAsia" w:ascii="宋体" w:hAnsi="宋体" w:cs="宋体"/>
          <w:b w:val="0"/>
          <w:bCs w:val="0"/>
          <w:color w:val="000000"/>
          <w:sz w:val="32"/>
          <w:highlight w:val="none"/>
        </w:rPr>
        <w:br w:type="page"/>
      </w:r>
      <w:bookmarkStart w:id="841" w:name="_Toc95223525"/>
      <w:bookmarkStart w:id="842" w:name="_Toc4608"/>
      <w:r>
        <w:rPr>
          <w:rFonts w:hint="eastAsia"/>
          <w:color w:val="000000"/>
          <w:highlight w:val="none"/>
        </w:rPr>
        <w:t>第八章  技术标准和要求</w:t>
      </w:r>
      <w:bookmarkEnd w:id="841"/>
      <w:bookmarkEnd w:id="842"/>
    </w:p>
    <w:p w14:paraId="799E2044">
      <w:pPr>
        <w:spacing w:line="360" w:lineRule="auto"/>
        <w:outlineLvl w:val="1"/>
        <w:rPr>
          <w:rFonts w:hint="eastAsia" w:ascii="宋体" w:hAnsi="宋体" w:cs="宋体"/>
          <w:b/>
          <w:color w:val="000000"/>
          <w:highlight w:val="none"/>
        </w:rPr>
      </w:pPr>
    </w:p>
    <w:p w14:paraId="4248DBF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（一）货物的生产、安装、维修、检验、验收等按照以下原则执行：有国家标准的执行国家标准；无国家标准的执行行业标准；无行业标准的执行地方标准；无地方标准的执行企业标准。</w:t>
      </w:r>
    </w:p>
    <w:p w14:paraId="002C92E4">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490BF2B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（三）供货时所有货物（包括零部件）须为全新的、未使用过的原装正品。</w:t>
      </w:r>
    </w:p>
    <w:p w14:paraId="6A6B580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（四）技术支持</w:t>
      </w:r>
    </w:p>
    <w:p w14:paraId="331D154E">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1.中标人应向招标人提供全方位、及时而有效的技术支持和服务。</w:t>
      </w:r>
    </w:p>
    <w:p w14:paraId="7DC7287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2.中标人负责供货、安装、调试、培训。</w:t>
      </w:r>
    </w:p>
    <w:p w14:paraId="5C68B3A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3.中标人负责将货物的全部有关技术资料、测试、验收报告等汇集成册交付招标人，涉及进口的产品或部件配件软件等须提供中国海关进口货物报关单、完税证明及商检证明等材料。</w:t>
      </w:r>
    </w:p>
    <w:p w14:paraId="37C1C84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（五）报价要求</w:t>
      </w:r>
    </w:p>
    <w:p w14:paraId="202DB3EC">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人应报综合单价及投标总价，综合单价包括但不限于：设备费用、安装费用、调试费用、运输费用、装货费用、保险费用、运输过程中发生的损耗费用、现场交货时按照招标人要求堆放指定地点的卸货堆放费用、人工费、材料费（含主材、辅材及</w:t>
      </w:r>
      <w:r>
        <w:rPr>
          <w:rFonts w:hint="eastAsia" w:ascii="宋体" w:hAnsi="宋体" w:cs="宋体"/>
          <w:color w:val="000000"/>
          <w:szCs w:val="21"/>
          <w:highlight w:val="none"/>
          <w:lang w:val="zh-CN"/>
        </w:rPr>
        <w:t>安装配件</w:t>
      </w:r>
      <w:r>
        <w:rPr>
          <w:rFonts w:hint="eastAsia" w:ascii="宋体" w:hAnsi="宋体" w:cs="宋体"/>
          <w:color w:val="000000"/>
          <w:szCs w:val="21"/>
          <w:highlight w:val="none"/>
        </w:rPr>
        <w:t>等）、预埋件费用、机械费、招标代理费用、风险费、管理费、利润、检测、验收、后期服务、国家对供应商征收的各种税费及完成本项目所需的所有费用。综合单价今后将不作任何调整。</w:t>
      </w:r>
    </w:p>
    <w:p w14:paraId="145C33F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投标报价的价格是完成项目全部内容（包括后期的相关服务）交付验收的价格，其单价即为履行合同的固定单价。投标人所报费用为含税费用，在合同履行期间，如遇国家的税率调整或其他政策影响税率的，税率随变化而变化，则合同价款不做调整。</w:t>
      </w:r>
    </w:p>
    <w:p w14:paraId="3041317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（六）质保及售后服务</w:t>
      </w:r>
    </w:p>
    <w:p w14:paraId="501278D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1.免费质保服务：中标人须提供至少2年的免费质保服务（自滁州市琅琊区重点流域农业面源污染治理项目EPC通过竣工验收合格之日起计算），</w:t>
      </w:r>
      <w:r>
        <w:rPr>
          <w:rFonts w:hint="eastAsia" w:ascii="宋体" w:hAnsi="宋体" w:cs="宋体"/>
          <w:bCs/>
          <w:snapToGrid w:val="0"/>
          <w:color w:val="000000"/>
          <w:kern w:val="0"/>
          <w:szCs w:val="21"/>
          <w:highlight w:val="none"/>
        </w:rPr>
        <w:t>如相关设备或材料有国标或行标要求的质保期超过2年的，按相关标准执行</w:t>
      </w:r>
      <w:r>
        <w:rPr>
          <w:rFonts w:hint="eastAsia" w:ascii="宋体" w:hAnsi="宋体" w:cs="宋体"/>
          <w:color w:val="000000"/>
          <w:szCs w:val="21"/>
          <w:highlight w:val="none"/>
        </w:rPr>
        <w:t>。</w:t>
      </w:r>
    </w:p>
    <w:p w14:paraId="6FB1CFA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2.中标人须设有维修服务电话，负责解答用户在货物使用中遇到的问题，及时提出解决问题的建议和操作方法。</w:t>
      </w:r>
    </w:p>
    <w:p w14:paraId="13791351">
      <w:pPr>
        <w:adjustRightInd w:val="0"/>
        <w:snapToGrid w:val="0"/>
        <w:spacing w:line="560" w:lineRule="exact"/>
        <w:ind w:firstLine="420" w:firstLineChars="200"/>
        <w:rPr>
          <w:rFonts w:hint="eastAsia" w:ascii="仿宋_GB2312" w:hAnsi="仿宋" w:eastAsia="仿宋_GB2312"/>
          <w:kern w:val="0"/>
          <w:sz w:val="24"/>
          <w:highlight w:val="none"/>
        </w:rPr>
      </w:pPr>
      <w:r>
        <w:rPr>
          <w:rFonts w:hint="eastAsia" w:ascii="宋体" w:hAnsi="宋体" w:cs="宋体"/>
          <w:color w:val="000000"/>
          <w:szCs w:val="21"/>
          <w:highlight w:val="none"/>
        </w:rPr>
        <w:t>3.售后服务响应时间：如货物出现故障，中标人应在收到招标人通知后24小时内做出响应，如需中标人到合同设备现场，中标人应在收到招标人通知后48小时内到达，并在到达后7日内解决合同设备的故障（重大故障除外）。如果中标人未在上述时间内作出响应，则招标人有权自行或委托他人解决相关问题或查找和解决合同设备的故障，中标人应承担由此发生的全部费用。</w:t>
      </w:r>
    </w:p>
    <w:p w14:paraId="26E6BA75">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（七）供货期</w:t>
      </w:r>
    </w:p>
    <w:p w14:paraId="7C8BDE89">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见投标须知前附表。</w:t>
      </w:r>
    </w:p>
    <w:p w14:paraId="1CE52B47">
      <w:pPr>
        <w:numPr>
          <w:ilvl w:val="0"/>
          <w:numId w:val="2"/>
        </w:num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交货地点</w:t>
      </w:r>
    </w:p>
    <w:p w14:paraId="1EB9FFD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招标人指定地点。</w:t>
      </w:r>
    </w:p>
    <w:p w14:paraId="6099762F">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（九）验收：</w:t>
      </w:r>
    </w:p>
    <w:p w14:paraId="7A57CC0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1.招标人和相关部门按照国家规定标准验收，没有国家标准的按行业标准验收，无行业标准的按地方或企业标准验收，中标人予以配合。</w:t>
      </w:r>
    </w:p>
    <w:p w14:paraId="153C0CE8">
      <w:pPr>
        <w:adjustRightInd w:val="0"/>
        <w:snapToGrid w:val="0"/>
        <w:spacing w:line="560" w:lineRule="exact"/>
        <w:rPr>
          <w:color w:val="000000"/>
          <w:highlight w:val="none"/>
        </w:rPr>
      </w:pPr>
      <w:r>
        <w:rPr>
          <w:rFonts w:hint="eastAsia" w:ascii="宋体" w:hAnsi="宋体" w:cs="宋体"/>
          <w:color w:val="000000"/>
          <w:szCs w:val="21"/>
          <w:highlight w:val="none"/>
        </w:rPr>
        <w:t>2.货物在验收时，投标人应提供有关货物的操作规程和使用说明书，维护手册、保养修理所需的各种随机工具及相关设计、制造、检验、安装等文件和应由投标人提供的必要文件。</w:t>
      </w:r>
    </w:p>
    <w:p w14:paraId="3BC7CF43">
      <w:pPr>
        <w:pStyle w:val="26"/>
        <w:rPr>
          <w:color w:val="000000"/>
          <w:highlight w:val="none"/>
        </w:rPr>
      </w:pPr>
      <w:r>
        <w:rPr>
          <w:rFonts w:hint="eastAsia"/>
          <w:color w:val="000000"/>
          <w:highlight w:val="none"/>
        </w:rPr>
        <w:br w:type="page"/>
      </w:r>
    </w:p>
    <w:p w14:paraId="7B6712E8">
      <w:pPr>
        <w:rPr>
          <w:color w:val="000000"/>
          <w:highlight w:val="none"/>
        </w:rPr>
      </w:pPr>
    </w:p>
    <w:p w14:paraId="3C4D38C1">
      <w:pPr>
        <w:adjustRightInd w:val="0"/>
        <w:snapToGrid w:val="0"/>
        <w:spacing w:line="560" w:lineRule="exact"/>
        <w:rPr>
          <w:color w:val="000000"/>
          <w:highlight w:val="none"/>
        </w:rPr>
      </w:pPr>
    </w:p>
    <w:p w14:paraId="7987224C">
      <w:pPr>
        <w:pStyle w:val="3"/>
        <w:adjustRightInd w:val="0"/>
        <w:snapToGrid w:val="0"/>
        <w:spacing w:before="0" w:after="0" w:line="560" w:lineRule="exact"/>
        <w:jc w:val="center"/>
        <w:rPr>
          <w:color w:val="000000"/>
          <w:highlight w:val="none"/>
        </w:rPr>
      </w:pPr>
      <w:bookmarkStart w:id="843" w:name="_Toc95223531"/>
      <w:r>
        <w:rPr>
          <w:rFonts w:hint="eastAsia"/>
          <w:color w:val="000000"/>
          <w:highlight w:val="none"/>
        </w:rPr>
        <w:t>第九章   投标文件格式</w:t>
      </w:r>
      <w:bookmarkEnd w:id="843"/>
    </w:p>
    <w:p w14:paraId="503BA3D0">
      <w:pPr>
        <w:adjustRightInd w:val="0"/>
        <w:snapToGrid w:val="0"/>
        <w:spacing w:line="560" w:lineRule="exact"/>
        <w:rPr>
          <w:color w:val="000000"/>
          <w:highlight w:val="none"/>
        </w:rPr>
      </w:pPr>
    </w:p>
    <w:p w14:paraId="1B08331D">
      <w:pPr>
        <w:adjustRightInd w:val="0"/>
        <w:snapToGrid w:val="0"/>
        <w:spacing w:line="560" w:lineRule="exact"/>
        <w:rPr>
          <w:color w:val="000000"/>
          <w:highlight w:val="none"/>
        </w:rPr>
      </w:pPr>
    </w:p>
    <w:p w14:paraId="249D9D21">
      <w:pPr>
        <w:adjustRightInd w:val="0"/>
        <w:snapToGrid w:val="0"/>
        <w:spacing w:line="560" w:lineRule="exact"/>
        <w:rPr>
          <w:color w:val="000000"/>
          <w:highlight w:val="none"/>
        </w:rPr>
      </w:pPr>
    </w:p>
    <w:p w14:paraId="4DA1BA4D">
      <w:pPr>
        <w:adjustRightInd w:val="0"/>
        <w:snapToGrid w:val="0"/>
        <w:spacing w:line="560" w:lineRule="exact"/>
        <w:jc w:val="center"/>
        <w:rPr>
          <w:rFonts w:eastAsia="黑体"/>
          <w:color w:val="000000"/>
          <w:sz w:val="20"/>
          <w:szCs w:val="20"/>
          <w:highlight w:val="none"/>
        </w:rPr>
      </w:pPr>
      <w:r>
        <w:rPr>
          <w:rFonts w:hint="eastAsia" w:eastAsia="黑体"/>
          <w:color w:val="000000"/>
          <w:sz w:val="28"/>
          <w:szCs w:val="28"/>
          <w:highlight w:val="none"/>
          <w:u w:val="single"/>
        </w:rPr>
        <w:t xml:space="preserve"> </w:t>
      </w:r>
      <w:bookmarkStart w:id="844" w:name="_Toc484173788"/>
      <w:bookmarkStart w:id="845" w:name="_Toc506107339"/>
      <w:bookmarkStart w:id="846" w:name="_Toc60061573"/>
      <w:bookmarkStart w:id="847" w:name="_Toc15058933"/>
      <w:r>
        <w:rPr>
          <w:rFonts w:hint="eastAsia" w:eastAsia="黑体"/>
          <w:color w:val="000000"/>
          <w:sz w:val="28"/>
          <w:szCs w:val="28"/>
          <w:highlight w:val="none"/>
          <w:u w:val="single"/>
        </w:rPr>
        <w:t xml:space="preserve">            </w:t>
      </w:r>
      <w:bookmarkEnd w:id="844"/>
      <w:bookmarkEnd w:id="845"/>
      <w:bookmarkEnd w:id="846"/>
      <w:bookmarkEnd w:id="847"/>
      <w:r>
        <w:rPr>
          <w:rFonts w:hint="eastAsia" w:eastAsia="黑体"/>
          <w:color w:val="000000"/>
          <w:sz w:val="28"/>
          <w:szCs w:val="28"/>
          <w:highlight w:val="none"/>
          <w:u w:val="single"/>
        </w:rPr>
        <w:t xml:space="preserve">   </w:t>
      </w:r>
      <w:r>
        <w:rPr>
          <w:rFonts w:eastAsia="黑体"/>
          <w:color w:val="000000"/>
          <w:sz w:val="28"/>
          <w:szCs w:val="28"/>
          <w:highlight w:val="none"/>
        </w:rPr>
        <w:t>（项目名称</w:t>
      </w:r>
      <w:bookmarkStart w:id="848" w:name="_Toc152042575"/>
      <w:bookmarkStart w:id="849" w:name="_Toc246997097"/>
      <w:bookmarkStart w:id="850" w:name="_Toc247085872"/>
      <w:bookmarkStart w:id="851" w:name="_Toc152045786"/>
      <w:bookmarkStart w:id="852" w:name="_Toc179632806"/>
      <w:bookmarkStart w:id="853" w:name="_Toc144974855"/>
      <w:bookmarkStart w:id="854" w:name="_Toc246996354"/>
      <w:r>
        <w:rPr>
          <w:rFonts w:eastAsia="黑体"/>
          <w:color w:val="000000"/>
          <w:sz w:val="28"/>
          <w:szCs w:val="28"/>
          <w:highlight w:val="none"/>
        </w:rPr>
        <w:t>）</w:t>
      </w:r>
      <w:bookmarkStart w:id="855" w:name="_Toc506107340"/>
      <w:bookmarkStart w:id="856" w:name="_Toc15058934"/>
      <w:bookmarkStart w:id="857" w:name="_Toc60061574"/>
      <w:bookmarkStart w:id="858" w:name="_Toc324404888"/>
    </w:p>
    <w:p w14:paraId="50750878">
      <w:pPr>
        <w:adjustRightInd w:val="0"/>
        <w:snapToGrid w:val="0"/>
        <w:spacing w:line="560" w:lineRule="exact"/>
        <w:jc w:val="center"/>
        <w:rPr>
          <w:rFonts w:eastAsia="黑体"/>
          <w:color w:val="000000"/>
          <w:sz w:val="20"/>
          <w:szCs w:val="20"/>
          <w:highlight w:val="none"/>
        </w:rPr>
      </w:pPr>
    </w:p>
    <w:p w14:paraId="34D2BE09">
      <w:pPr>
        <w:adjustRightInd w:val="0"/>
        <w:snapToGrid w:val="0"/>
        <w:spacing w:line="560" w:lineRule="exact"/>
        <w:jc w:val="center"/>
        <w:rPr>
          <w:rFonts w:eastAsia="黑体"/>
          <w:color w:val="000000"/>
          <w:sz w:val="20"/>
          <w:szCs w:val="20"/>
          <w:highlight w:val="none"/>
        </w:rPr>
      </w:pPr>
    </w:p>
    <w:p w14:paraId="13D11BF7">
      <w:pPr>
        <w:adjustRightInd w:val="0"/>
        <w:snapToGrid w:val="0"/>
        <w:spacing w:line="560" w:lineRule="exact"/>
        <w:jc w:val="center"/>
        <w:rPr>
          <w:rFonts w:eastAsia="黑体"/>
          <w:color w:val="000000"/>
          <w:sz w:val="20"/>
          <w:szCs w:val="20"/>
          <w:highlight w:val="none"/>
        </w:rPr>
      </w:pPr>
    </w:p>
    <w:p w14:paraId="582A8B26">
      <w:pPr>
        <w:adjustRightInd w:val="0"/>
        <w:snapToGrid w:val="0"/>
        <w:spacing w:line="560" w:lineRule="exact"/>
        <w:rPr>
          <w:rFonts w:eastAsia="黑体"/>
          <w:color w:val="000000"/>
          <w:sz w:val="20"/>
          <w:szCs w:val="20"/>
          <w:highlight w:val="none"/>
        </w:rPr>
      </w:pPr>
    </w:p>
    <w:p w14:paraId="73292863">
      <w:pPr>
        <w:adjustRightInd w:val="0"/>
        <w:snapToGrid w:val="0"/>
        <w:spacing w:line="560" w:lineRule="exact"/>
        <w:jc w:val="center"/>
        <w:rPr>
          <w:rFonts w:eastAsia="黑体"/>
          <w:color w:val="000000"/>
          <w:sz w:val="44"/>
          <w:szCs w:val="44"/>
          <w:highlight w:val="none"/>
        </w:rPr>
      </w:pPr>
      <w:r>
        <w:rPr>
          <w:rFonts w:eastAsia="黑体"/>
          <w:color w:val="000000"/>
          <w:sz w:val="44"/>
          <w:szCs w:val="44"/>
          <w:highlight w:val="none"/>
        </w:rPr>
        <w:t>投  标  文</w:t>
      </w:r>
      <w:bookmarkEnd w:id="848"/>
      <w:bookmarkEnd w:id="849"/>
      <w:bookmarkEnd w:id="850"/>
      <w:bookmarkEnd w:id="851"/>
      <w:bookmarkEnd w:id="852"/>
      <w:bookmarkEnd w:id="853"/>
      <w:bookmarkEnd w:id="854"/>
      <w:bookmarkEnd w:id="855"/>
      <w:bookmarkEnd w:id="856"/>
      <w:bookmarkEnd w:id="857"/>
      <w:bookmarkEnd w:id="858"/>
      <w:r>
        <w:rPr>
          <w:rFonts w:eastAsia="黑体"/>
          <w:color w:val="000000"/>
          <w:sz w:val="44"/>
          <w:szCs w:val="44"/>
          <w:highlight w:val="none"/>
        </w:rPr>
        <w:t xml:space="preserve">  件</w:t>
      </w:r>
      <w:r>
        <w:rPr>
          <w:rFonts w:hint="eastAsia" w:eastAsia="黑体"/>
          <w:color w:val="000000"/>
          <w:sz w:val="44"/>
          <w:szCs w:val="44"/>
          <w:highlight w:val="none"/>
        </w:rPr>
        <w:t xml:space="preserve"> 一</w:t>
      </w:r>
    </w:p>
    <w:p w14:paraId="0CFF5A46">
      <w:pPr>
        <w:adjustRightInd w:val="0"/>
        <w:snapToGrid w:val="0"/>
        <w:spacing w:line="560" w:lineRule="exact"/>
        <w:jc w:val="center"/>
        <w:rPr>
          <w:rFonts w:eastAsia="黑体"/>
          <w:color w:val="000000"/>
          <w:sz w:val="44"/>
          <w:szCs w:val="44"/>
          <w:highlight w:val="none"/>
        </w:rPr>
      </w:pPr>
      <w:r>
        <w:rPr>
          <w:rFonts w:hint="eastAsia" w:eastAsia="黑体"/>
          <w:color w:val="000000"/>
          <w:sz w:val="44"/>
          <w:szCs w:val="44"/>
          <w:highlight w:val="none"/>
        </w:rPr>
        <w:t>（资信证明文件）</w:t>
      </w:r>
    </w:p>
    <w:p w14:paraId="3B36F018">
      <w:pPr>
        <w:adjustRightInd w:val="0"/>
        <w:snapToGrid w:val="0"/>
        <w:spacing w:line="560" w:lineRule="exact"/>
        <w:rPr>
          <w:rFonts w:eastAsia="黑体"/>
          <w:color w:val="000000"/>
          <w:sz w:val="28"/>
          <w:szCs w:val="28"/>
          <w:highlight w:val="none"/>
        </w:rPr>
      </w:pPr>
    </w:p>
    <w:p w14:paraId="45A59931">
      <w:pPr>
        <w:adjustRightInd w:val="0"/>
        <w:snapToGrid w:val="0"/>
        <w:spacing w:line="560" w:lineRule="exact"/>
        <w:rPr>
          <w:rFonts w:eastAsia="黑体"/>
          <w:color w:val="000000"/>
          <w:sz w:val="28"/>
          <w:szCs w:val="28"/>
          <w:highlight w:val="none"/>
        </w:rPr>
      </w:pPr>
    </w:p>
    <w:p w14:paraId="7CF2C9C9">
      <w:pPr>
        <w:adjustRightInd w:val="0"/>
        <w:snapToGrid w:val="0"/>
        <w:spacing w:line="560" w:lineRule="exact"/>
        <w:rPr>
          <w:rFonts w:eastAsia="黑体"/>
          <w:color w:val="000000"/>
          <w:sz w:val="28"/>
          <w:szCs w:val="28"/>
          <w:highlight w:val="none"/>
        </w:rPr>
      </w:pPr>
    </w:p>
    <w:p w14:paraId="09340DD2">
      <w:pPr>
        <w:adjustRightInd w:val="0"/>
        <w:snapToGrid w:val="0"/>
        <w:spacing w:line="560" w:lineRule="exact"/>
        <w:rPr>
          <w:rFonts w:eastAsia="黑体"/>
          <w:color w:val="000000"/>
          <w:sz w:val="28"/>
          <w:szCs w:val="28"/>
          <w:highlight w:val="none"/>
        </w:rPr>
      </w:pPr>
    </w:p>
    <w:p w14:paraId="2D02F70C">
      <w:pPr>
        <w:adjustRightInd w:val="0"/>
        <w:snapToGrid w:val="0"/>
        <w:spacing w:line="560" w:lineRule="exact"/>
        <w:rPr>
          <w:rFonts w:eastAsia="黑体"/>
          <w:color w:val="000000"/>
          <w:sz w:val="28"/>
          <w:szCs w:val="28"/>
          <w:highlight w:val="none"/>
        </w:rPr>
      </w:pPr>
    </w:p>
    <w:p w14:paraId="65CC6551">
      <w:pPr>
        <w:adjustRightInd w:val="0"/>
        <w:snapToGrid w:val="0"/>
        <w:spacing w:line="560" w:lineRule="exact"/>
        <w:rPr>
          <w:rFonts w:eastAsia="黑体"/>
          <w:color w:val="000000"/>
          <w:sz w:val="28"/>
          <w:szCs w:val="28"/>
          <w:highlight w:val="none"/>
        </w:rPr>
      </w:pPr>
    </w:p>
    <w:p w14:paraId="6D57CC15">
      <w:pPr>
        <w:adjustRightInd w:val="0"/>
        <w:snapToGrid w:val="0"/>
        <w:spacing w:line="560" w:lineRule="exact"/>
        <w:rPr>
          <w:rFonts w:eastAsia="黑体"/>
          <w:color w:val="000000"/>
          <w:sz w:val="28"/>
          <w:szCs w:val="28"/>
          <w:highlight w:val="none"/>
        </w:rPr>
      </w:pPr>
    </w:p>
    <w:p w14:paraId="5C3D44E7">
      <w:pPr>
        <w:adjustRightInd w:val="0"/>
        <w:snapToGrid w:val="0"/>
        <w:spacing w:line="560" w:lineRule="exact"/>
        <w:rPr>
          <w:rFonts w:eastAsia="黑体"/>
          <w:color w:val="000000"/>
          <w:sz w:val="28"/>
          <w:szCs w:val="28"/>
          <w:highlight w:val="none"/>
        </w:rPr>
      </w:pPr>
    </w:p>
    <w:p w14:paraId="358934C0">
      <w:pPr>
        <w:adjustRightInd w:val="0"/>
        <w:snapToGrid w:val="0"/>
        <w:spacing w:line="560" w:lineRule="exact"/>
        <w:jc w:val="center"/>
        <w:rPr>
          <w:rFonts w:eastAsia="黑体"/>
          <w:color w:val="000000"/>
          <w:sz w:val="28"/>
          <w:szCs w:val="28"/>
          <w:highlight w:val="none"/>
          <w:u w:val="single"/>
        </w:rPr>
      </w:pPr>
      <w:r>
        <w:rPr>
          <w:rFonts w:eastAsia="黑体"/>
          <w:color w:val="000000"/>
          <w:sz w:val="28"/>
          <w:szCs w:val="28"/>
          <w:highlight w:val="none"/>
        </w:rPr>
        <w:t>投标人：</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u w:val="single"/>
        </w:rPr>
        <w:t xml:space="preserve">       </w:t>
      </w:r>
      <w:r>
        <w:rPr>
          <w:rFonts w:eastAsia="黑体"/>
          <w:color w:val="000000"/>
          <w:sz w:val="28"/>
          <w:szCs w:val="28"/>
          <w:highlight w:val="none"/>
        </w:rPr>
        <w:t>（</w:t>
      </w:r>
      <w:r>
        <w:rPr>
          <w:rFonts w:hint="eastAsia" w:eastAsia="黑体"/>
          <w:color w:val="000000"/>
          <w:sz w:val="28"/>
          <w:szCs w:val="28"/>
          <w:highlight w:val="none"/>
        </w:rPr>
        <w:t>签</w:t>
      </w:r>
      <w:r>
        <w:rPr>
          <w:rFonts w:eastAsia="黑体"/>
          <w:color w:val="000000"/>
          <w:sz w:val="28"/>
          <w:szCs w:val="28"/>
          <w:highlight w:val="none"/>
        </w:rPr>
        <w:t>章）</w:t>
      </w:r>
    </w:p>
    <w:p w14:paraId="6BB973A1">
      <w:pPr>
        <w:adjustRightInd w:val="0"/>
        <w:snapToGrid w:val="0"/>
        <w:spacing w:line="560" w:lineRule="exact"/>
        <w:jc w:val="center"/>
        <w:rPr>
          <w:rFonts w:eastAsia="黑体"/>
          <w:color w:val="000000"/>
          <w:sz w:val="28"/>
          <w:szCs w:val="28"/>
          <w:highlight w:val="none"/>
        </w:rPr>
      </w:pPr>
      <w:r>
        <w:rPr>
          <w:rFonts w:eastAsia="黑体"/>
          <w:color w:val="000000"/>
          <w:sz w:val="28"/>
          <w:szCs w:val="28"/>
          <w:highlight w:val="none"/>
        </w:rPr>
        <w:t>法定代表人：</w:t>
      </w:r>
      <w:r>
        <w:rPr>
          <w:rFonts w:eastAsia="黑体"/>
          <w:color w:val="000000"/>
          <w:sz w:val="28"/>
          <w:szCs w:val="28"/>
          <w:highlight w:val="none"/>
          <w:u w:val="singl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eastAsia="黑体"/>
          <w:color w:val="000000"/>
          <w:sz w:val="28"/>
          <w:szCs w:val="28"/>
          <w:highlight w:val="none"/>
        </w:rPr>
        <w:t>）</w:t>
      </w:r>
    </w:p>
    <w:p w14:paraId="4495C513">
      <w:pPr>
        <w:adjustRightInd w:val="0"/>
        <w:snapToGrid w:val="0"/>
        <w:spacing w:line="560" w:lineRule="exact"/>
        <w:jc w:val="center"/>
        <w:rPr>
          <w:rFonts w:eastAsia="黑体"/>
          <w:color w:val="000000"/>
          <w:sz w:val="28"/>
          <w:szCs w:val="28"/>
          <w:highlight w:val="none"/>
        </w:rPr>
      </w:pPr>
      <w:r>
        <w:rPr>
          <w:rFonts w:eastAsia="黑体"/>
          <w:color w:val="000000"/>
          <w:sz w:val="28"/>
          <w:szCs w:val="28"/>
          <w:highlight w:val="none"/>
          <w:u w:val="single"/>
        </w:rPr>
        <w:t xml:space="preserve">        </w:t>
      </w:r>
      <w:r>
        <w:rPr>
          <w:rFonts w:eastAsia="黑体"/>
          <w:color w:val="000000"/>
          <w:sz w:val="28"/>
          <w:szCs w:val="28"/>
          <w:highlight w:val="none"/>
        </w:rPr>
        <w:t>年</w:t>
      </w:r>
      <w:r>
        <w:rPr>
          <w:rFonts w:eastAsia="黑体"/>
          <w:color w:val="000000"/>
          <w:sz w:val="28"/>
          <w:szCs w:val="28"/>
          <w:highlight w:val="none"/>
          <w:u w:val="single"/>
        </w:rPr>
        <w:t xml:space="preserve">        </w:t>
      </w:r>
      <w:r>
        <w:rPr>
          <w:rFonts w:eastAsia="黑体"/>
          <w:color w:val="000000"/>
          <w:sz w:val="28"/>
          <w:szCs w:val="28"/>
          <w:highlight w:val="none"/>
        </w:rPr>
        <w:t>月</w:t>
      </w:r>
      <w:r>
        <w:rPr>
          <w:rFonts w:eastAsia="黑体"/>
          <w:color w:val="000000"/>
          <w:sz w:val="28"/>
          <w:szCs w:val="28"/>
          <w:highlight w:val="none"/>
          <w:u w:val="single"/>
        </w:rPr>
        <w:t xml:space="preserve">        </w:t>
      </w:r>
      <w:r>
        <w:rPr>
          <w:rFonts w:eastAsia="黑体"/>
          <w:color w:val="000000"/>
          <w:sz w:val="28"/>
          <w:szCs w:val="28"/>
          <w:highlight w:val="none"/>
        </w:rPr>
        <w:t>日</w:t>
      </w:r>
    </w:p>
    <w:p w14:paraId="40B63ECC">
      <w:pPr>
        <w:pStyle w:val="4"/>
        <w:rPr>
          <w:color w:val="000000"/>
          <w:highlight w:val="none"/>
        </w:rPr>
      </w:pPr>
      <w:bookmarkStart w:id="859" w:name="_Toc95223532"/>
      <w:bookmarkStart w:id="860" w:name="_Toc296602622"/>
      <w:bookmarkStart w:id="861" w:name="_Toc246997117"/>
      <w:bookmarkStart w:id="862" w:name="_Toc247085892"/>
      <w:bookmarkStart w:id="863" w:name="_Toc246996374"/>
      <w:bookmarkStart w:id="864" w:name="_Toc179632833"/>
      <w:bookmarkStart w:id="865" w:name="_Toc152045813"/>
      <w:bookmarkStart w:id="866" w:name="_Toc144974881"/>
      <w:bookmarkStart w:id="867" w:name="_Toc152042602"/>
      <w:r>
        <w:rPr>
          <w:rFonts w:hint="eastAsia"/>
          <w:color w:val="000000"/>
          <w:highlight w:val="none"/>
        </w:rPr>
        <w:t>投标文件一：资信证明文件目录</w:t>
      </w:r>
      <w:bookmarkEnd w:id="859"/>
    </w:p>
    <w:p w14:paraId="2A93EA3B">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highlight w:val="none"/>
        </w:rPr>
        <w:t>（1）</w:t>
      </w:r>
      <w:r>
        <w:rPr>
          <w:rFonts w:hint="eastAsia" w:ascii="宋体" w:hAnsi="宋体" w:cs="宋体"/>
          <w:color w:val="000000"/>
          <w:szCs w:val="21"/>
          <w:highlight w:val="none"/>
        </w:rPr>
        <w:t>法定代表人身份证明和本人身份证(或法定代表人授权委托书和委托代理人身份证)；</w:t>
      </w:r>
    </w:p>
    <w:p w14:paraId="078DB64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（2）企业法人营业执照；</w:t>
      </w:r>
    </w:p>
    <w:p w14:paraId="629650ED">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（3）诚信投标承诺书(或《公共信用信息报告（无违法违规证明版或核查版）》)。</w:t>
      </w:r>
    </w:p>
    <w:p w14:paraId="3BAB8876">
      <w:pPr>
        <w:adjustRightInd w:val="0"/>
        <w:snapToGrid w:val="0"/>
        <w:spacing w:line="560" w:lineRule="exact"/>
        <w:rPr>
          <w:color w:val="000000"/>
          <w:highlight w:val="none"/>
        </w:rPr>
      </w:pPr>
    </w:p>
    <w:p w14:paraId="3E9EF414">
      <w:pPr>
        <w:rPr>
          <w:b/>
          <w:color w:val="000000"/>
          <w:sz w:val="28"/>
          <w:szCs w:val="28"/>
          <w:highlight w:val="none"/>
        </w:rPr>
      </w:pPr>
      <w:bookmarkStart w:id="868" w:name="_Toc484173797"/>
      <w:bookmarkStart w:id="869" w:name="_Toc506107353"/>
      <w:bookmarkStart w:id="870" w:name="_Toc15058940"/>
      <w:bookmarkStart w:id="871" w:name="_Toc60061581"/>
      <w:bookmarkStart w:id="872" w:name="_Toc499804616"/>
      <w:bookmarkStart w:id="873" w:name="_Toc58229121"/>
      <w:bookmarkStart w:id="874" w:name="_Toc11719"/>
      <w:bookmarkStart w:id="875" w:name="_Toc324404893"/>
      <w:r>
        <w:rPr>
          <w:rFonts w:hint="eastAsia"/>
          <w:b/>
          <w:color w:val="000000"/>
          <w:sz w:val="28"/>
          <w:szCs w:val="28"/>
          <w:highlight w:val="none"/>
        </w:rPr>
        <w:br w:type="page"/>
      </w:r>
    </w:p>
    <w:p w14:paraId="73067B9A">
      <w:pPr>
        <w:adjustRightInd w:val="0"/>
        <w:snapToGrid w:val="0"/>
        <w:spacing w:line="560" w:lineRule="exact"/>
        <w:jc w:val="center"/>
        <w:rPr>
          <w:b/>
          <w:color w:val="000000"/>
          <w:sz w:val="28"/>
          <w:szCs w:val="28"/>
          <w:highlight w:val="none"/>
        </w:rPr>
      </w:pPr>
      <w:r>
        <w:rPr>
          <w:rFonts w:hint="eastAsia"/>
          <w:b/>
          <w:color w:val="000000"/>
          <w:sz w:val="28"/>
          <w:szCs w:val="28"/>
          <w:highlight w:val="none"/>
        </w:rPr>
        <w:t>（1）法定代表人身份证</w:t>
      </w:r>
      <w:bookmarkEnd w:id="868"/>
      <w:bookmarkEnd w:id="869"/>
      <w:bookmarkEnd w:id="870"/>
      <w:bookmarkEnd w:id="871"/>
      <w:bookmarkEnd w:id="872"/>
      <w:bookmarkEnd w:id="873"/>
      <w:r>
        <w:rPr>
          <w:rFonts w:hint="eastAsia"/>
          <w:b/>
          <w:color w:val="000000"/>
          <w:sz w:val="28"/>
          <w:szCs w:val="28"/>
          <w:highlight w:val="none"/>
        </w:rPr>
        <w:t>明或授权委托书</w:t>
      </w:r>
      <w:bookmarkEnd w:id="860"/>
      <w:bookmarkEnd w:id="861"/>
      <w:bookmarkEnd w:id="862"/>
      <w:bookmarkEnd w:id="863"/>
      <w:bookmarkEnd w:id="864"/>
      <w:bookmarkEnd w:id="865"/>
      <w:bookmarkEnd w:id="866"/>
      <w:bookmarkEnd w:id="867"/>
      <w:bookmarkEnd w:id="874"/>
      <w:bookmarkEnd w:id="875"/>
    </w:p>
    <w:p w14:paraId="5AC0C911">
      <w:pPr>
        <w:pStyle w:val="49"/>
        <w:adjustRightInd w:val="0"/>
        <w:snapToGrid w:val="0"/>
        <w:spacing w:line="560" w:lineRule="exact"/>
        <w:rPr>
          <w:rFonts w:ascii="宋体"/>
          <w:b/>
          <w:sz w:val="30"/>
          <w:szCs w:val="30"/>
          <w:highlight w:val="none"/>
        </w:rPr>
      </w:pPr>
      <w:r>
        <w:rPr>
          <w:rFonts w:hint="eastAsia" w:ascii="宋体"/>
          <w:sz w:val="30"/>
          <w:szCs w:val="30"/>
          <w:highlight w:val="none"/>
        </w:rPr>
        <w:t>1.法定代表人身份证明</w:t>
      </w:r>
    </w:p>
    <w:p w14:paraId="30EE7069">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投标人名称：</w:t>
      </w:r>
      <w:r>
        <w:rPr>
          <w:rFonts w:hint="eastAsia" w:ascii="宋体"/>
          <w:color w:val="000000"/>
          <w:sz w:val="28"/>
          <w:szCs w:val="28"/>
          <w:highlight w:val="none"/>
          <w:u w:val="single"/>
        </w:rPr>
        <w:t xml:space="preserve">                                </w:t>
      </w:r>
      <w:r>
        <w:rPr>
          <w:rFonts w:hint="eastAsia" w:ascii="宋体"/>
          <w:color w:val="000000"/>
          <w:sz w:val="28"/>
          <w:szCs w:val="28"/>
          <w:highlight w:val="none"/>
        </w:rPr>
        <w:t xml:space="preserve"> </w:t>
      </w:r>
    </w:p>
    <w:p w14:paraId="465B40D0">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 xml:space="preserve">单位性质： </w:t>
      </w:r>
      <w:r>
        <w:rPr>
          <w:rFonts w:hint="eastAsia" w:ascii="宋体"/>
          <w:color w:val="000000"/>
          <w:sz w:val="28"/>
          <w:szCs w:val="28"/>
          <w:highlight w:val="none"/>
          <w:u w:val="single"/>
        </w:rPr>
        <w:t xml:space="preserve">                                  </w:t>
      </w:r>
      <w:r>
        <w:rPr>
          <w:rFonts w:hint="eastAsia" w:ascii="宋体"/>
          <w:color w:val="000000"/>
          <w:sz w:val="28"/>
          <w:szCs w:val="28"/>
          <w:highlight w:val="none"/>
        </w:rPr>
        <w:t xml:space="preserve"> </w:t>
      </w:r>
    </w:p>
    <w:p w14:paraId="35D24F25">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地    址：</w:t>
      </w:r>
      <w:r>
        <w:rPr>
          <w:rFonts w:hint="eastAsia" w:ascii="宋体"/>
          <w:color w:val="000000"/>
          <w:sz w:val="28"/>
          <w:szCs w:val="28"/>
          <w:highlight w:val="none"/>
          <w:u w:val="single"/>
        </w:rPr>
        <w:t xml:space="preserve">                                   </w:t>
      </w:r>
      <w:r>
        <w:rPr>
          <w:rFonts w:hint="eastAsia" w:ascii="宋体"/>
          <w:color w:val="000000"/>
          <w:sz w:val="28"/>
          <w:szCs w:val="28"/>
          <w:highlight w:val="none"/>
        </w:rPr>
        <w:t xml:space="preserve"> </w:t>
      </w:r>
    </w:p>
    <w:p w14:paraId="60330147">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成立时间：</w:t>
      </w:r>
      <w:r>
        <w:rPr>
          <w:rFonts w:hint="eastAsia" w:ascii="宋体"/>
          <w:color w:val="000000"/>
          <w:sz w:val="28"/>
          <w:szCs w:val="28"/>
          <w:highlight w:val="none"/>
          <w:u w:val="single"/>
        </w:rPr>
        <w:t xml:space="preserve">        </w:t>
      </w:r>
      <w:r>
        <w:rPr>
          <w:rFonts w:hint="eastAsia" w:ascii="宋体"/>
          <w:color w:val="000000"/>
          <w:sz w:val="28"/>
          <w:szCs w:val="28"/>
          <w:highlight w:val="none"/>
        </w:rPr>
        <w:t>年</w:t>
      </w:r>
      <w:r>
        <w:rPr>
          <w:rFonts w:hint="eastAsia" w:ascii="宋体"/>
          <w:color w:val="000000"/>
          <w:sz w:val="28"/>
          <w:szCs w:val="28"/>
          <w:highlight w:val="none"/>
          <w:u w:val="single"/>
        </w:rPr>
        <w:t xml:space="preserve">    </w:t>
      </w:r>
      <w:r>
        <w:rPr>
          <w:rFonts w:hint="eastAsia" w:ascii="宋体"/>
          <w:color w:val="000000"/>
          <w:sz w:val="28"/>
          <w:szCs w:val="28"/>
          <w:highlight w:val="none"/>
        </w:rPr>
        <w:t>月</w:t>
      </w:r>
      <w:r>
        <w:rPr>
          <w:rFonts w:hint="eastAsia" w:ascii="宋体"/>
          <w:color w:val="000000"/>
          <w:sz w:val="28"/>
          <w:szCs w:val="28"/>
          <w:highlight w:val="none"/>
          <w:u w:val="single"/>
        </w:rPr>
        <w:t xml:space="preserve">  </w:t>
      </w:r>
      <w:r>
        <w:rPr>
          <w:rFonts w:hint="eastAsia" w:ascii="宋体"/>
          <w:color w:val="000000"/>
          <w:sz w:val="28"/>
          <w:szCs w:val="28"/>
          <w:highlight w:val="none"/>
        </w:rPr>
        <w:t>＿日</w:t>
      </w:r>
    </w:p>
    <w:p w14:paraId="1FC4DB89">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经营期限：</w:t>
      </w:r>
      <w:r>
        <w:rPr>
          <w:rFonts w:hint="eastAsia" w:ascii="宋体"/>
          <w:color w:val="000000"/>
          <w:sz w:val="28"/>
          <w:szCs w:val="28"/>
          <w:highlight w:val="none"/>
          <w:u w:val="single"/>
        </w:rPr>
        <w:t xml:space="preserve">                                </w:t>
      </w:r>
      <w:r>
        <w:rPr>
          <w:rFonts w:hint="eastAsia" w:ascii="宋体"/>
          <w:color w:val="000000"/>
          <w:sz w:val="28"/>
          <w:szCs w:val="28"/>
          <w:highlight w:val="none"/>
        </w:rPr>
        <w:t xml:space="preserve"> </w:t>
      </w:r>
    </w:p>
    <w:p w14:paraId="5E26C8F8">
      <w:pPr>
        <w:adjustRightInd w:val="0"/>
        <w:snapToGrid w:val="0"/>
        <w:spacing w:line="560" w:lineRule="exact"/>
        <w:jc w:val="left"/>
        <w:rPr>
          <w:rFonts w:ascii="宋体"/>
          <w:color w:val="000000"/>
          <w:sz w:val="28"/>
          <w:szCs w:val="28"/>
          <w:highlight w:val="none"/>
          <w:u w:val="single"/>
        </w:rPr>
      </w:pPr>
      <w:r>
        <w:rPr>
          <w:rFonts w:hint="eastAsia" w:ascii="宋体"/>
          <w:color w:val="000000"/>
          <w:spacing w:val="240"/>
          <w:sz w:val="28"/>
          <w:szCs w:val="28"/>
          <w:highlight w:val="none"/>
        </w:rPr>
        <w:t>姓</w:t>
      </w:r>
      <w:r>
        <w:rPr>
          <w:rFonts w:hint="eastAsia" w:ascii="宋体"/>
          <w:color w:val="000000"/>
          <w:sz w:val="28"/>
          <w:szCs w:val="28"/>
          <w:highlight w:val="none"/>
        </w:rPr>
        <w:t>名：</w:t>
      </w:r>
      <w:r>
        <w:rPr>
          <w:rFonts w:hint="eastAsia" w:ascii="宋体"/>
          <w:color w:val="000000"/>
          <w:sz w:val="28"/>
          <w:szCs w:val="28"/>
          <w:highlight w:val="none"/>
          <w:u w:val="single"/>
        </w:rPr>
        <w:t xml:space="preserve">           </w:t>
      </w:r>
      <w:r>
        <w:rPr>
          <w:rFonts w:hint="eastAsia" w:ascii="宋体"/>
          <w:color w:val="000000"/>
          <w:sz w:val="28"/>
          <w:szCs w:val="28"/>
          <w:highlight w:val="none"/>
        </w:rPr>
        <w:t>身份证号码：</w:t>
      </w:r>
      <w:r>
        <w:rPr>
          <w:rFonts w:hint="eastAsia" w:ascii="宋体"/>
          <w:color w:val="000000"/>
          <w:sz w:val="28"/>
          <w:szCs w:val="28"/>
          <w:highlight w:val="none"/>
          <w:u w:val="single"/>
        </w:rPr>
        <w:t xml:space="preserve">             </w:t>
      </w:r>
      <w:r>
        <w:rPr>
          <w:rFonts w:hint="eastAsia" w:ascii="宋体"/>
          <w:color w:val="000000"/>
          <w:sz w:val="28"/>
          <w:szCs w:val="28"/>
          <w:highlight w:val="none"/>
        </w:rPr>
        <w:t>性别</w:t>
      </w:r>
      <w:r>
        <w:rPr>
          <w:rFonts w:hint="eastAsia" w:ascii="宋体"/>
          <w:color w:val="000000"/>
          <w:sz w:val="28"/>
          <w:szCs w:val="28"/>
          <w:highlight w:val="none"/>
          <w:u w:val="single"/>
        </w:rPr>
        <w:t xml:space="preserve">：            </w:t>
      </w:r>
      <w:r>
        <w:rPr>
          <w:rFonts w:hint="eastAsia" w:ascii="宋体"/>
          <w:color w:val="000000"/>
          <w:sz w:val="28"/>
          <w:szCs w:val="28"/>
          <w:highlight w:val="none"/>
        </w:rPr>
        <w:t>年龄：</w:t>
      </w:r>
      <w:r>
        <w:rPr>
          <w:rFonts w:hint="eastAsia" w:ascii="宋体"/>
          <w:color w:val="000000"/>
          <w:sz w:val="28"/>
          <w:szCs w:val="28"/>
          <w:highlight w:val="none"/>
          <w:u w:val="single"/>
        </w:rPr>
        <w:t xml:space="preserve">＿  </w:t>
      </w:r>
      <w:r>
        <w:rPr>
          <w:rFonts w:hint="eastAsia" w:ascii="宋体"/>
          <w:color w:val="000000"/>
          <w:sz w:val="28"/>
          <w:szCs w:val="28"/>
          <w:highlight w:val="none"/>
        </w:rPr>
        <w:t>职务：</w:t>
      </w:r>
      <w:r>
        <w:rPr>
          <w:rFonts w:hint="eastAsia" w:ascii="宋体"/>
          <w:color w:val="000000"/>
          <w:sz w:val="28"/>
          <w:szCs w:val="28"/>
          <w:highlight w:val="none"/>
          <w:u w:val="single"/>
        </w:rPr>
        <w:t xml:space="preserve">       </w:t>
      </w:r>
      <w:r>
        <w:rPr>
          <w:rFonts w:hint="eastAsia" w:ascii="宋体"/>
          <w:color w:val="000000"/>
          <w:sz w:val="28"/>
          <w:szCs w:val="28"/>
          <w:highlight w:val="none"/>
        </w:rPr>
        <w:t>_，系</w:t>
      </w:r>
      <w:r>
        <w:rPr>
          <w:rFonts w:hint="eastAsia" w:ascii="宋体"/>
          <w:color w:val="000000"/>
          <w:sz w:val="28"/>
          <w:szCs w:val="28"/>
          <w:highlight w:val="none"/>
          <w:u w:val="single"/>
        </w:rPr>
        <w:t xml:space="preserve">                       </w:t>
      </w:r>
      <w:r>
        <w:rPr>
          <w:rFonts w:hint="eastAsia" w:ascii="宋体"/>
          <w:color w:val="000000"/>
          <w:sz w:val="28"/>
          <w:szCs w:val="28"/>
          <w:highlight w:val="none"/>
        </w:rPr>
        <w:t>（投标人名称）的法定代表人。</w:t>
      </w:r>
    </w:p>
    <w:p w14:paraId="10F8C6C3">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特此证明。</w:t>
      </w:r>
    </w:p>
    <w:p w14:paraId="32EDD333">
      <w:pPr>
        <w:adjustRightInd w:val="0"/>
        <w:snapToGrid w:val="0"/>
        <w:spacing w:line="560" w:lineRule="exact"/>
        <w:rPr>
          <w:rFonts w:ascii="宋体"/>
          <w:color w:val="000000"/>
          <w:sz w:val="28"/>
          <w:szCs w:val="28"/>
          <w:highlight w:val="none"/>
        </w:rPr>
      </w:pPr>
    </w:p>
    <w:p w14:paraId="68CC1362">
      <w:pPr>
        <w:adjustRightInd w:val="0"/>
        <w:snapToGrid w:val="0"/>
        <w:spacing w:line="560" w:lineRule="exact"/>
        <w:rPr>
          <w:rFonts w:ascii="宋体"/>
          <w:color w:val="000000"/>
          <w:sz w:val="28"/>
          <w:szCs w:val="28"/>
          <w:highlight w:val="none"/>
        </w:rPr>
      </w:pPr>
    </w:p>
    <w:p w14:paraId="781077DB">
      <w:pPr>
        <w:adjustRightInd w:val="0"/>
        <w:snapToGrid w:val="0"/>
        <w:spacing w:line="560" w:lineRule="exact"/>
        <w:rPr>
          <w:rFonts w:ascii="宋体"/>
          <w:color w:val="000000"/>
          <w:sz w:val="28"/>
          <w:szCs w:val="28"/>
          <w:highlight w:val="none"/>
        </w:rPr>
      </w:pPr>
    </w:p>
    <w:p w14:paraId="2AD303EC">
      <w:pPr>
        <w:adjustRightInd w:val="0"/>
        <w:snapToGrid w:val="0"/>
        <w:spacing w:line="560" w:lineRule="exact"/>
        <w:ind w:firstLine="4340" w:firstLineChars="1550"/>
        <w:rPr>
          <w:rFonts w:ascii="宋体"/>
          <w:color w:val="000000"/>
          <w:sz w:val="28"/>
          <w:szCs w:val="28"/>
          <w:highlight w:val="none"/>
        </w:rPr>
      </w:pPr>
      <w:r>
        <w:rPr>
          <w:rFonts w:hint="eastAsia" w:ascii="宋体"/>
          <w:color w:val="000000"/>
          <w:sz w:val="28"/>
          <w:szCs w:val="28"/>
          <w:highlight w:val="none"/>
        </w:rPr>
        <w:t>投标人：</w:t>
      </w:r>
      <w:r>
        <w:rPr>
          <w:rFonts w:hint="eastAsia" w:ascii="宋体"/>
          <w:color w:val="000000"/>
          <w:sz w:val="28"/>
          <w:szCs w:val="28"/>
          <w:highlight w:val="none"/>
          <w:u w:val="single"/>
        </w:rPr>
        <w:t xml:space="preserve">                 </w:t>
      </w:r>
      <w:r>
        <w:rPr>
          <w:rFonts w:hint="eastAsia" w:ascii="宋体"/>
          <w:color w:val="000000"/>
          <w:sz w:val="28"/>
          <w:szCs w:val="28"/>
          <w:highlight w:val="none"/>
        </w:rPr>
        <w:t>（签章）</w:t>
      </w:r>
    </w:p>
    <w:p w14:paraId="7C4A35D8">
      <w:pPr>
        <w:adjustRightInd w:val="0"/>
        <w:snapToGrid w:val="0"/>
        <w:spacing w:line="560" w:lineRule="exact"/>
        <w:rPr>
          <w:rFonts w:ascii="宋体"/>
          <w:color w:val="000000"/>
          <w:sz w:val="28"/>
          <w:szCs w:val="28"/>
          <w:highlight w:val="none"/>
        </w:rPr>
      </w:pPr>
      <w:r>
        <w:rPr>
          <w:rFonts w:hint="eastAsia" w:ascii="宋体"/>
          <w:color w:val="000000"/>
          <w:sz w:val="28"/>
          <w:szCs w:val="28"/>
          <w:highlight w:val="none"/>
        </w:rPr>
        <w:t xml:space="preserve">                                        年    月     日</w:t>
      </w:r>
    </w:p>
    <w:p w14:paraId="460099C0">
      <w:pPr>
        <w:adjustRightInd w:val="0"/>
        <w:snapToGrid w:val="0"/>
        <w:spacing w:line="560" w:lineRule="exact"/>
        <w:rPr>
          <w:rFonts w:ascii="宋体"/>
          <w:color w:val="000000"/>
          <w:sz w:val="28"/>
          <w:szCs w:val="28"/>
          <w:highlight w:val="none"/>
        </w:rPr>
      </w:pPr>
    </w:p>
    <w:p w14:paraId="20174560">
      <w:pPr>
        <w:adjustRightInd w:val="0"/>
        <w:snapToGrid w:val="0"/>
        <w:spacing w:line="560" w:lineRule="exact"/>
        <w:rPr>
          <w:rFonts w:ascii="宋体"/>
          <w:color w:val="000000"/>
          <w:sz w:val="28"/>
          <w:szCs w:val="28"/>
          <w:highlight w:val="none"/>
        </w:rPr>
      </w:pPr>
    </w:p>
    <w:p w14:paraId="37CD398F">
      <w:pPr>
        <w:pStyle w:val="49"/>
        <w:adjustRightInd w:val="0"/>
        <w:snapToGrid w:val="0"/>
        <w:spacing w:line="560" w:lineRule="exact"/>
        <w:rPr>
          <w:rFonts w:ascii="宋体"/>
          <w:sz w:val="30"/>
          <w:szCs w:val="30"/>
          <w:highlight w:val="none"/>
        </w:rPr>
      </w:pPr>
    </w:p>
    <w:p w14:paraId="5725F9F1">
      <w:pPr>
        <w:rPr>
          <w:color w:val="000000"/>
          <w:highlight w:val="none"/>
        </w:rPr>
      </w:pPr>
    </w:p>
    <w:p w14:paraId="66F267F8">
      <w:pPr>
        <w:pStyle w:val="26"/>
        <w:rPr>
          <w:color w:val="000000"/>
          <w:highlight w:val="none"/>
        </w:rPr>
      </w:pPr>
    </w:p>
    <w:p w14:paraId="7C8B71A0">
      <w:pPr>
        <w:rPr>
          <w:color w:val="000000"/>
          <w:highlight w:val="none"/>
        </w:rPr>
      </w:pPr>
    </w:p>
    <w:p w14:paraId="0C9313D8">
      <w:pPr>
        <w:pStyle w:val="26"/>
        <w:rPr>
          <w:color w:val="000000"/>
          <w:highlight w:val="none"/>
        </w:rPr>
      </w:pPr>
    </w:p>
    <w:p w14:paraId="016CFDBE">
      <w:pPr>
        <w:rPr>
          <w:color w:val="000000"/>
          <w:highlight w:val="none"/>
        </w:rPr>
      </w:pPr>
    </w:p>
    <w:p w14:paraId="4D4F254F">
      <w:pPr>
        <w:pStyle w:val="26"/>
        <w:rPr>
          <w:color w:val="000000"/>
          <w:highlight w:val="none"/>
        </w:rPr>
      </w:pPr>
    </w:p>
    <w:p w14:paraId="705725E2">
      <w:pPr>
        <w:pStyle w:val="49"/>
        <w:adjustRightInd w:val="0"/>
        <w:snapToGrid w:val="0"/>
        <w:spacing w:line="560" w:lineRule="exact"/>
        <w:rPr>
          <w:rFonts w:ascii="宋体"/>
          <w:sz w:val="30"/>
          <w:szCs w:val="30"/>
          <w:highlight w:val="none"/>
        </w:rPr>
      </w:pPr>
    </w:p>
    <w:p w14:paraId="5A5540C4">
      <w:pPr>
        <w:rPr>
          <w:color w:val="000000"/>
          <w:highlight w:val="none"/>
        </w:rPr>
      </w:pPr>
    </w:p>
    <w:p w14:paraId="13A28E2D">
      <w:pPr>
        <w:rPr>
          <w:color w:val="000000"/>
          <w:highlight w:val="none"/>
        </w:rPr>
      </w:pPr>
    </w:p>
    <w:p w14:paraId="5E350832">
      <w:pPr>
        <w:pStyle w:val="49"/>
        <w:adjustRightInd w:val="0"/>
        <w:snapToGrid w:val="0"/>
        <w:spacing w:line="560" w:lineRule="exact"/>
        <w:rPr>
          <w:rFonts w:ascii="宋体"/>
          <w:sz w:val="30"/>
          <w:szCs w:val="30"/>
          <w:highlight w:val="none"/>
        </w:rPr>
      </w:pPr>
    </w:p>
    <w:p w14:paraId="33885AAE">
      <w:pPr>
        <w:pStyle w:val="49"/>
        <w:adjustRightInd w:val="0"/>
        <w:snapToGrid w:val="0"/>
        <w:spacing w:line="560" w:lineRule="exact"/>
        <w:rPr>
          <w:rFonts w:ascii="宋体"/>
          <w:sz w:val="30"/>
          <w:szCs w:val="30"/>
          <w:highlight w:val="none"/>
        </w:rPr>
      </w:pPr>
    </w:p>
    <w:p w14:paraId="110B8A00">
      <w:pPr>
        <w:pStyle w:val="49"/>
        <w:adjustRightInd w:val="0"/>
        <w:snapToGrid w:val="0"/>
        <w:spacing w:line="560" w:lineRule="exact"/>
        <w:rPr>
          <w:rFonts w:ascii="宋体"/>
          <w:sz w:val="30"/>
          <w:szCs w:val="30"/>
          <w:highlight w:val="none"/>
        </w:rPr>
      </w:pPr>
      <w:r>
        <w:rPr>
          <w:rFonts w:hint="eastAsia" w:ascii="宋体"/>
          <w:sz w:val="30"/>
          <w:szCs w:val="30"/>
          <w:highlight w:val="none"/>
        </w:rPr>
        <w:t>2. 授权委托书</w:t>
      </w:r>
    </w:p>
    <w:p w14:paraId="02B9CBBD">
      <w:pPr>
        <w:adjustRightInd w:val="0"/>
        <w:snapToGrid w:val="0"/>
        <w:spacing w:line="560" w:lineRule="exact"/>
        <w:ind w:firstLine="560" w:firstLineChars="200"/>
        <w:rPr>
          <w:rFonts w:ascii="宋体"/>
          <w:color w:val="000000"/>
          <w:sz w:val="28"/>
          <w:szCs w:val="28"/>
          <w:highlight w:val="none"/>
        </w:rPr>
      </w:pPr>
      <w:r>
        <w:rPr>
          <w:rFonts w:hint="eastAsia" w:ascii="宋体"/>
          <w:color w:val="000000"/>
          <w:sz w:val="28"/>
          <w:szCs w:val="28"/>
          <w:highlight w:val="none"/>
        </w:rPr>
        <w:t xml:space="preserve">本人 </w:t>
      </w:r>
      <w:r>
        <w:rPr>
          <w:rFonts w:hint="eastAsia" w:ascii="宋体"/>
          <w:color w:val="000000"/>
          <w:sz w:val="28"/>
          <w:szCs w:val="28"/>
          <w:highlight w:val="none"/>
          <w:u w:val="single"/>
        </w:rPr>
        <w:t xml:space="preserve">    </w:t>
      </w:r>
      <w:r>
        <w:rPr>
          <w:rFonts w:hint="eastAsia" w:ascii="宋体"/>
          <w:color w:val="000000"/>
          <w:sz w:val="28"/>
          <w:szCs w:val="28"/>
          <w:highlight w:val="none"/>
        </w:rPr>
        <w:t>（姓名）系</w:t>
      </w:r>
      <w:r>
        <w:rPr>
          <w:rFonts w:hint="eastAsia" w:ascii="宋体"/>
          <w:color w:val="000000"/>
          <w:sz w:val="28"/>
          <w:szCs w:val="28"/>
          <w:highlight w:val="none"/>
          <w:u w:val="single"/>
        </w:rPr>
        <w:t xml:space="preserve">       </w:t>
      </w:r>
      <w:r>
        <w:rPr>
          <w:rFonts w:hint="eastAsia" w:ascii="宋体"/>
          <w:color w:val="000000"/>
          <w:sz w:val="28"/>
          <w:szCs w:val="28"/>
          <w:highlight w:val="none"/>
        </w:rPr>
        <w:t>（投标人）的法定代表人，现委托</w:t>
      </w:r>
      <w:r>
        <w:rPr>
          <w:rFonts w:hint="eastAsia" w:ascii="宋体"/>
          <w:color w:val="000000"/>
          <w:sz w:val="28"/>
          <w:szCs w:val="28"/>
          <w:highlight w:val="none"/>
          <w:u w:val="single"/>
        </w:rPr>
        <w:t xml:space="preserve">   </w:t>
      </w:r>
      <w:r>
        <w:rPr>
          <w:rFonts w:hint="eastAsia" w:ascii="宋体"/>
          <w:color w:val="000000"/>
          <w:sz w:val="28"/>
          <w:szCs w:val="28"/>
          <w:highlight w:val="none"/>
        </w:rPr>
        <w:t>（姓名）为我方代理人。代理人根据授权，以我方名义签署、澄清、说明、补正、递交、撤回、修改 “</w:t>
      </w:r>
      <w:r>
        <w:rPr>
          <w:rFonts w:hint="eastAsia" w:ascii="宋体"/>
          <w:color w:val="000000"/>
          <w:sz w:val="28"/>
          <w:szCs w:val="28"/>
          <w:highlight w:val="none"/>
          <w:u w:val="single"/>
        </w:rPr>
        <w:t xml:space="preserve">      </w:t>
      </w:r>
      <w:r>
        <w:rPr>
          <w:rFonts w:hint="eastAsia" w:ascii="宋体"/>
          <w:color w:val="000000"/>
          <w:sz w:val="28"/>
          <w:szCs w:val="28"/>
          <w:highlight w:val="none"/>
        </w:rPr>
        <w:t xml:space="preserve"> ”(项目名称、编号）投标文件，全权处理与该项目投标、评审答疑、签订合同以及与合同执行有关的一切事务，其法律后果由我方承担。</w:t>
      </w:r>
    </w:p>
    <w:p w14:paraId="2CC9CBCE">
      <w:pPr>
        <w:adjustRightInd w:val="0"/>
        <w:snapToGrid w:val="0"/>
        <w:spacing w:line="560" w:lineRule="exact"/>
        <w:ind w:firstLine="560" w:firstLineChars="200"/>
        <w:rPr>
          <w:rFonts w:ascii="宋体"/>
          <w:color w:val="000000"/>
          <w:sz w:val="28"/>
          <w:szCs w:val="28"/>
          <w:highlight w:val="none"/>
        </w:rPr>
      </w:pPr>
      <w:r>
        <w:rPr>
          <w:rFonts w:hint="eastAsia" w:ascii="宋体"/>
          <w:color w:val="000000"/>
          <w:sz w:val="28"/>
          <w:szCs w:val="28"/>
          <w:highlight w:val="none"/>
        </w:rPr>
        <w:t xml:space="preserve">委托期限： </w:t>
      </w:r>
      <w:r>
        <w:rPr>
          <w:rFonts w:hint="eastAsia" w:ascii="宋体" w:cs="宋体"/>
          <w:color w:val="000000"/>
          <w:sz w:val="28"/>
          <w:szCs w:val="28"/>
          <w:highlight w:val="none"/>
          <w:u w:val="single"/>
        </w:rPr>
        <w:t xml:space="preserve">          </w:t>
      </w:r>
      <w:r>
        <w:rPr>
          <w:rFonts w:hint="eastAsia" w:ascii="宋体" w:cs="宋体"/>
          <w:color w:val="000000"/>
          <w:sz w:val="28"/>
          <w:szCs w:val="28"/>
          <w:highlight w:val="none"/>
        </w:rPr>
        <w:t>。</w:t>
      </w:r>
      <w:r>
        <w:rPr>
          <w:rFonts w:hint="eastAsia" w:ascii="宋体"/>
          <w:color w:val="000000"/>
          <w:sz w:val="28"/>
          <w:szCs w:val="28"/>
          <w:highlight w:val="none"/>
        </w:rPr>
        <w:t xml:space="preserve">                     </w:t>
      </w:r>
    </w:p>
    <w:p w14:paraId="549C75E1">
      <w:pPr>
        <w:adjustRightInd w:val="0"/>
        <w:snapToGrid w:val="0"/>
        <w:spacing w:line="560" w:lineRule="exact"/>
        <w:ind w:firstLine="560" w:firstLineChars="200"/>
        <w:rPr>
          <w:rFonts w:ascii="宋体"/>
          <w:color w:val="000000"/>
          <w:sz w:val="28"/>
          <w:szCs w:val="28"/>
          <w:highlight w:val="none"/>
        </w:rPr>
      </w:pPr>
      <w:r>
        <w:rPr>
          <w:rFonts w:hint="eastAsia" w:ascii="宋体"/>
          <w:color w:val="000000"/>
          <w:sz w:val="28"/>
          <w:szCs w:val="28"/>
          <w:highlight w:val="none"/>
        </w:rPr>
        <w:t>代理人无转委托权。</w:t>
      </w:r>
    </w:p>
    <w:p w14:paraId="116313A1">
      <w:pPr>
        <w:adjustRightInd w:val="0"/>
        <w:snapToGrid w:val="0"/>
        <w:spacing w:line="560" w:lineRule="exact"/>
        <w:ind w:firstLine="560" w:firstLineChars="200"/>
        <w:rPr>
          <w:rFonts w:ascii="宋体"/>
          <w:b/>
          <w:color w:val="000000"/>
          <w:sz w:val="28"/>
          <w:szCs w:val="28"/>
          <w:highlight w:val="none"/>
        </w:rPr>
      </w:pPr>
      <w:r>
        <w:rPr>
          <w:rFonts w:hint="eastAsia" w:ascii="宋体"/>
          <w:color w:val="000000"/>
          <w:sz w:val="28"/>
          <w:szCs w:val="28"/>
          <w:highlight w:val="none"/>
        </w:rPr>
        <w:t>附：</w:t>
      </w:r>
      <w:r>
        <w:rPr>
          <w:rFonts w:hint="eastAsia" w:ascii="宋体"/>
          <w:b/>
          <w:color w:val="000000"/>
          <w:sz w:val="28"/>
          <w:szCs w:val="28"/>
          <w:highlight w:val="none"/>
        </w:rPr>
        <w:t>委托代理人有效身份证扫描件</w:t>
      </w:r>
    </w:p>
    <w:p w14:paraId="20F4C7A1">
      <w:pPr>
        <w:adjustRightInd w:val="0"/>
        <w:snapToGrid w:val="0"/>
        <w:spacing w:line="560" w:lineRule="exact"/>
        <w:ind w:firstLine="1116" w:firstLineChars="397"/>
        <w:rPr>
          <w:rFonts w:ascii="宋体"/>
          <w:b/>
          <w:color w:val="000000"/>
          <w:sz w:val="28"/>
          <w:szCs w:val="28"/>
          <w:highlight w:val="none"/>
        </w:rPr>
      </w:pPr>
      <w:r>
        <w:rPr>
          <w:rFonts w:hint="eastAsia" w:ascii="宋体"/>
          <w:b/>
          <w:color w:val="000000"/>
          <w:sz w:val="28"/>
          <w:szCs w:val="28"/>
          <w:highlight w:val="none"/>
        </w:rPr>
        <w:t>法定代表人有效身份证扫描件</w:t>
      </w:r>
    </w:p>
    <w:p w14:paraId="699B318B">
      <w:pPr>
        <w:adjustRightInd w:val="0"/>
        <w:snapToGrid w:val="0"/>
        <w:spacing w:line="560" w:lineRule="exact"/>
        <w:ind w:firstLine="560" w:firstLineChars="200"/>
        <w:rPr>
          <w:rFonts w:ascii="宋体"/>
          <w:color w:val="000000"/>
          <w:sz w:val="28"/>
          <w:szCs w:val="28"/>
          <w:highlight w:val="none"/>
        </w:rPr>
      </w:pPr>
    </w:p>
    <w:p w14:paraId="01C89B55">
      <w:pPr>
        <w:adjustRightInd w:val="0"/>
        <w:snapToGrid w:val="0"/>
        <w:spacing w:line="560" w:lineRule="exact"/>
        <w:ind w:firstLine="200"/>
        <w:rPr>
          <w:rFonts w:ascii="宋体"/>
          <w:color w:val="000000"/>
          <w:sz w:val="28"/>
          <w:szCs w:val="28"/>
          <w:highlight w:val="none"/>
        </w:rPr>
      </w:pPr>
      <w:r>
        <w:rPr>
          <w:rFonts w:hint="eastAsia" w:ascii="宋体"/>
          <w:color w:val="000000"/>
          <w:sz w:val="28"/>
          <w:szCs w:val="28"/>
          <w:highlight w:val="none"/>
        </w:rPr>
        <w:t xml:space="preserve">                           投标人（签章）：</w:t>
      </w:r>
    </w:p>
    <w:p w14:paraId="07FBCCB2">
      <w:pPr>
        <w:adjustRightInd w:val="0"/>
        <w:snapToGrid w:val="0"/>
        <w:spacing w:line="560" w:lineRule="exact"/>
        <w:ind w:firstLine="2660" w:firstLineChars="950"/>
        <w:rPr>
          <w:rFonts w:ascii="宋体"/>
          <w:color w:val="000000"/>
          <w:sz w:val="28"/>
          <w:szCs w:val="28"/>
          <w:highlight w:val="none"/>
        </w:rPr>
      </w:pPr>
      <w:r>
        <w:rPr>
          <w:rFonts w:hint="eastAsia" w:ascii="宋体"/>
          <w:color w:val="000000"/>
          <w:sz w:val="28"/>
          <w:szCs w:val="28"/>
          <w:highlight w:val="none"/>
        </w:rPr>
        <w:t>法定代表人（身份证号码）：             （签章）</w:t>
      </w:r>
    </w:p>
    <w:p w14:paraId="61E880B6">
      <w:pPr>
        <w:pStyle w:val="26"/>
        <w:rPr>
          <w:rFonts w:ascii="宋体"/>
          <w:color w:val="000000"/>
          <w:sz w:val="28"/>
          <w:szCs w:val="28"/>
          <w:highlight w:val="none"/>
        </w:rPr>
      </w:pPr>
      <w:r>
        <w:rPr>
          <w:rFonts w:hint="eastAsia"/>
          <w:color w:val="000000"/>
          <w:highlight w:val="none"/>
        </w:rPr>
        <w:t xml:space="preserve">                                 </w:t>
      </w:r>
      <w:r>
        <w:rPr>
          <w:rFonts w:hint="eastAsia" w:ascii="宋体"/>
          <w:color w:val="000000"/>
          <w:sz w:val="28"/>
          <w:szCs w:val="28"/>
          <w:highlight w:val="none"/>
        </w:rPr>
        <w:t xml:space="preserve">    联系方式：</w:t>
      </w:r>
    </w:p>
    <w:p w14:paraId="2F9EB1DB">
      <w:pPr>
        <w:adjustRightInd w:val="0"/>
        <w:snapToGrid w:val="0"/>
        <w:spacing w:line="560" w:lineRule="exact"/>
        <w:ind w:firstLine="2660" w:firstLineChars="950"/>
        <w:rPr>
          <w:rFonts w:ascii="宋体"/>
          <w:color w:val="000000"/>
          <w:sz w:val="28"/>
          <w:szCs w:val="28"/>
          <w:highlight w:val="none"/>
        </w:rPr>
      </w:pPr>
      <w:r>
        <w:rPr>
          <w:rFonts w:hint="eastAsia" w:ascii="宋体"/>
          <w:color w:val="000000"/>
          <w:sz w:val="28"/>
          <w:szCs w:val="28"/>
          <w:highlight w:val="none"/>
        </w:rPr>
        <w:t xml:space="preserve">委托代理人（身份证号码）：      </w:t>
      </w:r>
    </w:p>
    <w:p w14:paraId="7619F0C1">
      <w:pPr>
        <w:adjustRightInd w:val="0"/>
        <w:snapToGrid w:val="0"/>
        <w:spacing w:line="560" w:lineRule="exact"/>
        <w:ind w:firstLine="2660" w:firstLineChars="950"/>
        <w:rPr>
          <w:rFonts w:ascii="宋体"/>
          <w:color w:val="000000"/>
          <w:sz w:val="28"/>
          <w:szCs w:val="28"/>
          <w:highlight w:val="none"/>
        </w:rPr>
      </w:pPr>
      <w:r>
        <w:rPr>
          <w:rFonts w:hint="eastAsia" w:ascii="宋体"/>
          <w:color w:val="000000"/>
          <w:sz w:val="28"/>
          <w:szCs w:val="28"/>
          <w:highlight w:val="none"/>
        </w:rPr>
        <w:t xml:space="preserve">                联系方式：</w:t>
      </w:r>
    </w:p>
    <w:p w14:paraId="5C35FFEB">
      <w:pPr>
        <w:adjustRightInd w:val="0"/>
        <w:snapToGrid w:val="0"/>
        <w:spacing w:line="560" w:lineRule="exact"/>
        <w:ind w:firstLine="3290" w:firstLineChars="1175"/>
        <w:rPr>
          <w:rFonts w:ascii="宋体"/>
          <w:color w:val="000000"/>
          <w:sz w:val="28"/>
          <w:szCs w:val="28"/>
          <w:highlight w:val="none"/>
        </w:rPr>
      </w:pPr>
      <w:r>
        <w:rPr>
          <w:rFonts w:hint="eastAsia" w:ascii="宋体"/>
          <w:color w:val="000000"/>
          <w:sz w:val="28"/>
          <w:szCs w:val="28"/>
          <w:highlight w:val="none"/>
        </w:rPr>
        <w:t xml:space="preserve">              年    月    日</w:t>
      </w:r>
    </w:p>
    <w:p w14:paraId="1EA7B21D">
      <w:pPr>
        <w:pStyle w:val="26"/>
        <w:rPr>
          <w:color w:val="000000"/>
          <w:highlight w:val="none"/>
        </w:rPr>
      </w:pPr>
    </w:p>
    <w:p w14:paraId="2268D0EA">
      <w:pPr>
        <w:adjustRightInd w:val="0"/>
        <w:snapToGrid w:val="0"/>
        <w:spacing w:line="560" w:lineRule="exact"/>
        <w:jc w:val="center"/>
        <w:rPr>
          <w:b/>
          <w:color w:val="000000"/>
          <w:sz w:val="28"/>
          <w:szCs w:val="28"/>
          <w:highlight w:val="none"/>
        </w:rPr>
      </w:pPr>
      <w:r>
        <w:rPr>
          <w:rFonts w:hint="eastAsia"/>
          <w:b/>
          <w:color w:val="000000"/>
          <w:sz w:val="28"/>
          <w:szCs w:val="28"/>
          <w:highlight w:val="none"/>
          <w:u w:val="single"/>
        </w:rPr>
        <w:t>（上传电子投标文件时采用本授权委托书）</w:t>
      </w:r>
    </w:p>
    <w:p w14:paraId="2A235456">
      <w:pPr>
        <w:adjustRightInd w:val="0"/>
        <w:snapToGrid w:val="0"/>
        <w:spacing w:line="560" w:lineRule="exact"/>
        <w:jc w:val="center"/>
        <w:rPr>
          <w:b/>
          <w:color w:val="000000"/>
          <w:sz w:val="28"/>
          <w:szCs w:val="28"/>
          <w:highlight w:val="none"/>
        </w:rPr>
      </w:pPr>
    </w:p>
    <w:p w14:paraId="28672AFB">
      <w:pPr>
        <w:adjustRightInd w:val="0"/>
        <w:snapToGrid w:val="0"/>
        <w:spacing w:line="560" w:lineRule="exact"/>
        <w:jc w:val="center"/>
        <w:rPr>
          <w:b/>
          <w:color w:val="000000"/>
          <w:sz w:val="28"/>
          <w:szCs w:val="28"/>
          <w:highlight w:val="none"/>
        </w:rPr>
      </w:pPr>
    </w:p>
    <w:p w14:paraId="18E89A74">
      <w:pPr>
        <w:adjustRightInd w:val="0"/>
        <w:snapToGrid w:val="0"/>
        <w:spacing w:line="560" w:lineRule="exact"/>
        <w:jc w:val="center"/>
        <w:rPr>
          <w:b/>
          <w:color w:val="000000"/>
          <w:sz w:val="28"/>
          <w:szCs w:val="28"/>
          <w:highlight w:val="none"/>
        </w:rPr>
      </w:pPr>
    </w:p>
    <w:p w14:paraId="2E7A219E">
      <w:pPr>
        <w:adjustRightInd w:val="0"/>
        <w:snapToGrid w:val="0"/>
        <w:spacing w:line="560" w:lineRule="exact"/>
        <w:jc w:val="center"/>
        <w:rPr>
          <w:b/>
          <w:color w:val="000000"/>
          <w:sz w:val="28"/>
          <w:szCs w:val="28"/>
          <w:highlight w:val="none"/>
        </w:rPr>
      </w:pPr>
    </w:p>
    <w:p w14:paraId="1E687D32">
      <w:pPr>
        <w:adjustRightInd w:val="0"/>
        <w:snapToGrid w:val="0"/>
        <w:spacing w:line="560" w:lineRule="exact"/>
        <w:jc w:val="center"/>
        <w:rPr>
          <w:b/>
          <w:color w:val="000000"/>
          <w:sz w:val="28"/>
          <w:szCs w:val="28"/>
          <w:highlight w:val="none"/>
        </w:rPr>
      </w:pPr>
    </w:p>
    <w:p w14:paraId="2997B5FE">
      <w:pPr>
        <w:adjustRightInd w:val="0"/>
        <w:snapToGrid w:val="0"/>
        <w:spacing w:line="560" w:lineRule="exact"/>
        <w:jc w:val="center"/>
        <w:rPr>
          <w:b/>
          <w:color w:val="000000"/>
          <w:sz w:val="28"/>
          <w:szCs w:val="28"/>
          <w:highlight w:val="none"/>
        </w:rPr>
      </w:pPr>
    </w:p>
    <w:p w14:paraId="3C2D880C">
      <w:pPr>
        <w:adjustRightInd w:val="0"/>
        <w:snapToGrid w:val="0"/>
        <w:spacing w:line="560" w:lineRule="exact"/>
        <w:jc w:val="center"/>
        <w:rPr>
          <w:b/>
          <w:color w:val="000000"/>
          <w:sz w:val="28"/>
          <w:szCs w:val="28"/>
          <w:highlight w:val="none"/>
        </w:rPr>
      </w:pPr>
    </w:p>
    <w:p w14:paraId="39C905BB">
      <w:pPr>
        <w:adjustRightInd w:val="0"/>
        <w:snapToGrid w:val="0"/>
        <w:spacing w:line="560" w:lineRule="exact"/>
        <w:jc w:val="center"/>
        <w:rPr>
          <w:b/>
          <w:color w:val="000000"/>
          <w:sz w:val="28"/>
          <w:szCs w:val="28"/>
          <w:highlight w:val="none"/>
        </w:rPr>
      </w:pPr>
    </w:p>
    <w:p w14:paraId="6FEDBACF">
      <w:pPr>
        <w:adjustRightInd w:val="0"/>
        <w:snapToGrid w:val="0"/>
        <w:spacing w:line="560" w:lineRule="exact"/>
        <w:jc w:val="center"/>
        <w:rPr>
          <w:b/>
          <w:color w:val="000000"/>
          <w:sz w:val="28"/>
          <w:szCs w:val="28"/>
          <w:highlight w:val="none"/>
        </w:rPr>
      </w:pPr>
      <w:r>
        <w:rPr>
          <w:rFonts w:hint="eastAsia"/>
          <w:b/>
          <w:color w:val="000000"/>
          <w:sz w:val="28"/>
          <w:szCs w:val="28"/>
          <w:highlight w:val="none"/>
        </w:rPr>
        <w:t>（2）诚信投标承诺书  </w:t>
      </w:r>
    </w:p>
    <w:p w14:paraId="0E249C46">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本人以企业法定代表人的身份郑重承诺：</w:t>
      </w:r>
    </w:p>
    <w:p w14:paraId="2D8BF3AF">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一、将遵循公</w:t>
      </w:r>
      <w:bookmarkStart w:id="876" w:name="_Toc506107356"/>
      <w:bookmarkStart w:id="877" w:name="_Toc503196197"/>
      <w:bookmarkStart w:id="878" w:name="_Toc26598"/>
      <w:r>
        <w:rPr>
          <w:rFonts w:hint="eastAsia" w:ascii="宋体" w:hAnsi="宋体"/>
          <w:color w:val="000000"/>
          <w:szCs w:val="21"/>
          <w:highlight w:val="none"/>
        </w:rPr>
        <w:t>开、公正和诚实信用</w:t>
      </w:r>
      <w:bookmarkEnd w:id="876"/>
      <w:bookmarkEnd w:id="877"/>
      <w:r>
        <w:rPr>
          <w:rFonts w:hint="eastAsia" w:ascii="宋体" w:hAnsi="宋体"/>
          <w:color w:val="000000"/>
          <w:szCs w:val="21"/>
          <w:highlight w:val="none"/>
        </w:rPr>
        <w:t>的</w:t>
      </w:r>
      <w:bookmarkEnd w:id="878"/>
      <w:r>
        <w:rPr>
          <w:rFonts w:hint="eastAsia" w:ascii="宋体" w:hAnsi="宋体"/>
          <w:color w:val="000000"/>
          <w:szCs w:val="21"/>
          <w:highlight w:val="none"/>
        </w:rPr>
        <w:t>原则自愿参加</w:t>
      </w:r>
      <w:r>
        <w:rPr>
          <w:rFonts w:hint="eastAsia" w:ascii="宋体" w:hAnsi="宋体"/>
          <w:color w:val="000000"/>
          <w:szCs w:val="21"/>
          <w:highlight w:val="none"/>
          <w:u w:val="single"/>
        </w:rPr>
        <w:t xml:space="preserve">                     （项目名称）</w:t>
      </w:r>
      <w:r>
        <w:rPr>
          <w:rFonts w:hint="eastAsia" w:ascii="宋体" w:hAnsi="宋体"/>
          <w:color w:val="000000"/>
          <w:szCs w:val="21"/>
          <w:highlight w:val="none"/>
        </w:rPr>
        <w:t>项目的投标；</w:t>
      </w:r>
    </w:p>
    <w:p w14:paraId="6D105AA3">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二、所提供的一切材料都是真实、合法的；</w:t>
      </w:r>
    </w:p>
    <w:p w14:paraId="277205CB">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三、不出借、转让资质证书，不让他人挂靠投标，不以他人名义投标或者以其他方式弄虚作假，骗取中标；</w:t>
      </w:r>
    </w:p>
    <w:p w14:paraId="5C5509D9">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四、不与其他投标人相互串通投标报价，不排挤其他投标人的公平竞争、损害招标人的合法权益；</w:t>
      </w:r>
    </w:p>
    <w:p w14:paraId="4567A026">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五、不与招标人、招标代理机构或其他投标人串通投标，损害国家利益、社会公共利益或者他人的合法权益；</w:t>
      </w:r>
    </w:p>
    <w:p w14:paraId="3377B53C">
      <w:pPr>
        <w:adjustRightInd w:val="0"/>
        <w:snapToGrid w:val="0"/>
        <w:spacing w:line="560" w:lineRule="exact"/>
        <w:ind w:firstLine="420" w:firstLineChars="200"/>
        <w:rPr>
          <w:color w:val="000000"/>
          <w:szCs w:val="21"/>
          <w:highlight w:val="none"/>
        </w:rPr>
      </w:pPr>
      <w:r>
        <w:rPr>
          <w:rFonts w:hint="eastAsia" w:ascii="宋体" w:hAnsi="宋体"/>
          <w:color w:val="000000"/>
          <w:szCs w:val="21"/>
          <w:highlight w:val="none"/>
        </w:rPr>
        <w:t>六、我公司</w:t>
      </w:r>
      <w:r>
        <w:rPr>
          <w:rFonts w:hint="eastAsia"/>
          <w:highlight w:val="none"/>
        </w:rPr>
        <w:t>（包括联合体各成员）</w:t>
      </w:r>
      <w:r>
        <w:rPr>
          <w:rFonts w:hint="eastAsia" w:ascii="宋体" w:hAnsi="宋体"/>
          <w:color w:val="000000"/>
          <w:szCs w:val="21"/>
          <w:highlight w:val="none"/>
        </w:rPr>
        <w:t>没有下列情形：</w:t>
      </w:r>
      <w:bookmarkStart w:id="879" w:name="OLE_LINK134"/>
      <w:bookmarkStart w:id="880" w:name="OLE_LINK133"/>
      <w:r>
        <w:rPr>
          <w:rFonts w:hint="eastAsia" w:ascii="宋体" w:hAnsi="宋体"/>
          <w:color w:val="000000"/>
          <w:szCs w:val="21"/>
          <w:highlight w:val="none"/>
        </w:rPr>
        <w:t>①被列入“信用中国”网站“失信被执行人”的；②被列入“信用中国”网站“重大税收违法失信主体”的；③被列入“信用中国”网站“拖欠农民工工资失信联合惩戒对象名单”的；④被列入“信用中国”网站“</w:t>
      </w:r>
      <w:r>
        <w:rPr>
          <w:rFonts w:hint="eastAsia"/>
          <w:highlight w:val="none"/>
        </w:rPr>
        <w:t>安全生产严重失信主体名单</w:t>
      </w:r>
      <w:r>
        <w:rPr>
          <w:rFonts w:hint="eastAsia" w:ascii="宋体" w:hAnsi="宋体"/>
          <w:color w:val="000000"/>
          <w:szCs w:val="21"/>
          <w:highlight w:val="none"/>
        </w:rPr>
        <w:t>”的；⑤被列入国家企业信用信息公示系统网站“严重违法失信名单”的；</w:t>
      </w:r>
      <w:r>
        <w:rPr>
          <w:rFonts w:hint="eastAsia"/>
          <w:color w:val="000000"/>
          <w:szCs w:val="21"/>
          <w:highlight w:val="none"/>
        </w:rPr>
        <w:t>（</w:t>
      </w:r>
      <w:bookmarkEnd w:id="879"/>
      <w:bookmarkEnd w:id="880"/>
      <w:r>
        <w:rPr>
          <w:rFonts w:hint="eastAsia"/>
          <w:color w:val="000000"/>
          <w:szCs w:val="21"/>
          <w:highlight w:val="none"/>
        </w:rPr>
        <w:t>若招标文件对投标人</w:t>
      </w:r>
      <w:r>
        <w:rPr>
          <w:rFonts w:hint="eastAsia"/>
          <w:highlight w:val="none"/>
        </w:rPr>
        <w:t>（包括联合体各成员）</w:t>
      </w:r>
      <w:r>
        <w:rPr>
          <w:rFonts w:hint="eastAsia"/>
          <w:color w:val="000000"/>
          <w:szCs w:val="21"/>
          <w:highlight w:val="none"/>
        </w:rPr>
        <w:t>所属分公司、办事处等分支机构有上述</w:t>
      </w:r>
      <w:r>
        <w:rPr>
          <w:color w:val="000000"/>
          <w:szCs w:val="21"/>
          <w:highlight w:val="none"/>
        </w:rPr>
        <w:t>1-</w:t>
      </w:r>
      <w:r>
        <w:rPr>
          <w:rFonts w:hint="eastAsia"/>
          <w:color w:val="000000"/>
          <w:szCs w:val="21"/>
          <w:highlight w:val="none"/>
        </w:rPr>
        <w:t>5项信誉要求，在此一并承诺我公司</w:t>
      </w:r>
      <w:r>
        <w:rPr>
          <w:rFonts w:hint="eastAsia"/>
          <w:highlight w:val="none"/>
        </w:rPr>
        <w:t>（包括联合体各成员）</w:t>
      </w:r>
      <w:r>
        <w:rPr>
          <w:rFonts w:hint="eastAsia"/>
          <w:color w:val="000000"/>
          <w:szCs w:val="21"/>
          <w:highlight w:val="none"/>
        </w:rPr>
        <w:t>所属分公司、办事处等分支机构没有上述</w:t>
      </w:r>
      <w:r>
        <w:rPr>
          <w:color w:val="000000"/>
          <w:szCs w:val="21"/>
          <w:highlight w:val="none"/>
        </w:rPr>
        <w:t>1-</w:t>
      </w:r>
      <w:r>
        <w:rPr>
          <w:rFonts w:hint="eastAsia"/>
          <w:color w:val="000000"/>
          <w:szCs w:val="21"/>
          <w:highlight w:val="none"/>
        </w:rPr>
        <w:t>5项情形）</w:t>
      </w:r>
    </w:p>
    <w:p w14:paraId="12709A10">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七、</w:t>
      </w:r>
      <w:r>
        <w:rPr>
          <w:rFonts w:hint="eastAsia" w:cs="宋体"/>
          <w:color w:val="000000"/>
          <w:highlight w:val="none"/>
        </w:rPr>
        <w:t>本次投标不存在第二章“投标人须知”第1.4.3项规定的任何一种情形；</w:t>
      </w:r>
    </w:p>
    <w:p w14:paraId="04D3146F">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八、严格遵守开标现场纪律，服从监管人员管理；</w:t>
      </w:r>
    </w:p>
    <w:p w14:paraId="30C397C7">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九、保证中标后不转包及使用挂靠施工队伍，若有分包征得建设单位同意；</w:t>
      </w:r>
    </w:p>
    <w:p w14:paraId="5AA282A3">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十、保证中标之后，按照投标文件承诺派驻管理人员及投入机械设备，如有违反，同意接受建设单位违约处罚；</w:t>
      </w:r>
    </w:p>
    <w:p w14:paraId="277A7CC9">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十一、保证企业及所属相关人员在本次投标中无行贿等犯罪行为；</w:t>
      </w:r>
    </w:p>
    <w:p w14:paraId="2111EF22">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十二、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480FA319">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十三、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1AF0D552">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24345919">
      <w:pPr>
        <w:adjustRightInd w:val="0"/>
        <w:snapToGrid w:val="0"/>
        <w:spacing w:line="560" w:lineRule="exact"/>
        <w:rPr>
          <w:rFonts w:hint="eastAsia" w:ascii="宋体" w:hAnsi="宋体"/>
          <w:color w:val="000000"/>
          <w:szCs w:val="21"/>
          <w:highlight w:val="none"/>
        </w:rPr>
      </w:pPr>
    </w:p>
    <w:p w14:paraId="074AD14D">
      <w:pPr>
        <w:adjustRightInd w:val="0"/>
        <w:snapToGrid w:val="0"/>
        <w:spacing w:line="560" w:lineRule="exact"/>
        <w:ind w:firstLine="420" w:firstLineChars="200"/>
        <w:rPr>
          <w:rFonts w:hint="eastAsia" w:ascii="宋体" w:hAnsi="宋体"/>
          <w:color w:val="000000"/>
          <w:szCs w:val="21"/>
          <w:highlight w:val="none"/>
          <w:u w:val="single"/>
        </w:rPr>
      </w:pPr>
      <w:r>
        <w:rPr>
          <w:rFonts w:hint="eastAsia" w:ascii="宋体" w:hAnsi="宋体"/>
          <w:color w:val="000000"/>
          <w:szCs w:val="21"/>
          <w:highlight w:val="none"/>
        </w:rPr>
        <w:t>开户银行：</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基本账户：                             </w:t>
      </w:r>
    </w:p>
    <w:p w14:paraId="5C4C39CF">
      <w:pPr>
        <w:adjustRightInd w:val="0"/>
        <w:snapToGrid w:val="0"/>
        <w:spacing w:line="560" w:lineRule="exact"/>
        <w:rPr>
          <w:rFonts w:hint="eastAsia" w:ascii="宋体" w:hAnsi="宋体"/>
          <w:color w:val="000000"/>
          <w:szCs w:val="21"/>
          <w:highlight w:val="none"/>
        </w:rPr>
      </w:pPr>
    </w:p>
    <w:p w14:paraId="735294EF">
      <w:pPr>
        <w:adjustRightInd w:val="0"/>
        <w:snapToGrid w:val="0"/>
        <w:spacing w:line="560" w:lineRule="exact"/>
        <w:ind w:firstLine="420" w:firstLineChars="200"/>
        <w:rPr>
          <w:rFonts w:hint="eastAsia" w:ascii="宋体" w:hAnsi="宋体"/>
          <w:color w:val="000000"/>
          <w:szCs w:val="21"/>
          <w:highlight w:val="none"/>
          <w:u w:val="single"/>
        </w:rPr>
      </w:pPr>
      <w:r>
        <w:rPr>
          <w:rFonts w:hint="eastAsia" w:ascii="宋体" w:hAnsi="宋体"/>
          <w:color w:val="000000"/>
          <w:szCs w:val="21"/>
          <w:highlight w:val="none"/>
        </w:rPr>
        <w:t xml:space="preserve">投标人（签章）：  </w:t>
      </w:r>
      <w:r>
        <w:rPr>
          <w:rFonts w:hint="eastAsia" w:ascii="宋体" w:hAnsi="宋体"/>
          <w:color w:val="000000"/>
          <w:szCs w:val="21"/>
          <w:highlight w:val="none"/>
          <w:u w:val="single"/>
        </w:rPr>
        <w:t xml:space="preserve">        </w:t>
      </w:r>
      <w:r>
        <w:rPr>
          <w:rFonts w:hint="eastAsia" w:ascii="宋体" w:hAnsi="宋体"/>
          <w:color w:val="000000"/>
          <w:szCs w:val="21"/>
          <w:highlight w:val="none"/>
        </w:rPr>
        <w:t>法定代表人（签章）：</w:t>
      </w:r>
      <w:r>
        <w:rPr>
          <w:rFonts w:hint="eastAsia" w:ascii="宋体" w:hAnsi="宋体"/>
          <w:color w:val="000000"/>
          <w:szCs w:val="21"/>
          <w:highlight w:val="none"/>
          <w:u w:val="single"/>
        </w:rPr>
        <w:t xml:space="preserve">                           </w:t>
      </w:r>
    </w:p>
    <w:p w14:paraId="422893C1">
      <w:pPr>
        <w:adjustRightInd w:val="0"/>
        <w:snapToGrid w:val="0"/>
        <w:spacing w:line="560" w:lineRule="exact"/>
        <w:rPr>
          <w:rFonts w:hint="eastAsia" w:ascii="宋体" w:hAnsi="宋体"/>
          <w:color w:val="000000"/>
          <w:szCs w:val="21"/>
          <w:highlight w:val="none"/>
        </w:rPr>
      </w:pPr>
    </w:p>
    <w:p w14:paraId="29B92191">
      <w:pPr>
        <w:pStyle w:val="26"/>
        <w:rPr>
          <w:color w:val="000000"/>
          <w:highlight w:val="none"/>
        </w:rPr>
      </w:pPr>
      <w:r>
        <w:rPr>
          <w:rFonts w:hint="eastAsia" w:ascii="宋体" w:hAnsi="宋体"/>
          <w:color w:val="000000"/>
          <w:szCs w:val="21"/>
          <w:highlight w:val="none"/>
        </w:rPr>
        <w:t>日期：</w:t>
      </w:r>
      <w:r>
        <w:rPr>
          <w:rFonts w:ascii="宋体" w:hAnsi="宋体"/>
          <w:color w:val="000000"/>
          <w:szCs w:val="21"/>
          <w:highlight w:val="none"/>
          <w:u w:val="single"/>
        </w:rPr>
        <w:t xml:space="preserve">           </w:t>
      </w:r>
      <w:r>
        <w:rPr>
          <w:rFonts w:hint="eastAsia" w:ascii="宋体" w:hAnsi="宋体"/>
          <w:color w:val="000000"/>
          <w:szCs w:val="21"/>
          <w:highlight w:val="none"/>
        </w:rPr>
        <w:t>年</w:t>
      </w:r>
      <w:r>
        <w:rPr>
          <w:rFonts w:ascii="宋体" w:hAnsi="宋体"/>
          <w:color w:val="000000"/>
          <w:szCs w:val="21"/>
          <w:highlight w:val="none"/>
        </w:rPr>
        <w:t xml:space="preserve"> </w:t>
      </w:r>
      <w:r>
        <w:rPr>
          <w:rFonts w:ascii="宋体" w:hAnsi="宋体"/>
          <w:color w:val="000000"/>
          <w:szCs w:val="21"/>
          <w:highlight w:val="none"/>
          <w:u w:val="single"/>
        </w:rPr>
        <w:t xml:space="preserve">           </w:t>
      </w:r>
      <w:r>
        <w:rPr>
          <w:rFonts w:hint="eastAsia" w:ascii="宋体" w:hAnsi="宋体"/>
          <w:color w:val="000000"/>
          <w:szCs w:val="21"/>
          <w:highlight w:val="none"/>
        </w:rPr>
        <w:t>月</w:t>
      </w:r>
      <w:r>
        <w:rPr>
          <w:rFonts w:ascii="宋体" w:hAnsi="宋体"/>
          <w:color w:val="000000"/>
          <w:szCs w:val="21"/>
          <w:highlight w:val="none"/>
        </w:rPr>
        <w:t xml:space="preserve"> </w:t>
      </w:r>
      <w:r>
        <w:rPr>
          <w:rFonts w:ascii="宋体" w:hAnsi="宋体"/>
          <w:color w:val="000000"/>
          <w:szCs w:val="21"/>
          <w:highlight w:val="none"/>
          <w:u w:val="single"/>
        </w:rPr>
        <w:t xml:space="preserve">            </w:t>
      </w:r>
      <w:r>
        <w:rPr>
          <w:rFonts w:hint="eastAsia" w:ascii="宋体" w:hAnsi="宋体"/>
          <w:color w:val="000000"/>
          <w:szCs w:val="21"/>
          <w:highlight w:val="none"/>
        </w:rPr>
        <w:t>日</w:t>
      </w:r>
    </w:p>
    <w:p w14:paraId="3E4971F8">
      <w:pPr>
        <w:rPr>
          <w:color w:val="000000"/>
          <w:highlight w:val="none"/>
        </w:rPr>
      </w:pPr>
    </w:p>
    <w:p w14:paraId="22A61D13">
      <w:pPr>
        <w:adjustRightInd w:val="0"/>
        <w:snapToGrid w:val="0"/>
        <w:spacing w:line="560" w:lineRule="exact"/>
        <w:jc w:val="center"/>
        <w:rPr>
          <w:b/>
          <w:color w:val="000000"/>
          <w:sz w:val="28"/>
          <w:szCs w:val="28"/>
          <w:highlight w:val="none"/>
        </w:rPr>
      </w:pPr>
    </w:p>
    <w:p w14:paraId="59B61D8B">
      <w:pPr>
        <w:adjustRightInd w:val="0"/>
        <w:snapToGrid w:val="0"/>
        <w:spacing w:line="560" w:lineRule="exact"/>
        <w:jc w:val="center"/>
        <w:rPr>
          <w:b/>
          <w:color w:val="000000"/>
          <w:sz w:val="28"/>
          <w:szCs w:val="28"/>
          <w:highlight w:val="none"/>
        </w:rPr>
      </w:pPr>
    </w:p>
    <w:p w14:paraId="3A984DD0">
      <w:pPr>
        <w:rPr>
          <w:color w:val="000000"/>
          <w:highlight w:val="none"/>
        </w:rPr>
      </w:pPr>
    </w:p>
    <w:p w14:paraId="7FEE091D">
      <w:pPr>
        <w:adjustRightInd w:val="0"/>
        <w:snapToGrid w:val="0"/>
        <w:spacing w:line="560" w:lineRule="exact"/>
        <w:jc w:val="center"/>
        <w:rPr>
          <w:b/>
          <w:color w:val="000000"/>
          <w:sz w:val="28"/>
          <w:szCs w:val="28"/>
          <w:highlight w:val="none"/>
        </w:rPr>
      </w:pPr>
    </w:p>
    <w:p w14:paraId="69E09498">
      <w:pPr>
        <w:adjustRightInd w:val="0"/>
        <w:snapToGrid w:val="0"/>
        <w:spacing w:line="560" w:lineRule="exact"/>
        <w:jc w:val="center"/>
        <w:rPr>
          <w:b/>
          <w:color w:val="000000"/>
          <w:sz w:val="28"/>
          <w:szCs w:val="28"/>
          <w:highlight w:val="none"/>
        </w:rPr>
      </w:pPr>
    </w:p>
    <w:p w14:paraId="67B17D2F">
      <w:pPr>
        <w:adjustRightInd w:val="0"/>
        <w:snapToGrid w:val="0"/>
        <w:spacing w:line="560" w:lineRule="exact"/>
        <w:jc w:val="center"/>
        <w:rPr>
          <w:b/>
          <w:color w:val="000000"/>
          <w:sz w:val="28"/>
          <w:szCs w:val="28"/>
          <w:highlight w:val="none"/>
        </w:rPr>
      </w:pPr>
    </w:p>
    <w:p w14:paraId="1F1C587B">
      <w:pPr>
        <w:adjustRightInd w:val="0"/>
        <w:snapToGrid w:val="0"/>
        <w:spacing w:line="560" w:lineRule="exact"/>
        <w:rPr>
          <w:b/>
          <w:color w:val="000000"/>
          <w:sz w:val="28"/>
          <w:szCs w:val="28"/>
          <w:highlight w:val="none"/>
        </w:rPr>
      </w:pPr>
    </w:p>
    <w:p w14:paraId="1D7B2972">
      <w:pPr>
        <w:adjustRightInd w:val="0"/>
        <w:snapToGrid w:val="0"/>
        <w:spacing w:line="560" w:lineRule="exact"/>
        <w:jc w:val="center"/>
        <w:rPr>
          <w:b/>
          <w:color w:val="000000"/>
          <w:sz w:val="28"/>
          <w:szCs w:val="28"/>
          <w:highlight w:val="none"/>
        </w:rPr>
      </w:pPr>
      <w:r>
        <w:rPr>
          <w:rFonts w:hint="eastAsia"/>
          <w:b/>
          <w:color w:val="000000"/>
          <w:sz w:val="28"/>
          <w:szCs w:val="28"/>
          <w:highlight w:val="none"/>
        </w:rPr>
        <w:t>②公共信用信息报告（无违法违规证明版或核查版））</w:t>
      </w:r>
    </w:p>
    <w:p w14:paraId="18F1CE30">
      <w:pPr>
        <w:pStyle w:val="26"/>
        <w:spacing w:after="0" w:line="560" w:lineRule="exact"/>
        <w:ind w:left="0" w:leftChars="0"/>
        <w:rPr>
          <w:rStyle w:val="50"/>
          <w:rFonts w:hint="default" w:ascii="宋体" w:hAnsi="宋体" w:eastAsia="宋体" w:cs="宋体"/>
          <w:b/>
          <w:bCs/>
          <w:highlight w:val="none"/>
        </w:rPr>
      </w:pPr>
      <w:r>
        <w:rPr>
          <w:rFonts w:hint="eastAsia" w:ascii="宋体" w:hAnsi="宋体"/>
          <w:color w:val="000000"/>
          <w:szCs w:val="21"/>
          <w:highlight w:val="none"/>
        </w:rPr>
        <w:t>符合条件的投标人可在信用中国（安徽）网站（网址</w:t>
      </w:r>
      <w:r>
        <w:rPr>
          <w:highlight w:val="none"/>
        </w:rPr>
        <w:fldChar w:fldCharType="begin"/>
      </w:r>
      <w:r>
        <w:rPr>
          <w:highlight w:val="none"/>
        </w:rPr>
        <w:instrText xml:space="preserve"> HYPERLINK "https://credit.ah.gov.cn/xinyongfuwu/index.html" </w:instrText>
      </w:r>
      <w:r>
        <w:rPr>
          <w:highlight w:val="none"/>
        </w:rPr>
        <w:fldChar w:fldCharType="separate"/>
      </w:r>
      <w:r>
        <w:rPr>
          <w:rStyle w:val="37"/>
          <w:rFonts w:ascii="宋体" w:hAnsi="宋体"/>
          <w:szCs w:val="21"/>
          <w:highlight w:val="none"/>
        </w:rPr>
        <w:t>https://credit.ah.gov.cn/xinyongfuwu/index.html</w:t>
      </w:r>
      <w:r>
        <w:rPr>
          <w:rStyle w:val="37"/>
          <w:rFonts w:ascii="宋体" w:hAnsi="宋体"/>
          <w:szCs w:val="21"/>
          <w:highlight w:val="none"/>
        </w:rPr>
        <w:fldChar w:fldCharType="end"/>
      </w:r>
      <w:r>
        <w:rPr>
          <w:rFonts w:hint="eastAsia" w:ascii="宋体" w:hAnsi="宋体"/>
          <w:color w:val="000000"/>
          <w:szCs w:val="21"/>
          <w:highlight w:val="none"/>
        </w:rPr>
        <w:t>），获取信用报告（无违法违规证明版或核查版）并上传至投标文件中。</w:t>
      </w:r>
    </w:p>
    <w:p w14:paraId="0F7FBDC4">
      <w:pPr>
        <w:autoSpaceDE w:val="0"/>
        <w:autoSpaceDN w:val="0"/>
        <w:adjustRightInd w:val="0"/>
        <w:snapToGrid w:val="0"/>
        <w:spacing w:line="560" w:lineRule="exact"/>
        <w:jc w:val="center"/>
        <w:rPr>
          <w:rStyle w:val="50"/>
          <w:rFonts w:hint="default" w:ascii="宋体" w:hAnsi="宋体" w:eastAsia="宋体" w:cs="宋体"/>
          <w:b/>
          <w:bCs/>
          <w:highlight w:val="none"/>
        </w:rPr>
      </w:pPr>
    </w:p>
    <w:p w14:paraId="329FAFC4">
      <w:pPr>
        <w:autoSpaceDE w:val="0"/>
        <w:autoSpaceDN w:val="0"/>
        <w:adjustRightInd w:val="0"/>
        <w:snapToGrid w:val="0"/>
        <w:spacing w:line="560" w:lineRule="exact"/>
        <w:jc w:val="center"/>
        <w:rPr>
          <w:rStyle w:val="50"/>
          <w:rFonts w:hint="default" w:ascii="宋体" w:hAnsi="宋体" w:eastAsia="宋体" w:cs="宋体"/>
          <w:b/>
          <w:bCs/>
          <w:highlight w:val="none"/>
        </w:rPr>
      </w:pPr>
    </w:p>
    <w:p w14:paraId="3326C872">
      <w:pPr>
        <w:autoSpaceDE w:val="0"/>
        <w:autoSpaceDN w:val="0"/>
        <w:adjustRightInd w:val="0"/>
        <w:snapToGrid w:val="0"/>
        <w:spacing w:line="560" w:lineRule="exact"/>
        <w:jc w:val="center"/>
        <w:rPr>
          <w:rStyle w:val="50"/>
          <w:rFonts w:hint="default" w:ascii="宋体" w:hAnsi="宋体" w:eastAsia="宋体" w:cs="宋体"/>
          <w:b/>
          <w:bCs/>
          <w:highlight w:val="none"/>
        </w:rPr>
      </w:pPr>
    </w:p>
    <w:p w14:paraId="71E499DF">
      <w:pPr>
        <w:autoSpaceDE w:val="0"/>
        <w:autoSpaceDN w:val="0"/>
        <w:adjustRightInd w:val="0"/>
        <w:snapToGrid w:val="0"/>
        <w:spacing w:line="560" w:lineRule="exact"/>
        <w:jc w:val="center"/>
        <w:rPr>
          <w:rStyle w:val="50"/>
          <w:rFonts w:hint="default" w:ascii="宋体" w:hAnsi="宋体" w:eastAsia="宋体" w:cs="宋体"/>
          <w:b/>
          <w:bCs/>
          <w:highlight w:val="none"/>
        </w:rPr>
      </w:pPr>
    </w:p>
    <w:p w14:paraId="69F005C2">
      <w:pPr>
        <w:autoSpaceDE w:val="0"/>
        <w:autoSpaceDN w:val="0"/>
        <w:adjustRightInd w:val="0"/>
        <w:snapToGrid w:val="0"/>
        <w:spacing w:line="560" w:lineRule="exact"/>
        <w:jc w:val="center"/>
        <w:rPr>
          <w:rStyle w:val="50"/>
          <w:rFonts w:hint="default" w:ascii="宋体" w:hAnsi="宋体" w:eastAsia="宋体" w:cs="宋体"/>
          <w:b/>
          <w:bCs/>
          <w:highlight w:val="none"/>
        </w:rPr>
      </w:pPr>
    </w:p>
    <w:p w14:paraId="3819C628">
      <w:pPr>
        <w:autoSpaceDE w:val="0"/>
        <w:autoSpaceDN w:val="0"/>
        <w:adjustRightInd w:val="0"/>
        <w:snapToGrid w:val="0"/>
        <w:spacing w:line="560" w:lineRule="exact"/>
        <w:jc w:val="center"/>
        <w:rPr>
          <w:rStyle w:val="50"/>
          <w:rFonts w:hint="default" w:ascii="宋体" w:hAnsi="宋体" w:eastAsia="宋体" w:cs="宋体"/>
          <w:b/>
          <w:bCs/>
          <w:highlight w:val="none"/>
        </w:rPr>
      </w:pPr>
    </w:p>
    <w:p w14:paraId="4FD3CED6">
      <w:pPr>
        <w:autoSpaceDE w:val="0"/>
        <w:autoSpaceDN w:val="0"/>
        <w:adjustRightInd w:val="0"/>
        <w:snapToGrid w:val="0"/>
        <w:spacing w:line="560" w:lineRule="exact"/>
        <w:jc w:val="center"/>
        <w:rPr>
          <w:rStyle w:val="50"/>
          <w:rFonts w:hint="default" w:ascii="宋体" w:hAnsi="宋体" w:eastAsia="宋体" w:cs="宋体"/>
          <w:b/>
          <w:bCs/>
          <w:highlight w:val="none"/>
        </w:rPr>
      </w:pPr>
    </w:p>
    <w:p w14:paraId="0BB2CD93">
      <w:pPr>
        <w:adjustRightInd w:val="0"/>
        <w:snapToGrid w:val="0"/>
        <w:spacing w:line="560" w:lineRule="exact"/>
        <w:rPr>
          <w:rFonts w:ascii="Cambria Math" w:hAnsi="Cambria Math" w:cs="Cambria Math"/>
          <w:b/>
          <w:bCs/>
          <w:color w:val="000000"/>
          <w:sz w:val="32"/>
          <w:szCs w:val="32"/>
          <w:highlight w:val="none"/>
        </w:rPr>
      </w:pPr>
    </w:p>
    <w:p w14:paraId="65852E1B">
      <w:pPr>
        <w:adjustRightInd w:val="0"/>
        <w:snapToGrid w:val="0"/>
        <w:spacing w:line="560" w:lineRule="exact"/>
        <w:jc w:val="center"/>
        <w:rPr>
          <w:rFonts w:eastAsia="黑体"/>
          <w:color w:val="000000"/>
          <w:sz w:val="20"/>
          <w:szCs w:val="20"/>
          <w:highlight w:val="none"/>
        </w:rPr>
      </w:pPr>
      <w:r>
        <w:rPr>
          <w:rFonts w:hint="eastAsia" w:eastAsia="黑体"/>
          <w:color w:val="000000"/>
          <w:sz w:val="28"/>
          <w:szCs w:val="28"/>
          <w:highlight w:val="none"/>
          <w:u w:val="single"/>
        </w:rPr>
        <w:t xml:space="preserve">                </w:t>
      </w:r>
      <w:r>
        <w:rPr>
          <w:rFonts w:eastAsia="黑体"/>
          <w:color w:val="000000"/>
          <w:sz w:val="28"/>
          <w:szCs w:val="28"/>
          <w:highlight w:val="none"/>
        </w:rPr>
        <w:t>（项目名称）</w:t>
      </w:r>
    </w:p>
    <w:p w14:paraId="4146BA5E">
      <w:pPr>
        <w:adjustRightInd w:val="0"/>
        <w:snapToGrid w:val="0"/>
        <w:spacing w:line="560" w:lineRule="exact"/>
        <w:jc w:val="center"/>
        <w:rPr>
          <w:rFonts w:eastAsia="黑体"/>
          <w:color w:val="000000"/>
          <w:sz w:val="20"/>
          <w:szCs w:val="20"/>
          <w:highlight w:val="none"/>
        </w:rPr>
      </w:pPr>
    </w:p>
    <w:p w14:paraId="51688BF4">
      <w:pPr>
        <w:adjustRightInd w:val="0"/>
        <w:snapToGrid w:val="0"/>
        <w:spacing w:line="560" w:lineRule="exact"/>
        <w:rPr>
          <w:rFonts w:eastAsia="黑体"/>
          <w:color w:val="000000"/>
          <w:sz w:val="20"/>
          <w:szCs w:val="20"/>
          <w:highlight w:val="none"/>
        </w:rPr>
      </w:pPr>
    </w:p>
    <w:p w14:paraId="32CDE762">
      <w:pPr>
        <w:adjustRightInd w:val="0"/>
        <w:snapToGrid w:val="0"/>
        <w:spacing w:line="560" w:lineRule="exact"/>
        <w:jc w:val="center"/>
        <w:rPr>
          <w:rFonts w:eastAsia="黑体"/>
          <w:color w:val="000000"/>
          <w:sz w:val="44"/>
          <w:szCs w:val="44"/>
          <w:highlight w:val="none"/>
        </w:rPr>
      </w:pPr>
      <w:r>
        <w:rPr>
          <w:rFonts w:eastAsia="黑体"/>
          <w:color w:val="000000"/>
          <w:sz w:val="44"/>
          <w:szCs w:val="44"/>
          <w:highlight w:val="none"/>
        </w:rPr>
        <w:t>投  标  文  件</w:t>
      </w:r>
      <w:r>
        <w:rPr>
          <w:rFonts w:hint="eastAsia" w:eastAsia="黑体"/>
          <w:color w:val="000000"/>
          <w:sz w:val="44"/>
          <w:szCs w:val="44"/>
          <w:highlight w:val="none"/>
        </w:rPr>
        <w:t xml:space="preserve">  二</w:t>
      </w:r>
    </w:p>
    <w:p w14:paraId="203268FB">
      <w:pPr>
        <w:adjustRightInd w:val="0"/>
        <w:snapToGrid w:val="0"/>
        <w:spacing w:line="560" w:lineRule="exact"/>
        <w:jc w:val="center"/>
        <w:rPr>
          <w:rFonts w:eastAsia="黑体"/>
          <w:color w:val="000000"/>
          <w:sz w:val="44"/>
          <w:szCs w:val="44"/>
          <w:highlight w:val="none"/>
        </w:rPr>
      </w:pPr>
      <w:r>
        <w:rPr>
          <w:rFonts w:hint="eastAsia" w:eastAsia="黑体"/>
          <w:color w:val="000000"/>
          <w:sz w:val="44"/>
          <w:szCs w:val="44"/>
          <w:highlight w:val="none"/>
        </w:rPr>
        <w:t>（技术标文件）</w:t>
      </w:r>
    </w:p>
    <w:p w14:paraId="48F21882">
      <w:pPr>
        <w:adjustRightInd w:val="0"/>
        <w:snapToGrid w:val="0"/>
        <w:spacing w:line="560" w:lineRule="exact"/>
        <w:rPr>
          <w:rFonts w:eastAsia="黑体"/>
          <w:color w:val="000000"/>
          <w:sz w:val="28"/>
          <w:szCs w:val="28"/>
          <w:highlight w:val="none"/>
        </w:rPr>
      </w:pPr>
    </w:p>
    <w:p w14:paraId="0AA31D54">
      <w:pPr>
        <w:adjustRightInd w:val="0"/>
        <w:snapToGrid w:val="0"/>
        <w:spacing w:line="560" w:lineRule="exact"/>
        <w:rPr>
          <w:rFonts w:eastAsia="黑体"/>
          <w:color w:val="000000"/>
          <w:sz w:val="28"/>
          <w:szCs w:val="28"/>
          <w:highlight w:val="none"/>
        </w:rPr>
      </w:pPr>
    </w:p>
    <w:p w14:paraId="2EA8DAC9">
      <w:pPr>
        <w:adjustRightInd w:val="0"/>
        <w:snapToGrid w:val="0"/>
        <w:spacing w:line="560" w:lineRule="exact"/>
        <w:rPr>
          <w:rFonts w:eastAsia="黑体"/>
          <w:color w:val="000000"/>
          <w:sz w:val="28"/>
          <w:szCs w:val="28"/>
          <w:highlight w:val="none"/>
        </w:rPr>
      </w:pPr>
    </w:p>
    <w:p w14:paraId="1EDE1E7F">
      <w:pPr>
        <w:adjustRightInd w:val="0"/>
        <w:snapToGrid w:val="0"/>
        <w:spacing w:line="560" w:lineRule="exact"/>
        <w:rPr>
          <w:rFonts w:eastAsia="黑体"/>
          <w:color w:val="000000"/>
          <w:sz w:val="28"/>
          <w:szCs w:val="28"/>
          <w:highlight w:val="none"/>
        </w:rPr>
      </w:pPr>
    </w:p>
    <w:p w14:paraId="4A44C0EF">
      <w:pPr>
        <w:adjustRightInd w:val="0"/>
        <w:snapToGrid w:val="0"/>
        <w:spacing w:line="560" w:lineRule="exact"/>
        <w:rPr>
          <w:rFonts w:eastAsia="黑体"/>
          <w:color w:val="000000"/>
          <w:sz w:val="28"/>
          <w:szCs w:val="28"/>
          <w:highlight w:val="none"/>
        </w:rPr>
      </w:pPr>
    </w:p>
    <w:p w14:paraId="4AAA5FA6">
      <w:pPr>
        <w:pStyle w:val="26"/>
        <w:rPr>
          <w:color w:val="000000"/>
          <w:highlight w:val="none"/>
        </w:rPr>
      </w:pPr>
    </w:p>
    <w:p w14:paraId="05244072">
      <w:pPr>
        <w:rPr>
          <w:color w:val="000000"/>
          <w:highlight w:val="none"/>
        </w:rPr>
      </w:pPr>
    </w:p>
    <w:p w14:paraId="5AC9006C">
      <w:pPr>
        <w:adjustRightInd w:val="0"/>
        <w:snapToGrid w:val="0"/>
        <w:spacing w:line="560" w:lineRule="exact"/>
        <w:rPr>
          <w:rFonts w:eastAsia="黑体"/>
          <w:color w:val="000000"/>
          <w:sz w:val="28"/>
          <w:szCs w:val="28"/>
          <w:highlight w:val="none"/>
        </w:rPr>
      </w:pPr>
    </w:p>
    <w:p w14:paraId="6C22131D">
      <w:pPr>
        <w:pStyle w:val="26"/>
        <w:adjustRightInd w:val="0"/>
        <w:snapToGrid w:val="0"/>
        <w:spacing w:after="0" w:line="560" w:lineRule="exact"/>
        <w:ind w:left="0" w:leftChars="0" w:firstLine="0" w:firstLineChars="0"/>
        <w:rPr>
          <w:color w:val="000000"/>
          <w:highlight w:val="none"/>
        </w:rPr>
      </w:pPr>
    </w:p>
    <w:p w14:paraId="72441E3E">
      <w:pPr>
        <w:adjustRightInd w:val="0"/>
        <w:snapToGrid w:val="0"/>
        <w:spacing w:line="560" w:lineRule="exact"/>
        <w:rPr>
          <w:rFonts w:eastAsia="黑体"/>
          <w:color w:val="000000"/>
          <w:sz w:val="28"/>
          <w:szCs w:val="28"/>
          <w:highlight w:val="none"/>
        </w:rPr>
      </w:pPr>
    </w:p>
    <w:p w14:paraId="3A492124">
      <w:pPr>
        <w:pStyle w:val="26"/>
        <w:rPr>
          <w:highlight w:val="none"/>
        </w:rPr>
      </w:pPr>
    </w:p>
    <w:p w14:paraId="22893C38">
      <w:pPr>
        <w:rPr>
          <w:highlight w:val="none"/>
        </w:rPr>
      </w:pPr>
    </w:p>
    <w:p w14:paraId="05D7F788">
      <w:pPr>
        <w:pStyle w:val="26"/>
        <w:rPr>
          <w:highlight w:val="none"/>
        </w:rPr>
      </w:pPr>
    </w:p>
    <w:p w14:paraId="493FBEF3">
      <w:pPr>
        <w:rPr>
          <w:highlight w:val="none"/>
        </w:rPr>
      </w:pPr>
    </w:p>
    <w:p w14:paraId="2D8D4001">
      <w:pPr>
        <w:pStyle w:val="26"/>
        <w:rPr>
          <w:highlight w:val="none"/>
        </w:rPr>
      </w:pPr>
    </w:p>
    <w:p w14:paraId="1EDD2408">
      <w:pPr>
        <w:rPr>
          <w:highlight w:val="none"/>
        </w:rPr>
      </w:pPr>
    </w:p>
    <w:p w14:paraId="24BC0D31">
      <w:pPr>
        <w:pStyle w:val="26"/>
        <w:rPr>
          <w:highlight w:val="none"/>
        </w:rPr>
      </w:pPr>
    </w:p>
    <w:p w14:paraId="5D52D2D0">
      <w:pPr>
        <w:rPr>
          <w:highlight w:val="none"/>
        </w:rPr>
      </w:pPr>
    </w:p>
    <w:p w14:paraId="4D6E5060">
      <w:pPr>
        <w:adjustRightInd w:val="0"/>
        <w:snapToGrid w:val="0"/>
        <w:spacing w:line="560" w:lineRule="exact"/>
        <w:rPr>
          <w:rFonts w:eastAsia="黑体"/>
          <w:color w:val="000000"/>
          <w:sz w:val="28"/>
          <w:szCs w:val="28"/>
          <w:highlight w:val="none"/>
        </w:rPr>
      </w:pPr>
    </w:p>
    <w:p w14:paraId="1C0E5269">
      <w:pPr>
        <w:adjustRightInd w:val="0"/>
        <w:snapToGrid w:val="0"/>
        <w:spacing w:line="560" w:lineRule="exact"/>
        <w:jc w:val="center"/>
        <w:rPr>
          <w:color w:val="000000"/>
          <w:highlight w:val="none"/>
        </w:rPr>
      </w:pPr>
      <w:r>
        <w:rPr>
          <w:rFonts w:eastAsia="黑体"/>
          <w:color w:val="000000"/>
          <w:sz w:val="28"/>
          <w:szCs w:val="28"/>
          <w:highlight w:val="none"/>
          <w:u w:val="single"/>
        </w:rPr>
        <w:t xml:space="preserve">        </w:t>
      </w:r>
      <w:r>
        <w:rPr>
          <w:rFonts w:eastAsia="黑体"/>
          <w:color w:val="000000"/>
          <w:sz w:val="28"/>
          <w:szCs w:val="28"/>
          <w:highlight w:val="none"/>
        </w:rPr>
        <w:t>年</w:t>
      </w:r>
      <w:r>
        <w:rPr>
          <w:rFonts w:eastAsia="黑体"/>
          <w:color w:val="000000"/>
          <w:sz w:val="28"/>
          <w:szCs w:val="28"/>
          <w:highlight w:val="none"/>
          <w:u w:val="single"/>
        </w:rPr>
        <w:t xml:space="preserve">        </w:t>
      </w:r>
      <w:r>
        <w:rPr>
          <w:rFonts w:eastAsia="黑体"/>
          <w:color w:val="000000"/>
          <w:sz w:val="28"/>
          <w:szCs w:val="28"/>
          <w:highlight w:val="none"/>
        </w:rPr>
        <w:t>月</w:t>
      </w:r>
      <w:r>
        <w:rPr>
          <w:rFonts w:eastAsia="黑体"/>
          <w:color w:val="000000"/>
          <w:sz w:val="28"/>
          <w:szCs w:val="28"/>
          <w:highlight w:val="none"/>
          <w:u w:val="single"/>
        </w:rPr>
        <w:t xml:space="preserve">        </w:t>
      </w:r>
      <w:r>
        <w:rPr>
          <w:rFonts w:eastAsia="黑体"/>
          <w:color w:val="000000"/>
          <w:sz w:val="28"/>
          <w:szCs w:val="28"/>
          <w:highlight w:val="none"/>
        </w:rPr>
        <w:t>日</w:t>
      </w:r>
    </w:p>
    <w:p w14:paraId="6C7C5052">
      <w:pPr>
        <w:pStyle w:val="26"/>
        <w:spacing w:after="0"/>
        <w:ind w:left="0" w:leftChars="0" w:firstLine="0" w:firstLineChars="0"/>
        <w:jc w:val="left"/>
        <w:rPr>
          <w:color w:val="000000"/>
          <w:sz w:val="24"/>
          <w:highlight w:val="none"/>
        </w:rPr>
      </w:pPr>
      <w:r>
        <w:rPr>
          <w:rFonts w:hint="eastAsia" w:ascii="仿宋_GB2312" w:eastAsia="仿宋_GB2312"/>
          <w:color w:val="000000"/>
          <w:sz w:val="24"/>
          <w:highlight w:val="none"/>
        </w:rPr>
        <w:t>注：暗标评审的技术标封面不设置投标人、法定代表人签章内容。</w:t>
      </w:r>
    </w:p>
    <w:p w14:paraId="7822533F">
      <w:pPr>
        <w:pStyle w:val="4"/>
        <w:rPr>
          <w:color w:val="000000"/>
          <w:highlight w:val="none"/>
        </w:rPr>
      </w:pPr>
      <w:bookmarkStart w:id="881" w:name="_Toc95223539"/>
    </w:p>
    <w:p w14:paraId="57E082A9">
      <w:pPr>
        <w:pStyle w:val="4"/>
        <w:rPr>
          <w:color w:val="000000"/>
          <w:highlight w:val="none"/>
        </w:rPr>
      </w:pPr>
      <w:r>
        <w:rPr>
          <w:rFonts w:hint="eastAsia"/>
          <w:color w:val="000000"/>
          <w:highlight w:val="none"/>
        </w:rPr>
        <w:t>投标文件二：技术标目录</w:t>
      </w:r>
      <w:bookmarkEnd w:id="881"/>
    </w:p>
    <w:p w14:paraId="5B016117">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（1）项目需求分析方案；</w:t>
      </w:r>
    </w:p>
    <w:p w14:paraId="5EF68512">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（2）实施方案；</w:t>
      </w:r>
    </w:p>
    <w:p w14:paraId="325BFBF3">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（3）供货方案；</w:t>
      </w:r>
    </w:p>
    <w:p w14:paraId="0DDD6F26">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（4）质量保障措施；</w:t>
      </w:r>
    </w:p>
    <w:p w14:paraId="02FDBE6E">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（5）应急方案；</w:t>
      </w:r>
    </w:p>
    <w:p w14:paraId="5B7F2939">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（6）售后服务方案。</w:t>
      </w:r>
    </w:p>
    <w:p w14:paraId="385D5071">
      <w:pPr>
        <w:adjustRightInd w:val="0"/>
        <w:snapToGrid w:val="0"/>
        <w:spacing w:line="560" w:lineRule="exact"/>
        <w:rPr>
          <w:rFonts w:hint="eastAsia" w:ascii="宋体" w:hAnsi="宋体"/>
          <w:color w:val="000000"/>
          <w:szCs w:val="21"/>
          <w:highlight w:val="none"/>
        </w:rPr>
      </w:pPr>
    </w:p>
    <w:p w14:paraId="6EE3DCA2">
      <w:pPr>
        <w:adjustRightInd w:val="0"/>
        <w:snapToGrid w:val="0"/>
        <w:spacing w:line="560" w:lineRule="exact"/>
        <w:rPr>
          <w:rFonts w:ascii="仿宋_GB2312" w:eastAsia="仿宋_GB2312"/>
          <w:color w:val="000000"/>
          <w:szCs w:val="21"/>
          <w:highlight w:val="none"/>
        </w:rPr>
      </w:pPr>
    </w:p>
    <w:p w14:paraId="36942E09">
      <w:pPr>
        <w:adjustRightInd w:val="0"/>
        <w:snapToGrid w:val="0"/>
        <w:spacing w:line="560" w:lineRule="exact"/>
        <w:rPr>
          <w:rFonts w:eastAsia="黑体"/>
          <w:color w:val="000000"/>
          <w:sz w:val="20"/>
          <w:szCs w:val="20"/>
          <w:highlight w:val="none"/>
        </w:rPr>
      </w:pPr>
    </w:p>
    <w:p w14:paraId="6DB6DA6C">
      <w:pPr>
        <w:adjustRightInd w:val="0"/>
        <w:snapToGrid w:val="0"/>
        <w:spacing w:line="560" w:lineRule="exact"/>
        <w:rPr>
          <w:color w:val="000000"/>
          <w:highlight w:val="none"/>
        </w:rPr>
      </w:pPr>
    </w:p>
    <w:p w14:paraId="1AE64232">
      <w:pPr>
        <w:adjustRightInd w:val="0"/>
        <w:snapToGrid w:val="0"/>
        <w:spacing w:line="560" w:lineRule="exact"/>
        <w:rPr>
          <w:color w:val="000000"/>
          <w:highlight w:val="none"/>
        </w:rPr>
      </w:pPr>
    </w:p>
    <w:p w14:paraId="0E862D71">
      <w:pPr>
        <w:adjustRightInd w:val="0"/>
        <w:snapToGrid w:val="0"/>
        <w:spacing w:line="560" w:lineRule="exact"/>
        <w:rPr>
          <w:color w:val="000000"/>
          <w:highlight w:val="none"/>
        </w:rPr>
      </w:pPr>
    </w:p>
    <w:p w14:paraId="4C8A0125">
      <w:pPr>
        <w:adjustRightInd w:val="0"/>
        <w:snapToGrid w:val="0"/>
        <w:spacing w:line="560" w:lineRule="exact"/>
        <w:rPr>
          <w:color w:val="000000"/>
          <w:highlight w:val="none"/>
        </w:rPr>
      </w:pPr>
    </w:p>
    <w:p w14:paraId="655AD203">
      <w:pPr>
        <w:adjustRightInd w:val="0"/>
        <w:snapToGrid w:val="0"/>
        <w:spacing w:line="560" w:lineRule="exact"/>
        <w:rPr>
          <w:color w:val="000000"/>
          <w:highlight w:val="none"/>
        </w:rPr>
      </w:pPr>
    </w:p>
    <w:p w14:paraId="6837BAAB">
      <w:pPr>
        <w:adjustRightInd w:val="0"/>
        <w:snapToGrid w:val="0"/>
        <w:spacing w:line="560" w:lineRule="exact"/>
        <w:rPr>
          <w:color w:val="000000"/>
          <w:highlight w:val="none"/>
        </w:rPr>
      </w:pPr>
    </w:p>
    <w:p w14:paraId="3D011C72">
      <w:pPr>
        <w:pStyle w:val="26"/>
        <w:rPr>
          <w:color w:val="000000"/>
          <w:highlight w:val="none"/>
        </w:rPr>
      </w:pPr>
    </w:p>
    <w:p w14:paraId="6EAD1196">
      <w:pPr>
        <w:rPr>
          <w:color w:val="000000"/>
          <w:highlight w:val="none"/>
        </w:rPr>
      </w:pPr>
    </w:p>
    <w:p w14:paraId="00888EF9">
      <w:pPr>
        <w:pStyle w:val="26"/>
        <w:rPr>
          <w:color w:val="000000"/>
          <w:highlight w:val="none"/>
        </w:rPr>
      </w:pPr>
    </w:p>
    <w:p w14:paraId="11E19417">
      <w:pPr>
        <w:adjustRightInd w:val="0"/>
        <w:snapToGrid w:val="0"/>
        <w:spacing w:line="560" w:lineRule="exact"/>
        <w:rPr>
          <w:color w:val="000000"/>
          <w:highlight w:val="none"/>
        </w:rPr>
      </w:pPr>
    </w:p>
    <w:p w14:paraId="15FB0196">
      <w:pPr>
        <w:adjustRightInd w:val="0"/>
        <w:snapToGrid w:val="0"/>
        <w:spacing w:line="560" w:lineRule="exact"/>
        <w:rPr>
          <w:color w:val="000000"/>
          <w:highlight w:val="none"/>
        </w:rPr>
      </w:pPr>
    </w:p>
    <w:p w14:paraId="5978A48E">
      <w:pPr>
        <w:adjustRightInd w:val="0"/>
        <w:snapToGrid w:val="0"/>
        <w:spacing w:line="560" w:lineRule="exact"/>
        <w:rPr>
          <w:color w:val="000000"/>
          <w:highlight w:val="none"/>
        </w:rPr>
      </w:pPr>
    </w:p>
    <w:p w14:paraId="044DC19B">
      <w:pPr>
        <w:rPr>
          <w:color w:val="000000"/>
          <w:highlight w:val="none"/>
        </w:rPr>
        <w:sectPr>
          <w:headerReference r:id="rId6" w:type="default"/>
          <w:pgSz w:w="11910" w:h="16840"/>
          <w:pgMar w:top="1060" w:right="660" w:bottom="1020" w:left="1120" w:header="0" w:footer="833" w:gutter="0"/>
          <w:cols w:space="720" w:num="1"/>
        </w:sectPr>
      </w:pPr>
    </w:p>
    <w:p w14:paraId="36090338">
      <w:pPr>
        <w:pStyle w:val="26"/>
        <w:ind w:left="0" w:leftChars="0" w:firstLine="0" w:firstLineChars="0"/>
        <w:rPr>
          <w:color w:val="000000"/>
          <w:highlight w:val="none"/>
        </w:rPr>
      </w:pPr>
    </w:p>
    <w:p w14:paraId="12CD3FC2">
      <w:pPr>
        <w:adjustRightInd w:val="0"/>
        <w:snapToGrid w:val="0"/>
        <w:spacing w:line="560" w:lineRule="exact"/>
        <w:jc w:val="center"/>
        <w:rPr>
          <w:rFonts w:eastAsia="黑体"/>
          <w:color w:val="000000"/>
          <w:sz w:val="20"/>
          <w:szCs w:val="20"/>
          <w:highlight w:val="none"/>
        </w:rPr>
      </w:pPr>
      <w:r>
        <w:rPr>
          <w:rFonts w:hint="eastAsia" w:eastAsia="黑体"/>
          <w:color w:val="000000"/>
          <w:sz w:val="28"/>
          <w:szCs w:val="28"/>
          <w:highlight w:val="none"/>
          <w:u w:val="single"/>
        </w:rPr>
        <w:t xml:space="preserve">                </w:t>
      </w:r>
      <w:r>
        <w:rPr>
          <w:rFonts w:eastAsia="黑体"/>
          <w:color w:val="000000"/>
          <w:sz w:val="28"/>
          <w:szCs w:val="28"/>
          <w:highlight w:val="none"/>
        </w:rPr>
        <w:t>（项目名称）</w:t>
      </w:r>
    </w:p>
    <w:p w14:paraId="6713A2BB">
      <w:pPr>
        <w:adjustRightInd w:val="0"/>
        <w:snapToGrid w:val="0"/>
        <w:spacing w:line="560" w:lineRule="exact"/>
        <w:jc w:val="center"/>
        <w:rPr>
          <w:rFonts w:eastAsia="黑体"/>
          <w:color w:val="000000"/>
          <w:sz w:val="20"/>
          <w:szCs w:val="20"/>
          <w:highlight w:val="none"/>
        </w:rPr>
      </w:pPr>
    </w:p>
    <w:p w14:paraId="7756D50B">
      <w:pPr>
        <w:adjustRightInd w:val="0"/>
        <w:snapToGrid w:val="0"/>
        <w:spacing w:line="560" w:lineRule="exact"/>
        <w:rPr>
          <w:rFonts w:eastAsia="黑体"/>
          <w:color w:val="000000"/>
          <w:sz w:val="20"/>
          <w:szCs w:val="20"/>
          <w:highlight w:val="none"/>
        </w:rPr>
      </w:pPr>
    </w:p>
    <w:p w14:paraId="59380387">
      <w:pPr>
        <w:adjustRightInd w:val="0"/>
        <w:snapToGrid w:val="0"/>
        <w:spacing w:line="560" w:lineRule="exact"/>
        <w:jc w:val="center"/>
        <w:rPr>
          <w:rFonts w:eastAsia="黑体"/>
          <w:color w:val="000000"/>
          <w:sz w:val="44"/>
          <w:szCs w:val="44"/>
          <w:highlight w:val="none"/>
        </w:rPr>
      </w:pPr>
      <w:r>
        <w:rPr>
          <w:rFonts w:eastAsia="黑体"/>
          <w:color w:val="000000"/>
          <w:sz w:val="44"/>
          <w:szCs w:val="44"/>
          <w:highlight w:val="none"/>
        </w:rPr>
        <w:t>投  标  文  件</w:t>
      </w:r>
      <w:r>
        <w:rPr>
          <w:rFonts w:hint="eastAsia" w:eastAsia="黑体"/>
          <w:color w:val="000000"/>
          <w:sz w:val="44"/>
          <w:szCs w:val="44"/>
          <w:highlight w:val="none"/>
        </w:rPr>
        <w:t xml:space="preserve">  三</w:t>
      </w:r>
    </w:p>
    <w:p w14:paraId="54EC27AF">
      <w:pPr>
        <w:adjustRightInd w:val="0"/>
        <w:snapToGrid w:val="0"/>
        <w:spacing w:line="560" w:lineRule="exact"/>
        <w:jc w:val="center"/>
        <w:rPr>
          <w:rFonts w:eastAsia="黑体"/>
          <w:color w:val="000000"/>
          <w:sz w:val="44"/>
          <w:szCs w:val="44"/>
          <w:highlight w:val="none"/>
        </w:rPr>
      </w:pPr>
      <w:r>
        <w:rPr>
          <w:rFonts w:hint="eastAsia" w:eastAsia="黑体"/>
          <w:color w:val="000000"/>
          <w:sz w:val="44"/>
          <w:szCs w:val="44"/>
          <w:highlight w:val="none"/>
        </w:rPr>
        <w:t>（商务标文件）</w:t>
      </w:r>
    </w:p>
    <w:p w14:paraId="02BB5605">
      <w:pPr>
        <w:adjustRightInd w:val="0"/>
        <w:snapToGrid w:val="0"/>
        <w:spacing w:line="560" w:lineRule="exact"/>
        <w:rPr>
          <w:rFonts w:eastAsia="黑体"/>
          <w:color w:val="000000"/>
          <w:sz w:val="28"/>
          <w:szCs w:val="28"/>
          <w:highlight w:val="none"/>
        </w:rPr>
      </w:pPr>
    </w:p>
    <w:p w14:paraId="67DFB171">
      <w:pPr>
        <w:pStyle w:val="26"/>
        <w:adjustRightInd w:val="0"/>
        <w:snapToGrid w:val="0"/>
        <w:spacing w:after="0" w:line="560" w:lineRule="exact"/>
        <w:ind w:left="0" w:leftChars="0" w:firstLine="560"/>
        <w:rPr>
          <w:rFonts w:eastAsia="黑体"/>
          <w:color w:val="000000"/>
          <w:sz w:val="28"/>
          <w:szCs w:val="28"/>
          <w:highlight w:val="none"/>
        </w:rPr>
      </w:pPr>
    </w:p>
    <w:p w14:paraId="0BA71BAA">
      <w:pPr>
        <w:adjustRightInd w:val="0"/>
        <w:snapToGrid w:val="0"/>
        <w:spacing w:line="560" w:lineRule="exact"/>
        <w:rPr>
          <w:rFonts w:eastAsia="黑体"/>
          <w:color w:val="000000"/>
          <w:sz w:val="28"/>
          <w:szCs w:val="28"/>
          <w:highlight w:val="none"/>
        </w:rPr>
      </w:pPr>
    </w:p>
    <w:p w14:paraId="24DD0A8C">
      <w:pPr>
        <w:pStyle w:val="26"/>
        <w:adjustRightInd w:val="0"/>
        <w:snapToGrid w:val="0"/>
        <w:spacing w:after="0" w:line="560" w:lineRule="exact"/>
        <w:ind w:left="0" w:leftChars="0"/>
        <w:rPr>
          <w:color w:val="000000"/>
          <w:highlight w:val="none"/>
        </w:rPr>
      </w:pPr>
    </w:p>
    <w:p w14:paraId="4EEA62C4">
      <w:pPr>
        <w:adjustRightInd w:val="0"/>
        <w:snapToGrid w:val="0"/>
        <w:spacing w:line="560" w:lineRule="exact"/>
        <w:rPr>
          <w:rFonts w:eastAsia="黑体"/>
          <w:color w:val="000000"/>
          <w:sz w:val="28"/>
          <w:szCs w:val="28"/>
          <w:highlight w:val="none"/>
        </w:rPr>
      </w:pPr>
    </w:p>
    <w:p w14:paraId="10DBE51A">
      <w:pPr>
        <w:adjustRightInd w:val="0"/>
        <w:snapToGrid w:val="0"/>
        <w:spacing w:line="560" w:lineRule="exact"/>
        <w:rPr>
          <w:rFonts w:eastAsia="黑体"/>
          <w:color w:val="000000"/>
          <w:sz w:val="28"/>
          <w:szCs w:val="28"/>
          <w:highlight w:val="none"/>
        </w:rPr>
      </w:pPr>
    </w:p>
    <w:p w14:paraId="5EF0DF80">
      <w:pPr>
        <w:adjustRightInd w:val="0"/>
        <w:snapToGrid w:val="0"/>
        <w:spacing w:line="560" w:lineRule="exact"/>
        <w:rPr>
          <w:rFonts w:eastAsia="黑体"/>
          <w:color w:val="000000"/>
          <w:sz w:val="28"/>
          <w:szCs w:val="28"/>
          <w:highlight w:val="none"/>
        </w:rPr>
      </w:pPr>
    </w:p>
    <w:p w14:paraId="59BB0F29">
      <w:pPr>
        <w:adjustRightInd w:val="0"/>
        <w:snapToGrid w:val="0"/>
        <w:spacing w:line="560" w:lineRule="exact"/>
        <w:rPr>
          <w:rFonts w:eastAsia="黑体"/>
          <w:color w:val="000000"/>
          <w:sz w:val="28"/>
          <w:szCs w:val="28"/>
          <w:highlight w:val="none"/>
        </w:rPr>
      </w:pPr>
    </w:p>
    <w:p w14:paraId="784173AE">
      <w:pPr>
        <w:adjustRightInd w:val="0"/>
        <w:snapToGrid w:val="0"/>
        <w:spacing w:line="560" w:lineRule="exact"/>
        <w:rPr>
          <w:rFonts w:eastAsia="黑体"/>
          <w:color w:val="000000"/>
          <w:sz w:val="28"/>
          <w:szCs w:val="28"/>
          <w:highlight w:val="none"/>
        </w:rPr>
      </w:pPr>
    </w:p>
    <w:p w14:paraId="01FFC79C">
      <w:pPr>
        <w:adjustRightInd w:val="0"/>
        <w:snapToGrid w:val="0"/>
        <w:spacing w:line="560" w:lineRule="exact"/>
        <w:rPr>
          <w:rFonts w:eastAsia="黑体"/>
          <w:color w:val="000000"/>
          <w:sz w:val="28"/>
          <w:szCs w:val="28"/>
          <w:highlight w:val="none"/>
        </w:rPr>
      </w:pPr>
    </w:p>
    <w:p w14:paraId="4C9966A4">
      <w:pPr>
        <w:adjustRightInd w:val="0"/>
        <w:snapToGrid w:val="0"/>
        <w:spacing w:line="560" w:lineRule="exact"/>
        <w:rPr>
          <w:rFonts w:eastAsia="黑体"/>
          <w:color w:val="000000"/>
          <w:sz w:val="28"/>
          <w:szCs w:val="28"/>
          <w:highlight w:val="none"/>
        </w:rPr>
      </w:pPr>
    </w:p>
    <w:p w14:paraId="3403798C">
      <w:pPr>
        <w:adjustRightInd w:val="0"/>
        <w:snapToGrid w:val="0"/>
        <w:spacing w:line="560" w:lineRule="exact"/>
        <w:jc w:val="center"/>
        <w:rPr>
          <w:rFonts w:eastAsia="黑体"/>
          <w:color w:val="000000"/>
          <w:sz w:val="28"/>
          <w:szCs w:val="28"/>
          <w:highlight w:val="none"/>
          <w:u w:val="single"/>
        </w:rPr>
      </w:pPr>
      <w:r>
        <w:rPr>
          <w:rFonts w:eastAsia="黑体"/>
          <w:color w:val="000000"/>
          <w:sz w:val="28"/>
          <w:szCs w:val="28"/>
          <w:highlight w:val="none"/>
        </w:rPr>
        <w:t>投标人：</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u w:val="singl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eastAsia="黑体"/>
          <w:color w:val="000000"/>
          <w:sz w:val="28"/>
          <w:szCs w:val="28"/>
          <w:highlight w:val="none"/>
        </w:rPr>
        <w:t>）</w:t>
      </w:r>
    </w:p>
    <w:p w14:paraId="045AC3C8">
      <w:pPr>
        <w:adjustRightInd w:val="0"/>
        <w:snapToGrid w:val="0"/>
        <w:spacing w:line="560" w:lineRule="exact"/>
        <w:jc w:val="center"/>
        <w:rPr>
          <w:rFonts w:eastAsia="黑体"/>
          <w:color w:val="000000"/>
          <w:sz w:val="28"/>
          <w:szCs w:val="28"/>
          <w:highlight w:val="none"/>
        </w:rPr>
      </w:pPr>
      <w:r>
        <w:rPr>
          <w:rFonts w:eastAsia="黑体"/>
          <w:color w:val="000000"/>
          <w:sz w:val="28"/>
          <w:szCs w:val="28"/>
          <w:highlight w:val="none"/>
        </w:rPr>
        <w:t>法定代表人：</w:t>
      </w:r>
      <w:r>
        <w:rPr>
          <w:rFonts w:eastAsia="黑体"/>
          <w:color w:val="000000"/>
          <w:sz w:val="28"/>
          <w:szCs w:val="28"/>
          <w:highlight w:val="none"/>
          <w:u w:val="singl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eastAsia="黑体"/>
          <w:color w:val="000000"/>
          <w:sz w:val="28"/>
          <w:szCs w:val="28"/>
          <w:highlight w:val="none"/>
        </w:rPr>
        <w:t>）</w:t>
      </w:r>
    </w:p>
    <w:p w14:paraId="291593EB">
      <w:pPr>
        <w:adjustRightInd w:val="0"/>
        <w:snapToGrid w:val="0"/>
        <w:spacing w:line="560" w:lineRule="exact"/>
        <w:jc w:val="center"/>
        <w:rPr>
          <w:rFonts w:eastAsia="黑体"/>
          <w:color w:val="000000"/>
          <w:sz w:val="28"/>
          <w:szCs w:val="28"/>
          <w:highlight w:val="none"/>
        </w:rPr>
      </w:pPr>
      <w:r>
        <w:rPr>
          <w:rFonts w:eastAsia="黑体"/>
          <w:color w:val="000000"/>
          <w:sz w:val="28"/>
          <w:szCs w:val="28"/>
          <w:highlight w:val="none"/>
          <w:u w:val="single"/>
        </w:rPr>
        <w:t xml:space="preserve">        </w:t>
      </w:r>
      <w:r>
        <w:rPr>
          <w:rFonts w:eastAsia="黑体"/>
          <w:color w:val="000000"/>
          <w:sz w:val="28"/>
          <w:szCs w:val="28"/>
          <w:highlight w:val="none"/>
        </w:rPr>
        <w:t>年</w:t>
      </w:r>
      <w:r>
        <w:rPr>
          <w:rFonts w:eastAsia="黑体"/>
          <w:color w:val="000000"/>
          <w:sz w:val="28"/>
          <w:szCs w:val="28"/>
          <w:highlight w:val="none"/>
          <w:u w:val="single"/>
        </w:rPr>
        <w:t xml:space="preserve">        </w:t>
      </w:r>
      <w:r>
        <w:rPr>
          <w:rFonts w:eastAsia="黑体"/>
          <w:color w:val="000000"/>
          <w:sz w:val="28"/>
          <w:szCs w:val="28"/>
          <w:highlight w:val="none"/>
        </w:rPr>
        <w:t>月</w:t>
      </w:r>
      <w:r>
        <w:rPr>
          <w:rFonts w:eastAsia="黑体"/>
          <w:color w:val="000000"/>
          <w:sz w:val="28"/>
          <w:szCs w:val="28"/>
          <w:highlight w:val="none"/>
          <w:u w:val="single"/>
        </w:rPr>
        <w:t xml:space="preserve">        </w:t>
      </w:r>
      <w:r>
        <w:rPr>
          <w:rFonts w:eastAsia="黑体"/>
          <w:color w:val="000000"/>
          <w:sz w:val="28"/>
          <w:szCs w:val="28"/>
          <w:highlight w:val="none"/>
        </w:rPr>
        <w:t>日</w:t>
      </w:r>
    </w:p>
    <w:p w14:paraId="3BD8640E">
      <w:pPr>
        <w:adjustRightInd w:val="0"/>
        <w:snapToGrid w:val="0"/>
        <w:spacing w:line="560" w:lineRule="exact"/>
        <w:rPr>
          <w:color w:val="000000"/>
          <w:highlight w:val="none"/>
        </w:rPr>
      </w:pPr>
    </w:p>
    <w:p w14:paraId="77834413">
      <w:pPr>
        <w:adjustRightInd w:val="0"/>
        <w:snapToGrid w:val="0"/>
        <w:spacing w:line="560" w:lineRule="exact"/>
        <w:rPr>
          <w:color w:val="000000"/>
          <w:highlight w:val="none"/>
        </w:rPr>
      </w:pPr>
    </w:p>
    <w:p w14:paraId="01D788B0">
      <w:pPr>
        <w:pStyle w:val="4"/>
        <w:rPr>
          <w:color w:val="000000"/>
          <w:highlight w:val="none"/>
        </w:rPr>
      </w:pPr>
      <w:bookmarkStart w:id="882" w:name="_Toc95223542"/>
    </w:p>
    <w:p w14:paraId="44A37E1C">
      <w:pPr>
        <w:pStyle w:val="4"/>
        <w:rPr>
          <w:color w:val="000000"/>
          <w:highlight w:val="none"/>
        </w:rPr>
      </w:pPr>
      <w:r>
        <w:rPr>
          <w:rFonts w:hint="eastAsia"/>
          <w:color w:val="000000"/>
          <w:highlight w:val="none"/>
        </w:rPr>
        <w:t>投标文件三：商务标目录</w:t>
      </w:r>
      <w:bookmarkEnd w:id="882"/>
    </w:p>
    <w:p w14:paraId="4F29DE87">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（1）投标函；</w:t>
      </w:r>
    </w:p>
    <w:p w14:paraId="144AB02C">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（2）分项报价清单；</w:t>
      </w:r>
    </w:p>
    <w:p w14:paraId="10553445">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（3）详细的货物名称、规格、技术参数等【附技术参数响应表，格式见附件】；</w:t>
      </w:r>
    </w:p>
    <w:p w14:paraId="2FC2FBF5">
      <w:pPr>
        <w:adjustRightInd w:val="0"/>
        <w:snapToGrid w:val="0"/>
        <w:spacing w:line="560" w:lineRule="exact"/>
        <w:ind w:firstLine="420" w:firstLineChars="200"/>
        <w:rPr>
          <w:color w:val="000000"/>
          <w:highlight w:val="none"/>
        </w:rPr>
      </w:pPr>
      <w:r>
        <w:rPr>
          <w:rFonts w:hint="eastAsia" w:ascii="宋体" w:hAnsi="宋体"/>
          <w:color w:val="000000"/>
          <w:szCs w:val="21"/>
          <w:highlight w:val="none"/>
        </w:rPr>
        <w:t>（4）详细评审所需其他材料。</w:t>
      </w:r>
    </w:p>
    <w:p w14:paraId="6648A504">
      <w:pPr>
        <w:adjustRightInd w:val="0"/>
        <w:snapToGrid w:val="0"/>
        <w:spacing w:line="560" w:lineRule="exact"/>
        <w:rPr>
          <w:color w:val="000000"/>
          <w:highlight w:val="none"/>
        </w:rPr>
      </w:pPr>
    </w:p>
    <w:p w14:paraId="0BEF8171">
      <w:pPr>
        <w:adjustRightInd w:val="0"/>
        <w:snapToGrid w:val="0"/>
        <w:spacing w:line="560" w:lineRule="exact"/>
        <w:rPr>
          <w:rFonts w:eastAsia="黑体"/>
          <w:color w:val="000000"/>
          <w:sz w:val="20"/>
          <w:szCs w:val="20"/>
          <w:highlight w:val="none"/>
        </w:rPr>
      </w:pPr>
    </w:p>
    <w:p w14:paraId="7E45909B">
      <w:pPr>
        <w:adjustRightInd w:val="0"/>
        <w:snapToGrid w:val="0"/>
        <w:spacing w:line="560" w:lineRule="exact"/>
        <w:rPr>
          <w:rFonts w:eastAsia="黑体"/>
          <w:color w:val="000000"/>
          <w:sz w:val="20"/>
          <w:szCs w:val="20"/>
          <w:highlight w:val="none"/>
        </w:rPr>
      </w:pPr>
    </w:p>
    <w:p w14:paraId="4DC9923A">
      <w:pPr>
        <w:adjustRightInd w:val="0"/>
        <w:snapToGrid w:val="0"/>
        <w:spacing w:line="560" w:lineRule="exact"/>
        <w:rPr>
          <w:rFonts w:eastAsia="黑体"/>
          <w:color w:val="000000"/>
          <w:sz w:val="20"/>
          <w:szCs w:val="20"/>
          <w:highlight w:val="none"/>
        </w:rPr>
      </w:pPr>
    </w:p>
    <w:p w14:paraId="48FBA817">
      <w:pPr>
        <w:adjustRightInd w:val="0"/>
        <w:snapToGrid w:val="0"/>
        <w:spacing w:line="560" w:lineRule="exact"/>
        <w:ind w:right="420"/>
        <w:rPr>
          <w:color w:val="000000"/>
          <w:szCs w:val="21"/>
          <w:highlight w:val="none"/>
          <w:u w:val="single"/>
        </w:rPr>
      </w:pPr>
    </w:p>
    <w:p w14:paraId="796C5F35">
      <w:pPr>
        <w:pStyle w:val="26"/>
        <w:rPr>
          <w:color w:val="000000"/>
          <w:highlight w:val="none"/>
        </w:rPr>
      </w:pPr>
    </w:p>
    <w:p w14:paraId="4D8D60D3">
      <w:pPr>
        <w:rPr>
          <w:color w:val="000000"/>
          <w:highlight w:val="none"/>
        </w:rPr>
      </w:pPr>
    </w:p>
    <w:p w14:paraId="43C86022">
      <w:pPr>
        <w:pStyle w:val="26"/>
        <w:rPr>
          <w:color w:val="000000"/>
          <w:highlight w:val="none"/>
        </w:rPr>
      </w:pPr>
    </w:p>
    <w:p w14:paraId="791CDE40">
      <w:pPr>
        <w:rPr>
          <w:color w:val="000000"/>
          <w:highlight w:val="none"/>
        </w:rPr>
      </w:pPr>
    </w:p>
    <w:p w14:paraId="63873EA6">
      <w:pPr>
        <w:pStyle w:val="26"/>
        <w:rPr>
          <w:color w:val="000000"/>
          <w:highlight w:val="none"/>
        </w:rPr>
      </w:pPr>
    </w:p>
    <w:p w14:paraId="567B5AD1">
      <w:pPr>
        <w:rPr>
          <w:color w:val="000000"/>
          <w:highlight w:val="none"/>
        </w:rPr>
      </w:pPr>
    </w:p>
    <w:p w14:paraId="5557EF12">
      <w:pPr>
        <w:pStyle w:val="26"/>
        <w:rPr>
          <w:color w:val="000000"/>
          <w:highlight w:val="none"/>
        </w:rPr>
      </w:pPr>
    </w:p>
    <w:p w14:paraId="297B7C01">
      <w:pPr>
        <w:rPr>
          <w:color w:val="000000"/>
          <w:highlight w:val="none"/>
        </w:rPr>
      </w:pPr>
    </w:p>
    <w:p w14:paraId="0150EC83">
      <w:pPr>
        <w:pStyle w:val="26"/>
        <w:rPr>
          <w:color w:val="000000"/>
          <w:highlight w:val="none"/>
        </w:rPr>
      </w:pPr>
    </w:p>
    <w:p w14:paraId="188E0F45">
      <w:pPr>
        <w:rPr>
          <w:color w:val="000000"/>
          <w:highlight w:val="none"/>
        </w:rPr>
      </w:pPr>
    </w:p>
    <w:p w14:paraId="1CEC8DF5">
      <w:pPr>
        <w:pStyle w:val="26"/>
        <w:rPr>
          <w:color w:val="000000"/>
          <w:highlight w:val="none"/>
        </w:rPr>
      </w:pPr>
    </w:p>
    <w:p w14:paraId="3A0E9E59">
      <w:pPr>
        <w:rPr>
          <w:color w:val="000000"/>
          <w:highlight w:val="none"/>
        </w:rPr>
      </w:pPr>
    </w:p>
    <w:p w14:paraId="5DDD9036">
      <w:pPr>
        <w:pStyle w:val="26"/>
        <w:rPr>
          <w:color w:val="000000"/>
          <w:highlight w:val="none"/>
        </w:rPr>
      </w:pPr>
    </w:p>
    <w:p w14:paraId="17F261E7">
      <w:pPr>
        <w:rPr>
          <w:color w:val="000000"/>
          <w:highlight w:val="none"/>
        </w:rPr>
      </w:pPr>
    </w:p>
    <w:p w14:paraId="48A29F2D">
      <w:pPr>
        <w:pStyle w:val="26"/>
        <w:rPr>
          <w:color w:val="000000"/>
          <w:highlight w:val="none"/>
        </w:rPr>
      </w:pPr>
    </w:p>
    <w:p w14:paraId="21C16D65">
      <w:pPr>
        <w:rPr>
          <w:color w:val="000000"/>
          <w:highlight w:val="none"/>
        </w:rPr>
      </w:pPr>
    </w:p>
    <w:p w14:paraId="148E92B0">
      <w:pPr>
        <w:pStyle w:val="26"/>
        <w:rPr>
          <w:color w:val="000000"/>
          <w:highlight w:val="none"/>
        </w:rPr>
      </w:pPr>
    </w:p>
    <w:p w14:paraId="3C9E18FE">
      <w:pPr>
        <w:rPr>
          <w:color w:val="000000"/>
          <w:highlight w:val="none"/>
        </w:rPr>
      </w:pPr>
    </w:p>
    <w:p w14:paraId="1831A4D0">
      <w:pPr>
        <w:pStyle w:val="26"/>
        <w:rPr>
          <w:color w:val="000000"/>
          <w:highlight w:val="none"/>
        </w:rPr>
      </w:pPr>
    </w:p>
    <w:p w14:paraId="438C7F8D">
      <w:pPr>
        <w:rPr>
          <w:color w:val="000000"/>
          <w:highlight w:val="none"/>
        </w:rPr>
      </w:pPr>
    </w:p>
    <w:p w14:paraId="000622B6">
      <w:pPr>
        <w:pStyle w:val="26"/>
        <w:rPr>
          <w:color w:val="000000"/>
          <w:highlight w:val="none"/>
        </w:rPr>
      </w:pPr>
    </w:p>
    <w:p w14:paraId="066E5578">
      <w:pPr>
        <w:pStyle w:val="26"/>
        <w:ind w:left="0" w:leftChars="0" w:firstLine="0" w:firstLineChars="0"/>
        <w:rPr>
          <w:color w:val="000000"/>
          <w:highlight w:val="none"/>
        </w:rPr>
        <w:sectPr>
          <w:pgSz w:w="11910" w:h="16840"/>
          <w:pgMar w:top="1060" w:right="660" w:bottom="1020" w:left="1120" w:header="0" w:footer="833" w:gutter="0"/>
          <w:cols w:space="720" w:num="1"/>
        </w:sectPr>
      </w:pPr>
    </w:p>
    <w:p w14:paraId="51D19CA8">
      <w:pPr>
        <w:pStyle w:val="26"/>
        <w:ind w:left="0" w:leftChars="0" w:firstLine="0" w:firstLineChars="0"/>
        <w:rPr>
          <w:color w:val="000000"/>
          <w:highlight w:val="none"/>
        </w:rPr>
      </w:pPr>
    </w:p>
    <w:p w14:paraId="7173CC23">
      <w:pPr>
        <w:pStyle w:val="5"/>
        <w:adjustRightInd w:val="0"/>
        <w:snapToGrid w:val="0"/>
        <w:spacing w:before="0" w:after="0" w:line="560" w:lineRule="exact"/>
        <w:jc w:val="center"/>
        <w:rPr>
          <w:color w:val="000000"/>
          <w:highlight w:val="none"/>
        </w:rPr>
      </w:pPr>
      <w:bookmarkStart w:id="883" w:name="_Toc95223543"/>
      <w:r>
        <w:rPr>
          <w:rFonts w:hint="eastAsia"/>
          <w:color w:val="000000"/>
          <w:highlight w:val="none"/>
        </w:rPr>
        <w:t>（1）投</w:t>
      </w:r>
      <w:r>
        <w:rPr>
          <w:color w:val="000000"/>
          <w:highlight w:val="none"/>
        </w:rPr>
        <w:t xml:space="preserve"> </w:t>
      </w:r>
      <w:r>
        <w:rPr>
          <w:rFonts w:hint="eastAsia"/>
          <w:color w:val="000000"/>
          <w:highlight w:val="none"/>
        </w:rPr>
        <w:t>标 函</w:t>
      </w:r>
      <w:bookmarkEnd w:id="883"/>
    </w:p>
    <w:p w14:paraId="026B530E">
      <w:pPr>
        <w:adjustRightInd w:val="0"/>
        <w:snapToGrid w:val="0"/>
        <w:spacing w:line="560" w:lineRule="exact"/>
        <w:rPr>
          <w:rFonts w:hint="eastAsia" w:ascii="宋体" w:hAnsi="宋体"/>
          <w:color w:val="000000"/>
          <w:sz w:val="24"/>
          <w:highlight w:val="none"/>
          <w:u w:val="single"/>
        </w:rPr>
      </w:pPr>
      <w:r>
        <w:rPr>
          <w:rFonts w:hint="eastAsia" w:ascii="宋体" w:hAnsi="宋体"/>
          <w:color w:val="000000"/>
          <w:sz w:val="24"/>
          <w:highlight w:val="none"/>
        </w:rPr>
        <w:t>致：</w:t>
      </w:r>
      <w:r>
        <w:rPr>
          <w:rFonts w:ascii="宋体" w:hAnsi="宋体"/>
          <w:color w:val="000000"/>
          <w:sz w:val="24"/>
          <w:highlight w:val="none"/>
          <w:u w:val="single"/>
        </w:rPr>
        <w:t xml:space="preserve">        </w:t>
      </w:r>
      <w:r>
        <w:rPr>
          <w:rFonts w:hint="eastAsia" w:ascii="宋体" w:hAnsi="宋体"/>
          <w:color w:val="000000"/>
          <w:sz w:val="24"/>
          <w:highlight w:val="none"/>
          <w:u w:val="single"/>
        </w:rPr>
        <w:t>（招标人）</w:t>
      </w:r>
      <w:r>
        <w:rPr>
          <w:rFonts w:ascii="宋体" w:hAnsi="宋体"/>
          <w:color w:val="000000"/>
          <w:sz w:val="24"/>
          <w:highlight w:val="none"/>
          <w:u w:val="single"/>
        </w:rPr>
        <w:t xml:space="preserve">      </w:t>
      </w:r>
    </w:p>
    <w:p w14:paraId="6A5DE8C5">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1、根据你方招</w:t>
      </w:r>
      <w:bookmarkStart w:id="884" w:name="_Toc60061591"/>
      <w:r>
        <w:rPr>
          <w:rFonts w:hint="eastAsia" w:ascii="宋体" w:hAnsi="宋体"/>
          <w:color w:val="000000"/>
          <w:sz w:val="24"/>
          <w:highlight w:val="none"/>
        </w:rPr>
        <w:t>标项目编号为</w:t>
      </w:r>
      <w:r>
        <w:rPr>
          <w:rFonts w:ascii="宋体" w:hAnsi="宋体"/>
          <w:color w:val="000000"/>
          <w:sz w:val="24"/>
          <w:highlight w:val="none"/>
          <w:u w:val="single"/>
        </w:rPr>
        <w:t xml:space="preserve">  </w:t>
      </w:r>
      <w:bookmarkEnd w:id="884"/>
      <w:r>
        <w:rPr>
          <w:rFonts w:ascii="宋体" w:hAnsi="宋体"/>
          <w:color w:val="000000"/>
          <w:sz w:val="24"/>
          <w:highlight w:val="none"/>
          <w:u w:val="single"/>
        </w:rPr>
        <w:t xml:space="preserve">      </w:t>
      </w:r>
      <w:r>
        <w:rPr>
          <w:rFonts w:ascii="宋体" w:hAnsi="宋体"/>
          <w:color w:val="000000"/>
          <w:sz w:val="24"/>
          <w:highlight w:val="none"/>
        </w:rPr>
        <w:t xml:space="preserve"> </w:t>
      </w:r>
      <w:r>
        <w:rPr>
          <w:rFonts w:hint="eastAsia" w:ascii="宋体" w:hAnsi="宋体"/>
          <w:color w:val="000000"/>
          <w:sz w:val="24"/>
          <w:highlight w:val="none"/>
        </w:rPr>
        <w:t>的</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招标文件，遵照《中华人民共和国招标投标法》等有关规定，经踏勘项目现场和研究上述招标文件的投标须知、合同条件、技术规范、图纸、工程量清单和其他有关文件后，我方愿以</w:t>
      </w:r>
      <w:r>
        <w:rPr>
          <w:rFonts w:ascii="宋体" w:hAnsi="宋体"/>
          <w:color w:val="000000"/>
          <w:sz w:val="24"/>
          <w:highlight w:val="none"/>
        </w:rPr>
        <w:t xml:space="preserve"> </w:t>
      </w:r>
      <w:r>
        <w:rPr>
          <w:rFonts w:hint="eastAsia" w:ascii="宋体" w:hAnsi="宋体"/>
          <w:color w:val="000000"/>
          <w:sz w:val="24"/>
          <w:highlight w:val="none"/>
        </w:rPr>
        <w:t>（币种，金额、单位）</w:t>
      </w:r>
      <w:r>
        <w:rPr>
          <w:rFonts w:hint="eastAsia" w:ascii="宋体" w:hAnsi="宋体"/>
          <w:color w:val="000000"/>
          <w:sz w:val="24"/>
          <w:highlight w:val="none"/>
          <w:u w:val="single"/>
        </w:rPr>
        <w:t xml:space="preserve">人民币           元                  </w:t>
      </w:r>
      <w:r>
        <w:rPr>
          <w:rFonts w:hint="eastAsia" w:ascii="宋体" w:hAnsi="宋体"/>
          <w:color w:val="000000"/>
          <w:sz w:val="24"/>
          <w:highlight w:val="none"/>
        </w:rPr>
        <w:t>的投标总报价承包上述工程的设备安装，并承担任何质量缺陷保修责任。</w:t>
      </w:r>
    </w:p>
    <w:p w14:paraId="2FB7BF9C">
      <w:pPr>
        <w:tabs>
          <w:tab w:val="left" w:pos="840"/>
        </w:tabs>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2、我方已详细审核全部招标文件及有关附件，承诺招标文件及有关附件中所有条款。</w:t>
      </w:r>
    </w:p>
    <w:p w14:paraId="373E9FAF">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3、一旦我方中标，保证按照招标人要求开始本工程的施工，并在</w:t>
      </w:r>
      <w:r>
        <w:rPr>
          <w:rFonts w:ascii="宋体" w:hAnsi="宋体"/>
          <w:color w:val="000000"/>
          <w:sz w:val="24"/>
          <w:highlight w:val="none"/>
          <w:u w:val="single"/>
        </w:rPr>
        <w:t xml:space="preserve">       </w:t>
      </w:r>
      <w:r>
        <w:rPr>
          <w:rFonts w:hint="eastAsia" w:ascii="宋体" w:hAnsi="宋体"/>
          <w:color w:val="000000"/>
          <w:sz w:val="24"/>
          <w:highlight w:val="none"/>
        </w:rPr>
        <w:t>个日历天（供货期）内完成本合同的施工，并移交整个工程，工程质量达到</w:t>
      </w:r>
      <w:r>
        <w:rPr>
          <w:rFonts w:ascii="宋体" w:hAnsi="宋体"/>
          <w:color w:val="000000"/>
          <w:sz w:val="24"/>
          <w:highlight w:val="none"/>
          <w:u w:val="single"/>
        </w:rPr>
        <w:t xml:space="preserve">          </w:t>
      </w:r>
      <w:r>
        <w:rPr>
          <w:rFonts w:hint="eastAsia" w:ascii="宋体" w:hAnsi="宋体"/>
          <w:color w:val="000000"/>
          <w:sz w:val="24"/>
          <w:highlight w:val="none"/>
        </w:rPr>
        <w:t xml:space="preserve"> 标准。</w:t>
      </w:r>
    </w:p>
    <w:p w14:paraId="7880D882">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随本投标书，我方同时按照招标文件的要求提交投标保证金。如果我方在投标截止后撤销投标文件，或在中标后无正当理由不与招标人订立合同，在签订合同时向招标人提出附加条件，或者不按照招标文件要求提交履约保证金，贵单位有权不予退还投标保证金。</w:t>
      </w:r>
    </w:p>
    <w:p w14:paraId="01FEEE90">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5、如果我方中标我方将按照招标文件的规定提交履约担保。工程验收合格后，方可退还。</w:t>
      </w:r>
    </w:p>
    <w:p w14:paraId="2C12BD31">
      <w:pPr>
        <w:adjustRightInd w:val="0"/>
        <w:snapToGrid w:val="0"/>
        <w:spacing w:line="560" w:lineRule="exact"/>
        <w:ind w:firstLine="480" w:firstLineChars="200"/>
        <w:jc w:val="left"/>
        <w:rPr>
          <w:rFonts w:hint="eastAsia" w:ascii="宋体" w:hAnsi="宋体"/>
          <w:color w:val="000000"/>
          <w:sz w:val="24"/>
          <w:highlight w:val="none"/>
        </w:rPr>
      </w:pPr>
      <w:r>
        <w:rPr>
          <w:rFonts w:hint="eastAsia" w:ascii="宋体" w:hAnsi="宋体"/>
          <w:color w:val="000000"/>
          <w:sz w:val="24"/>
          <w:highlight w:val="none"/>
        </w:rPr>
        <w:t>6、我方承诺在招标文件规定的投标有效期内不撤销投标文件。</w:t>
      </w:r>
    </w:p>
    <w:p w14:paraId="65F0C117">
      <w:pPr>
        <w:adjustRightInd w:val="0"/>
        <w:snapToGrid w:val="0"/>
        <w:spacing w:line="560" w:lineRule="exact"/>
        <w:ind w:firstLine="480" w:firstLineChars="200"/>
        <w:jc w:val="left"/>
        <w:rPr>
          <w:rFonts w:hint="eastAsia" w:ascii="宋体" w:hAnsi="宋体"/>
          <w:color w:val="000000"/>
          <w:sz w:val="24"/>
          <w:highlight w:val="none"/>
        </w:rPr>
      </w:pPr>
      <w:r>
        <w:rPr>
          <w:rFonts w:hint="eastAsia" w:ascii="宋体" w:hAnsi="宋体"/>
          <w:color w:val="000000"/>
          <w:sz w:val="24"/>
          <w:highlight w:val="none"/>
        </w:rPr>
        <w:t>7、我单位提供如下通讯地址：</w:t>
      </w:r>
      <w:r>
        <w:rPr>
          <w:rFonts w:hint="eastAsia" w:ascii="宋体" w:hAnsi="宋体"/>
          <w:color w:val="000000"/>
          <w:sz w:val="24"/>
          <w:highlight w:val="none"/>
          <w:u w:val="single"/>
        </w:rPr>
        <w:t xml:space="preserve">                </w:t>
      </w:r>
      <w:r>
        <w:rPr>
          <w:rFonts w:hint="eastAsia" w:ascii="宋体" w:hAnsi="宋体"/>
          <w:color w:val="000000"/>
          <w:sz w:val="24"/>
          <w:highlight w:val="none"/>
        </w:rPr>
        <w:t>电子邮箱（地址），确认本项目相关法律文书均通过提供的以上地址送达，相关文书只要发送至以上电子邮箱（地址）即视为送达，投标人愿意承担一切法律后果。</w:t>
      </w:r>
    </w:p>
    <w:p w14:paraId="602C7A5A">
      <w:pPr>
        <w:adjustRightInd w:val="0"/>
        <w:snapToGrid w:val="0"/>
        <w:spacing w:line="560" w:lineRule="exact"/>
        <w:ind w:firstLine="480" w:firstLineChars="200"/>
        <w:jc w:val="left"/>
        <w:rPr>
          <w:rFonts w:hint="eastAsia" w:ascii="宋体" w:hAnsi="宋体"/>
          <w:color w:val="000000"/>
          <w:sz w:val="24"/>
          <w:highlight w:val="none"/>
        </w:rPr>
      </w:pPr>
      <w:r>
        <w:rPr>
          <w:rFonts w:hint="eastAsia" w:ascii="宋体" w:hAnsi="宋体"/>
          <w:color w:val="000000"/>
          <w:sz w:val="24"/>
          <w:highlight w:val="none"/>
        </w:rPr>
        <w:t>8、</w:t>
      </w:r>
      <w:r>
        <w:rPr>
          <w:rFonts w:hint="eastAsia" w:ascii="宋体" w:hAnsi="宋体"/>
          <w:color w:val="000000"/>
          <w:sz w:val="24"/>
          <w:highlight w:val="none"/>
          <w:u w:val="single"/>
        </w:rPr>
        <w:t xml:space="preserve">                           </w:t>
      </w:r>
      <w:r>
        <w:rPr>
          <w:rFonts w:hint="eastAsia" w:ascii="宋体" w:hAnsi="宋体"/>
          <w:color w:val="000000"/>
          <w:sz w:val="24"/>
          <w:highlight w:val="none"/>
        </w:rPr>
        <w:t>（其他补充说明）。</w:t>
      </w:r>
    </w:p>
    <w:p w14:paraId="255EB739">
      <w:pPr>
        <w:adjustRightInd w:val="0"/>
        <w:snapToGrid w:val="0"/>
        <w:spacing w:line="560" w:lineRule="exact"/>
        <w:ind w:firstLine="480" w:firstLineChars="200"/>
        <w:rPr>
          <w:rFonts w:hint="eastAsia" w:ascii="宋体" w:hAnsi="宋体"/>
          <w:color w:val="000000"/>
          <w:sz w:val="24"/>
          <w:highlight w:val="none"/>
        </w:rPr>
      </w:pPr>
    </w:p>
    <w:p w14:paraId="3DA7C818">
      <w:pPr>
        <w:adjustRightInd w:val="0"/>
        <w:snapToGrid w:val="0"/>
        <w:spacing w:line="560" w:lineRule="exact"/>
        <w:ind w:firstLine="480" w:firstLineChars="200"/>
        <w:rPr>
          <w:rFonts w:hint="eastAsia" w:ascii="宋体" w:hAnsi="宋体"/>
          <w:color w:val="000000"/>
          <w:sz w:val="24"/>
          <w:highlight w:val="none"/>
          <w:u w:val="single"/>
        </w:rPr>
      </w:pPr>
      <w:r>
        <w:rPr>
          <w:rFonts w:hint="eastAsia" w:ascii="宋体" w:hAnsi="宋体"/>
          <w:color w:val="000000"/>
          <w:sz w:val="24"/>
          <w:highlight w:val="none"/>
        </w:rPr>
        <w:t>投标人：</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（签章）</w:t>
      </w:r>
    </w:p>
    <w:p w14:paraId="68B41802">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法定代表人：</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（签章）联系人：                 </w:t>
      </w:r>
    </w:p>
    <w:p w14:paraId="6009F604">
      <w:pPr>
        <w:adjustRightInd w:val="0"/>
        <w:snapToGrid w:val="0"/>
        <w:spacing w:line="56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单位地址：</w:t>
      </w:r>
      <w:r>
        <w:rPr>
          <w:rFonts w:hint="eastAsia" w:ascii="宋体" w:hAnsi="宋体"/>
          <w:color w:val="000000"/>
          <w:sz w:val="24"/>
          <w:highlight w:val="none"/>
          <w:u w:val="single"/>
        </w:rPr>
        <w:t xml:space="preserve">                                       </w:t>
      </w:r>
    </w:p>
    <w:p w14:paraId="792FE9DE">
      <w:pPr>
        <w:adjustRightInd w:val="0"/>
        <w:snapToGrid w:val="0"/>
        <w:spacing w:line="560" w:lineRule="exact"/>
        <w:ind w:firstLine="480" w:firstLineChars="200"/>
        <w:rPr>
          <w:rFonts w:hint="eastAsia" w:ascii="宋体" w:hAnsi="宋体"/>
          <w:color w:val="000000"/>
          <w:sz w:val="24"/>
          <w:highlight w:val="none"/>
          <w:u w:val="single"/>
        </w:rPr>
      </w:pPr>
      <w:r>
        <w:rPr>
          <w:rFonts w:hint="eastAsia" w:ascii="宋体" w:hAnsi="宋体"/>
          <w:color w:val="000000"/>
          <w:sz w:val="24"/>
          <w:highlight w:val="none"/>
        </w:rPr>
        <w:t>邮政编码：</w:t>
      </w:r>
      <w:r>
        <w:rPr>
          <w:rFonts w:ascii="宋体" w:hAnsi="宋体"/>
          <w:color w:val="000000"/>
          <w:sz w:val="24"/>
          <w:highlight w:val="none"/>
          <w:u w:val="single"/>
        </w:rPr>
        <w:t xml:space="preserve">            </w:t>
      </w:r>
      <w:r>
        <w:rPr>
          <w:rFonts w:hint="eastAsia" w:ascii="宋体" w:hAnsi="宋体"/>
          <w:color w:val="000000"/>
          <w:sz w:val="24"/>
          <w:highlight w:val="none"/>
        </w:rPr>
        <w:t>联系人手机号码：</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传真：</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p>
    <w:p w14:paraId="3E2BD180">
      <w:pPr>
        <w:adjustRightInd w:val="0"/>
        <w:snapToGrid w:val="0"/>
        <w:spacing w:line="560" w:lineRule="exact"/>
        <w:ind w:firstLine="480" w:firstLineChars="200"/>
        <w:rPr>
          <w:color w:val="000000"/>
          <w:szCs w:val="21"/>
          <w:highlight w:val="none"/>
          <w:u w:val="single"/>
        </w:rPr>
      </w:pPr>
      <w:r>
        <w:rPr>
          <w:rFonts w:hint="eastAsia" w:ascii="宋体" w:hAnsi="宋体"/>
          <w:color w:val="000000"/>
          <w:sz w:val="24"/>
          <w:highlight w:val="none"/>
        </w:rPr>
        <w:t>日期：</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年</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月</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hint="eastAsia" w:ascii="宋体" w:hAnsi="宋体"/>
          <w:color w:val="000000"/>
          <w:sz w:val="24"/>
          <w:highlight w:val="none"/>
        </w:rPr>
        <w:t>日</w:t>
      </w:r>
    </w:p>
    <w:p w14:paraId="3210EC0D">
      <w:pPr>
        <w:pStyle w:val="5"/>
        <w:adjustRightInd w:val="0"/>
        <w:snapToGrid w:val="0"/>
        <w:spacing w:before="0" w:after="0" w:line="560" w:lineRule="exact"/>
        <w:jc w:val="center"/>
        <w:rPr>
          <w:color w:val="000000"/>
          <w:highlight w:val="none"/>
        </w:rPr>
        <w:sectPr>
          <w:pgSz w:w="11910" w:h="16840"/>
          <w:pgMar w:top="1060" w:right="660" w:bottom="1020" w:left="1120" w:header="0" w:footer="833" w:gutter="0"/>
          <w:cols w:space="720" w:num="1"/>
        </w:sectPr>
      </w:pPr>
      <w:bookmarkStart w:id="885" w:name="_Toc95223544"/>
    </w:p>
    <w:bookmarkEnd w:id="885"/>
    <w:p w14:paraId="4E3C6C50">
      <w:pPr>
        <w:pStyle w:val="5"/>
        <w:numPr>
          <w:ilvl w:val="0"/>
          <w:numId w:val="3"/>
        </w:numPr>
        <w:adjustRightInd w:val="0"/>
        <w:snapToGrid w:val="0"/>
        <w:spacing w:before="0" w:after="0" w:line="560" w:lineRule="exact"/>
        <w:jc w:val="center"/>
        <w:rPr>
          <w:color w:val="000000"/>
          <w:highlight w:val="none"/>
        </w:rPr>
      </w:pPr>
      <w:bookmarkStart w:id="886" w:name="_Toc95223546"/>
      <w:r>
        <w:rPr>
          <w:rFonts w:hint="eastAsia"/>
          <w:color w:val="000000"/>
          <w:highlight w:val="none"/>
        </w:rPr>
        <w:t>分项报价清单</w:t>
      </w:r>
    </w:p>
    <w:tbl>
      <w:tblPr>
        <w:tblStyle w:val="2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2585"/>
        <w:gridCol w:w="1176"/>
        <w:gridCol w:w="992"/>
        <w:gridCol w:w="1843"/>
        <w:gridCol w:w="1417"/>
        <w:gridCol w:w="1134"/>
      </w:tblGrid>
      <w:tr w14:paraId="2CDE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trPr>
        <w:tc>
          <w:tcPr>
            <w:tcW w:w="671" w:type="dxa"/>
            <w:noWrap/>
            <w:vAlign w:val="center"/>
          </w:tcPr>
          <w:p w14:paraId="7F141EBD">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序号</w:t>
            </w:r>
          </w:p>
        </w:tc>
        <w:tc>
          <w:tcPr>
            <w:tcW w:w="2585" w:type="dxa"/>
            <w:noWrap/>
            <w:vAlign w:val="center"/>
          </w:tcPr>
          <w:p w14:paraId="41EC2528">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名称</w:t>
            </w:r>
          </w:p>
        </w:tc>
        <w:tc>
          <w:tcPr>
            <w:tcW w:w="992" w:type="dxa"/>
            <w:vAlign w:val="center"/>
          </w:tcPr>
          <w:p w14:paraId="1B5A49F9">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单位</w:t>
            </w:r>
          </w:p>
        </w:tc>
        <w:tc>
          <w:tcPr>
            <w:tcW w:w="992" w:type="dxa"/>
            <w:vAlign w:val="center"/>
          </w:tcPr>
          <w:p w14:paraId="71D49225">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数量</w:t>
            </w:r>
          </w:p>
        </w:tc>
        <w:tc>
          <w:tcPr>
            <w:tcW w:w="1843" w:type="dxa"/>
            <w:vAlign w:val="center"/>
          </w:tcPr>
          <w:p w14:paraId="02F79A98">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综合单价（元）</w:t>
            </w:r>
          </w:p>
        </w:tc>
        <w:tc>
          <w:tcPr>
            <w:tcW w:w="1417" w:type="dxa"/>
            <w:vAlign w:val="center"/>
          </w:tcPr>
          <w:p w14:paraId="6FF2642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合价（元）</w:t>
            </w:r>
          </w:p>
        </w:tc>
        <w:tc>
          <w:tcPr>
            <w:tcW w:w="1134" w:type="dxa"/>
            <w:vAlign w:val="center"/>
          </w:tcPr>
          <w:p w14:paraId="40F90915">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备注</w:t>
            </w:r>
          </w:p>
        </w:tc>
      </w:tr>
      <w:tr w14:paraId="06D5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5040C21">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1</w:t>
            </w:r>
          </w:p>
        </w:tc>
        <w:tc>
          <w:tcPr>
            <w:tcW w:w="2585" w:type="dxa"/>
            <w:noWrap/>
            <w:vAlign w:val="center"/>
          </w:tcPr>
          <w:p w14:paraId="67522846">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太阳能杀虫灯</w:t>
            </w:r>
          </w:p>
        </w:tc>
        <w:tc>
          <w:tcPr>
            <w:tcW w:w="992" w:type="dxa"/>
            <w:vAlign w:val="center"/>
          </w:tcPr>
          <w:p w14:paraId="55E000E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盏</w:t>
            </w:r>
          </w:p>
        </w:tc>
        <w:tc>
          <w:tcPr>
            <w:tcW w:w="992" w:type="dxa"/>
            <w:vAlign w:val="center"/>
          </w:tcPr>
          <w:p w14:paraId="0D8FD1A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82</w:t>
            </w:r>
          </w:p>
        </w:tc>
        <w:tc>
          <w:tcPr>
            <w:tcW w:w="1843" w:type="dxa"/>
          </w:tcPr>
          <w:p w14:paraId="616B83F5">
            <w:pPr>
              <w:widowControl/>
              <w:adjustRightInd w:val="0"/>
              <w:snapToGrid w:val="0"/>
              <w:jc w:val="center"/>
              <w:rPr>
                <w:rFonts w:hint="eastAsia" w:ascii="宋体" w:hAnsi="宋体" w:cs="宋体"/>
                <w:kern w:val="0"/>
                <w:sz w:val="24"/>
                <w:highlight w:val="none"/>
              </w:rPr>
            </w:pPr>
          </w:p>
        </w:tc>
        <w:tc>
          <w:tcPr>
            <w:tcW w:w="1417" w:type="dxa"/>
          </w:tcPr>
          <w:p w14:paraId="74B22AFD">
            <w:pPr>
              <w:widowControl/>
              <w:adjustRightInd w:val="0"/>
              <w:snapToGrid w:val="0"/>
              <w:jc w:val="center"/>
              <w:rPr>
                <w:rFonts w:hint="eastAsia" w:ascii="宋体" w:hAnsi="宋体" w:cs="宋体"/>
                <w:kern w:val="0"/>
                <w:sz w:val="24"/>
                <w:highlight w:val="none"/>
              </w:rPr>
            </w:pPr>
          </w:p>
        </w:tc>
        <w:tc>
          <w:tcPr>
            <w:tcW w:w="1134" w:type="dxa"/>
          </w:tcPr>
          <w:p w14:paraId="722815B5">
            <w:pPr>
              <w:widowControl/>
              <w:adjustRightInd w:val="0"/>
              <w:snapToGrid w:val="0"/>
              <w:jc w:val="center"/>
              <w:rPr>
                <w:rFonts w:hint="eastAsia" w:ascii="宋体" w:hAnsi="宋体" w:cs="宋体"/>
                <w:kern w:val="0"/>
                <w:sz w:val="24"/>
                <w:highlight w:val="none"/>
              </w:rPr>
            </w:pPr>
          </w:p>
        </w:tc>
      </w:tr>
      <w:tr w14:paraId="1F43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E55EB69">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2-1</w:t>
            </w:r>
          </w:p>
        </w:tc>
        <w:tc>
          <w:tcPr>
            <w:tcW w:w="2585" w:type="dxa"/>
            <w:noWrap/>
            <w:vAlign w:val="center"/>
          </w:tcPr>
          <w:p w14:paraId="5134F369">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除草机（手持式）</w:t>
            </w:r>
          </w:p>
        </w:tc>
        <w:tc>
          <w:tcPr>
            <w:tcW w:w="992" w:type="dxa"/>
            <w:vAlign w:val="center"/>
          </w:tcPr>
          <w:p w14:paraId="776ADBE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5984430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c>
          <w:tcPr>
            <w:tcW w:w="1843" w:type="dxa"/>
          </w:tcPr>
          <w:p w14:paraId="420C5044">
            <w:pPr>
              <w:widowControl/>
              <w:adjustRightInd w:val="0"/>
              <w:snapToGrid w:val="0"/>
              <w:jc w:val="center"/>
              <w:rPr>
                <w:rFonts w:hint="eastAsia" w:ascii="宋体" w:hAnsi="宋体" w:cs="宋体"/>
                <w:kern w:val="0"/>
                <w:sz w:val="24"/>
                <w:highlight w:val="none"/>
              </w:rPr>
            </w:pPr>
          </w:p>
        </w:tc>
        <w:tc>
          <w:tcPr>
            <w:tcW w:w="1417" w:type="dxa"/>
          </w:tcPr>
          <w:p w14:paraId="6D7009AE">
            <w:pPr>
              <w:widowControl/>
              <w:adjustRightInd w:val="0"/>
              <w:snapToGrid w:val="0"/>
              <w:jc w:val="center"/>
              <w:rPr>
                <w:rFonts w:hint="eastAsia" w:ascii="宋体" w:hAnsi="宋体" w:cs="宋体"/>
                <w:kern w:val="0"/>
                <w:sz w:val="24"/>
                <w:highlight w:val="none"/>
              </w:rPr>
            </w:pPr>
          </w:p>
        </w:tc>
        <w:tc>
          <w:tcPr>
            <w:tcW w:w="1134" w:type="dxa"/>
          </w:tcPr>
          <w:p w14:paraId="7E305543">
            <w:pPr>
              <w:widowControl/>
              <w:adjustRightInd w:val="0"/>
              <w:snapToGrid w:val="0"/>
              <w:jc w:val="center"/>
              <w:rPr>
                <w:rFonts w:hint="eastAsia" w:ascii="宋体" w:hAnsi="宋体" w:cs="宋体"/>
                <w:kern w:val="0"/>
                <w:sz w:val="24"/>
                <w:highlight w:val="none"/>
              </w:rPr>
            </w:pPr>
          </w:p>
        </w:tc>
      </w:tr>
      <w:tr w14:paraId="37A3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C9BBAA4">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2-2</w:t>
            </w:r>
          </w:p>
        </w:tc>
        <w:tc>
          <w:tcPr>
            <w:tcW w:w="2585" w:type="dxa"/>
            <w:noWrap/>
            <w:vAlign w:val="center"/>
          </w:tcPr>
          <w:p w14:paraId="4D53E6EA">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除草机（手扶式）</w:t>
            </w:r>
          </w:p>
        </w:tc>
        <w:tc>
          <w:tcPr>
            <w:tcW w:w="992" w:type="dxa"/>
            <w:vAlign w:val="center"/>
          </w:tcPr>
          <w:p w14:paraId="26CE87D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5C3DD4A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4B135E63">
            <w:pPr>
              <w:widowControl/>
              <w:adjustRightInd w:val="0"/>
              <w:snapToGrid w:val="0"/>
              <w:jc w:val="center"/>
              <w:rPr>
                <w:rFonts w:hint="eastAsia" w:ascii="宋体" w:hAnsi="宋体" w:cs="宋体"/>
                <w:kern w:val="0"/>
                <w:sz w:val="24"/>
                <w:highlight w:val="none"/>
              </w:rPr>
            </w:pPr>
          </w:p>
        </w:tc>
        <w:tc>
          <w:tcPr>
            <w:tcW w:w="1417" w:type="dxa"/>
          </w:tcPr>
          <w:p w14:paraId="4118C864">
            <w:pPr>
              <w:widowControl/>
              <w:adjustRightInd w:val="0"/>
              <w:snapToGrid w:val="0"/>
              <w:jc w:val="center"/>
              <w:rPr>
                <w:rFonts w:hint="eastAsia" w:ascii="宋体" w:hAnsi="宋体" w:cs="宋体"/>
                <w:kern w:val="0"/>
                <w:sz w:val="24"/>
                <w:highlight w:val="none"/>
              </w:rPr>
            </w:pPr>
          </w:p>
        </w:tc>
        <w:tc>
          <w:tcPr>
            <w:tcW w:w="1134" w:type="dxa"/>
          </w:tcPr>
          <w:p w14:paraId="6ECC88A8">
            <w:pPr>
              <w:widowControl/>
              <w:adjustRightInd w:val="0"/>
              <w:snapToGrid w:val="0"/>
              <w:jc w:val="center"/>
              <w:rPr>
                <w:rFonts w:hint="eastAsia" w:ascii="宋体" w:hAnsi="宋体" w:cs="宋体"/>
                <w:kern w:val="0"/>
                <w:sz w:val="24"/>
                <w:highlight w:val="none"/>
              </w:rPr>
            </w:pPr>
          </w:p>
        </w:tc>
      </w:tr>
      <w:tr w14:paraId="044D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520447B">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3</w:t>
            </w:r>
          </w:p>
        </w:tc>
        <w:tc>
          <w:tcPr>
            <w:tcW w:w="2585" w:type="dxa"/>
            <w:noWrap/>
            <w:vAlign w:val="center"/>
          </w:tcPr>
          <w:p w14:paraId="11EFE692">
            <w:pPr>
              <w:widowControl/>
              <w:adjustRightInd w:val="0"/>
              <w:snapToGrid w:val="0"/>
              <w:rPr>
                <w:rFonts w:hint="eastAsia" w:ascii="宋体" w:hAnsi="宋体" w:cs="宋体"/>
                <w:kern w:val="0"/>
                <w:sz w:val="24"/>
                <w:highlight w:val="none"/>
              </w:rPr>
            </w:pPr>
            <w:r>
              <w:rPr>
                <w:rFonts w:ascii="宋体" w:hAnsi="宋体" w:cs="宋体"/>
                <w:kern w:val="0"/>
                <w:sz w:val="24"/>
                <w:highlight w:val="none"/>
              </w:rPr>
              <w:t>粉碎机</w:t>
            </w:r>
          </w:p>
        </w:tc>
        <w:tc>
          <w:tcPr>
            <w:tcW w:w="992" w:type="dxa"/>
            <w:vAlign w:val="center"/>
          </w:tcPr>
          <w:p w14:paraId="3B6D383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8138E1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c>
          <w:tcPr>
            <w:tcW w:w="1843" w:type="dxa"/>
          </w:tcPr>
          <w:p w14:paraId="51400ECE">
            <w:pPr>
              <w:widowControl/>
              <w:adjustRightInd w:val="0"/>
              <w:snapToGrid w:val="0"/>
              <w:jc w:val="center"/>
              <w:rPr>
                <w:rFonts w:hint="eastAsia" w:ascii="宋体" w:hAnsi="宋体" w:cs="宋体"/>
                <w:kern w:val="0"/>
                <w:sz w:val="24"/>
                <w:highlight w:val="none"/>
              </w:rPr>
            </w:pPr>
          </w:p>
        </w:tc>
        <w:tc>
          <w:tcPr>
            <w:tcW w:w="1417" w:type="dxa"/>
          </w:tcPr>
          <w:p w14:paraId="2184E2FC">
            <w:pPr>
              <w:widowControl/>
              <w:adjustRightInd w:val="0"/>
              <w:snapToGrid w:val="0"/>
              <w:jc w:val="center"/>
              <w:rPr>
                <w:rFonts w:hint="eastAsia" w:ascii="宋体" w:hAnsi="宋体" w:cs="宋体"/>
                <w:kern w:val="0"/>
                <w:sz w:val="24"/>
                <w:highlight w:val="none"/>
              </w:rPr>
            </w:pPr>
          </w:p>
        </w:tc>
        <w:tc>
          <w:tcPr>
            <w:tcW w:w="1134" w:type="dxa"/>
          </w:tcPr>
          <w:p w14:paraId="0204917A">
            <w:pPr>
              <w:widowControl/>
              <w:adjustRightInd w:val="0"/>
              <w:snapToGrid w:val="0"/>
              <w:jc w:val="center"/>
              <w:rPr>
                <w:rFonts w:hint="eastAsia" w:ascii="宋体" w:hAnsi="宋体" w:cs="宋体"/>
                <w:kern w:val="0"/>
                <w:sz w:val="24"/>
                <w:highlight w:val="none"/>
              </w:rPr>
            </w:pPr>
          </w:p>
        </w:tc>
      </w:tr>
      <w:tr w14:paraId="0AD3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319C53EF">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p>
        </w:tc>
        <w:tc>
          <w:tcPr>
            <w:tcW w:w="2585" w:type="dxa"/>
            <w:noWrap/>
            <w:vAlign w:val="center"/>
          </w:tcPr>
          <w:p w14:paraId="554CB8E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植保无人机</w:t>
            </w:r>
          </w:p>
        </w:tc>
        <w:tc>
          <w:tcPr>
            <w:tcW w:w="992" w:type="dxa"/>
            <w:vAlign w:val="center"/>
          </w:tcPr>
          <w:p w14:paraId="7B5F472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架</w:t>
            </w:r>
          </w:p>
        </w:tc>
        <w:tc>
          <w:tcPr>
            <w:tcW w:w="992" w:type="dxa"/>
            <w:vAlign w:val="center"/>
          </w:tcPr>
          <w:p w14:paraId="1138BC3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c>
          <w:tcPr>
            <w:tcW w:w="1843" w:type="dxa"/>
          </w:tcPr>
          <w:p w14:paraId="4899744E">
            <w:pPr>
              <w:widowControl/>
              <w:adjustRightInd w:val="0"/>
              <w:snapToGrid w:val="0"/>
              <w:jc w:val="center"/>
              <w:rPr>
                <w:rFonts w:hint="eastAsia" w:ascii="宋体" w:hAnsi="宋体" w:cs="宋体"/>
                <w:kern w:val="0"/>
                <w:sz w:val="24"/>
                <w:highlight w:val="none"/>
              </w:rPr>
            </w:pPr>
          </w:p>
        </w:tc>
        <w:tc>
          <w:tcPr>
            <w:tcW w:w="1417" w:type="dxa"/>
          </w:tcPr>
          <w:p w14:paraId="420FA482">
            <w:pPr>
              <w:widowControl/>
              <w:adjustRightInd w:val="0"/>
              <w:snapToGrid w:val="0"/>
              <w:jc w:val="center"/>
              <w:rPr>
                <w:rFonts w:hint="eastAsia" w:ascii="宋体" w:hAnsi="宋体" w:cs="宋体"/>
                <w:kern w:val="0"/>
                <w:sz w:val="24"/>
                <w:highlight w:val="none"/>
              </w:rPr>
            </w:pPr>
          </w:p>
        </w:tc>
        <w:tc>
          <w:tcPr>
            <w:tcW w:w="1134" w:type="dxa"/>
          </w:tcPr>
          <w:p w14:paraId="6D26F6B3">
            <w:pPr>
              <w:widowControl/>
              <w:adjustRightInd w:val="0"/>
              <w:snapToGrid w:val="0"/>
              <w:jc w:val="center"/>
              <w:rPr>
                <w:rFonts w:hint="eastAsia" w:ascii="宋体" w:hAnsi="宋体" w:cs="宋体"/>
                <w:kern w:val="0"/>
                <w:sz w:val="24"/>
                <w:highlight w:val="none"/>
              </w:rPr>
            </w:pPr>
          </w:p>
        </w:tc>
      </w:tr>
      <w:tr w14:paraId="2C3E9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2316052">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p>
        </w:tc>
        <w:tc>
          <w:tcPr>
            <w:tcW w:w="2585" w:type="dxa"/>
            <w:noWrap/>
            <w:vAlign w:val="center"/>
          </w:tcPr>
          <w:p w14:paraId="1B4915D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旋耕机</w:t>
            </w:r>
          </w:p>
        </w:tc>
        <w:tc>
          <w:tcPr>
            <w:tcW w:w="992" w:type="dxa"/>
            <w:vAlign w:val="center"/>
          </w:tcPr>
          <w:p w14:paraId="5DD789B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30CBC6B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c>
          <w:tcPr>
            <w:tcW w:w="1843" w:type="dxa"/>
          </w:tcPr>
          <w:p w14:paraId="14933705">
            <w:pPr>
              <w:widowControl/>
              <w:adjustRightInd w:val="0"/>
              <w:snapToGrid w:val="0"/>
              <w:jc w:val="center"/>
              <w:rPr>
                <w:rFonts w:hint="eastAsia" w:ascii="宋体" w:hAnsi="宋体" w:cs="宋体"/>
                <w:kern w:val="0"/>
                <w:sz w:val="24"/>
                <w:highlight w:val="none"/>
              </w:rPr>
            </w:pPr>
          </w:p>
        </w:tc>
        <w:tc>
          <w:tcPr>
            <w:tcW w:w="1417" w:type="dxa"/>
          </w:tcPr>
          <w:p w14:paraId="6EB27ACD">
            <w:pPr>
              <w:widowControl/>
              <w:adjustRightInd w:val="0"/>
              <w:snapToGrid w:val="0"/>
              <w:jc w:val="center"/>
              <w:rPr>
                <w:rFonts w:hint="eastAsia" w:ascii="宋体" w:hAnsi="宋体" w:cs="宋体"/>
                <w:kern w:val="0"/>
                <w:sz w:val="24"/>
                <w:highlight w:val="none"/>
              </w:rPr>
            </w:pPr>
          </w:p>
        </w:tc>
        <w:tc>
          <w:tcPr>
            <w:tcW w:w="1134" w:type="dxa"/>
          </w:tcPr>
          <w:p w14:paraId="501E0F52">
            <w:pPr>
              <w:widowControl/>
              <w:adjustRightInd w:val="0"/>
              <w:snapToGrid w:val="0"/>
              <w:jc w:val="center"/>
              <w:rPr>
                <w:rFonts w:hint="eastAsia" w:ascii="宋体" w:hAnsi="宋体" w:cs="宋体"/>
                <w:kern w:val="0"/>
                <w:sz w:val="24"/>
                <w:highlight w:val="none"/>
              </w:rPr>
            </w:pPr>
          </w:p>
        </w:tc>
      </w:tr>
      <w:tr w14:paraId="23D2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8702CC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6</w:t>
            </w:r>
          </w:p>
        </w:tc>
        <w:tc>
          <w:tcPr>
            <w:tcW w:w="2585" w:type="dxa"/>
            <w:vAlign w:val="center"/>
          </w:tcPr>
          <w:p w14:paraId="02736F72">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打捆机</w:t>
            </w:r>
          </w:p>
        </w:tc>
        <w:tc>
          <w:tcPr>
            <w:tcW w:w="992" w:type="dxa"/>
            <w:vAlign w:val="center"/>
          </w:tcPr>
          <w:p w14:paraId="21871A1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5700CE9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5502F084">
            <w:pPr>
              <w:widowControl/>
              <w:adjustRightInd w:val="0"/>
              <w:snapToGrid w:val="0"/>
              <w:jc w:val="center"/>
              <w:rPr>
                <w:rFonts w:hint="eastAsia" w:ascii="宋体" w:hAnsi="宋体" w:cs="宋体"/>
                <w:kern w:val="0"/>
                <w:sz w:val="24"/>
                <w:highlight w:val="none"/>
              </w:rPr>
            </w:pPr>
          </w:p>
        </w:tc>
        <w:tc>
          <w:tcPr>
            <w:tcW w:w="1417" w:type="dxa"/>
          </w:tcPr>
          <w:p w14:paraId="6CD1DA7B">
            <w:pPr>
              <w:widowControl/>
              <w:adjustRightInd w:val="0"/>
              <w:snapToGrid w:val="0"/>
              <w:jc w:val="center"/>
              <w:rPr>
                <w:rFonts w:hint="eastAsia" w:ascii="宋体" w:hAnsi="宋体" w:cs="宋体"/>
                <w:kern w:val="0"/>
                <w:sz w:val="24"/>
                <w:highlight w:val="none"/>
              </w:rPr>
            </w:pPr>
          </w:p>
        </w:tc>
        <w:tc>
          <w:tcPr>
            <w:tcW w:w="1134" w:type="dxa"/>
          </w:tcPr>
          <w:p w14:paraId="49B79B6A">
            <w:pPr>
              <w:widowControl/>
              <w:adjustRightInd w:val="0"/>
              <w:snapToGrid w:val="0"/>
              <w:jc w:val="center"/>
              <w:rPr>
                <w:rFonts w:hint="eastAsia" w:ascii="宋体" w:hAnsi="宋体" w:cs="宋体"/>
                <w:kern w:val="0"/>
                <w:sz w:val="24"/>
                <w:highlight w:val="none"/>
              </w:rPr>
            </w:pPr>
          </w:p>
        </w:tc>
      </w:tr>
      <w:tr w14:paraId="4A5C3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F1803D4">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7</w:t>
            </w:r>
          </w:p>
        </w:tc>
        <w:tc>
          <w:tcPr>
            <w:tcW w:w="2585" w:type="dxa"/>
            <w:noWrap/>
            <w:vAlign w:val="center"/>
          </w:tcPr>
          <w:p w14:paraId="6757AD03">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虫情测报灯</w:t>
            </w:r>
          </w:p>
        </w:tc>
        <w:tc>
          <w:tcPr>
            <w:tcW w:w="992" w:type="dxa"/>
            <w:vAlign w:val="center"/>
          </w:tcPr>
          <w:p w14:paraId="2995337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5BE535B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c>
          <w:tcPr>
            <w:tcW w:w="1843" w:type="dxa"/>
          </w:tcPr>
          <w:p w14:paraId="034AE8F4">
            <w:pPr>
              <w:widowControl/>
              <w:adjustRightInd w:val="0"/>
              <w:snapToGrid w:val="0"/>
              <w:jc w:val="center"/>
              <w:rPr>
                <w:rFonts w:hint="eastAsia" w:ascii="宋体" w:hAnsi="宋体" w:cs="宋体"/>
                <w:kern w:val="0"/>
                <w:sz w:val="24"/>
                <w:highlight w:val="none"/>
              </w:rPr>
            </w:pPr>
          </w:p>
        </w:tc>
        <w:tc>
          <w:tcPr>
            <w:tcW w:w="1417" w:type="dxa"/>
          </w:tcPr>
          <w:p w14:paraId="6BD79DF2">
            <w:pPr>
              <w:widowControl/>
              <w:adjustRightInd w:val="0"/>
              <w:snapToGrid w:val="0"/>
              <w:jc w:val="center"/>
              <w:rPr>
                <w:rFonts w:hint="eastAsia" w:ascii="宋体" w:hAnsi="宋体" w:cs="宋体"/>
                <w:kern w:val="0"/>
                <w:sz w:val="24"/>
                <w:highlight w:val="none"/>
              </w:rPr>
            </w:pPr>
          </w:p>
        </w:tc>
        <w:tc>
          <w:tcPr>
            <w:tcW w:w="1134" w:type="dxa"/>
          </w:tcPr>
          <w:p w14:paraId="49D34DCB">
            <w:pPr>
              <w:widowControl/>
              <w:adjustRightInd w:val="0"/>
              <w:snapToGrid w:val="0"/>
              <w:jc w:val="center"/>
              <w:rPr>
                <w:rFonts w:hint="eastAsia" w:ascii="宋体" w:hAnsi="宋体" w:cs="宋体"/>
                <w:kern w:val="0"/>
                <w:sz w:val="24"/>
                <w:highlight w:val="none"/>
              </w:rPr>
            </w:pPr>
          </w:p>
        </w:tc>
      </w:tr>
      <w:tr w14:paraId="73ED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FFC509D">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8</w:t>
            </w:r>
          </w:p>
        </w:tc>
        <w:tc>
          <w:tcPr>
            <w:tcW w:w="2585" w:type="dxa"/>
            <w:noWrap/>
            <w:vAlign w:val="center"/>
          </w:tcPr>
          <w:p w14:paraId="1DAD6556">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田间小气候仪</w:t>
            </w:r>
          </w:p>
        </w:tc>
        <w:tc>
          <w:tcPr>
            <w:tcW w:w="992" w:type="dxa"/>
            <w:vAlign w:val="center"/>
          </w:tcPr>
          <w:p w14:paraId="201566F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701BD99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777730BF">
            <w:pPr>
              <w:widowControl/>
              <w:adjustRightInd w:val="0"/>
              <w:snapToGrid w:val="0"/>
              <w:jc w:val="center"/>
              <w:rPr>
                <w:rFonts w:hint="eastAsia" w:ascii="宋体" w:hAnsi="宋体" w:cs="宋体"/>
                <w:kern w:val="0"/>
                <w:sz w:val="24"/>
                <w:highlight w:val="none"/>
              </w:rPr>
            </w:pPr>
          </w:p>
        </w:tc>
        <w:tc>
          <w:tcPr>
            <w:tcW w:w="1417" w:type="dxa"/>
          </w:tcPr>
          <w:p w14:paraId="329606E6">
            <w:pPr>
              <w:widowControl/>
              <w:adjustRightInd w:val="0"/>
              <w:snapToGrid w:val="0"/>
              <w:jc w:val="center"/>
              <w:rPr>
                <w:rFonts w:hint="eastAsia" w:ascii="宋体" w:hAnsi="宋体" w:cs="宋体"/>
                <w:kern w:val="0"/>
                <w:sz w:val="24"/>
                <w:highlight w:val="none"/>
              </w:rPr>
            </w:pPr>
          </w:p>
        </w:tc>
        <w:tc>
          <w:tcPr>
            <w:tcW w:w="1134" w:type="dxa"/>
          </w:tcPr>
          <w:p w14:paraId="4093749B">
            <w:pPr>
              <w:widowControl/>
              <w:adjustRightInd w:val="0"/>
              <w:snapToGrid w:val="0"/>
              <w:jc w:val="center"/>
              <w:rPr>
                <w:rFonts w:hint="eastAsia" w:ascii="宋体" w:hAnsi="宋体" w:cs="宋体"/>
                <w:kern w:val="0"/>
                <w:sz w:val="24"/>
                <w:highlight w:val="none"/>
              </w:rPr>
            </w:pPr>
          </w:p>
        </w:tc>
      </w:tr>
      <w:tr w14:paraId="63B6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C7093E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9</w:t>
            </w:r>
          </w:p>
        </w:tc>
        <w:tc>
          <w:tcPr>
            <w:tcW w:w="2585" w:type="dxa"/>
            <w:noWrap/>
            <w:vAlign w:val="center"/>
          </w:tcPr>
          <w:p w14:paraId="35E78373">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黄板</w:t>
            </w:r>
          </w:p>
        </w:tc>
        <w:tc>
          <w:tcPr>
            <w:tcW w:w="992" w:type="dxa"/>
            <w:vAlign w:val="center"/>
          </w:tcPr>
          <w:p w14:paraId="0DAAADF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张</w:t>
            </w:r>
          </w:p>
        </w:tc>
        <w:tc>
          <w:tcPr>
            <w:tcW w:w="992" w:type="dxa"/>
            <w:vAlign w:val="center"/>
          </w:tcPr>
          <w:p w14:paraId="67E0B8B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26600</w:t>
            </w:r>
          </w:p>
        </w:tc>
        <w:tc>
          <w:tcPr>
            <w:tcW w:w="1843" w:type="dxa"/>
          </w:tcPr>
          <w:p w14:paraId="331C2CF6">
            <w:pPr>
              <w:widowControl/>
              <w:adjustRightInd w:val="0"/>
              <w:snapToGrid w:val="0"/>
              <w:jc w:val="center"/>
              <w:rPr>
                <w:rFonts w:hint="eastAsia" w:ascii="宋体" w:hAnsi="宋体" w:cs="宋体"/>
                <w:kern w:val="0"/>
                <w:sz w:val="24"/>
                <w:highlight w:val="none"/>
              </w:rPr>
            </w:pPr>
          </w:p>
        </w:tc>
        <w:tc>
          <w:tcPr>
            <w:tcW w:w="1417" w:type="dxa"/>
          </w:tcPr>
          <w:p w14:paraId="5AF5AE56">
            <w:pPr>
              <w:widowControl/>
              <w:adjustRightInd w:val="0"/>
              <w:snapToGrid w:val="0"/>
              <w:jc w:val="center"/>
              <w:rPr>
                <w:rFonts w:hint="eastAsia" w:ascii="宋体" w:hAnsi="宋体" w:cs="宋体"/>
                <w:kern w:val="0"/>
                <w:sz w:val="24"/>
                <w:highlight w:val="none"/>
              </w:rPr>
            </w:pPr>
          </w:p>
        </w:tc>
        <w:tc>
          <w:tcPr>
            <w:tcW w:w="1134" w:type="dxa"/>
          </w:tcPr>
          <w:p w14:paraId="1E2DF256">
            <w:pPr>
              <w:widowControl/>
              <w:adjustRightInd w:val="0"/>
              <w:snapToGrid w:val="0"/>
              <w:jc w:val="center"/>
              <w:rPr>
                <w:rFonts w:hint="eastAsia" w:ascii="宋体" w:hAnsi="宋体" w:cs="宋体"/>
                <w:kern w:val="0"/>
                <w:sz w:val="24"/>
                <w:highlight w:val="none"/>
              </w:rPr>
            </w:pPr>
          </w:p>
        </w:tc>
      </w:tr>
      <w:tr w14:paraId="4BC0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B49C674">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10</w:t>
            </w:r>
          </w:p>
        </w:tc>
        <w:tc>
          <w:tcPr>
            <w:tcW w:w="2585" w:type="dxa"/>
            <w:noWrap/>
            <w:vAlign w:val="center"/>
          </w:tcPr>
          <w:p w14:paraId="084F40FD">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恒压变频控制柜</w:t>
            </w:r>
          </w:p>
        </w:tc>
        <w:tc>
          <w:tcPr>
            <w:tcW w:w="992" w:type="dxa"/>
            <w:vAlign w:val="center"/>
          </w:tcPr>
          <w:p w14:paraId="637CCC4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45B68E1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07772789">
            <w:pPr>
              <w:widowControl/>
              <w:adjustRightInd w:val="0"/>
              <w:snapToGrid w:val="0"/>
              <w:jc w:val="center"/>
              <w:rPr>
                <w:rFonts w:hint="eastAsia" w:ascii="宋体" w:hAnsi="宋体" w:cs="宋体"/>
                <w:kern w:val="0"/>
                <w:sz w:val="24"/>
                <w:highlight w:val="none"/>
              </w:rPr>
            </w:pPr>
          </w:p>
        </w:tc>
        <w:tc>
          <w:tcPr>
            <w:tcW w:w="1417" w:type="dxa"/>
          </w:tcPr>
          <w:p w14:paraId="0134784F">
            <w:pPr>
              <w:widowControl/>
              <w:adjustRightInd w:val="0"/>
              <w:snapToGrid w:val="0"/>
              <w:jc w:val="center"/>
              <w:rPr>
                <w:rFonts w:hint="eastAsia" w:ascii="宋体" w:hAnsi="宋体" w:cs="宋体"/>
                <w:kern w:val="0"/>
                <w:sz w:val="24"/>
                <w:highlight w:val="none"/>
              </w:rPr>
            </w:pPr>
          </w:p>
        </w:tc>
        <w:tc>
          <w:tcPr>
            <w:tcW w:w="1134" w:type="dxa"/>
          </w:tcPr>
          <w:p w14:paraId="54F81164">
            <w:pPr>
              <w:widowControl/>
              <w:adjustRightInd w:val="0"/>
              <w:snapToGrid w:val="0"/>
              <w:jc w:val="center"/>
              <w:rPr>
                <w:rFonts w:hint="eastAsia" w:ascii="宋体" w:hAnsi="宋体" w:cs="宋体"/>
                <w:kern w:val="0"/>
                <w:sz w:val="24"/>
                <w:highlight w:val="none"/>
              </w:rPr>
            </w:pPr>
          </w:p>
        </w:tc>
      </w:tr>
      <w:tr w14:paraId="1A4F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20D8FF2A">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11</w:t>
            </w:r>
          </w:p>
        </w:tc>
        <w:tc>
          <w:tcPr>
            <w:tcW w:w="2585" w:type="dxa"/>
            <w:noWrap/>
            <w:vAlign w:val="center"/>
          </w:tcPr>
          <w:p w14:paraId="3FC1AD46">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无线阀控及太阳能板</w:t>
            </w:r>
          </w:p>
        </w:tc>
        <w:tc>
          <w:tcPr>
            <w:tcW w:w="992" w:type="dxa"/>
            <w:vAlign w:val="center"/>
          </w:tcPr>
          <w:p w14:paraId="0421270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06E408A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113</w:t>
            </w:r>
          </w:p>
        </w:tc>
        <w:tc>
          <w:tcPr>
            <w:tcW w:w="1843" w:type="dxa"/>
          </w:tcPr>
          <w:p w14:paraId="752C837F">
            <w:pPr>
              <w:widowControl/>
              <w:adjustRightInd w:val="0"/>
              <w:snapToGrid w:val="0"/>
              <w:jc w:val="center"/>
              <w:rPr>
                <w:rFonts w:hint="eastAsia" w:ascii="宋体" w:hAnsi="宋体" w:cs="宋体"/>
                <w:kern w:val="0"/>
                <w:sz w:val="24"/>
                <w:highlight w:val="none"/>
              </w:rPr>
            </w:pPr>
          </w:p>
        </w:tc>
        <w:tc>
          <w:tcPr>
            <w:tcW w:w="1417" w:type="dxa"/>
          </w:tcPr>
          <w:p w14:paraId="47BD8C02">
            <w:pPr>
              <w:widowControl/>
              <w:adjustRightInd w:val="0"/>
              <w:snapToGrid w:val="0"/>
              <w:jc w:val="center"/>
              <w:rPr>
                <w:rFonts w:hint="eastAsia" w:ascii="宋体" w:hAnsi="宋体" w:cs="宋体"/>
                <w:kern w:val="0"/>
                <w:sz w:val="24"/>
                <w:highlight w:val="none"/>
              </w:rPr>
            </w:pPr>
          </w:p>
        </w:tc>
        <w:tc>
          <w:tcPr>
            <w:tcW w:w="1134" w:type="dxa"/>
          </w:tcPr>
          <w:p w14:paraId="4DB0FFB8">
            <w:pPr>
              <w:widowControl/>
              <w:adjustRightInd w:val="0"/>
              <w:snapToGrid w:val="0"/>
              <w:jc w:val="center"/>
              <w:rPr>
                <w:rFonts w:hint="eastAsia" w:ascii="宋体" w:hAnsi="宋体" w:cs="宋体"/>
                <w:kern w:val="0"/>
                <w:sz w:val="24"/>
                <w:highlight w:val="none"/>
              </w:rPr>
            </w:pPr>
          </w:p>
        </w:tc>
      </w:tr>
      <w:tr w14:paraId="366D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56FE5E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12</w:t>
            </w:r>
          </w:p>
        </w:tc>
        <w:tc>
          <w:tcPr>
            <w:tcW w:w="2585" w:type="dxa"/>
            <w:noWrap/>
            <w:vAlign w:val="center"/>
          </w:tcPr>
          <w:p w14:paraId="10D2A8BB">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灌溉网关总控器</w:t>
            </w:r>
          </w:p>
        </w:tc>
        <w:tc>
          <w:tcPr>
            <w:tcW w:w="992" w:type="dxa"/>
            <w:vAlign w:val="center"/>
          </w:tcPr>
          <w:p w14:paraId="7C9FC60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187DE2C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3072928A">
            <w:pPr>
              <w:widowControl/>
              <w:adjustRightInd w:val="0"/>
              <w:snapToGrid w:val="0"/>
              <w:jc w:val="center"/>
              <w:rPr>
                <w:rFonts w:hint="eastAsia" w:ascii="宋体" w:hAnsi="宋体" w:cs="宋体"/>
                <w:kern w:val="0"/>
                <w:sz w:val="24"/>
                <w:highlight w:val="none"/>
              </w:rPr>
            </w:pPr>
          </w:p>
        </w:tc>
        <w:tc>
          <w:tcPr>
            <w:tcW w:w="1417" w:type="dxa"/>
          </w:tcPr>
          <w:p w14:paraId="366C7739">
            <w:pPr>
              <w:widowControl/>
              <w:adjustRightInd w:val="0"/>
              <w:snapToGrid w:val="0"/>
              <w:jc w:val="center"/>
              <w:rPr>
                <w:rFonts w:hint="eastAsia" w:ascii="宋体" w:hAnsi="宋体" w:cs="宋体"/>
                <w:kern w:val="0"/>
                <w:sz w:val="24"/>
                <w:highlight w:val="none"/>
              </w:rPr>
            </w:pPr>
          </w:p>
        </w:tc>
        <w:tc>
          <w:tcPr>
            <w:tcW w:w="1134" w:type="dxa"/>
          </w:tcPr>
          <w:p w14:paraId="7A269D4C">
            <w:pPr>
              <w:widowControl/>
              <w:adjustRightInd w:val="0"/>
              <w:snapToGrid w:val="0"/>
              <w:jc w:val="center"/>
              <w:rPr>
                <w:rFonts w:hint="eastAsia" w:ascii="宋体" w:hAnsi="宋体" w:cs="宋体"/>
                <w:kern w:val="0"/>
                <w:sz w:val="24"/>
                <w:highlight w:val="none"/>
              </w:rPr>
            </w:pPr>
          </w:p>
        </w:tc>
      </w:tr>
      <w:tr w14:paraId="3DF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B25C514">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13</w:t>
            </w:r>
          </w:p>
        </w:tc>
        <w:tc>
          <w:tcPr>
            <w:tcW w:w="2585" w:type="dxa"/>
            <w:noWrap/>
            <w:vAlign w:val="center"/>
          </w:tcPr>
          <w:p w14:paraId="13065341">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液位传感器</w:t>
            </w:r>
          </w:p>
        </w:tc>
        <w:tc>
          <w:tcPr>
            <w:tcW w:w="992" w:type="dxa"/>
            <w:vAlign w:val="center"/>
          </w:tcPr>
          <w:p w14:paraId="74B4A6E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5174A26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c>
          <w:tcPr>
            <w:tcW w:w="1843" w:type="dxa"/>
          </w:tcPr>
          <w:p w14:paraId="0287D84A">
            <w:pPr>
              <w:widowControl/>
              <w:adjustRightInd w:val="0"/>
              <w:snapToGrid w:val="0"/>
              <w:jc w:val="center"/>
              <w:rPr>
                <w:rFonts w:hint="eastAsia" w:ascii="宋体" w:hAnsi="宋体" w:cs="宋体"/>
                <w:kern w:val="0"/>
                <w:sz w:val="24"/>
                <w:highlight w:val="none"/>
              </w:rPr>
            </w:pPr>
          </w:p>
        </w:tc>
        <w:tc>
          <w:tcPr>
            <w:tcW w:w="1417" w:type="dxa"/>
          </w:tcPr>
          <w:p w14:paraId="30813433">
            <w:pPr>
              <w:widowControl/>
              <w:adjustRightInd w:val="0"/>
              <w:snapToGrid w:val="0"/>
              <w:jc w:val="center"/>
              <w:rPr>
                <w:rFonts w:hint="eastAsia" w:ascii="宋体" w:hAnsi="宋体" w:cs="宋体"/>
                <w:kern w:val="0"/>
                <w:sz w:val="24"/>
                <w:highlight w:val="none"/>
              </w:rPr>
            </w:pPr>
          </w:p>
        </w:tc>
        <w:tc>
          <w:tcPr>
            <w:tcW w:w="1134" w:type="dxa"/>
          </w:tcPr>
          <w:p w14:paraId="67BC4D89">
            <w:pPr>
              <w:widowControl/>
              <w:adjustRightInd w:val="0"/>
              <w:snapToGrid w:val="0"/>
              <w:jc w:val="center"/>
              <w:rPr>
                <w:rFonts w:hint="eastAsia" w:ascii="宋体" w:hAnsi="宋体" w:cs="宋体"/>
                <w:kern w:val="0"/>
                <w:sz w:val="24"/>
                <w:highlight w:val="none"/>
              </w:rPr>
            </w:pPr>
          </w:p>
        </w:tc>
      </w:tr>
      <w:tr w14:paraId="64C3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A7AA95F">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14</w:t>
            </w:r>
          </w:p>
        </w:tc>
        <w:tc>
          <w:tcPr>
            <w:tcW w:w="2585" w:type="dxa"/>
            <w:noWrap/>
            <w:vAlign w:val="center"/>
          </w:tcPr>
          <w:p w14:paraId="2EC07B81">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压力仪表</w:t>
            </w:r>
          </w:p>
        </w:tc>
        <w:tc>
          <w:tcPr>
            <w:tcW w:w="992" w:type="dxa"/>
            <w:vAlign w:val="center"/>
          </w:tcPr>
          <w:p w14:paraId="294EBD1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4CB9AC5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0A1494C4">
            <w:pPr>
              <w:widowControl/>
              <w:adjustRightInd w:val="0"/>
              <w:snapToGrid w:val="0"/>
              <w:jc w:val="center"/>
              <w:rPr>
                <w:rFonts w:hint="eastAsia" w:ascii="宋体" w:hAnsi="宋体" w:cs="宋体"/>
                <w:kern w:val="0"/>
                <w:sz w:val="24"/>
                <w:highlight w:val="none"/>
              </w:rPr>
            </w:pPr>
          </w:p>
        </w:tc>
        <w:tc>
          <w:tcPr>
            <w:tcW w:w="1417" w:type="dxa"/>
          </w:tcPr>
          <w:p w14:paraId="529BE7E9">
            <w:pPr>
              <w:widowControl/>
              <w:adjustRightInd w:val="0"/>
              <w:snapToGrid w:val="0"/>
              <w:jc w:val="center"/>
              <w:rPr>
                <w:rFonts w:hint="eastAsia" w:ascii="宋体" w:hAnsi="宋体" w:cs="宋体"/>
                <w:kern w:val="0"/>
                <w:sz w:val="24"/>
                <w:highlight w:val="none"/>
              </w:rPr>
            </w:pPr>
          </w:p>
        </w:tc>
        <w:tc>
          <w:tcPr>
            <w:tcW w:w="1134" w:type="dxa"/>
          </w:tcPr>
          <w:p w14:paraId="421CC523">
            <w:pPr>
              <w:widowControl/>
              <w:adjustRightInd w:val="0"/>
              <w:snapToGrid w:val="0"/>
              <w:jc w:val="center"/>
              <w:rPr>
                <w:rFonts w:hint="eastAsia" w:ascii="宋体" w:hAnsi="宋体" w:cs="宋体"/>
                <w:kern w:val="0"/>
                <w:sz w:val="24"/>
                <w:highlight w:val="none"/>
              </w:rPr>
            </w:pPr>
          </w:p>
        </w:tc>
      </w:tr>
      <w:tr w14:paraId="4013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2EA6BA3">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15</w:t>
            </w:r>
          </w:p>
        </w:tc>
        <w:tc>
          <w:tcPr>
            <w:tcW w:w="2585" w:type="dxa"/>
            <w:noWrap/>
            <w:vAlign w:val="center"/>
          </w:tcPr>
          <w:p w14:paraId="3630139F">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压力传感器</w:t>
            </w:r>
          </w:p>
        </w:tc>
        <w:tc>
          <w:tcPr>
            <w:tcW w:w="992" w:type="dxa"/>
            <w:vAlign w:val="center"/>
          </w:tcPr>
          <w:p w14:paraId="6D6D989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208302C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5D0DD811">
            <w:pPr>
              <w:widowControl/>
              <w:adjustRightInd w:val="0"/>
              <w:snapToGrid w:val="0"/>
              <w:jc w:val="center"/>
              <w:rPr>
                <w:rFonts w:hint="eastAsia" w:ascii="宋体" w:hAnsi="宋体" w:cs="宋体"/>
                <w:kern w:val="0"/>
                <w:sz w:val="24"/>
                <w:highlight w:val="none"/>
              </w:rPr>
            </w:pPr>
          </w:p>
        </w:tc>
        <w:tc>
          <w:tcPr>
            <w:tcW w:w="1417" w:type="dxa"/>
          </w:tcPr>
          <w:p w14:paraId="7726ED39">
            <w:pPr>
              <w:widowControl/>
              <w:adjustRightInd w:val="0"/>
              <w:snapToGrid w:val="0"/>
              <w:jc w:val="center"/>
              <w:rPr>
                <w:rFonts w:hint="eastAsia" w:ascii="宋体" w:hAnsi="宋体" w:cs="宋体"/>
                <w:kern w:val="0"/>
                <w:sz w:val="24"/>
                <w:highlight w:val="none"/>
              </w:rPr>
            </w:pPr>
          </w:p>
        </w:tc>
        <w:tc>
          <w:tcPr>
            <w:tcW w:w="1134" w:type="dxa"/>
          </w:tcPr>
          <w:p w14:paraId="2B6796E0">
            <w:pPr>
              <w:widowControl/>
              <w:adjustRightInd w:val="0"/>
              <w:snapToGrid w:val="0"/>
              <w:jc w:val="center"/>
              <w:rPr>
                <w:rFonts w:hint="eastAsia" w:ascii="宋体" w:hAnsi="宋体" w:cs="宋体"/>
                <w:kern w:val="0"/>
                <w:sz w:val="24"/>
                <w:highlight w:val="none"/>
              </w:rPr>
            </w:pPr>
          </w:p>
        </w:tc>
      </w:tr>
      <w:tr w14:paraId="7CC6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2352AB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16</w:t>
            </w:r>
          </w:p>
        </w:tc>
        <w:tc>
          <w:tcPr>
            <w:tcW w:w="2585" w:type="dxa"/>
            <w:noWrap/>
            <w:vAlign w:val="center"/>
          </w:tcPr>
          <w:p w14:paraId="5CB45DC2">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超声波流量计</w:t>
            </w:r>
          </w:p>
        </w:tc>
        <w:tc>
          <w:tcPr>
            <w:tcW w:w="992" w:type="dxa"/>
            <w:vAlign w:val="center"/>
          </w:tcPr>
          <w:p w14:paraId="0E7DCCE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0B2B2D5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12780209">
            <w:pPr>
              <w:widowControl/>
              <w:adjustRightInd w:val="0"/>
              <w:snapToGrid w:val="0"/>
              <w:jc w:val="center"/>
              <w:rPr>
                <w:rFonts w:hint="eastAsia" w:ascii="宋体" w:hAnsi="宋体" w:cs="宋体"/>
                <w:kern w:val="0"/>
                <w:sz w:val="24"/>
                <w:highlight w:val="none"/>
              </w:rPr>
            </w:pPr>
          </w:p>
        </w:tc>
        <w:tc>
          <w:tcPr>
            <w:tcW w:w="1417" w:type="dxa"/>
          </w:tcPr>
          <w:p w14:paraId="20F2BE0E">
            <w:pPr>
              <w:widowControl/>
              <w:adjustRightInd w:val="0"/>
              <w:snapToGrid w:val="0"/>
              <w:jc w:val="center"/>
              <w:rPr>
                <w:rFonts w:hint="eastAsia" w:ascii="宋体" w:hAnsi="宋体" w:cs="宋体"/>
                <w:kern w:val="0"/>
                <w:sz w:val="24"/>
                <w:highlight w:val="none"/>
              </w:rPr>
            </w:pPr>
          </w:p>
        </w:tc>
        <w:tc>
          <w:tcPr>
            <w:tcW w:w="1134" w:type="dxa"/>
          </w:tcPr>
          <w:p w14:paraId="1B71EE10">
            <w:pPr>
              <w:widowControl/>
              <w:adjustRightInd w:val="0"/>
              <w:snapToGrid w:val="0"/>
              <w:jc w:val="center"/>
              <w:rPr>
                <w:rFonts w:hint="eastAsia" w:ascii="宋体" w:hAnsi="宋体" w:cs="宋体"/>
                <w:kern w:val="0"/>
                <w:sz w:val="24"/>
                <w:highlight w:val="none"/>
              </w:rPr>
            </w:pPr>
          </w:p>
        </w:tc>
      </w:tr>
      <w:tr w14:paraId="6900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B08FDCF">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17</w:t>
            </w:r>
          </w:p>
        </w:tc>
        <w:tc>
          <w:tcPr>
            <w:tcW w:w="2585" w:type="dxa"/>
            <w:noWrap/>
            <w:vAlign w:val="center"/>
          </w:tcPr>
          <w:p w14:paraId="52FDD2D4">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软密封闸阀</w:t>
            </w:r>
          </w:p>
        </w:tc>
        <w:tc>
          <w:tcPr>
            <w:tcW w:w="992" w:type="dxa"/>
            <w:vAlign w:val="center"/>
          </w:tcPr>
          <w:p w14:paraId="6E8DE6C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54DA6ED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5ADB7B08">
            <w:pPr>
              <w:widowControl/>
              <w:adjustRightInd w:val="0"/>
              <w:snapToGrid w:val="0"/>
              <w:jc w:val="center"/>
              <w:rPr>
                <w:rFonts w:hint="eastAsia" w:ascii="宋体" w:hAnsi="宋体" w:cs="宋体"/>
                <w:kern w:val="0"/>
                <w:sz w:val="24"/>
                <w:highlight w:val="none"/>
              </w:rPr>
            </w:pPr>
          </w:p>
        </w:tc>
        <w:tc>
          <w:tcPr>
            <w:tcW w:w="1417" w:type="dxa"/>
          </w:tcPr>
          <w:p w14:paraId="310BD9F1">
            <w:pPr>
              <w:widowControl/>
              <w:adjustRightInd w:val="0"/>
              <w:snapToGrid w:val="0"/>
              <w:jc w:val="center"/>
              <w:rPr>
                <w:rFonts w:hint="eastAsia" w:ascii="宋体" w:hAnsi="宋体" w:cs="宋体"/>
                <w:kern w:val="0"/>
                <w:sz w:val="24"/>
                <w:highlight w:val="none"/>
              </w:rPr>
            </w:pPr>
          </w:p>
        </w:tc>
        <w:tc>
          <w:tcPr>
            <w:tcW w:w="1134" w:type="dxa"/>
          </w:tcPr>
          <w:p w14:paraId="2EB4CBF1">
            <w:pPr>
              <w:widowControl/>
              <w:adjustRightInd w:val="0"/>
              <w:snapToGrid w:val="0"/>
              <w:jc w:val="center"/>
              <w:rPr>
                <w:rFonts w:hint="eastAsia" w:ascii="宋体" w:hAnsi="宋体" w:cs="宋体"/>
                <w:kern w:val="0"/>
                <w:sz w:val="24"/>
                <w:highlight w:val="none"/>
              </w:rPr>
            </w:pPr>
          </w:p>
        </w:tc>
      </w:tr>
      <w:tr w14:paraId="442D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9A4600B">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18</w:t>
            </w:r>
          </w:p>
        </w:tc>
        <w:tc>
          <w:tcPr>
            <w:tcW w:w="2585" w:type="dxa"/>
            <w:noWrap/>
            <w:vAlign w:val="center"/>
          </w:tcPr>
          <w:p w14:paraId="12057857">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真空破坏器</w:t>
            </w:r>
          </w:p>
        </w:tc>
        <w:tc>
          <w:tcPr>
            <w:tcW w:w="992" w:type="dxa"/>
            <w:vAlign w:val="center"/>
          </w:tcPr>
          <w:p w14:paraId="76E65C1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7E690C2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1F03BD16">
            <w:pPr>
              <w:widowControl/>
              <w:adjustRightInd w:val="0"/>
              <w:snapToGrid w:val="0"/>
              <w:jc w:val="center"/>
              <w:rPr>
                <w:rFonts w:hint="eastAsia" w:ascii="宋体" w:hAnsi="宋体" w:cs="宋体"/>
                <w:kern w:val="0"/>
                <w:sz w:val="24"/>
                <w:highlight w:val="none"/>
              </w:rPr>
            </w:pPr>
          </w:p>
        </w:tc>
        <w:tc>
          <w:tcPr>
            <w:tcW w:w="1417" w:type="dxa"/>
          </w:tcPr>
          <w:p w14:paraId="6D79C025">
            <w:pPr>
              <w:widowControl/>
              <w:adjustRightInd w:val="0"/>
              <w:snapToGrid w:val="0"/>
              <w:jc w:val="center"/>
              <w:rPr>
                <w:rFonts w:hint="eastAsia" w:ascii="宋体" w:hAnsi="宋体" w:cs="宋体"/>
                <w:kern w:val="0"/>
                <w:sz w:val="24"/>
                <w:highlight w:val="none"/>
              </w:rPr>
            </w:pPr>
          </w:p>
        </w:tc>
        <w:tc>
          <w:tcPr>
            <w:tcW w:w="1134" w:type="dxa"/>
          </w:tcPr>
          <w:p w14:paraId="72CD2C65">
            <w:pPr>
              <w:widowControl/>
              <w:adjustRightInd w:val="0"/>
              <w:snapToGrid w:val="0"/>
              <w:jc w:val="center"/>
              <w:rPr>
                <w:rFonts w:hint="eastAsia" w:ascii="宋体" w:hAnsi="宋体" w:cs="宋体"/>
                <w:kern w:val="0"/>
                <w:sz w:val="24"/>
                <w:highlight w:val="none"/>
              </w:rPr>
            </w:pPr>
          </w:p>
        </w:tc>
      </w:tr>
      <w:tr w14:paraId="6CDE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24C05D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19</w:t>
            </w:r>
          </w:p>
        </w:tc>
        <w:tc>
          <w:tcPr>
            <w:tcW w:w="2585" w:type="dxa"/>
            <w:noWrap/>
            <w:vAlign w:val="center"/>
          </w:tcPr>
          <w:p w14:paraId="0988ACED">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持压阀</w:t>
            </w:r>
          </w:p>
        </w:tc>
        <w:tc>
          <w:tcPr>
            <w:tcW w:w="992" w:type="dxa"/>
            <w:vAlign w:val="center"/>
          </w:tcPr>
          <w:p w14:paraId="5B5EACD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5A192BB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12AED823">
            <w:pPr>
              <w:widowControl/>
              <w:adjustRightInd w:val="0"/>
              <w:snapToGrid w:val="0"/>
              <w:jc w:val="center"/>
              <w:rPr>
                <w:rFonts w:hint="eastAsia" w:ascii="宋体" w:hAnsi="宋体" w:cs="宋体"/>
                <w:kern w:val="0"/>
                <w:sz w:val="24"/>
                <w:highlight w:val="none"/>
              </w:rPr>
            </w:pPr>
          </w:p>
        </w:tc>
        <w:tc>
          <w:tcPr>
            <w:tcW w:w="1417" w:type="dxa"/>
          </w:tcPr>
          <w:p w14:paraId="58A66339">
            <w:pPr>
              <w:widowControl/>
              <w:adjustRightInd w:val="0"/>
              <w:snapToGrid w:val="0"/>
              <w:jc w:val="center"/>
              <w:rPr>
                <w:rFonts w:hint="eastAsia" w:ascii="宋体" w:hAnsi="宋体" w:cs="宋体"/>
                <w:kern w:val="0"/>
                <w:sz w:val="24"/>
                <w:highlight w:val="none"/>
              </w:rPr>
            </w:pPr>
          </w:p>
        </w:tc>
        <w:tc>
          <w:tcPr>
            <w:tcW w:w="1134" w:type="dxa"/>
          </w:tcPr>
          <w:p w14:paraId="02395781">
            <w:pPr>
              <w:widowControl/>
              <w:adjustRightInd w:val="0"/>
              <w:snapToGrid w:val="0"/>
              <w:jc w:val="center"/>
              <w:rPr>
                <w:rFonts w:hint="eastAsia" w:ascii="宋体" w:hAnsi="宋体" w:cs="宋体"/>
                <w:kern w:val="0"/>
                <w:sz w:val="24"/>
                <w:highlight w:val="none"/>
              </w:rPr>
            </w:pPr>
          </w:p>
        </w:tc>
      </w:tr>
      <w:tr w14:paraId="1488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340D73B4">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20</w:t>
            </w:r>
          </w:p>
        </w:tc>
        <w:tc>
          <w:tcPr>
            <w:tcW w:w="2585" w:type="dxa"/>
            <w:noWrap/>
            <w:vAlign w:val="center"/>
          </w:tcPr>
          <w:p w14:paraId="031C9164">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hint="eastAsia" w:ascii="宋体" w:hAnsi="宋体" w:cs="宋体"/>
                <w:color w:val="000000"/>
                <w:kern w:val="0"/>
                <w:sz w:val="24"/>
                <w:highlight w:val="none"/>
              </w:rPr>
              <w:t>止回阀（单向阀）</w:t>
            </w:r>
          </w:p>
        </w:tc>
        <w:tc>
          <w:tcPr>
            <w:tcW w:w="992" w:type="dxa"/>
            <w:vAlign w:val="center"/>
          </w:tcPr>
          <w:p w14:paraId="7A026A5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49B7651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c>
          <w:tcPr>
            <w:tcW w:w="1843" w:type="dxa"/>
          </w:tcPr>
          <w:p w14:paraId="1BAE75D5">
            <w:pPr>
              <w:widowControl/>
              <w:adjustRightInd w:val="0"/>
              <w:snapToGrid w:val="0"/>
              <w:jc w:val="center"/>
              <w:rPr>
                <w:rFonts w:hint="eastAsia" w:ascii="宋体" w:hAnsi="宋体" w:cs="宋体"/>
                <w:kern w:val="0"/>
                <w:sz w:val="24"/>
                <w:highlight w:val="none"/>
              </w:rPr>
            </w:pPr>
          </w:p>
        </w:tc>
        <w:tc>
          <w:tcPr>
            <w:tcW w:w="1417" w:type="dxa"/>
          </w:tcPr>
          <w:p w14:paraId="0EEB28A0">
            <w:pPr>
              <w:widowControl/>
              <w:adjustRightInd w:val="0"/>
              <w:snapToGrid w:val="0"/>
              <w:jc w:val="center"/>
              <w:rPr>
                <w:rFonts w:hint="eastAsia" w:ascii="宋体" w:hAnsi="宋体" w:cs="宋体"/>
                <w:kern w:val="0"/>
                <w:sz w:val="24"/>
                <w:highlight w:val="none"/>
              </w:rPr>
            </w:pPr>
          </w:p>
        </w:tc>
        <w:tc>
          <w:tcPr>
            <w:tcW w:w="1134" w:type="dxa"/>
          </w:tcPr>
          <w:p w14:paraId="6E823719">
            <w:pPr>
              <w:widowControl/>
              <w:adjustRightInd w:val="0"/>
              <w:snapToGrid w:val="0"/>
              <w:jc w:val="center"/>
              <w:rPr>
                <w:rFonts w:hint="eastAsia" w:ascii="宋体" w:hAnsi="宋体" w:cs="宋体"/>
                <w:kern w:val="0"/>
                <w:sz w:val="24"/>
                <w:highlight w:val="none"/>
              </w:rPr>
            </w:pPr>
          </w:p>
        </w:tc>
      </w:tr>
      <w:tr w14:paraId="2564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9099AC0">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21</w:t>
            </w:r>
          </w:p>
        </w:tc>
        <w:tc>
          <w:tcPr>
            <w:tcW w:w="2585" w:type="dxa"/>
            <w:noWrap/>
            <w:vAlign w:val="center"/>
          </w:tcPr>
          <w:p w14:paraId="60829B67">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底阀</w:t>
            </w:r>
          </w:p>
        </w:tc>
        <w:tc>
          <w:tcPr>
            <w:tcW w:w="992" w:type="dxa"/>
            <w:vAlign w:val="center"/>
          </w:tcPr>
          <w:p w14:paraId="0D90AE9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0286871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7DFA161C">
            <w:pPr>
              <w:widowControl/>
              <w:adjustRightInd w:val="0"/>
              <w:snapToGrid w:val="0"/>
              <w:jc w:val="center"/>
              <w:rPr>
                <w:rFonts w:hint="eastAsia" w:ascii="宋体" w:hAnsi="宋体" w:cs="宋体"/>
                <w:kern w:val="0"/>
                <w:sz w:val="24"/>
                <w:highlight w:val="none"/>
              </w:rPr>
            </w:pPr>
          </w:p>
        </w:tc>
        <w:tc>
          <w:tcPr>
            <w:tcW w:w="1417" w:type="dxa"/>
          </w:tcPr>
          <w:p w14:paraId="7E2F2150">
            <w:pPr>
              <w:widowControl/>
              <w:adjustRightInd w:val="0"/>
              <w:snapToGrid w:val="0"/>
              <w:jc w:val="center"/>
              <w:rPr>
                <w:rFonts w:hint="eastAsia" w:ascii="宋体" w:hAnsi="宋体" w:cs="宋体"/>
                <w:kern w:val="0"/>
                <w:sz w:val="24"/>
                <w:highlight w:val="none"/>
              </w:rPr>
            </w:pPr>
          </w:p>
        </w:tc>
        <w:tc>
          <w:tcPr>
            <w:tcW w:w="1134" w:type="dxa"/>
          </w:tcPr>
          <w:p w14:paraId="711DF59E">
            <w:pPr>
              <w:widowControl/>
              <w:adjustRightInd w:val="0"/>
              <w:snapToGrid w:val="0"/>
              <w:jc w:val="center"/>
              <w:rPr>
                <w:rFonts w:hint="eastAsia" w:ascii="宋体" w:hAnsi="宋体" w:cs="宋体"/>
                <w:kern w:val="0"/>
                <w:sz w:val="24"/>
                <w:highlight w:val="none"/>
              </w:rPr>
            </w:pPr>
          </w:p>
        </w:tc>
      </w:tr>
      <w:tr w14:paraId="70BD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FD37AFE">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22</w:t>
            </w:r>
          </w:p>
        </w:tc>
        <w:tc>
          <w:tcPr>
            <w:tcW w:w="2585" w:type="dxa"/>
            <w:noWrap/>
            <w:vAlign w:val="center"/>
          </w:tcPr>
          <w:p w14:paraId="0F221C1F">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水肥一体化控制系统及仪表——</w:t>
            </w:r>
            <w:r>
              <w:rPr>
                <w:rFonts w:ascii="宋体" w:hAnsi="宋体" w:cs="宋体"/>
                <w:color w:val="000000"/>
                <w:kern w:val="0"/>
                <w:sz w:val="24"/>
                <w:highlight w:val="none"/>
              </w:rPr>
              <w:t>泄压阀</w:t>
            </w:r>
          </w:p>
        </w:tc>
        <w:tc>
          <w:tcPr>
            <w:tcW w:w="992" w:type="dxa"/>
            <w:vAlign w:val="center"/>
          </w:tcPr>
          <w:p w14:paraId="2A9D8D6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7947895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486C4996">
            <w:pPr>
              <w:widowControl/>
              <w:adjustRightInd w:val="0"/>
              <w:snapToGrid w:val="0"/>
              <w:jc w:val="center"/>
              <w:rPr>
                <w:rFonts w:hint="eastAsia" w:ascii="宋体" w:hAnsi="宋体" w:cs="宋体"/>
                <w:kern w:val="0"/>
                <w:sz w:val="24"/>
                <w:highlight w:val="none"/>
              </w:rPr>
            </w:pPr>
          </w:p>
        </w:tc>
        <w:tc>
          <w:tcPr>
            <w:tcW w:w="1417" w:type="dxa"/>
          </w:tcPr>
          <w:p w14:paraId="7D4FD2E2">
            <w:pPr>
              <w:widowControl/>
              <w:adjustRightInd w:val="0"/>
              <w:snapToGrid w:val="0"/>
              <w:jc w:val="center"/>
              <w:rPr>
                <w:rFonts w:hint="eastAsia" w:ascii="宋体" w:hAnsi="宋体" w:cs="宋体"/>
                <w:kern w:val="0"/>
                <w:sz w:val="24"/>
                <w:highlight w:val="none"/>
              </w:rPr>
            </w:pPr>
          </w:p>
        </w:tc>
        <w:tc>
          <w:tcPr>
            <w:tcW w:w="1134" w:type="dxa"/>
          </w:tcPr>
          <w:p w14:paraId="7A5A2EAB">
            <w:pPr>
              <w:widowControl/>
              <w:adjustRightInd w:val="0"/>
              <w:snapToGrid w:val="0"/>
              <w:jc w:val="center"/>
              <w:rPr>
                <w:rFonts w:hint="eastAsia" w:ascii="宋体" w:hAnsi="宋体" w:cs="宋体"/>
                <w:kern w:val="0"/>
                <w:sz w:val="24"/>
                <w:highlight w:val="none"/>
              </w:rPr>
            </w:pPr>
          </w:p>
        </w:tc>
      </w:tr>
      <w:tr w14:paraId="7957F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2BF2F0E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23</w:t>
            </w:r>
          </w:p>
        </w:tc>
        <w:tc>
          <w:tcPr>
            <w:tcW w:w="2585" w:type="dxa"/>
            <w:noWrap/>
            <w:vAlign w:val="center"/>
          </w:tcPr>
          <w:p w14:paraId="2210764E">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水肥一体化首部系统——卧式离心泵</w:t>
            </w:r>
          </w:p>
        </w:tc>
        <w:tc>
          <w:tcPr>
            <w:tcW w:w="992" w:type="dxa"/>
            <w:vAlign w:val="center"/>
          </w:tcPr>
          <w:p w14:paraId="6C97648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06F77E5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c>
          <w:tcPr>
            <w:tcW w:w="1843" w:type="dxa"/>
          </w:tcPr>
          <w:p w14:paraId="5FB74CA3">
            <w:pPr>
              <w:widowControl/>
              <w:adjustRightInd w:val="0"/>
              <w:snapToGrid w:val="0"/>
              <w:jc w:val="center"/>
              <w:rPr>
                <w:rFonts w:hint="eastAsia" w:ascii="宋体" w:hAnsi="宋体" w:cs="宋体"/>
                <w:kern w:val="0"/>
                <w:sz w:val="24"/>
                <w:highlight w:val="none"/>
              </w:rPr>
            </w:pPr>
          </w:p>
        </w:tc>
        <w:tc>
          <w:tcPr>
            <w:tcW w:w="1417" w:type="dxa"/>
          </w:tcPr>
          <w:p w14:paraId="1603F26B">
            <w:pPr>
              <w:widowControl/>
              <w:adjustRightInd w:val="0"/>
              <w:snapToGrid w:val="0"/>
              <w:jc w:val="center"/>
              <w:rPr>
                <w:rFonts w:hint="eastAsia" w:ascii="宋体" w:hAnsi="宋体" w:cs="宋体"/>
                <w:kern w:val="0"/>
                <w:sz w:val="24"/>
                <w:highlight w:val="none"/>
              </w:rPr>
            </w:pPr>
          </w:p>
        </w:tc>
        <w:tc>
          <w:tcPr>
            <w:tcW w:w="1134" w:type="dxa"/>
          </w:tcPr>
          <w:p w14:paraId="3077A73F">
            <w:pPr>
              <w:widowControl/>
              <w:adjustRightInd w:val="0"/>
              <w:snapToGrid w:val="0"/>
              <w:jc w:val="center"/>
              <w:rPr>
                <w:rFonts w:hint="eastAsia" w:ascii="宋体" w:hAnsi="宋体" w:cs="宋体"/>
                <w:kern w:val="0"/>
                <w:sz w:val="24"/>
                <w:highlight w:val="none"/>
              </w:rPr>
            </w:pPr>
          </w:p>
        </w:tc>
      </w:tr>
      <w:tr w14:paraId="4991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3E49D471">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24</w:t>
            </w:r>
          </w:p>
        </w:tc>
        <w:tc>
          <w:tcPr>
            <w:tcW w:w="2585" w:type="dxa"/>
            <w:noWrap/>
            <w:vAlign w:val="center"/>
          </w:tcPr>
          <w:p w14:paraId="3167C5D9">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水肥一体化过滤系统——</w:t>
            </w:r>
            <w:r>
              <w:rPr>
                <w:rFonts w:ascii="宋体" w:hAnsi="宋体" w:cs="宋体"/>
                <w:color w:val="000000"/>
                <w:kern w:val="0"/>
                <w:sz w:val="24"/>
                <w:highlight w:val="none"/>
              </w:rPr>
              <w:t>自动反冲洗砂石过滤器</w:t>
            </w:r>
          </w:p>
        </w:tc>
        <w:tc>
          <w:tcPr>
            <w:tcW w:w="992" w:type="dxa"/>
            <w:vAlign w:val="center"/>
          </w:tcPr>
          <w:p w14:paraId="751DE4A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16D9DE2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3F2CE912">
            <w:pPr>
              <w:widowControl/>
              <w:adjustRightInd w:val="0"/>
              <w:snapToGrid w:val="0"/>
              <w:jc w:val="center"/>
              <w:rPr>
                <w:rFonts w:hint="eastAsia" w:ascii="宋体" w:hAnsi="宋体" w:cs="宋体"/>
                <w:kern w:val="0"/>
                <w:sz w:val="24"/>
                <w:highlight w:val="none"/>
              </w:rPr>
            </w:pPr>
          </w:p>
        </w:tc>
        <w:tc>
          <w:tcPr>
            <w:tcW w:w="1417" w:type="dxa"/>
          </w:tcPr>
          <w:p w14:paraId="38F61C06">
            <w:pPr>
              <w:widowControl/>
              <w:adjustRightInd w:val="0"/>
              <w:snapToGrid w:val="0"/>
              <w:jc w:val="center"/>
              <w:rPr>
                <w:rFonts w:hint="eastAsia" w:ascii="宋体" w:hAnsi="宋体" w:cs="宋体"/>
                <w:kern w:val="0"/>
                <w:sz w:val="24"/>
                <w:highlight w:val="none"/>
              </w:rPr>
            </w:pPr>
          </w:p>
        </w:tc>
        <w:tc>
          <w:tcPr>
            <w:tcW w:w="1134" w:type="dxa"/>
          </w:tcPr>
          <w:p w14:paraId="549DECC4">
            <w:pPr>
              <w:widowControl/>
              <w:adjustRightInd w:val="0"/>
              <w:snapToGrid w:val="0"/>
              <w:jc w:val="center"/>
              <w:rPr>
                <w:rFonts w:hint="eastAsia" w:ascii="宋体" w:hAnsi="宋体" w:cs="宋体"/>
                <w:kern w:val="0"/>
                <w:sz w:val="24"/>
                <w:highlight w:val="none"/>
              </w:rPr>
            </w:pPr>
          </w:p>
        </w:tc>
      </w:tr>
      <w:tr w14:paraId="6EEA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C8DB0B4">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25</w:t>
            </w:r>
          </w:p>
        </w:tc>
        <w:tc>
          <w:tcPr>
            <w:tcW w:w="2585" w:type="dxa"/>
            <w:noWrap/>
            <w:vAlign w:val="center"/>
          </w:tcPr>
          <w:p w14:paraId="42C0E1BA">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水肥一体化过滤系统——</w:t>
            </w:r>
            <w:r>
              <w:rPr>
                <w:rFonts w:ascii="宋体" w:hAnsi="宋体" w:cs="宋体"/>
                <w:color w:val="000000"/>
                <w:kern w:val="0"/>
                <w:sz w:val="24"/>
                <w:highlight w:val="none"/>
              </w:rPr>
              <w:t>自动反冲洗叠片过滤器</w:t>
            </w:r>
          </w:p>
        </w:tc>
        <w:tc>
          <w:tcPr>
            <w:tcW w:w="992" w:type="dxa"/>
            <w:vAlign w:val="center"/>
          </w:tcPr>
          <w:p w14:paraId="7CA06B7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3147BEB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286BA648">
            <w:pPr>
              <w:widowControl/>
              <w:adjustRightInd w:val="0"/>
              <w:snapToGrid w:val="0"/>
              <w:jc w:val="center"/>
              <w:rPr>
                <w:rFonts w:hint="eastAsia" w:ascii="宋体" w:hAnsi="宋体" w:cs="宋体"/>
                <w:kern w:val="0"/>
                <w:sz w:val="24"/>
                <w:highlight w:val="none"/>
              </w:rPr>
            </w:pPr>
          </w:p>
        </w:tc>
        <w:tc>
          <w:tcPr>
            <w:tcW w:w="1417" w:type="dxa"/>
          </w:tcPr>
          <w:p w14:paraId="44D6D60C">
            <w:pPr>
              <w:widowControl/>
              <w:adjustRightInd w:val="0"/>
              <w:snapToGrid w:val="0"/>
              <w:jc w:val="center"/>
              <w:rPr>
                <w:rFonts w:hint="eastAsia" w:ascii="宋体" w:hAnsi="宋体" w:cs="宋体"/>
                <w:kern w:val="0"/>
                <w:sz w:val="24"/>
                <w:highlight w:val="none"/>
              </w:rPr>
            </w:pPr>
          </w:p>
        </w:tc>
        <w:tc>
          <w:tcPr>
            <w:tcW w:w="1134" w:type="dxa"/>
          </w:tcPr>
          <w:p w14:paraId="00DE658D">
            <w:pPr>
              <w:widowControl/>
              <w:adjustRightInd w:val="0"/>
              <w:snapToGrid w:val="0"/>
              <w:jc w:val="center"/>
              <w:rPr>
                <w:rFonts w:hint="eastAsia" w:ascii="宋体" w:hAnsi="宋体" w:cs="宋体"/>
                <w:kern w:val="0"/>
                <w:sz w:val="24"/>
                <w:highlight w:val="none"/>
              </w:rPr>
            </w:pPr>
          </w:p>
        </w:tc>
      </w:tr>
      <w:tr w14:paraId="00A9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366B51F3">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26</w:t>
            </w:r>
          </w:p>
        </w:tc>
        <w:tc>
          <w:tcPr>
            <w:tcW w:w="2585" w:type="dxa"/>
            <w:noWrap/>
            <w:vAlign w:val="center"/>
          </w:tcPr>
          <w:p w14:paraId="4E33B7DC">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三通道施肥机</w:t>
            </w:r>
          </w:p>
        </w:tc>
        <w:tc>
          <w:tcPr>
            <w:tcW w:w="992" w:type="dxa"/>
            <w:vAlign w:val="center"/>
          </w:tcPr>
          <w:p w14:paraId="312151E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650FD9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4C1D536F">
            <w:pPr>
              <w:widowControl/>
              <w:adjustRightInd w:val="0"/>
              <w:snapToGrid w:val="0"/>
              <w:jc w:val="center"/>
              <w:rPr>
                <w:rFonts w:hint="eastAsia" w:ascii="宋体" w:hAnsi="宋体" w:cs="宋体"/>
                <w:kern w:val="0"/>
                <w:sz w:val="24"/>
                <w:highlight w:val="none"/>
              </w:rPr>
            </w:pPr>
          </w:p>
        </w:tc>
        <w:tc>
          <w:tcPr>
            <w:tcW w:w="1417" w:type="dxa"/>
          </w:tcPr>
          <w:p w14:paraId="1C16B167">
            <w:pPr>
              <w:widowControl/>
              <w:adjustRightInd w:val="0"/>
              <w:snapToGrid w:val="0"/>
              <w:jc w:val="center"/>
              <w:rPr>
                <w:rFonts w:hint="eastAsia" w:ascii="宋体" w:hAnsi="宋体" w:cs="宋体"/>
                <w:kern w:val="0"/>
                <w:sz w:val="24"/>
                <w:highlight w:val="none"/>
              </w:rPr>
            </w:pPr>
          </w:p>
        </w:tc>
        <w:tc>
          <w:tcPr>
            <w:tcW w:w="1134" w:type="dxa"/>
          </w:tcPr>
          <w:p w14:paraId="2DA07B5C">
            <w:pPr>
              <w:widowControl/>
              <w:adjustRightInd w:val="0"/>
              <w:snapToGrid w:val="0"/>
              <w:jc w:val="center"/>
              <w:rPr>
                <w:rFonts w:hint="eastAsia" w:ascii="宋体" w:hAnsi="宋体" w:cs="宋体"/>
                <w:kern w:val="0"/>
                <w:sz w:val="24"/>
                <w:highlight w:val="none"/>
              </w:rPr>
            </w:pPr>
          </w:p>
        </w:tc>
      </w:tr>
      <w:tr w14:paraId="0C0A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858C1F1">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27</w:t>
            </w:r>
          </w:p>
        </w:tc>
        <w:tc>
          <w:tcPr>
            <w:tcW w:w="2585" w:type="dxa"/>
            <w:noWrap/>
            <w:vAlign w:val="center"/>
          </w:tcPr>
          <w:p w14:paraId="0015421A">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三通道施肥机泵</w:t>
            </w:r>
          </w:p>
        </w:tc>
        <w:tc>
          <w:tcPr>
            <w:tcW w:w="992" w:type="dxa"/>
            <w:vAlign w:val="center"/>
          </w:tcPr>
          <w:p w14:paraId="4A958EB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69140A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6D6A07EE">
            <w:pPr>
              <w:widowControl/>
              <w:adjustRightInd w:val="0"/>
              <w:snapToGrid w:val="0"/>
              <w:jc w:val="center"/>
              <w:rPr>
                <w:rFonts w:hint="eastAsia" w:ascii="宋体" w:hAnsi="宋体" w:cs="宋体"/>
                <w:kern w:val="0"/>
                <w:sz w:val="24"/>
                <w:highlight w:val="none"/>
              </w:rPr>
            </w:pPr>
          </w:p>
        </w:tc>
        <w:tc>
          <w:tcPr>
            <w:tcW w:w="1417" w:type="dxa"/>
          </w:tcPr>
          <w:p w14:paraId="17BF1752">
            <w:pPr>
              <w:widowControl/>
              <w:adjustRightInd w:val="0"/>
              <w:snapToGrid w:val="0"/>
              <w:jc w:val="center"/>
              <w:rPr>
                <w:rFonts w:hint="eastAsia" w:ascii="宋体" w:hAnsi="宋体" w:cs="宋体"/>
                <w:kern w:val="0"/>
                <w:sz w:val="24"/>
                <w:highlight w:val="none"/>
              </w:rPr>
            </w:pPr>
          </w:p>
        </w:tc>
        <w:tc>
          <w:tcPr>
            <w:tcW w:w="1134" w:type="dxa"/>
          </w:tcPr>
          <w:p w14:paraId="18EE60F6">
            <w:pPr>
              <w:widowControl/>
              <w:adjustRightInd w:val="0"/>
              <w:snapToGrid w:val="0"/>
              <w:jc w:val="center"/>
              <w:rPr>
                <w:rFonts w:hint="eastAsia" w:ascii="宋体" w:hAnsi="宋体" w:cs="宋体"/>
                <w:kern w:val="0"/>
                <w:sz w:val="24"/>
                <w:highlight w:val="none"/>
              </w:rPr>
            </w:pPr>
          </w:p>
        </w:tc>
      </w:tr>
      <w:tr w14:paraId="4A59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6C6099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28</w:t>
            </w:r>
          </w:p>
        </w:tc>
        <w:tc>
          <w:tcPr>
            <w:tcW w:w="2585" w:type="dxa"/>
            <w:noWrap/>
            <w:vAlign w:val="center"/>
          </w:tcPr>
          <w:p w14:paraId="766A6C72">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施肥桶</w:t>
            </w:r>
          </w:p>
        </w:tc>
        <w:tc>
          <w:tcPr>
            <w:tcW w:w="992" w:type="dxa"/>
            <w:vAlign w:val="center"/>
          </w:tcPr>
          <w:p w14:paraId="6BCF510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w:t>
            </w:r>
          </w:p>
        </w:tc>
        <w:tc>
          <w:tcPr>
            <w:tcW w:w="992" w:type="dxa"/>
            <w:vAlign w:val="center"/>
          </w:tcPr>
          <w:p w14:paraId="0B63ED2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c>
          <w:tcPr>
            <w:tcW w:w="1843" w:type="dxa"/>
          </w:tcPr>
          <w:p w14:paraId="138ED8C0">
            <w:pPr>
              <w:widowControl/>
              <w:adjustRightInd w:val="0"/>
              <w:snapToGrid w:val="0"/>
              <w:jc w:val="center"/>
              <w:rPr>
                <w:rFonts w:hint="eastAsia" w:ascii="宋体" w:hAnsi="宋体" w:cs="宋体"/>
                <w:kern w:val="0"/>
                <w:sz w:val="24"/>
                <w:highlight w:val="none"/>
              </w:rPr>
            </w:pPr>
          </w:p>
        </w:tc>
        <w:tc>
          <w:tcPr>
            <w:tcW w:w="1417" w:type="dxa"/>
          </w:tcPr>
          <w:p w14:paraId="6A1E0BD3">
            <w:pPr>
              <w:widowControl/>
              <w:adjustRightInd w:val="0"/>
              <w:snapToGrid w:val="0"/>
              <w:jc w:val="center"/>
              <w:rPr>
                <w:rFonts w:hint="eastAsia" w:ascii="宋体" w:hAnsi="宋体" w:cs="宋体"/>
                <w:kern w:val="0"/>
                <w:sz w:val="24"/>
                <w:highlight w:val="none"/>
              </w:rPr>
            </w:pPr>
          </w:p>
        </w:tc>
        <w:tc>
          <w:tcPr>
            <w:tcW w:w="1134" w:type="dxa"/>
          </w:tcPr>
          <w:p w14:paraId="1DB881D5">
            <w:pPr>
              <w:widowControl/>
              <w:adjustRightInd w:val="0"/>
              <w:snapToGrid w:val="0"/>
              <w:jc w:val="center"/>
              <w:rPr>
                <w:rFonts w:hint="eastAsia" w:ascii="宋体" w:hAnsi="宋体" w:cs="宋体"/>
                <w:kern w:val="0"/>
                <w:sz w:val="24"/>
                <w:highlight w:val="none"/>
              </w:rPr>
            </w:pPr>
          </w:p>
        </w:tc>
      </w:tr>
      <w:tr w14:paraId="6C56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AD979B6">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29</w:t>
            </w:r>
          </w:p>
        </w:tc>
        <w:tc>
          <w:tcPr>
            <w:tcW w:w="2585" w:type="dxa"/>
            <w:noWrap/>
            <w:vAlign w:val="center"/>
          </w:tcPr>
          <w:p w14:paraId="341F3D0B">
            <w:pPr>
              <w:widowControl/>
              <w:adjustRightInd w:val="0"/>
              <w:snapToGrid w:val="0"/>
              <w:rPr>
                <w:rFonts w:hint="eastAsia" w:ascii="宋体" w:hAnsi="宋体" w:cs="宋体"/>
                <w:color w:val="000000"/>
                <w:kern w:val="0"/>
                <w:sz w:val="24"/>
                <w:highlight w:val="none"/>
              </w:rPr>
            </w:pPr>
            <w:r>
              <w:rPr>
                <w:rFonts w:hint="eastAsia" w:ascii="宋体" w:hAnsi="宋体" w:cs="宋体"/>
                <w:kern w:val="0"/>
                <w:sz w:val="24"/>
                <w:highlight w:val="none"/>
              </w:rPr>
              <w:t>水肥一体化注肥系统——</w:t>
            </w:r>
            <w:r>
              <w:rPr>
                <w:rFonts w:ascii="宋体" w:hAnsi="宋体" w:cs="宋体"/>
                <w:color w:val="000000"/>
                <w:kern w:val="0"/>
                <w:sz w:val="24"/>
                <w:highlight w:val="none"/>
              </w:rPr>
              <w:t>搅拌机</w:t>
            </w:r>
          </w:p>
        </w:tc>
        <w:tc>
          <w:tcPr>
            <w:tcW w:w="992" w:type="dxa"/>
            <w:vAlign w:val="center"/>
          </w:tcPr>
          <w:p w14:paraId="2D75A7A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15ACED7C">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9</w:t>
            </w:r>
          </w:p>
        </w:tc>
        <w:tc>
          <w:tcPr>
            <w:tcW w:w="1843" w:type="dxa"/>
          </w:tcPr>
          <w:p w14:paraId="261F7CA6">
            <w:pPr>
              <w:widowControl/>
              <w:adjustRightInd w:val="0"/>
              <w:snapToGrid w:val="0"/>
              <w:jc w:val="center"/>
              <w:rPr>
                <w:rFonts w:hint="eastAsia" w:ascii="宋体" w:hAnsi="宋体" w:cs="宋体"/>
                <w:kern w:val="0"/>
                <w:sz w:val="24"/>
                <w:highlight w:val="none"/>
              </w:rPr>
            </w:pPr>
          </w:p>
        </w:tc>
        <w:tc>
          <w:tcPr>
            <w:tcW w:w="1417" w:type="dxa"/>
          </w:tcPr>
          <w:p w14:paraId="20FDB48A">
            <w:pPr>
              <w:widowControl/>
              <w:adjustRightInd w:val="0"/>
              <w:snapToGrid w:val="0"/>
              <w:jc w:val="center"/>
              <w:rPr>
                <w:rFonts w:hint="eastAsia" w:ascii="宋体" w:hAnsi="宋体" w:cs="宋体"/>
                <w:kern w:val="0"/>
                <w:sz w:val="24"/>
                <w:highlight w:val="none"/>
              </w:rPr>
            </w:pPr>
          </w:p>
        </w:tc>
        <w:tc>
          <w:tcPr>
            <w:tcW w:w="1134" w:type="dxa"/>
          </w:tcPr>
          <w:p w14:paraId="4003C981">
            <w:pPr>
              <w:widowControl/>
              <w:adjustRightInd w:val="0"/>
              <w:snapToGrid w:val="0"/>
              <w:jc w:val="center"/>
              <w:rPr>
                <w:rFonts w:hint="eastAsia" w:ascii="宋体" w:hAnsi="宋体" w:cs="宋体"/>
                <w:kern w:val="0"/>
                <w:sz w:val="24"/>
                <w:highlight w:val="none"/>
              </w:rPr>
            </w:pPr>
          </w:p>
        </w:tc>
      </w:tr>
      <w:tr w14:paraId="3C48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36062AC">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30</w:t>
            </w:r>
          </w:p>
        </w:tc>
        <w:tc>
          <w:tcPr>
            <w:tcW w:w="2585" w:type="dxa"/>
            <w:noWrap/>
            <w:vAlign w:val="center"/>
          </w:tcPr>
          <w:p w14:paraId="63B64244">
            <w:pPr>
              <w:widowControl/>
              <w:adjustRightInd w:val="0"/>
              <w:snapToGrid w:val="0"/>
              <w:rPr>
                <w:rFonts w:hint="eastAsia" w:ascii="宋体" w:hAnsi="宋体" w:cs="宋体"/>
                <w:kern w:val="0"/>
                <w:sz w:val="24"/>
                <w:highlight w:val="none"/>
              </w:rPr>
            </w:pPr>
            <w:r>
              <w:rPr>
                <w:rFonts w:hint="eastAsia" w:ascii="宋体" w:hAnsi="宋体" w:cs="宋体"/>
                <w:kern w:val="0"/>
                <w:sz w:val="24"/>
                <w:highlight w:val="none"/>
              </w:rPr>
              <w:t>水肥一体化注肥系统——</w:t>
            </w:r>
            <w:r>
              <w:rPr>
                <w:rFonts w:ascii="宋体" w:hAnsi="宋体" w:cs="宋体"/>
                <w:kern w:val="0"/>
                <w:sz w:val="24"/>
                <w:highlight w:val="none"/>
              </w:rPr>
              <w:t>水肥灌溉自动控制系统</w:t>
            </w:r>
          </w:p>
        </w:tc>
        <w:tc>
          <w:tcPr>
            <w:tcW w:w="992" w:type="dxa"/>
            <w:vAlign w:val="center"/>
          </w:tcPr>
          <w:p w14:paraId="6219061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750C777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7A4F6CB6">
            <w:pPr>
              <w:widowControl/>
              <w:adjustRightInd w:val="0"/>
              <w:snapToGrid w:val="0"/>
              <w:jc w:val="center"/>
              <w:rPr>
                <w:rFonts w:hint="eastAsia" w:ascii="宋体" w:hAnsi="宋体" w:cs="宋体"/>
                <w:kern w:val="0"/>
                <w:sz w:val="24"/>
                <w:highlight w:val="none"/>
              </w:rPr>
            </w:pPr>
          </w:p>
        </w:tc>
        <w:tc>
          <w:tcPr>
            <w:tcW w:w="1417" w:type="dxa"/>
          </w:tcPr>
          <w:p w14:paraId="540A7EB9">
            <w:pPr>
              <w:widowControl/>
              <w:adjustRightInd w:val="0"/>
              <w:snapToGrid w:val="0"/>
              <w:jc w:val="center"/>
              <w:rPr>
                <w:rFonts w:hint="eastAsia" w:ascii="宋体" w:hAnsi="宋体" w:cs="宋体"/>
                <w:kern w:val="0"/>
                <w:sz w:val="24"/>
                <w:highlight w:val="none"/>
              </w:rPr>
            </w:pPr>
          </w:p>
        </w:tc>
        <w:tc>
          <w:tcPr>
            <w:tcW w:w="1134" w:type="dxa"/>
          </w:tcPr>
          <w:p w14:paraId="31AC5BBF">
            <w:pPr>
              <w:widowControl/>
              <w:adjustRightInd w:val="0"/>
              <w:snapToGrid w:val="0"/>
              <w:jc w:val="center"/>
              <w:rPr>
                <w:rFonts w:hint="eastAsia" w:ascii="宋体" w:hAnsi="宋体" w:cs="宋体"/>
                <w:kern w:val="0"/>
                <w:sz w:val="24"/>
                <w:highlight w:val="none"/>
              </w:rPr>
            </w:pPr>
          </w:p>
        </w:tc>
      </w:tr>
      <w:tr w14:paraId="1791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1BF375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1</w:t>
            </w:r>
          </w:p>
        </w:tc>
        <w:tc>
          <w:tcPr>
            <w:tcW w:w="2585" w:type="dxa"/>
            <w:noWrap/>
            <w:vAlign w:val="center"/>
          </w:tcPr>
          <w:p w14:paraId="5FBBA022">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厌氧发酵罐</w:t>
            </w:r>
          </w:p>
        </w:tc>
        <w:tc>
          <w:tcPr>
            <w:tcW w:w="992" w:type="dxa"/>
            <w:vAlign w:val="center"/>
          </w:tcPr>
          <w:p w14:paraId="3BFB1EC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个（100m³/个）</w:t>
            </w:r>
          </w:p>
        </w:tc>
        <w:tc>
          <w:tcPr>
            <w:tcW w:w="992" w:type="dxa"/>
            <w:vAlign w:val="center"/>
          </w:tcPr>
          <w:p w14:paraId="2BD89DB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14</w:t>
            </w:r>
          </w:p>
        </w:tc>
        <w:tc>
          <w:tcPr>
            <w:tcW w:w="1843" w:type="dxa"/>
          </w:tcPr>
          <w:p w14:paraId="30287FFB">
            <w:pPr>
              <w:widowControl/>
              <w:adjustRightInd w:val="0"/>
              <w:snapToGrid w:val="0"/>
              <w:jc w:val="center"/>
              <w:rPr>
                <w:rFonts w:hint="eastAsia" w:ascii="宋体" w:hAnsi="宋体" w:cs="宋体"/>
                <w:kern w:val="0"/>
                <w:sz w:val="24"/>
                <w:highlight w:val="none"/>
              </w:rPr>
            </w:pPr>
          </w:p>
        </w:tc>
        <w:tc>
          <w:tcPr>
            <w:tcW w:w="1417" w:type="dxa"/>
          </w:tcPr>
          <w:p w14:paraId="1CC280A0">
            <w:pPr>
              <w:widowControl/>
              <w:adjustRightInd w:val="0"/>
              <w:snapToGrid w:val="0"/>
              <w:jc w:val="center"/>
              <w:rPr>
                <w:rFonts w:hint="eastAsia" w:ascii="宋体" w:hAnsi="宋体" w:cs="宋体"/>
                <w:kern w:val="0"/>
                <w:sz w:val="24"/>
                <w:highlight w:val="none"/>
              </w:rPr>
            </w:pPr>
          </w:p>
        </w:tc>
        <w:tc>
          <w:tcPr>
            <w:tcW w:w="1134" w:type="dxa"/>
          </w:tcPr>
          <w:p w14:paraId="6CCD35B1">
            <w:pPr>
              <w:widowControl/>
              <w:adjustRightInd w:val="0"/>
              <w:snapToGrid w:val="0"/>
              <w:jc w:val="center"/>
              <w:rPr>
                <w:rFonts w:hint="eastAsia" w:ascii="宋体" w:hAnsi="宋体" w:cs="宋体"/>
                <w:kern w:val="0"/>
                <w:sz w:val="24"/>
                <w:highlight w:val="none"/>
              </w:rPr>
            </w:pPr>
          </w:p>
        </w:tc>
      </w:tr>
      <w:tr w14:paraId="6B4D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671" w:type="dxa"/>
            <w:noWrap/>
            <w:vAlign w:val="center"/>
          </w:tcPr>
          <w:p w14:paraId="4B32B921">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2</w:t>
            </w:r>
          </w:p>
        </w:tc>
        <w:tc>
          <w:tcPr>
            <w:tcW w:w="2585" w:type="dxa"/>
            <w:vAlign w:val="center"/>
          </w:tcPr>
          <w:p w14:paraId="73F5053F">
            <w:pPr>
              <w:widowControl/>
              <w:adjustRightInd w:val="0"/>
              <w:snapToGrid w:val="0"/>
              <w:rPr>
                <w:rFonts w:hint="eastAsia" w:ascii="宋体" w:hAnsi="宋体" w:cs="宋体"/>
                <w:kern w:val="0"/>
                <w:sz w:val="24"/>
                <w:highlight w:val="none"/>
              </w:rPr>
            </w:pPr>
            <w:r>
              <w:rPr>
                <w:rFonts w:ascii="宋体" w:hAnsi="宋体" w:cs="宋体"/>
                <w:kern w:val="0"/>
                <w:sz w:val="24"/>
                <w:highlight w:val="none"/>
              </w:rPr>
              <w:t>干湿分离机</w:t>
            </w:r>
          </w:p>
          <w:p w14:paraId="19D72F0F">
            <w:pPr>
              <w:widowControl/>
              <w:adjustRightInd w:val="0"/>
              <w:snapToGrid w:val="0"/>
              <w:rPr>
                <w:rFonts w:hint="eastAsia" w:ascii="宋体" w:hAnsi="宋体" w:cs="宋体"/>
                <w:color w:val="FF0000"/>
                <w:kern w:val="0"/>
                <w:sz w:val="24"/>
                <w:highlight w:val="none"/>
              </w:rPr>
            </w:pPr>
          </w:p>
        </w:tc>
        <w:tc>
          <w:tcPr>
            <w:tcW w:w="992" w:type="dxa"/>
            <w:vAlign w:val="center"/>
          </w:tcPr>
          <w:p w14:paraId="6F351EF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3F13B9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c>
          <w:tcPr>
            <w:tcW w:w="1843" w:type="dxa"/>
          </w:tcPr>
          <w:p w14:paraId="38875470">
            <w:pPr>
              <w:widowControl/>
              <w:adjustRightInd w:val="0"/>
              <w:snapToGrid w:val="0"/>
              <w:jc w:val="center"/>
              <w:rPr>
                <w:rFonts w:hint="eastAsia" w:ascii="宋体" w:hAnsi="宋体" w:cs="宋体"/>
                <w:kern w:val="0"/>
                <w:sz w:val="24"/>
                <w:highlight w:val="none"/>
              </w:rPr>
            </w:pPr>
          </w:p>
        </w:tc>
        <w:tc>
          <w:tcPr>
            <w:tcW w:w="1417" w:type="dxa"/>
          </w:tcPr>
          <w:p w14:paraId="3ABF24F4">
            <w:pPr>
              <w:widowControl/>
              <w:adjustRightInd w:val="0"/>
              <w:snapToGrid w:val="0"/>
              <w:jc w:val="center"/>
              <w:rPr>
                <w:rFonts w:hint="eastAsia" w:ascii="宋体" w:hAnsi="宋体" w:cs="宋体"/>
                <w:kern w:val="0"/>
                <w:sz w:val="24"/>
                <w:highlight w:val="none"/>
              </w:rPr>
            </w:pPr>
          </w:p>
        </w:tc>
        <w:tc>
          <w:tcPr>
            <w:tcW w:w="1134" w:type="dxa"/>
          </w:tcPr>
          <w:p w14:paraId="51F97D6E">
            <w:pPr>
              <w:widowControl/>
              <w:adjustRightInd w:val="0"/>
              <w:snapToGrid w:val="0"/>
              <w:jc w:val="center"/>
              <w:rPr>
                <w:rFonts w:hint="eastAsia" w:ascii="宋体" w:hAnsi="宋体" w:cs="宋体"/>
                <w:kern w:val="0"/>
                <w:sz w:val="24"/>
                <w:highlight w:val="none"/>
              </w:rPr>
            </w:pPr>
          </w:p>
        </w:tc>
      </w:tr>
      <w:tr w14:paraId="0BA2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2204DFF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3</w:t>
            </w:r>
          </w:p>
        </w:tc>
        <w:tc>
          <w:tcPr>
            <w:tcW w:w="2585" w:type="dxa"/>
            <w:noWrap/>
            <w:vAlign w:val="center"/>
          </w:tcPr>
          <w:p w14:paraId="3011693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污水泵</w:t>
            </w:r>
          </w:p>
        </w:tc>
        <w:tc>
          <w:tcPr>
            <w:tcW w:w="992" w:type="dxa"/>
            <w:vAlign w:val="center"/>
          </w:tcPr>
          <w:p w14:paraId="26FF26D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2581221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6605204C">
            <w:pPr>
              <w:widowControl/>
              <w:adjustRightInd w:val="0"/>
              <w:snapToGrid w:val="0"/>
              <w:jc w:val="center"/>
              <w:rPr>
                <w:rFonts w:hint="eastAsia" w:ascii="宋体" w:hAnsi="宋体" w:cs="宋体"/>
                <w:kern w:val="0"/>
                <w:sz w:val="24"/>
                <w:highlight w:val="none"/>
              </w:rPr>
            </w:pPr>
          </w:p>
        </w:tc>
        <w:tc>
          <w:tcPr>
            <w:tcW w:w="1417" w:type="dxa"/>
          </w:tcPr>
          <w:p w14:paraId="6DB4E4F0">
            <w:pPr>
              <w:widowControl/>
              <w:adjustRightInd w:val="0"/>
              <w:snapToGrid w:val="0"/>
              <w:jc w:val="center"/>
              <w:rPr>
                <w:rFonts w:hint="eastAsia" w:ascii="宋体" w:hAnsi="宋体" w:cs="宋体"/>
                <w:kern w:val="0"/>
                <w:sz w:val="24"/>
                <w:highlight w:val="none"/>
              </w:rPr>
            </w:pPr>
          </w:p>
        </w:tc>
        <w:tc>
          <w:tcPr>
            <w:tcW w:w="1134" w:type="dxa"/>
          </w:tcPr>
          <w:p w14:paraId="4FBFC984">
            <w:pPr>
              <w:widowControl/>
              <w:adjustRightInd w:val="0"/>
              <w:snapToGrid w:val="0"/>
              <w:jc w:val="center"/>
              <w:rPr>
                <w:rFonts w:hint="eastAsia" w:ascii="宋体" w:hAnsi="宋体" w:cs="宋体"/>
                <w:kern w:val="0"/>
                <w:sz w:val="24"/>
                <w:highlight w:val="none"/>
              </w:rPr>
            </w:pPr>
          </w:p>
        </w:tc>
      </w:tr>
      <w:tr w14:paraId="047D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B557AD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4</w:t>
            </w:r>
          </w:p>
        </w:tc>
        <w:tc>
          <w:tcPr>
            <w:tcW w:w="2585" w:type="dxa"/>
            <w:noWrap/>
            <w:vAlign w:val="center"/>
          </w:tcPr>
          <w:p w14:paraId="19575345">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吸粪车</w:t>
            </w:r>
          </w:p>
        </w:tc>
        <w:tc>
          <w:tcPr>
            <w:tcW w:w="992" w:type="dxa"/>
            <w:vAlign w:val="center"/>
          </w:tcPr>
          <w:p w14:paraId="46222F9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992" w:type="dxa"/>
            <w:vAlign w:val="center"/>
          </w:tcPr>
          <w:p w14:paraId="2888B688">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6</w:t>
            </w:r>
          </w:p>
        </w:tc>
        <w:tc>
          <w:tcPr>
            <w:tcW w:w="1843" w:type="dxa"/>
          </w:tcPr>
          <w:p w14:paraId="1FCF50DB">
            <w:pPr>
              <w:widowControl/>
              <w:adjustRightInd w:val="0"/>
              <w:snapToGrid w:val="0"/>
              <w:jc w:val="center"/>
              <w:rPr>
                <w:rFonts w:hint="eastAsia" w:ascii="宋体" w:hAnsi="宋体" w:cs="宋体"/>
                <w:kern w:val="0"/>
                <w:sz w:val="24"/>
                <w:highlight w:val="none"/>
              </w:rPr>
            </w:pPr>
          </w:p>
        </w:tc>
        <w:tc>
          <w:tcPr>
            <w:tcW w:w="1417" w:type="dxa"/>
          </w:tcPr>
          <w:p w14:paraId="6F5DA60A">
            <w:pPr>
              <w:widowControl/>
              <w:adjustRightInd w:val="0"/>
              <w:snapToGrid w:val="0"/>
              <w:jc w:val="center"/>
              <w:rPr>
                <w:rFonts w:hint="eastAsia" w:ascii="宋体" w:hAnsi="宋体" w:cs="宋体"/>
                <w:kern w:val="0"/>
                <w:sz w:val="24"/>
                <w:highlight w:val="none"/>
              </w:rPr>
            </w:pPr>
          </w:p>
        </w:tc>
        <w:tc>
          <w:tcPr>
            <w:tcW w:w="1134" w:type="dxa"/>
          </w:tcPr>
          <w:p w14:paraId="76B7CE95">
            <w:pPr>
              <w:widowControl/>
              <w:adjustRightInd w:val="0"/>
              <w:snapToGrid w:val="0"/>
              <w:jc w:val="center"/>
              <w:rPr>
                <w:rFonts w:hint="eastAsia" w:ascii="宋体" w:hAnsi="宋体" w:cs="宋体"/>
                <w:kern w:val="0"/>
                <w:sz w:val="24"/>
                <w:highlight w:val="none"/>
              </w:rPr>
            </w:pPr>
          </w:p>
        </w:tc>
      </w:tr>
      <w:tr w14:paraId="776A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E892AC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5</w:t>
            </w:r>
          </w:p>
        </w:tc>
        <w:tc>
          <w:tcPr>
            <w:tcW w:w="2585" w:type="dxa"/>
            <w:noWrap/>
            <w:vAlign w:val="center"/>
          </w:tcPr>
          <w:p w14:paraId="7F39DC91">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翻抛设备</w:t>
            </w:r>
          </w:p>
        </w:tc>
        <w:tc>
          <w:tcPr>
            <w:tcW w:w="992" w:type="dxa"/>
            <w:vAlign w:val="center"/>
          </w:tcPr>
          <w:p w14:paraId="69CF983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5C0E70D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310B7DD6">
            <w:pPr>
              <w:widowControl/>
              <w:adjustRightInd w:val="0"/>
              <w:snapToGrid w:val="0"/>
              <w:jc w:val="center"/>
              <w:rPr>
                <w:rFonts w:hint="eastAsia" w:ascii="宋体" w:hAnsi="宋体" w:cs="宋体"/>
                <w:kern w:val="0"/>
                <w:sz w:val="24"/>
                <w:highlight w:val="none"/>
              </w:rPr>
            </w:pPr>
          </w:p>
        </w:tc>
        <w:tc>
          <w:tcPr>
            <w:tcW w:w="1417" w:type="dxa"/>
          </w:tcPr>
          <w:p w14:paraId="20E74825">
            <w:pPr>
              <w:widowControl/>
              <w:adjustRightInd w:val="0"/>
              <w:snapToGrid w:val="0"/>
              <w:jc w:val="center"/>
              <w:rPr>
                <w:rFonts w:hint="eastAsia" w:ascii="宋体" w:hAnsi="宋体" w:cs="宋体"/>
                <w:kern w:val="0"/>
                <w:sz w:val="24"/>
                <w:highlight w:val="none"/>
              </w:rPr>
            </w:pPr>
          </w:p>
        </w:tc>
        <w:tc>
          <w:tcPr>
            <w:tcW w:w="1134" w:type="dxa"/>
          </w:tcPr>
          <w:p w14:paraId="63C77F44">
            <w:pPr>
              <w:widowControl/>
              <w:adjustRightInd w:val="0"/>
              <w:snapToGrid w:val="0"/>
              <w:jc w:val="center"/>
              <w:rPr>
                <w:rFonts w:hint="eastAsia" w:ascii="宋体" w:hAnsi="宋体" w:cs="宋体"/>
                <w:kern w:val="0"/>
                <w:sz w:val="24"/>
                <w:highlight w:val="none"/>
              </w:rPr>
            </w:pPr>
          </w:p>
        </w:tc>
      </w:tr>
      <w:tr w14:paraId="3727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441948DA">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6</w:t>
            </w:r>
          </w:p>
        </w:tc>
        <w:tc>
          <w:tcPr>
            <w:tcW w:w="2585" w:type="dxa"/>
            <w:vAlign w:val="center"/>
          </w:tcPr>
          <w:p w14:paraId="190CA83E">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铲车（轮胎式装载机）</w:t>
            </w:r>
          </w:p>
        </w:tc>
        <w:tc>
          <w:tcPr>
            <w:tcW w:w="992" w:type="dxa"/>
            <w:vAlign w:val="center"/>
          </w:tcPr>
          <w:p w14:paraId="159F0C3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992" w:type="dxa"/>
            <w:vAlign w:val="center"/>
          </w:tcPr>
          <w:p w14:paraId="11A494F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2</w:t>
            </w:r>
          </w:p>
        </w:tc>
        <w:tc>
          <w:tcPr>
            <w:tcW w:w="1843" w:type="dxa"/>
          </w:tcPr>
          <w:p w14:paraId="71F297CC">
            <w:pPr>
              <w:widowControl/>
              <w:adjustRightInd w:val="0"/>
              <w:snapToGrid w:val="0"/>
              <w:jc w:val="center"/>
              <w:rPr>
                <w:rFonts w:hint="eastAsia" w:ascii="宋体" w:hAnsi="宋体" w:cs="宋体"/>
                <w:kern w:val="0"/>
                <w:sz w:val="24"/>
                <w:highlight w:val="none"/>
              </w:rPr>
            </w:pPr>
          </w:p>
        </w:tc>
        <w:tc>
          <w:tcPr>
            <w:tcW w:w="1417" w:type="dxa"/>
          </w:tcPr>
          <w:p w14:paraId="02B65A6F">
            <w:pPr>
              <w:widowControl/>
              <w:adjustRightInd w:val="0"/>
              <w:snapToGrid w:val="0"/>
              <w:jc w:val="center"/>
              <w:rPr>
                <w:rFonts w:hint="eastAsia" w:ascii="宋体" w:hAnsi="宋体" w:cs="宋体"/>
                <w:kern w:val="0"/>
                <w:sz w:val="24"/>
                <w:highlight w:val="none"/>
              </w:rPr>
            </w:pPr>
          </w:p>
        </w:tc>
        <w:tc>
          <w:tcPr>
            <w:tcW w:w="1134" w:type="dxa"/>
          </w:tcPr>
          <w:p w14:paraId="28B80867">
            <w:pPr>
              <w:widowControl/>
              <w:adjustRightInd w:val="0"/>
              <w:snapToGrid w:val="0"/>
              <w:jc w:val="center"/>
              <w:rPr>
                <w:rFonts w:hint="eastAsia" w:ascii="宋体" w:hAnsi="宋体" w:cs="宋体"/>
                <w:kern w:val="0"/>
                <w:sz w:val="24"/>
                <w:highlight w:val="none"/>
              </w:rPr>
            </w:pPr>
          </w:p>
        </w:tc>
      </w:tr>
      <w:tr w14:paraId="1AD4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13B6BF5">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7</w:t>
            </w:r>
          </w:p>
        </w:tc>
        <w:tc>
          <w:tcPr>
            <w:tcW w:w="2585" w:type="dxa"/>
            <w:noWrap/>
            <w:vAlign w:val="center"/>
          </w:tcPr>
          <w:p w14:paraId="0FA98487">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除臭系统</w:t>
            </w:r>
          </w:p>
        </w:tc>
        <w:tc>
          <w:tcPr>
            <w:tcW w:w="992" w:type="dxa"/>
            <w:vAlign w:val="center"/>
          </w:tcPr>
          <w:p w14:paraId="754DDF8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4784DF2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c>
          <w:tcPr>
            <w:tcW w:w="1843" w:type="dxa"/>
          </w:tcPr>
          <w:p w14:paraId="4F720CD3">
            <w:pPr>
              <w:widowControl/>
              <w:adjustRightInd w:val="0"/>
              <w:snapToGrid w:val="0"/>
              <w:jc w:val="center"/>
              <w:rPr>
                <w:rFonts w:hint="eastAsia" w:ascii="宋体" w:hAnsi="宋体" w:cs="宋体"/>
                <w:kern w:val="0"/>
                <w:sz w:val="24"/>
                <w:highlight w:val="none"/>
              </w:rPr>
            </w:pPr>
          </w:p>
        </w:tc>
        <w:tc>
          <w:tcPr>
            <w:tcW w:w="1417" w:type="dxa"/>
          </w:tcPr>
          <w:p w14:paraId="6562C7D4">
            <w:pPr>
              <w:widowControl/>
              <w:adjustRightInd w:val="0"/>
              <w:snapToGrid w:val="0"/>
              <w:jc w:val="center"/>
              <w:rPr>
                <w:rFonts w:hint="eastAsia" w:ascii="宋体" w:hAnsi="宋体" w:cs="宋体"/>
                <w:kern w:val="0"/>
                <w:sz w:val="24"/>
                <w:highlight w:val="none"/>
              </w:rPr>
            </w:pPr>
          </w:p>
        </w:tc>
        <w:tc>
          <w:tcPr>
            <w:tcW w:w="1134" w:type="dxa"/>
          </w:tcPr>
          <w:p w14:paraId="1998ED4E">
            <w:pPr>
              <w:widowControl/>
              <w:adjustRightInd w:val="0"/>
              <w:snapToGrid w:val="0"/>
              <w:jc w:val="center"/>
              <w:rPr>
                <w:rFonts w:hint="eastAsia" w:ascii="宋体" w:hAnsi="宋体" w:cs="宋体"/>
                <w:kern w:val="0"/>
                <w:sz w:val="24"/>
                <w:highlight w:val="none"/>
              </w:rPr>
            </w:pPr>
          </w:p>
        </w:tc>
      </w:tr>
      <w:tr w14:paraId="0C10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596DFCB">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3</w:t>
            </w:r>
            <w:r>
              <w:rPr>
                <w:rFonts w:hint="eastAsia" w:ascii="宋体" w:hAnsi="宋体" w:cs="宋体"/>
                <w:color w:val="000000"/>
                <w:kern w:val="0"/>
                <w:sz w:val="24"/>
                <w:highlight w:val="none"/>
              </w:rPr>
              <w:t>8</w:t>
            </w:r>
          </w:p>
        </w:tc>
        <w:tc>
          <w:tcPr>
            <w:tcW w:w="2585" w:type="dxa"/>
            <w:noWrap/>
            <w:vAlign w:val="center"/>
          </w:tcPr>
          <w:p w14:paraId="68144E34">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秸秆打捆机</w:t>
            </w:r>
          </w:p>
        </w:tc>
        <w:tc>
          <w:tcPr>
            <w:tcW w:w="992" w:type="dxa"/>
            <w:vAlign w:val="center"/>
          </w:tcPr>
          <w:p w14:paraId="6E090A7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BE34E72">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0A4555BE">
            <w:pPr>
              <w:widowControl/>
              <w:adjustRightInd w:val="0"/>
              <w:snapToGrid w:val="0"/>
              <w:jc w:val="center"/>
              <w:rPr>
                <w:rFonts w:hint="eastAsia" w:ascii="宋体" w:hAnsi="宋体" w:cs="宋体"/>
                <w:kern w:val="0"/>
                <w:sz w:val="24"/>
                <w:highlight w:val="none"/>
              </w:rPr>
            </w:pPr>
          </w:p>
        </w:tc>
        <w:tc>
          <w:tcPr>
            <w:tcW w:w="1417" w:type="dxa"/>
          </w:tcPr>
          <w:p w14:paraId="20F703E9">
            <w:pPr>
              <w:widowControl/>
              <w:adjustRightInd w:val="0"/>
              <w:snapToGrid w:val="0"/>
              <w:jc w:val="center"/>
              <w:rPr>
                <w:rFonts w:hint="eastAsia" w:ascii="宋体" w:hAnsi="宋体" w:cs="宋体"/>
                <w:kern w:val="0"/>
                <w:sz w:val="24"/>
                <w:highlight w:val="none"/>
              </w:rPr>
            </w:pPr>
          </w:p>
        </w:tc>
        <w:tc>
          <w:tcPr>
            <w:tcW w:w="1134" w:type="dxa"/>
          </w:tcPr>
          <w:p w14:paraId="3F5DC9BA">
            <w:pPr>
              <w:widowControl/>
              <w:adjustRightInd w:val="0"/>
              <w:snapToGrid w:val="0"/>
              <w:jc w:val="center"/>
              <w:rPr>
                <w:rFonts w:hint="eastAsia" w:ascii="宋体" w:hAnsi="宋体" w:cs="宋体"/>
                <w:kern w:val="0"/>
                <w:sz w:val="24"/>
                <w:highlight w:val="none"/>
              </w:rPr>
            </w:pPr>
          </w:p>
        </w:tc>
      </w:tr>
      <w:tr w14:paraId="1682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7E46525">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39</w:t>
            </w:r>
          </w:p>
        </w:tc>
        <w:tc>
          <w:tcPr>
            <w:tcW w:w="2585" w:type="dxa"/>
            <w:vAlign w:val="center"/>
          </w:tcPr>
          <w:p w14:paraId="100924F8">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刮粪机</w:t>
            </w:r>
          </w:p>
        </w:tc>
        <w:tc>
          <w:tcPr>
            <w:tcW w:w="992" w:type="dxa"/>
            <w:vAlign w:val="center"/>
          </w:tcPr>
          <w:p w14:paraId="49DC008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180E25D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5</w:t>
            </w:r>
          </w:p>
        </w:tc>
        <w:tc>
          <w:tcPr>
            <w:tcW w:w="1843" w:type="dxa"/>
          </w:tcPr>
          <w:p w14:paraId="71CEBCA3">
            <w:pPr>
              <w:widowControl/>
              <w:adjustRightInd w:val="0"/>
              <w:snapToGrid w:val="0"/>
              <w:jc w:val="center"/>
              <w:rPr>
                <w:rFonts w:hint="eastAsia" w:ascii="宋体" w:hAnsi="宋体" w:cs="宋体"/>
                <w:kern w:val="0"/>
                <w:sz w:val="24"/>
                <w:highlight w:val="none"/>
              </w:rPr>
            </w:pPr>
          </w:p>
        </w:tc>
        <w:tc>
          <w:tcPr>
            <w:tcW w:w="1417" w:type="dxa"/>
          </w:tcPr>
          <w:p w14:paraId="2327AC02">
            <w:pPr>
              <w:widowControl/>
              <w:adjustRightInd w:val="0"/>
              <w:snapToGrid w:val="0"/>
              <w:jc w:val="center"/>
              <w:rPr>
                <w:rFonts w:hint="eastAsia" w:ascii="宋体" w:hAnsi="宋体" w:cs="宋体"/>
                <w:kern w:val="0"/>
                <w:sz w:val="24"/>
                <w:highlight w:val="none"/>
              </w:rPr>
            </w:pPr>
          </w:p>
        </w:tc>
        <w:tc>
          <w:tcPr>
            <w:tcW w:w="1134" w:type="dxa"/>
          </w:tcPr>
          <w:p w14:paraId="43FE86B1">
            <w:pPr>
              <w:widowControl/>
              <w:adjustRightInd w:val="0"/>
              <w:snapToGrid w:val="0"/>
              <w:jc w:val="center"/>
              <w:rPr>
                <w:rFonts w:hint="eastAsia" w:ascii="宋体" w:hAnsi="宋体" w:cs="宋体"/>
                <w:kern w:val="0"/>
                <w:sz w:val="24"/>
                <w:highlight w:val="none"/>
              </w:rPr>
            </w:pPr>
          </w:p>
        </w:tc>
      </w:tr>
      <w:tr w14:paraId="288F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7A45E66">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0</w:t>
            </w:r>
          </w:p>
        </w:tc>
        <w:tc>
          <w:tcPr>
            <w:tcW w:w="2585" w:type="dxa"/>
            <w:noWrap/>
            <w:vAlign w:val="center"/>
          </w:tcPr>
          <w:p w14:paraId="17C62501">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生物菌种</w:t>
            </w:r>
          </w:p>
        </w:tc>
        <w:tc>
          <w:tcPr>
            <w:tcW w:w="992" w:type="dxa"/>
            <w:vAlign w:val="center"/>
          </w:tcPr>
          <w:p w14:paraId="278668D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kg</w:t>
            </w:r>
          </w:p>
        </w:tc>
        <w:tc>
          <w:tcPr>
            <w:tcW w:w="992" w:type="dxa"/>
            <w:vAlign w:val="center"/>
          </w:tcPr>
          <w:p w14:paraId="6A6FB80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3930</w:t>
            </w:r>
          </w:p>
        </w:tc>
        <w:tc>
          <w:tcPr>
            <w:tcW w:w="1843" w:type="dxa"/>
          </w:tcPr>
          <w:p w14:paraId="5AF47EF2">
            <w:pPr>
              <w:widowControl/>
              <w:adjustRightInd w:val="0"/>
              <w:snapToGrid w:val="0"/>
              <w:jc w:val="center"/>
              <w:rPr>
                <w:rFonts w:hint="eastAsia" w:ascii="宋体" w:hAnsi="宋体" w:cs="宋体"/>
                <w:kern w:val="0"/>
                <w:sz w:val="24"/>
                <w:highlight w:val="none"/>
              </w:rPr>
            </w:pPr>
          </w:p>
        </w:tc>
        <w:tc>
          <w:tcPr>
            <w:tcW w:w="1417" w:type="dxa"/>
          </w:tcPr>
          <w:p w14:paraId="70B6FAE7">
            <w:pPr>
              <w:widowControl/>
              <w:adjustRightInd w:val="0"/>
              <w:snapToGrid w:val="0"/>
              <w:jc w:val="center"/>
              <w:rPr>
                <w:rFonts w:hint="eastAsia" w:ascii="宋体" w:hAnsi="宋体" w:cs="宋体"/>
                <w:kern w:val="0"/>
                <w:sz w:val="24"/>
                <w:highlight w:val="none"/>
              </w:rPr>
            </w:pPr>
          </w:p>
        </w:tc>
        <w:tc>
          <w:tcPr>
            <w:tcW w:w="1134" w:type="dxa"/>
          </w:tcPr>
          <w:p w14:paraId="36C46CD3">
            <w:pPr>
              <w:widowControl/>
              <w:adjustRightInd w:val="0"/>
              <w:snapToGrid w:val="0"/>
              <w:jc w:val="center"/>
              <w:rPr>
                <w:rFonts w:hint="eastAsia" w:ascii="宋体" w:hAnsi="宋体" w:cs="宋体"/>
                <w:kern w:val="0"/>
                <w:sz w:val="24"/>
                <w:highlight w:val="none"/>
              </w:rPr>
            </w:pPr>
          </w:p>
        </w:tc>
      </w:tr>
      <w:tr w14:paraId="2953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2AE124E6">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1</w:t>
            </w:r>
          </w:p>
        </w:tc>
        <w:tc>
          <w:tcPr>
            <w:tcW w:w="2585" w:type="dxa"/>
            <w:noWrap/>
            <w:vAlign w:val="center"/>
          </w:tcPr>
          <w:p w14:paraId="1A51452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太阳能微孔曝气机</w:t>
            </w:r>
          </w:p>
        </w:tc>
        <w:tc>
          <w:tcPr>
            <w:tcW w:w="992" w:type="dxa"/>
            <w:vAlign w:val="center"/>
          </w:tcPr>
          <w:p w14:paraId="3AD79CF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7CADDD3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16</w:t>
            </w:r>
          </w:p>
        </w:tc>
        <w:tc>
          <w:tcPr>
            <w:tcW w:w="1843" w:type="dxa"/>
          </w:tcPr>
          <w:p w14:paraId="350B6762">
            <w:pPr>
              <w:widowControl/>
              <w:adjustRightInd w:val="0"/>
              <w:snapToGrid w:val="0"/>
              <w:jc w:val="center"/>
              <w:rPr>
                <w:rFonts w:hint="eastAsia" w:ascii="宋体" w:hAnsi="宋体" w:cs="宋体"/>
                <w:kern w:val="0"/>
                <w:sz w:val="24"/>
                <w:highlight w:val="none"/>
              </w:rPr>
            </w:pPr>
          </w:p>
        </w:tc>
        <w:tc>
          <w:tcPr>
            <w:tcW w:w="1417" w:type="dxa"/>
          </w:tcPr>
          <w:p w14:paraId="1189F8A4">
            <w:pPr>
              <w:widowControl/>
              <w:adjustRightInd w:val="0"/>
              <w:snapToGrid w:val="0"/>
              <w:jc w:val="center"/>
              <w:rPr>
                <w:rFonts w:hint="eastAsia" w:ascii="宋体" w:hAnsi="宋体" w:cs="宋体"/>
                <w:kern w:val="0"/>
                <w:sz w:val="24"/>
                <w:highlight w:val="none"/>
              </w:rPr>
            </w:pPr>
          </w:p>
        </w:tc>
        <w:tc>
          <w:tcPr>
            <w:tcW w:w="1134" w:type="dxa"/>
          </w:tcPr>
          <w:p w14:paraId="75145D7A">
            <w:pPr>
              <w:widowControl/>
              <w:adjustRightInd w:val="0"/>
              <w:snapToGrid w:val="0"/>
              <w:jc w:val="center"/>
              <w:rPr>
                <w:rFonts w:hint="eastAsia" w:ascii="宋体" w:hAnsi="宋体" w:cs="宋体"/>
                <w:kern w:val="0"/>
                <w:sz w:val="24"/>
                <w:highlight w:val="none"/>
              </w:rPr>
            </w:pPr>
          </w:p>
        </w:tc>
      </w:tr>
      <w:tr w14:paraId="37E9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72ABD53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2</w:t>
            </w:r>
          </w:p>
        </w:tc>
        <w:tc>
          <w:tcPr>
            <w:tcW w:w="2585" w:type="dxa"/>
            <w:noWrap/>
            <w:vAlign w:val="center"/>
          </w:tcPr>
          <w:p w14:paraId="4520527C">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污水处理设备</w:t>
            </w:r>
          </w:p>
        </w:tc>
        <w:tc>
          <w:tcPr>
            <w:tcW w:w="992" w:type="dxa"/>
            <w:vAlign w:val="center"/>
          </w:tcPr>
          <w:p w14:paraId="04094A4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7373102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203EC4BE">
            <w:pPr>
              <w:widowControl/>
              <w:adjustRightInd w:val="0"/>
              <w:snapToGrid w:val="0"/>
              <w:jc w:val="center"/>
              <w:rPr>
                <w:rFonts w:hint="eastAsia" w:ascii="宋体" w:hAnsi="宋体" w:cs="宋体"/>
                <w:kern w:val="0"/>
                <w:sz w:val="24"/>
                <w:highlight w:val="none"/>
              </w:rPr>
            </w:pPr>
          </w:p>
        </w:tc>
        <w:tc>
          <w:tcPr>
            <w:tcW w:w="1417" w:type="dxa"/>
          </w:tcPr>
          <w:p w14:paraId="230E5F27">
            <w:pPr>
              <w:widowControl/>
              <w:adjustRightInd w:val="0"/>
              <w:snapToGrid w:val="0"/>
              <w:jc w:val="center"/>
              <w:rPr>
                <w:rFonts w:hint="eastAsia" w:ascii="宋体" w:hAnsi="宋体" w:cs="宋体"/>
                <w:kern w:val="0"/>
                <w:sz w:val="24"/>
                <w:highlight w:val="none"/>
              </w:rPr>
            </w:pPr>
          </w:p>
        </w:tc>
        <w:tc>
          <w:tcPr>
            <w:tcW w:w="1134" w:type="dxa"/>
          </w:tcPr>
          <w:p w14:paraId="7965227F">
            <w:pPr>
              <w:widowControl/>
              <w:adjustRightInd w:val="0"/>
              <w:snapToGrid w:val="0"/>
              <w:jc w:val="center"/>
              <w:rPr>
                <w:rFonts w:hint="eastAsia" w:ascii="宋体" w:hAnsi="宋体" w:cs="宋体"/>
                <w:kern w:val="0"/>
                <w:sz w:val="24"/>
                <w:highlight w:val="none"/>
              </w:rPr>
            </w:pPr>
          </w:p>
        </w:tc>
      </w:tr>
      <w:tr w14:paraId="3895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EFB7A87">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3</w:t>
            </w:r>
          </w:p>
        </w:tc>
        <w:tc>
          <w:tcPr>
            <w:tcW w:w="2585" w:type="dxa"/>
            <w:noWrap/>
            <w:vAlign w:val="center"/>
          </w:tcPr>
          <w:p w14:paraId="6098526D">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一体化泵站</w:t>
            </w:r>
          </w:p>
        </w:tc>
        <w:tc>
          <w:tcPr>
            <w:tcW w:w="992" w:type="dxa"/>
            <w:vAlign w:val="center"/>
          </w:tcPr>
          <w:p w14:paraId="4E9F011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座</w:t>
            </w:r>
          </w:p>
        </w:tc>
        <w:tc>
          <w:tcPr>
            <w:tcW w:w="992" w:type="dxa"/>
            <w:vAlign w:val="center"/>
          </w:tcPr>
          <w:p w14:paraId="44F9422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296C46A9">
            <w:pPr>
              <w:widowControl/>
              <w:adjustRightInd w:val="0"/>
              <w:snapToGrid w:val="0"/>
              <w:jc w:val="center"/>
              <w:rPr>
                <w:rFonts w:hint="eastAsia" w:ascii="宋体" w:hAnsi="宋体" w:cs="宋体"/>
                <w:kern w:val="0"/>
                <w:sz w:val="24"/>
                <w:highlight w:val="none"/>
              </w:rPr>
            </w:pPr>
          </w:p>
        </w:tc>
        <w:tc>
          <w:tcPr>
            <w:tcW w:w="1417" w:type="dxa"/>
          </w:tcPr>
          <w:p w14:paraId="39DF8F78">
            <w:pPr>
              <w:widowControl/>
              <w:adjustRightInd w:val="0"/>
              <w:snapToGrid w:val="0"/>
              <w:jc w:val="center"/>
              <w:rPr>
                <w:rFonts w:hint="eastAsia" w:ascii="宋体" w:hAnsi="宋体" w:cs="宋体"/>
                <w:kern w:val="0"/>
                <w:sz w:val="24"/>
                <w:highlight w:val="none"/>
              </w:rPr>
            </w:pPr>
          </w:p>
        </w:tc>
        <w:tc>
          <w:tcPr>
            <w:tcW w:w="1134" w:type="dxa"/>
          </w:tcPr>
          <w:p w14:paraId="508FD2C6">
            <w:pPr>
              <w:widowControl/>
              <w:adjustRightInd w:val="0"/>
              <w:snapToGrid w:val="0"/>
              <w:jc w:val="center"/>
              <w:rPr>
                <w:rFonts w:hint="eastAsia" w:ascii="宋体" w:hAnsi="宋体" w:cs="宋体"/>
                <w:kern w:val="0"/>
                <w:sz w:val="24"/>
                <w:highlight w:val="none"/>
              </w:rPr>
            </w:pPr>
          </w:p>
        </w:tc>
      </w:tr>
      <w:tr w14:paraId="5709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6578F3F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4</w:t>
            </w:r>
          </w:p>
        </w:tc>
        <w:tc>
          <w:tcPr>
            <w:tcW w:w="2585" w:type="dxa"/>
            <w:noWrap/>
            <w:vAlign w:val="center"/>
          </w:tcPr>
          <w:p w14:paraId="6C3319BF">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秸秆造粒机</w:t>
            </w:r>
          </w:p>
        </w:tc>
        <w:tc>
          <w:tcPr>
            <w:tcW w:w="992" w:type="dxa"/>
            <w:vAlign w:val="center"/>
          </w:tcPr>
          <w:p w14:paraId="7F6FB33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7B3C18ED">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4B954059">
            <w:pPr>
              <w:widowControl/>
              <w:adjustRightInd w:val="0"/>
              <w:snapToGrid w:val="0"/>
              <w:jc w:val="center"/>
              <w:rPr>
                <w:rFonts w:hint="eastAsia" w:ascii="宋体" w:hAnsi="宋体" w:cs="宋体"/>
                <w:kern w:val="0"/>
                <w:sz w:val="24"/>
                <w:highlight w:val="none"/>
              </w:rPr>
            </w:pPr>
          </w:p>
        </w:tc>
        <w:tc>
          <w:tcPr>
            <w:tcW w:w="1417" w:type="dxa"/>
          </w:tcPr>
          <w:p w14:paraId="37D260BD">
            <w:pPr>
              <w:widowControl/>
              <w:adjustRightInd w:val="0"/>
              <w:snapToGrid w:val="0"/>
              <w:jc w:val="center"/>
              <w:rPr>
                <w:rFonts w:hint="eastAsia" w:ascii="宋体" w:hAnsi="宋体" w:cs="宋体"/>
                <w:kern w:val="0"/>
                <w:sz w:val="24"/>
                <w:highlight w:val="none"/>
              </w:rPr>
            </w:pPr>
          </w:p>
        </w:tc>
        <w:tc>
          <w:tcPr>
            <w:tcW w:w="1134" w:type="dxa"/>
          </w:tcPr>
          <w:p w14:paraId="1CD5F44D">
            <w:pPr>
              <w:widowControl/>
              <w:adjustRightInd w:val="0"/>
              <w:snapToGrid w:val="0"/>
              <w:jc w:val="center"/>
              <w:rPr>
                <w:rFonts w:hint="eastAsia" w:ascii="宋体" w:hAnsi="宋体" w:cs="宋体"/>
                <w:kern w:val="0"/>
                <w:sz w:val="24"/>
                <w:highlight w:val="none"/>
              </w:rPr>
            </w:pPr>
          </w:p>
        </w:tc>
      </w:tr>
      <w:tr w14:paraId="053B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31C742B1">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4</w:t>
            </w:r>
            <w:r>
              <w:rPr>
                <w:rFonts w:hint="eastAsia" w:ascii="宋体" w:hAnsi="宋体" w:cs="宋体"/>
                <w:kern w:val="0"/>
                <w:sz w:val="24"/>
                <w:highlight w:val="none"/>
              </w:rPr>
              <w:t>5</w:t>
            </w:r>
          </w:p>
        </w:tc>
        <w:tc>
          <w:tcPr>
            <w:tcW w:w="2585" w:type="dxa"/>
            <w:noWrap/>
            <w:vAlign w:val="center"/>
          </w:tcPr>
          <w:p w14:paraId="4456489B">
            <w:pPr>
              <w:widowControl/>
              <w:adjustRightInd w:val="0"/>
              <w:snapToGrid w:val="0"/>
              <w:rPr>
                <w:rFonts w:hint="eastAsia" w:ascii="宋体" w:hAnsi="宋体" w:cs="宋体"/>
                <w:kern w:val="0"/>
                <w:sz w:val="24"/>
                <w:highlight w:val="none"/>
              </w:rPr>
            </w:pPr>
            <w:r>
              <w:rPr>
                <w:rFonts w:ascii="宋体" w:hAnsi="宋体" w:cs="宋体"/>
                <w:kern w:val="0"/>
                <w:sz w:val="24"/>
                <w:highlight w:val="none"/>
              </w:rPr>
              <w:t>秸秆粉碎机</w:t>
            </w:r>
          </w:p>
        </w:tc>
        <w:tc>
          <w:tcPr>
            <w:tcW w:w="992" w:type="dxa"/>
            <w:vAlign w:val="center"/>
          </w:tcPr>
          <w:p w14:paraId="3D2C470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66AD1CB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1A33CEDC">
            <w:pPr>
              <w:widowControl/>
              <w:adjustRightInd w:val="0"/>
              <w:snapToGrid w:val="0"/>
              <w:jc w:val="center"/>
              <w:rPr>
                <w:rFonts w:hint="eastAsia" w:ascii="宋体" w:hAnsi="宋体" w:cs="宋体"/>
                <w:kern w:val="0"/>
                <w:sz w:val="24"/>
                <w:highlight w:val="none"/>
              </w:rPr>
            </w:pPr>
          </w:p>
        </w:tc>
        <w:tc>
          <w:tcPr>
            <w:tcW w:w="1417" w:type="dxa"/>
          </w:tcPr>
          <w:p w14:paraId="509385BE">
            <w:pPr>
              <w:widowControl/>
              <w:adjustRightInd w:val="0"/>
              <w:snapToGrid w:val="0"/>
              <w:jc w:val="center"/>
              <w:rPr>
                <w:rFonts w:hint="eastAsia" w:ascii="宋体" w:hAnsi="宋体" w:cs="宋体"/>
                <w:kern w:val="0"/>
                <w:sz w:val="24"/>
                <w:highlight w:val="none"/>
              </w:rPr>
            </w:pPr>
          </w:p>
        </w:tc>
        <w:tc>
          <w:tcPr>
            <w:tcW w:w="1134" w:type="dxa"/>
          </w:tcPr>
          <w:p w14:paraId="467EB03A">
            <w:pPr>
              <w:widowControl/>
              <w:adjustRightInd w:val="0"/>
              <w:snapToGrid w:val="0"/>
              <w:jc w:val="center"/>
              <w:rPr>
                <w:rFonts w:hint="eastAsia" w:ascii="宋体" w:hAnsi="宋体" w:cs="宋体"/>
                <w:kern w:val="0"/>
                <w:sz w:val="24"/>
                <w:highlight w:val="none"/>
              </w:rPr>
            </w:pPr>
          </w:p>
        </w:tc>
      </w:tr>
      <w:tr w14:paraId="0D29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54829E5A">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6</w:t>
            </w:r>
          </w:p>
        </w:tc>
        <w:tc>
          <w:tcPr>
            <w:tcW w:w="2585" w:type="dxa"/>
            <w:noWrap/>
            <w:vAlign w:val="center"/>
          </w:tcPr>
          <w:p w14:paraId="3201C860">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秸秆打捆机</w:t>
            </w:r>
          </w:p>
        </w:tc>
        <w:tc>
          <w:tcPr>
            <w:tcW w:w="992" w:type="dxa"/>
            <w:vAlign w:val="center"/>
          </w:tcPr>
          <w:p w14:paraId="0970D103">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480F142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05857251">
            <w:pPr>
              <w:widowControl/>
              <w:adjustRightInd w:val="0"/>
              <w:snapToGrid w:val="0"/>
              <w:jc w:val="center"/>
              <w:rPr>
                <w:rFonts w:hint="eastAsia" w:ascii="宋体" w:hAnsi="宋体" w:cs="宋体"/>
                <w:kern w:val="0"/>
                <w:sz w:val="24"/>
                <w:highlight w:val="none"/>
              </w:rPr>
            </w:pPr>
          </w:p>
        </w:tc>
        <w:tc>
          <w:tcPr>
            <w:tcW w:w="1417" w:type="dxa"/>
          </w:tcPr>
          <w:p w14:paraId="6B7F45D8">
            <w:pPr>
              <w:widowControl/>
              <w:adjustRightInd w:val="0"/>
              <w:snapToGrid w:val="0"/>
              <w:jc w:val="center"/>
              <w:rPr>
                <w:rFonts w:hint="eastAsia" w:ascii="宋体" w:hAnsi="宋体" w:cs="宋体"/>
                <w:kern w:val="0"/>
                <w:sz w:val="24"/>
                <w:highlight w:val="none"/>
              </w:rPr>
            </w:pPr>
          </w:p>
        </w:tc>
        <w:tc>
          <w:tcPr>
            <w:tcW w:w="1134" w:type="dxa"/>
          </w:tcPr>
          <w:p w14:paraId="0CA7670F">
            <w:pPr>
              <w:widowControl/>
              <w:adjustRightInd w:val="0"/>
              <w:snapToGrid w:val="0"/>
              <w:jc w:val="center"/>
              <w:rPr>
                <w:rFonts w:hint="eastAsia" w:ascii="宋体" w:hAnsi="宋体" w:cs="宋体"/>
                <w:kern w:val="0"/>
                <w:sz w:val="24"/>
                <w:highlight w:val="none"/>
              </w:rPr>
            </w:pPr>
          </w:p>
        </w:tc>
      </w:tr>
      <w:tr w14:paraId="03D5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66FA580">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7</w:t>
            </w:r>
          </w:p>
        </w:tc>
        <w:tc>
          <w:tcPr>
            <w:tcW w:w="2585" w:type="dxa"/>
            <w:vAlign w:val="center"/>
          </w:tcPr>
          <w:p w14:paraId="042CC2A5">
            <w:pPr>
              <w:widowControl/>
              <w:adjustRightInd w:val="0"/>
              <w:snapToGrid w:val="0"/>
              <w:rPr>
                <w:rFonts w:hint="eastAsia" w:ascii="宋体" w:hAnsi="宋体" w:cs="宋体"/>
                <w:kern w:val="0"/>
                <w:sz w:val="24"/>
                <w:highlight w:val="none"/>
              </w:rPr>
            </w:pPr>
            <w:r>
              <w:rPr>
                <w:rFonts w:ascii="宋体" w:hAnsi="宋体" w:cs="宋体"/>
                <w:kern w:val="0"/>
                <w:sz w:val="24"/>
                <w:highlight w:val="none"/>
              </w:rPr>
              <w:t>秸秆叉车</w:t>
            </w:r>
          </w:p>
        </w:tc>
        <w:tc>
          <w:tcPr>
            <w:tcW w:w="992" w:type="dxa"/>
            <w:vAlign w:val="center"/>
          </w:tcPr>
          <w:p w14:paraId="4433EEAF">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1758990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3CF25E48">
            <w:pPr>
              <w:widowControl/>
              <w:adjustRightInd w:val="0"/>
              <w:snapToGrid w:val="0"/>
              <w:jc w:val="center"/>
              <w:rPr>
                <w:rFonts w:hint="eastAsia" w:ascii="宋体" w:hAnsi="宋体" w:cs="宋体"/>
                <w:kern w:val="0"/>
                <w:sz w:val="24"/>
                <w:highlight w:val="none"/>
              </w:rPr>
            </w:pPr>
          </w:p>
        </w:tc>
        <w:tc>
          <w:tcPr>
            <w:tcW w:w="1417" w:type="dxa"/>
          </w:tcPr>
          <w:p w14:paraId="3917BC5C">
            <w:pPr>
              <w:widowControl/>
              <w:adjustRightInd w:val="0"/>
              <w:snapToGrid w:val="0"/>
              <w:jc w:val="center"/>
              <w:rPr>
                <w:rFonts w:hint="eastAsia" w:ascii="宋体" w:hAnsi="宋体" w:cs="宋体"/>
                <w:kern w:val="0"/>
                <w:sz w:val="24"/>
                <w:highlight w:val="none"/>
              </w:rPr>
            </w:pPr>
          </w:p>
        </w:tc>
        <w:tc>
          <w:tcPr>
            <w:tcW w:w="1134" w:type="dxa"/>
          </w:tcPr>
          <w:p w14:paraId="5EA1E4D8">
            <w:pPr>
              <w:widowControl/>
              <w:adjustRightInd w:val="0"/>
              <w:snapToGrid w:val="0"/>
              <w:jc w:val="center"/>
              <w:rPr>
                <w:rFonts w:hint="eastAsia" w:ascii="宋体" w:hAnsi="宋体" w:cs="宋体"/>
                <w:kern w:val="0"/>
                <w:sz w:val="24"/>
                <w:highlight w:val="none"/>
              </w:rPr>
            </w:pPr>
          </w:p>
        </w:tc>
      </w:tr>
      <w:tr w14:paraId="3608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225F60AE">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4</w:t>
            </w:r>
            <w:r>
              <w:rPr>
                <w:rFonts w:hint="eastAsia" w:ascii="宋体" w:hAnsi="宋体" w:cs="宋体"/>
                <w:color w:val="000000"/>
                <w:kern w:val="0"/>
                <w:sz w:val="24"/>
                <w:highlight w:val="none"/>
              </w:rPr>
              <w:t>8</w:t>
            </w:r>
          </w:p>
        </w:tc>
        <w:tc>
          <w:tcPr>
            <w:tcW w:w="2585" w:type="dxa"/>
            <w:noWrap/>
            <w:vAlign w:val="center"/>
          </w:tcPr>
          <w:p w14:paraId="400CB3B9">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脉冲除尘器</w:t>
            </w:r>
          </w:p>
        </w:tc>
        <w:tc>
          <w:tcPr>
            <w:tcW w:w="992" w:type="dxa"/>
            <w:vAlign w:val="center"/>
          </w:tcPr>
          <w:p w14:paraId="4257A91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37FF560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59948051">
            <w:pPr>
              <w:widowControl/>
              <w:adjustRightInd w:val="0"/>
              <w:snapToGrid w:val="0"/>
              <w:jc w:val="center"/>
              <w:rPr>
                <w:rFonts w:hint="eastAsia" w:ascii="宋体" w:hAnsi="宋体" w:cs="宋体"/>
                <w:kern w:val="0"/>
                <w:sz w:val="24"/>
                <w:highlight w:val="none"/>
              </w:rPr>
            </w:pPr>
          </w:p>
        </w:tc>
        <w:tc>
          <w:tcPr>
            <w:tcW w:w="1417" w:type="dxa"/>
          </w:tcPr>
          <w:p w14:paraId="310B9698">
            <w:pPr>
              <w:widowControl/>
              <w:adjustRightInd w:val="0"/>
              <w:snapToGrid w:val="0"/>
              <w:jc w:val="center"/>
              <w:rPr>
                <w:rFonts w:hint="eastAsia" w:ascii="宋体" w:hAnsi="宋体" w:cs="宋体"/>
                <w:kern w:val="0"/>
                <w:sz w:val="24"/>
                <w:highlight w:val="none"/>
              </w:rPr>
            </w:pPr>
          </w:p>
        </w:tc>
        <w:tc>
          <w:tcPr>
            <w:tcW w:w="1134" w:type="dxa"/>
          </w:tcPr>
          <w:p w14:paraId="249CFFAA">
            <w:pPr>
              <w:widowControl/>
              <w:adjustRightInd w:val="0"/>
              <w:snapToGrid w:val="0"/>
              <w:jc w:val="center"/>
              <w:rPr>
                <w:rFonts w:hint="eastAsia" w:ascii="宋体" w:hAnsi="宋体" w:cs="宋体"/>
                <w:kern w:val="0"/>
                <w:sz w:val="24"/>
                <w:highlight w:val="none"/>
              </w:rPr>
            </w:pPr>
          </w:p>
        </w:tc>
      </w:tr>
      <w:tr w14:paraId="206C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F11B277">
            <w:pPr>
              <w:widowControl/>
              <w:adjustRightInd w:val="0"/>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49</w:t>
            </w:r>
          </w:p>
        </w:tc>
        <w:tc>
          <w:tcPr>
            <w:tcW w:w="2585" w:type="dxa"/>
            <w:noWrap/>
            <w:vAlign w:val="center"/>
          </w:tcPr>
          <w:p w14:paraId="34F849EF">
            <w:pPr>
              <w:widowControl/>
              <w:adjustRightInd w:val="0"/>
              <w:snapToGrid w:val="0"/>
              <w:rPr>
                <w:rFonts w:hint="eastAsia" w:ascii="宋体" w:hAnsi="宋体" w:cs="宋体"/>
                <w:color w:val="000000"/>
                <w:kern w:val="0"/>
                <w:sz w:val="24"/>
                <w:highlight w:val="none"/>
              </w:rPr>
            </w:pPr>
            <w:r>
              <w:rPr>
                <w:rFonts w:ascii="宋体" w:hAnsi="宋体" w:cs="宋体"/>
                <w:color w:val="000000"/>
                <w:kern w:val="0"/>
                <w:sz w:val="24"/>
                <w:highlight w:val="none"/>
              </w:rPr>
              <w:t>秸秆运输车</w:t>
            </w:r>
          </w:p>
        </w:tc>
        <w:tc>
          <w:tcPr>
            <w:tcW w:w="992" w:type="dxa"/>
            <w:vAlign w:val="center"/>
          </w:tcPr>
          <w:p w14:paraId="34393356">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辆</w:t>
            </w:r>
          </w:p>
        </w:tc>
        <w:tc>
          <w:tcPr>
            <w:tcW w:w="992" w:type="dxa"/>
            <w:vAlign w:val="center"/>
          </w:tcPr>
          <w:p w14:paraId="11733819">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0C3BBFFF">
            <w:pPr>
              <w:widowControl/>
              <w:adjustRightInd w:val="0"/>
              <w:snapToGrid w:val="0"/>
              <w:jc w:val="center"/>
              <w:rPr>
                <w:rFonts w:hint="eastAsia" w:ascii="宋体" w:hAnsi="宋体" w:cs="宋体"/>
                <w:kern w:val="0"/>
                <w:sz w:val="24"/>
                <w:highlight w:val="none"/>
              </w:rPr>
            </w:pPr>
          </w:p>
        </w:tc>
        <w:tc>
          <w:tcPr>
            <w:tcW w:w="1417" w:type="dxa"/>
          </w:tcPr>
          <w:p w14:paraId="6B4153DB">
            <w:pPr>
              <w:widowControl/>
              <w:adjustRightInd w:val="0"/>
              <w:snapToGrid w:val="0"/>
              <w:jc w:val="center"/>
              <w:rPr>
                <w:rFonts w:hint="eastAsia" w:ascii="宋体" w:hAnsi="宋体" w:cs="宋体"/>
                <w:kern w:val="0"/>
                <w:sz w:val="24"/>
                <w:highlight w:val="none"/>
              </w:rPr>
            </w:pPr>
          </w:p>
        </w:tc>
        <w:tc>
          <w:tcPr>
            <w:tcW w:w="1134" w:type="dxa"/>
          </w:tcPr>
          <w:p w14:paraId="443AD791">
            <w:pPr>
              <w:widowControl/>
              <w:adjustRightInd w:val="0"/>
              <w:snapToGrid w:val="0"/>
              <w:jc w:val="center"/>
              <w:rPr>
                <w:rFonts w:hint="eastAsia" w:ascii="宋体" w:hAnsi="宋体" w:cs="宋体"/>
                <w:kern w:val="0"/>
                <w:sz w:val="24"/>
                <w:highlight w:val="none"/>
              </w:rPr>
            </w:pPr>
          </w:p>
        </w:tc>
      </w:tr>
      <w:tr w14:paraId="22E3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66D976B">
            <w:pPr>
              <w:widowControl/>
              <w:adjustRightInd w:val="0"/>
              <w:snapToGrid w:val="0"/>
              <w:jc w:val="center"/>
              <w:rPr>
                <w:rFonts w:hint="eastAsia" w:ascii="宋体" w:hAnsi="宋体" w:cs="宋体"/>
                <w:kern w:val="0"/>
                <w:sz w:val="24"/>
                <w:highlight w:val="none"/>
              </w:rPr>
            </w:pPr>
            <w:r>
              <w:rPr>
                <w:rFonts w:ascii="宋体" w:hAnsi="宋体" w:cs="宋体"/>
                <w:kern w:val="0"/>
                <w:sz w:val="24"/>
                <w:highlight w:val="none"/>
              </w:rPr>
              <w:t>5</w:t>
            </w:r>
            <w:r>
              <w:rPr>
                <w:rFonts w:hint="eastAsia" w:ascii="宋体" w:hAnsi="宋体" w:cs="宋体"/>
                <w:kern w:val="0"/>
                <w:sz w:val="24"/>
                <w:highlight w:val="none"/>
              </w:rPr>
              <w:t>0</w:t>
            </w:r>
          </w:p>
        </w:tc>
        <w:tc>
          <w:tcPr>
            <w:tcW w:w="2585" w:type="dxa"/>
            <w:vAlign w:val="center"/>
          </w:tcPr>
          <w:p w14:paraId="3556A596">
            <w:pPr>
              <w:widowControl/>
              <w:adjustRightInd w:val="0"/>
              <w:snapToGrid w:val="0"/>
              <w:rPr>
                <w:rFonts w:hint="eastAsia" w:ascii="宋体" w:hAnsi="宋体" w:cs="宋体"/>
                <w:kern w:val="0"/>
                <w:sz w:val="24"/>
                <w:highlight w:val="none"/>
              </w:rPr>
            </w:pPr>
            <w:r>
              <w:rPr>
                <w:rFonts w:ascii="宋体" w:hAnsi="宋体" w:cs="宋体"/>
                <w:kern w:val="0"/>
                <w:sz w:val="24"/>
                <w:highlight w:val="none"/>
              </w:rPr>
              <w:t>布袋除尘</w:t>
            </w:r>
          </w:p>
        </w:tc>
        <w:tc>
          <w:tcPr>
            <w:tcW w:w="992" w:type="dxa"/>
            <w:vAlign w:val="center"/>
          </w:tcPr>
          <w:p w14:paraId="581B2A6E">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2537ADFB">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641A3EDD">
            <w:pPr>
              <w:widowControl/>
              <w:adjustRightInd w:val="0"/>
              <w:snapToGrid w:val="0"/>
              <w:jc w:val="center"/>
              <w:rPr>
                <w:rFonts w:hint="eastAsia" w:ascii="宋体" w:hAnsi="宋体" w:cs="宋体"/>
                <w:kern w:val="0"/>
                <w:sz w:val="24"/>
                <w:highlight w:val="none"/>
              </w:rPr>
            </w:pPr>
          </w:p>
        </w:tc>
        <w:tc>
          <w:tcPr>
            <w:tcW w:w="1417" w:type="dxa"/>
          </w:tcPr>
          <w:p w14:paraId="5DEA8577">
            <w:pPr>
              <w:widowControl/>
              <w:adjustRightInd w:val="0"/>
              <w:snapToGrid w:val="0"/>
              <w:jc w:val="center"/>
              <w:rPr>
                <w:rFonts w:hint="eastAsia" w:ascii="宋体" w:hAnsi="宋体" w:cs="宋体"/>
                <w:kern w:val="0"/>
                <w:sz w:val="24"/>
                <w:highlight w:val="none"/>
              </w:rPr>
            </w:pPr>
          </w:p>
        </w:tc>
        <w:tc>
          <w:tcPr>
            <w:tcW w:w="1134" w:type="dxa"/>
          </w:tcPr>
          <w:p w14:paraId="090F16A0">
            <w:pPr>
              <w:widowControl/>
              <w:adjustRightInd w:val="0"/>
              <w:snapToGrid w:val="0"/>
              <w:jc w:val="center"/>
              <w:rPr>
                <w:rFonts w:hint="eastAsia" w:ascii="宋体" w:hAnsi="宋体" w:cs="宋体"/>
                <w:kern w:val="0"/>
                <w:sz w:val="24"/>
                <w:highlight w:val="none"/>
              </w:rPr>
            </w:pPr>
          </w:p>
        </w:tc>
      </w:tr>
      <w:tr w14:paraId="34281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5E16619">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1</w:t>
            </w:r>
          </w:p>
        </w:tc>
        <w:tc>
          <w:tcPr>
            <w:tcW w:w="2585" w:type="dxa"/>
            <w:vAlign w:val="center"/>
          </w:tcPr>
          <w:p w14:paraId="031698FD">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回收智能收集柜</w:t>
            </w:r>
          </w:p>
        </w:tc>
        <w:tc>
          <w:tcPr>
            <w:tcW w:w="992" w:type="dxa"/>
            <w:vAlign w:val="center"/>
          </w:tcPr>
          <w:p w14:paraId="14F7D577">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02C4E88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12</w:t>
            </w:r>
          </w:p>
        </w:tc>
        <w:tc>
          <w:tcPr>
            <w:tcW w:w="1843" w:type="dxa"/>
          </w:tcPr>
          <w:p w14:paraId="5718AF7F">
            <w:pPr>
              <w:widowControl/>
              <w:adjustRightInd w:val="0"/>
              <w:snapToGrid w:val="0"/>
              <w:jc w:val="center"/>
              <w:rPr>
                <w:rFonts w:hint="eastAsia" w:ascii="宋体" w:hAnsi="宋体" w:cs="宋体"/>
                <w:kern w:val="0"/>
                <w:sz w:val="24"/>
                <w:highlight w:val="none"/>
              </w:rPr>
            </w:pPr>
          </w:p>
        </w:tc>
        <w:tc>
          <w:tcPr>
            <w:tcW w:w="1417" w:type="dxa"/>
          </w:tcPr>
          <w:p w14:paraId="69118709">
            <w:pPr>
              <w:widowControl/>
              <w:adjustRightInd w:val="0"/>
              <w:snapToGrid w:val="0"/>
              <w:jc w:val="center"/>
              <w:rPr>
                <w:rFonts w:hint="eastAsia" w:ascii="宋体" w:hAnsi="宋体" w:cs="宋体"/>
                <w:kern w:val="0"/>
                <w:sz w:val="24"/>
                <w:highlight w:val="none"/>
              </w:rPr>
            </w:pPr>
          </w:p>
        </w:tc>
        <w:tc>
          <w:tcPr>
            <w:tcW w:w="1134" w:type="dxa"/>
          </w:tcPr>
          <w:p w14:paraId="60764453">
            <w:pPr>
              <w:widowControl/>
              <w:adjustRightInd w:val="0"/>
              <w:snapToGrid w:val="0"/>
              <w:jc w:val="center"/>
              <w:rPr>
                <w:rFonts w:hint="eastAsia" w:ascii="宋体" w:hAnsi="宋体" w:cs="宋体"/>
                <w:kern w:val="0"/>
                <w:sz w:val="24"/>
                <w:highlight w:val="none"/>
              </w:rPr>
            </w:pPr>
          </w:p>
        </w:tc>
      </w:tr>
      <w:tr w14:paraId="0C14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23E51CA">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2</w:t>
            </w:r>
          </w:p>
        </w:tc>
        <w:tc>
          <w:tcPr>
            <w:tcW w:w="2585" w:type="dxa"/>
            <w:vAlign w:val="center"/>
          </w:tcPr>
          <w:p w14:paraId="2BD452FA">
            <w:pPr>
              <w:widowControl/>
              <w:adjustRightInd w:val="0"/>
              <w:snapToGrid w:val="0"/>
              <w:rPr>
                <w:rFonts w:hint="eastAsia" w:ascii="宋体" w:hAnsi="宋体" w:cs="宋体"/>
                <w:color w:val="FF0000"/>
                <w:kern w:val="0"/>
                <w:sz w:val="24"/>
                <w:highlight w:val="none"/>
              </w:rPr>
            </w:pPr>
            <w:r>
              <w:rPr>
                <w:rFonts w:ascii="宋体" w:hAnsi="宋体" w:cs="宋体"/>
                <w:kern w:val="0"/>
                <w:sz w:val="24"/>
                <w:highlight w:val="none"/>
              </w:rPr>
              <w:t>回收智能收集系统</w:t>
            </w:r>
          </w:p>
        </w:tc>
        <w:tc>
          <w:tcPr>
            <w:tcW w:w="992" w:type="dxa"/>
            <w:vAlign w:val="center"/>
          </w:tcPr>
          <w:p w14:paraId="0B801B3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4C9FCD2A">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298E9E19">
            <w:pPr>
              <w:widowControl/>
              <w:adjustRightInd w:val="0"/>
              <w:snapToGrid w:val="0"/>
              <w:jc w:val="center"/>
              <w:rPr>
                <w:rFonts w:hint="eastAsia" w:ascii="宋体" w:hAnsi="宋体" w:cs="宋体"/>
                <w:kern w:val="0"/>
                <w:sz w:val="24"/>
                <w:highlight w:val="none"/>
              </w:rPr>
            </w:pPr>
          </w:p>
        </w:tc>
        <w:tc>
          <w:tcPr>
            <w:tcW w:w="1417" w:type="dxa"/>
          </w:tcPr>
          <w:p w14:paraId="5F53F6C1">
            <w:pPr>
              <w:widowControl/>
              <w:adjustRightInd w:val="0"/>
              <w:snapToGrid w:val="0"/>
              <w:jc w:val="center"/>
              <w:rPr>
                <w:rFonts w:hint="eastAsia" w:ascii="宋体" w:hAnsi="宋体" w:cs="宋体"/>
                <w:kern w:val="0"/>
                <w:sz w:val="24"/>
                <w:highlight w:val="none"/>
              </w:rPr>
            </w:pPr>
          </w:p>
        </w:tc>
        <w:tc>
          <w:tcPr>
            <w:tcW w:w="1134" w:type="dxa"/>
          </w:tcPr>
          <w:p w14:paraId="332E2381">
            <w:pPr>
              <w:widowControl/>
              <w:adjustRightInd w:val="0"/>
              <w:snapToGrid w:val="0"/>
              <w:jc w:val="center"/>
              <w:rPr>
                <w:rFonts w:hint="eastAsia" w:ascii="宋体" w:hAnsi="宋体" w:cs="宋体"/>
                <w:kern w:val="0"/>
                <w:sz w:val="24"/>
                <w:highlight w:val="none"/>
              </w:rPr>
            </w:pPr>
          </w:p>
        </w:tc>
      </w:tr>
      <w:tr w14:paraId="1053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16FF701C">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3</w:t>
            </w:r>
          </w:p>
        </w:tc>
        <w:tc>
          <w:tcPr>
            <w:tcW w:w="2585" w:type="dxa"/>
            <w:vAlign w:val="center"/>
          </w:tcPr>
          <w:p w14:paraId="607CAE26">
            <w:pPr>
              <w:widowControl/>
              <w:adjustRightInd w:val="0"/>
              <w:snapToGrid w:val="0"/>
              <w:rPr>
                <w:rFonts w:hint="eastAsia" w:ascii="宋体" w:hAnsi="宋体" w:cs="宋体"/>
                <w:kern w:val="0"/>
                <w:sz w:val="24"/>
                <w:highlight w:val="none"/>
              </w:rPr>
            </w:pPr>
            <w:r>
              <w:rPr>
                <w:rFonts w:ascii="宋体" w:hAnsi="宋体" w:cs="宋体"/>
                <w:kern w:val="0"/>
                <w:sz w:val="24"/>
                <w:highlight w:val="none"/>
              </w:rPr>
              <w:t>智能回收车</w:t>
            </w:r>
          </w:p>
        </w:tc>
        <w:tc>
          <w:tcPr>
            <w:tcW w:w="992" w:type="dxa"/>
            <w:vAlign w:val="center"/>
          </w:tcPr>
          <w:p w14:paraId="2A31C8B0">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台</w:t>
            </w:r>
          </w:p>
        </w:tc>
        <w:tc>
          <w:tcPr>
            <w:tcW w:w="992" w:type="dxa"/>
            <w:vAlign w:val="center"/>
          </w:tcPr>
          <w:p w14:paraId="52ECDC75">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1</w:t>
            </w:r>
          </w:p>
        </w:tc>
        <w:tc>
          <w:tcPr>
            <w:tcW w:w="1843" w:type="dxa"/>
          </w:tcPr>
          <w:p w14:paraId="63D24A25">
            <w:pPr>
              <w:widowControl/>
              <w:adjustRightInd w:val="0"/>
              <w:snapToGrid w:val="0"/>
              <w:jc w:val="center"/>
              <w:rPr>
                <w:rFonts w:hint="eastAsia" w:ascii="宋体" w:hAnsi="宋体" w:cs="宋体"/>
                <w:kern w:val="0"/>
                <w:sz w:val="24"/>
                <w:highlight w:val="none"/>
              </w:rPr>
            </w:pPr>
          </w:p>
        </w:tc>
        <w:tc>
          <w:tcPr>
            <w:tcW w:w="1417" w:type="dxa"/>
          </w:tcPr>
          <w:p w14:paraId="15735EE3">
            <w:pPr>
              <w:widowControl/>
              <w:adjustRightInd w:val="0"/>
              <w:snapToGrid w:val="0"/>
              <w:jc w:val="center"/>
              <w:rPr>
                <w:rFonts w:hint="eastAsia" w:ascii="宋体" w:hAnsi="宋体" w:cs="宋体"/>
                <w:kern w:val="0"/>
                <w:sz w:val="24"/>
                <w:highlight w:val="none"/>
              </w:rPr>
            </w:pPr>
          </w:p>
        </w:tc>
        <w:tc>
          <w:tcPr>
            <w:tcW w:w="1134" w:type="dxa"/>
          </w:tcPr>
          <w:p w14:paraId="060BDE18">
            <w:pPr>
              <w:widowControl/>
              <w:adjustRightInd w:val="0"/>
              <w:snapToGrid w:val="0"/>
              <w:jc w:val="center"/>
              <w:rPr>
                <w:rFonts w:hint="eastAsia" w:ascii="宋体" w:hAnsi="宋体" w:cs="宋体"/>
                <w:kern w:val="0"/>
                <w:sz w:val="24"/>
                <w:highlight w:val="none"/>
              </w:rPr>
            </w:pPr>
          </w:p>
        </w:tc>
      </w:tr>
      <w:tr w14:paraId="1BC5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1" w:type="dxa"/>
            <w:noWrap/>
            <w:vAlign w:val="center"/>
          </w:tcPr>
          <w:p w14:paraId="005C8FE2">
            <w:pPr>
              <w:widowControl/>
              <w:adjustRightInd w:val="0"/>
              <w:snapToGrid w:val="0"/>
              <w:jc w:val="center"/>
              <w:rPr>
                <w:rFonts w:hint="eastAsia" w:ascii="宋体" w:hAnsi="宋体" w:cs="宋体"/>
                <w:color w:val="000000"/>
                <w:kern w:val="0"/>
                <w:sz w:val="24"/>
                <w:highlight w:val="none"/>
              </w:rPr>
            </w:pPr>
            <w:r>
              <w:rPr>
                <w:rFonts w:ascii="宋体" w:hAnsi="宋体" w:cs="宋体"/>
                <w:color w:val="000000"/>
                <w:kern w:val="0"/>
                <w:sz w:val="24"/>
                <w:highlight w:val="none"/>
              </w:rPr>
              <w:t>5</w:t>
            </w:r>
            <w:r>
              <w:rPr>
                <w:rFonts w:hint="eastAsia" w:ascii="宋体" w:hAnsi="宋体" w:cs="宋体"/>
                <w:color w:val="000000"/>
                <w:kern w:val="0"/>
                <w:sz w:val="24"/>
                <w:highlight w:val="none"/>
              </w:rPr>
              <w:t>4</w:t>
            </w:r>
          </w:p>
        </w:tc>
        <w:tc>
          <w:tcPr>
            <w:tcW w:w="2585" w:type="dxa"/>
            <w:vAlign w:val="center"/>
          </w:tcPr>
          <w:p w14:paraId="7A0879B6">
            <w:pPr>
              <w:widowControl/>
              <w:adjustRightInd w:val="0"/>
              <w:snapToGrid w:val="0"/>
              <w:rPr>
                <w:rFonts w:hint="eastAsia" w:ascii="宋体" w:hAnsi="宋体" w:cs="宋体"/>
                <w:kern w:val="0"/>
                <w:sz w:val="24"/>
                <w:highlight w:val="none"/>
              </w:rPr>
            </w:pPr>
            <w:r>
              <w:rPr>
                <w:rFonts w:ascii="宋体" w:hAnsi="宋体" w:cs="宋体"/>
                <w:kern w:val="0"/>
                <w:sz w:val="24"/>
                <w:highlight w:val="none"/>
              </w:rPr>
              <w:t>区域农业面源污染监测系统</w:t>
            </w:r>
          </w:p>
        </w:tc>
        <w:tc>
          <w:tcPr>
            <w:tcW w:w="992" w:type="dxa"/>
            <w:vAlign w:val="center"/>
          </w:tcPr>
          <w:p w14:paraId="32322631">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套</w:t>
            </w:r>
          </w:p>
        </w:tc>
        <w:tc>
          <w:tcPr>
            <w:tcW w:w="992" w:type="dxa"/>
            <w:vAlign w:val="center"/>
          </w:tcPr>
          <w:p w14:paraId="48EFFD64">
            <w:pPr>
              <w:widowControl/>
              <w:adjustRightInd w:val="0"/>
              <w:snapToGrid w:val="0"/>
              <w:jc w:val="center"/>
              <w:rPr>
                <w:rFonts w:hint="eastAsia" w:ascii="宋体" w:hAnsi="宋体" w:cs="宋体"/>
                <w:kern w:val="0"/>
                <w:sz w:val="24"/>
                <w:highlight w:val="none"/>
              </w:rPr>
            </w:pPr>
            <w:r>
              <w:rPr>
                <w:rFonts w:hint="eastAsia" w:ascii="宋体" w:hAnsi="宋体" w:cs="宋体"/>
                <w:kern w:val="0"/>
                <w:sz w:val="24"/>
                <w:highlight w:val="none"/>
              </w:rPr>
              <w:t>3</w:t>
            </w:r>
          </w:p>
        </w:tc>
        <w:tc>
          <w:tcPr>
            <w:tcW w:w="1843" w:type="dxa"/>
          </w:tcPr>
          <w:p w14:paraId="39D8CC21">
            <w:pPr>
              <w:widowControl/>
              <w:adjustRightInd w:val="0"/>
              <w:snapToGrid w:val="0"/>
              <w:jc w:val="center"/>
              <w:rPr>
                <w:rFonts w:hint="eastAsia" w:ascii="宋体" w:hAnsi="宋体" w:cs="宋体"/>
                <w:kern w:val="0"/>
                <w:sz w:val="24"/>
                <w:highlight w:val="none"/>
              </w:rPr>
            </w:pPr>
          </w:p>
        </w:tc>
        <w:tc>
          <w:tcPr>
            <w:tcW w:w="1417" w:type="dxa"/>
          </w:tcPr>
          <w:p w14:paraId="4D1BEFEB">
            <w:pPr>
              <w:widowControl/>
              <w:adjustRightInd w:val="0"/>
              <w:snapToGrid w:val="0"/>
              <w:jc w:val="center"/>
              <w:rPr>
                <w:rFonts w:hint="eastAsia" w:ascii="宋体" w:hAnsi="宋体" w:cs="宋体"/>
                <w:kern w:val="0"/>
                <w:sz w:val="24"/>
                <w:highlight w:val="none"/>
              </w:rPr>
            </w:pPr>
          </w:p>
        </w:tc>
        <w:tc>
          <w:tcPr>
            <w:tcW w:w="1134" w:type="dxa"/>
          </w:tcPr>
          <w:p w14:paraId="43CFF3B8">
            <w:pPr>
              <w:widowControl/>
              <w:adjustRightInd w:val="0"/>
              <w:snapToGrid w:val="0"/>
              <w:jc w:val="center"/>
              <w:rPr>
                <w:rFonts w:hint="eastAsia" w:ascii="宋体" w:hAnsi="宋体" w:cs="宋体"/>
                <w:kern w:val="0"/>
                <w:sz w:val="24"/>
                <w:highlight w:val="none"/>
              </w:rPr>
            </w:pPr>
          </w:p>
        </w:tc>
      </w:tr>
    </w:tbl>
    <w:p w14:paraId="0CC438A5">
      <w:pPr>
        <w:rPr>
          <w:highlight w:val="none"/>
        </w:rPr>
      </w:pPr>
    </w:p>
    <w:p w14:paraId="5EBDBAA0">
      <w:pPr>
        <w:ind w:right="888" w:rightChars="423"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zh-CN"/>
        </w:rPr>
        <w:t>注：</w:t>
      </w:r>
      <w:r>
        <w:rPr>
          <w:rFonts w:hint="eastAsia" w:ascii="宋体" w:hAnsi="宋体" w:cs="宋体"/>
          <w:color w:val="000000"/>
          <w:szCs w:val="21"/>
          <w:highlight w:val="none"/>
        </w:rPr>
        <w:t>1.</w:t>
      </w:r>
      <w:r>
        <w:rPr>
          <w:rFonts w:hint="eastAsia" w:ascii="宋体" w:hAnsi="宋体" w:cs="宋体"/>
          <w:color w:val="000000"/>
          <w:szCs w:val="21"/>
          <w:highlight w:val="none"/>
          <w:lang w:val="zh-CN"/>
        </w:rPr>
        <w:t>表格请按照</w:t>
      </w:r>
      <w:r>
        <w:rPr>
          <w:rFonts w:hint="eastAsia" w:ascii="宋体" w:hAnsi="宋体" w:cs="宋体"/>
          <w:color w:val="000000"/>
          <w:szCs w:val="21"/>
          <w:highlight w:val="none"/>
        </w:rPr>
        <w:t>采购清单</w:t>
      </w:r>
      <w:r>
        <w:rPr>
          <w:rFonts w:hint="eastAsia" w:ascii="宋体" w:hAnsi="宋体" w:cs="宋体"/>
          <w:color w:val="000000"/>
          <w:szCs w:val="21"/>
          <w:highlight w:val="none"/>
          <w:lang w:val="zh-CN"/>
        </w:rPr>
        <w:t>顺序填写，如果行数不够，请自行增加。</w:t>
      </w:r>
    </w:p>
    <w:p w14:paraId="2FAD7E2B">
      <w:pPr>
        <w:ind w:right="888" w:rightChars="423" w:firstLine="420" w:firstLineChars="200"/>
        <w:rPr>
          <w:rFonts w:hint="eastAsia" w:ascii="宋体" w:hAnsi="宋体" w:cs="宋体"/>
          <w:color w:val="000000"/>
          <w:szCs w:val="21"/>
          <w:highlight w:val="none"/>
          <w:lang w:val="zh-CN"/>
        </w:rPr>
      </w:pPr>
      <w:r>
        <w:rPr>
          <w:rFonts w:hint="eastAsia" w:ascii="宋体" w:hAnsi="宋体" w:cs="宋体"/>
          <w:color w:val="000000"/>
          <w:szCs w:val="21"/>
          <w:highlight w:val="none"/>
        </w:rPr>
        <w:t>2</w:t>
      </w:r>
      <w:r>
        <w:rPr>
          <w:rFonts w:hint="eastAsia" w:ascii="宋体" w:hAnsi="宋体" w:cs="宋体"/>
          <w:color w:val="000000"/>
          <w:szCs w:val="21"/>
          <w:highlight w:val="none"/>
          <w:lang w:val="zh-CN"/>
        </w:rPr>
        <w:t>.所有投标只能选择一种方案，单价和合价的报价只能是唯一，且须列出详细的分项报价。</w:t>
      </w:r>
    </w:p>
    <w:p w14:paraId="2DCDFCA2">
      <w:pPr>
        <w:ind w:right="888" w:rightChars="423"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w:t>
      </w:r>
      <w:r>
        <w:rPr>
          <w:rFonts w:hint="eastAsia" w:ascii="宋体" w:hAnsi="宋体" w:cs="宋体"/>
          <w:color w:val="000000"/>
          <w:szCs w:val="21"/>
          <w:highlight w:val="none"/>
          <w:lang w:val="zh-CN"/>
        </w:rPr>
        <w:t>投标报价的综合单价包括完成本项目全部供货及服务的一切费用，投标时投标人必须保证报价的完整性，如有漏报，则视为优惠，中标后不允许追加费用，</w:t>
      </w:r>
      <w:r>
        <w:rPr>
          <w:rFonts w:hint="eastAsia" w:ascii="宋体" w:hAnsi="宋体" w:cs="宋体"/>
          <w:color w:val="000000"/>
          <w:szCs w:val="21"/>
          <w:highlight w:val="none"/>
        </w:rPr>
        <w:t>最终据实结算。</w:t>
      </w:r>
    </w:p>
    <w:p w14:paraId="5261917E">
      <w:pPr>
        <w:ind w:right="888" w:rightChars="423" w:firstLine="420" w:firstLineChars="200"/>
        <w:rPr>
          <w:rFonts w:hint="eastAsia" w:ascii="宋体" w:hAnsi="宋体" w:cs="宋体"/>
          <w:color w:val="000000"/>
          <w:szCs w:val="21"/>
          <w:highlight w:val="none"/>
          <w:lang w:val="zh-CN"/>
        </w:rPr>
      </w:pPr>
      <w:r>
        <w:rPr>
          <w:rFonts w:hint="eastAsia" w:ascii="宋体" w:hAnsi="宋体" w:cs="宋体"/>
          <w:color w:val="000000"/>
          <w:szCs w:val="21"/>
          <w:highlight w:val="none"/>
        </w:rPr>
        <w:t>4.</w:t>
      </w:r>
      <w:r>
        <w:rPr>
          <w:rFonts w:hint="eastAsia" w:ascii="宋体" w:hAnsi="宋体" w:cs="宋体"/>
          <w:color w:val="000000"/>
          <w:szCs w:val="21"/>
          <w:highlight w:val="none"/>
          <w:lang w:val="zh-CN"/>
        </w:rPr>
        <w:t>采购清单数量为预估数量，</w:t>
      </w:r>
      <w:r>
        <w:rPr>
          <w:rFonts w:hint="eastAsia" w:ascii="宋体" w:hAnsi="宋体" w:cs="宋体"/>
          <w:color w:val="000000"/>
          <w:szCs w:val="21"/>
          <w:highlight w:val="none"/>
        </w:rPr>
        <w:t>竣工结算时以实际发生的工程量为准</w:t>
      </w:r>
      <w:r>
        <w:rPr>
          <w:rFonts w:hint="eastAsia" w:ascii="宋体" w:hAnsi="宋体" w:cs="宋体"/>
          <w:color w:val="000000"/>
          <w:szCs w:val="21"/>
          <w:highlight w:val="none"/>
          <w:lang w:val="zh-CN"/>
        </w:rPr>
        <w:t>，并按实结算。</w:t>
      </w:r>
    </w:p>
    <w:p w14:paraId="041762EC">
      <w:pPr>
        <w:pStyle w:val="2"/>
        <w:spacing w:after="0" w:line="240" w:lineRule="auto"/>
        <w:ind w:firstLine="420" w:firstLineChars="200"/>
        <w:rPr>
          <w:highlight w:val="none"/>
          <w:lang w:val="zh-CN"/>
        </w:rPr>
      </w:pPr>
      <w:r>
        <w:rPr>
          <w:rFonts w:hint="eastAsia"/>
          <w:highlight w:val="none"/>
          <w:lang w:val="zh-CN"/>
        </w:rPr>
        <w:t>5.</w:t>
      </w:r>
      <w:r>
        <w:rPr>
          <w:rFonts w:hint="eastAsia" w:ascii="宋体" w:hAnsi="宋体" w:cs="宋体"/>
          <w:color w:val="000000"/>
          <w:szCs w:val="21"/>
          <w:highlight w:val="none"/>
          <w:lang w:val="zh-CN"/>
        </w:rPr>
        <w:t>本次所有设备报价均包含清单未列明的设备试运行所需全部辅助材料。</w:t>
      </w:r>
    </w:p>
    <w:p w14:paraId="103AAA8A">
      <w:pPr>
        <w:spacing w:line="360" w:lineRule="auto"/>
        <w:rPr>
          <w:rFonts w:ascii="宋体"/>
          <w:sz w:val="24"/>
          <w:highlight w:val="none"/>
        </w:rPr>
      </w:pPr>
      <w:r>
        <w:rPr>
          <w:rFonts w:hint="eastAsia" w:ascii="宋体"/>
          <w:sz w:val="24"/>
          <w:highlight w:val="none"/>
        </w:rPr>
        <w:t>投标人名称（签章）：</w:t>
      </w:r>
      <w:r>
        <w:rPr>
          <w:rFonts w:hint="eastAsia" w:ascii="宋体"/>
          <w:sz w:val="24"/>
          <w:highlight w:val="none"/>
          <w:u w:val="single"/>
        </w:rPr>
        <w:t xml:space="preserve">                         </w:t>
      </w:r>
    </w:p>
    <w:p w14:paraId="35AD2974">
      <w:pPr>
        <w:spacing w:line="360" w:lineRule="auto"/>
        <w:rPr>
          <w:rFonts w:ascii="宋体"/>
          <w:sz w:val="24"/>
          <w:highlight w:val="none"/>
        </w:rPr>
      </w:pPr>
      <w:r>
        <w:rPr>
          <w:rFonts w:hint="eastAsia" w:ascii="宋体"/>
          <w:sz w:val="24"/>
          <w:highlight w:val="none"/>
        </w:rPr>
        <w:t>法定代表人 (签章)：</w:t>
      </w:r>
      <w:r>
        <w:rPr>
          <w:rFonts w:hint="eastAsia" w:ascii="宋体"/>
          <w:sz w:val="24"/>
          <w:highlight w:val="none"/>
          <w:u w:val="single"/>
        </w:rPr>
        <w:t xml:space="preserve">                          </w:t>
      </w:r>
    </w:p>
    <w:p w14:paraId="4F1C1F41">
      <w:pPr>
        <w:spacing w:line="360" w:lineRule="auto"/>
        <w:ind w:firstLine="480" w:firstLineChars="200"/>
        <w:rPr>
          <w:rFonts w:ascii="宋体"/>
          <w:sz w:val="24"/>
          <w:highlight w:val="none"/>
        </w:rPr>
      </w:pPr>
      <w:r>
        <w:rPr>
          <w:rFonts w:hint="eastAsia" w:ascii="宋体"/>
          <w:sz w:val="24"/>
          <w:highlight w:val="none"/>
        </w:rPr>
        <w:t>日    期：</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r>
        <w:rPr>
          <w:rFonts w:hint="eastAsia" w:ascii="宋体"/>
          <w:sz w:val="24"/>
          <w:highlight w:val="none"/>
        </w:rPr>
        <w:br w:type="page"/>
      </w:r>
    </w:p>
    <w:p w14:paraId="04E7F1D5">
      <w:pPr>
        <w:pStyle w:val="5"/>
        <w:numPr>
          <w:ilvl w:val="0"/>
          <w:numId w:val="3"/>
        </w:numPr>
        <w:adjustRightInd w:val="0"/>
        <w:snapToGrid w:val="0"/>
        <w:spacing w:before="0" w:after="0" w:line="560" w:lineRule="exact"/>
        <w:jc w:val="center"/>
        <w:rPr>
          <w:color w:val="000000"/>
          <w:highlight w:val="none"/>
        </w:rPr>
      </w:pPr>
      <w:r>
        <w:rPr>
          <w:rFonts w:hint="eastAsia"/>
          <w:color w:val="000000"/>
          <w:highlight w:val="none"/>
        </w:rPr>
        <w:t>技术参数响应表（格式）</w:t>
      </w:r>
    </w:p>
    <w:p w14:paraId="51353D76">
      <w:pPr>
        <w:rPr>
          <w:rFonts w:hint="eastAsia" w:ascii="宋体" w:hAnsi="宋体"/>
          <w:sz w:val="24"/>
          <w:highlight w:val="none"/>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54E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1065" w:type="dxa"/>
            <w:vAlign w:val="center"/>
          </w:tcPr>
          <w:p w14:paraId="0283C3D8">
            <w:pPr>
              <w:spacing w:line="240" w:lineRule="atLeast"/>
              <w:jc w:val="center"/>
              <w:rPr>
                <w:rFonts w:hint="eastAsia" w:ascii="宋体" w:hAnsi="宋体" w:cs="宋体"/>
                <w:szCs w:val="21"/>
                <w:highlight w:val="none"/>
              </w:rPr>
            </w:pPr>
            <w:r>
              <w:rPr>
                <w:rFonts w:hint="eastAsia" w:ascii="宋体" w:hAnsi="宋体" w:cs="宋体"/>
                <w:szCs w:val="21"/>
                <w:highlight w:val="none"/>
              </w:rPr>
              <w:t>序号</w:t>
            </w:r>
          </w:p>
        </w:tc>
        <w:tc>
          <w:tcPr>
            <w:tcW w:w="1421" w:type="dxa"/>
            <w:vAlign w:val="center"/>
          </w:tcPr>
          <w:p w14:paraId="13FCDF22">
            <w:pPr>
              <w:spacing w:line="240" w:lineRule="atLeast"/>
              <w:jc w:val="center"/>
              <w:rPr>
                <w:rFonts w:hint="eastAsia" w:ascii="宋体" w:hAnsi="宋体" w:cs="宋体"/>
                <w:szCs w:val="21"/>
                <w:highlight w:val="none"/>
              </w:rPr>
            </w:pPr>
            <w:r>
              <w:rPr>
                <w:rFonts w:hint="eastAsia" w:ascii="宋体" w:hAnsi="宋体" w:cs="宋体"/>
                <w:szCs w:val="21"/>
                <w:highlight w:val="none"/>
              </w:rPr>
              <w:t>品目名称</w:t>
            </w:r>
          </w:p>
        </w:tc>
        <w:tc>
          <w:tcPr>
            <w:tcW w:w="3094" w:type="dxa"/>
            <w:gridSpan w:val="2"/>
            <w:vAlign w:val="center"/>
          </w:tcPr>
          <w:p w14:paraId="6708CE87">
            <w:pPr>
              <w:spacing w:line="240" w:lineRule="atLeast"/>
              <w:jc w:val="center"/>
              <w:rPr>
                <w:rFonts w:hint="eastAsia" w:ascii="宋体" w:hAnsi="宋体" w:cs="宋体"/>
                <w:szCs w:val="21"/>
                <w:highlight w:val="none"/>
              </w:rPr>
            </w:pPr>
            <w:r>
              <w:rPr>
                <w:rFonts w:hint="eastAsia" w:ascii="宋体" w:hAnsi="宋体" w:cs="宋体"/>
                <w:szCs w:val="21"/>
                <w:highlight w:val="none"/>
              </w:rPr>
              <w:t>投标规格型号技术参数</w:t>
            </w:r>
          </w:p>
        </w:tc>
        <w:tc>
          <w:tcPr>
            <w:tcW w:w="1577" w:type="dxa"/>
            <w:vAlign w:val="center"/>
          </w:tcPr>
          <w:p w14:paraId="57E80435">
            <w:pPr>
              <w:spacing w:line="240" w:lineRule="atLeast"/>
              <w:jc w:val="center"/>
              <w:rPr>
                <w:rFonts w:hint="eastAsia" w:ascii="宋体" w:hAnsi="宋体" w:cs="宋体"/>
                <w:szCs w:val="21"/>
                <w:highlight w:val="none"/>
              </w:rPr>
            </w:pPr>
            <w:r>
              <w:rPr>
                <w:rFonts w:hint="eastAsia" w:ascii="宋体" w:hAnsi="宋体" w:cs="宋体"/>
                <w:szCs w:val="21"/>
                <w:highlight w:val="none"/>
              </w:rPr>
              <w:t>是否响应</w:t>
            </w:r>
          </w:p>
        </w:tc>
        <w:tc>
          <w:tcPr>
            <w:tcW w:w="1962" w:type="dxa"/>
            <w:vAlign w:val="center"/>
          </w:tcPr>
          <w:p w14:paraId="7AF6460F">
            <w:pPr>
              <w:spacing w:line="240" w:lineRule="atLeast"/>
              <w:jc w:val="center"/>
              <w:rPr>
                <w:rFonts w:hint="eastAsia" w:ascii="宋体" w:hAnsi="宋体" w:cs="宋体"/>
                <w:szCs w:val="21"/>
                <w:highlight w:val="none"/>
              </w:rPr>
            </w:pPr>
            <w:r>
              <w:rPr>
                <w:rFonts w:hint="eastAsia" w:ascii="宋体" w:hAnsi="宋体" w:cs="宋体"/>
                <w:szCs w:val="21"/>
                <w:highlight w:val="none"/>
              </w:rPr>
              <w:t>其他情况说明</w:t>
            </w:r>
          </w:p>
        </w:tc>
      </w:tr>
      <w:tr w14:paraId="379D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83D46A0">
            <w:pPr>
              <w:jc w:val="center"/>
              <w:rPr>
                <w:rFonts w:hint="eastAsia" w:ascii="宋体" w:hAnsi="宋体"/>
                <w:szCs w:val="21"/>
                <w:highlight w:val="none"/>
              </w:rPr>
            </w:pPr>
            <w:r>
              <w:rPr>
                <w:rFonts w:hint="eastAsia" w:ascii="宋体" w:hAnsi="宋体"/>
                <w:szCs w:val="21"/>
                <w:highlight w:val="none"/>
              </w:rPr>
              <w:t>1</w:t>
            </w:r>
          </w:p>
        </w:tc>
        <w:tc>
          <w:tcPr>
            <w:tcW w:w="1421" w:type="dxa"/>
            <w:shd w:val="clear" w:color="auto" w:fill="FFFFFF"/>
            <w:vAlign w:val="center"/>
          </w:tcPr>
          <w:p w14:paraId="71CB39CB">
            <w:pPr>
              <w:widowControl/>
              <w:spacing w:line="360" w:lineRule="auto"/>
              <w:jc w:val="center"/>
              <w:textAlignment w:val="center"/>
              <w:rPr>
                <w:rFonts w:hint="eastAsia" w:ascii="宋体" w:hAnsi="宋体"/>
                <w:szCs w:val="21"/>
                <w:highlight w:val="none"/>
              </w:rPr>
            </w:pPr>
          </w:p>
        </w:tc>
        <w:tc>
          <w:tcPr>
            <w:tcW w:w="1539" w:type="dxa"/>
            <w:vAlign w:val="center"/>
          </w:tcPr>
          <w:p w14:paraId="1C752080">
            <w:pPr>
              <w:ind w:firstLine="630" w:firstLineChars="300"/>
              <w:jc w:val="center"/>
              <w:rPr>
                <w:rFonts w:hint="eastAsia" w:ascii="宋体" w:hAnsi="宋体"/>
                <w:szCs w:val="21"/>
                <w:highlight w:val="none"/>
              </w:rPr>
            </w:pPr>
          </w:p>
        </w:tc>
        <w:tc>
          <w:tcPr>
            <w:tcW w:w="1555" w:type="dxa"/>
            <w:vAlign w:val="center"/>
          </w:tcPr>
          <w:p w14:paraId="546C9CCD">
            <w:pPr>
              <w:ind w:firstLine="630" w:firstLineChars="300"/>
              <w:jc w:val="center"/>
              <w:rPr>
                <w:rFonts w:hint="eastAsia" w:ascii="宋体" w:hAnsi="宋体"/>
                <w:szCs w:val="21"/>
                <w:highlight w:val="none"/>
              </w:rPr>
            </w:pPr>
          </w:p>
        </w:tc>
        <w:tc>
          <w:tcPr>
            <w:tcW w:w="1577" w:type="dxa"/>
            <w:vAlign w:val="center"/>
          </w:tcPr>
          <w:p w14:paraId="65C83731">
            <w:pPr>
              <w:jc w:val="center"/>
              <w:rPr>
                <w:rFonts w:hint="eastAsia" w:ascii="宋体" w:hAnsi="宋体"/>
                <w:szCs w:val="21"/>
                <w:highlight w:val="none"/>
              </w:rPr>
            </w:pPr>
            <w:r>
              <w:rPr>
                <w:rFonts w:hint="eastAsia" w:ascii="宋体" w:hAnsi="宋体" w:cs="宋体"/>
                <w:szCs w:val="21"/>
                <w:highlight w:val="none"/>
              </w:rPr>
              <w:t>是/否</w:t>
            </w:r>
          </w:p>
        </w:tc>
        <w:tc>
          <w:tcPr>
            <w:tcW w:w="1962" w:type="dxa"/>
            <w:vAlign w:val="center"/>
          </w:tcPr>
          <w:p w14:paraId="4CFA4105">
            <w:pPr>
              <w:jc w:val="center"/>
              <w:rPr>
                <w:rFonts w:hint="eastAsia" w:ascii="宋体" w:hAnsi="宋体"/>
                <w:szCs w:val="21"/>
                <w:highlight w:val="none"/>
              </w:rPr>
            </w:pPr>
          </w:p>
        </w:tc>
      </w:tr>
      <w:tr w14:paraId="0D50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6632FE7">
            <w:pPr>
              <w:jc w:val="center"/>
              <w:rPr>
                <w:rFonts w:hint="eastAsia" w:ascii="宋体" w:hAnsi="宋体"/>
                <w:szCs w:val="21"/>
                <w:highlight w:val="none"/>
              </w:rPr>
            </w:pPr>
            <w:r>
              <w:rPr>
                <w:rFonts w:hint="eastAsia" w:ascii="宋体" w:hAnsi="宋体"/>
                <w:szCs w:val="21"/>
                <w:highlight w:val="none"/>
              </w:rPr>
              <w:t>2</w:t>
            </w:r>
          </w:p>
        </w:tc>
        <w:tc>
          <w:tcPr>
            <w:tcW w:w="1421" w:type="dxa"/>
            <w:shd w:val="clear" w:color="auto" w:fill="FFFFFF"/>
            <w:vAlign w:val="center"/>
          </w:tcPr>
          <w:p w14:paraId="463171F5">
            <w:pPr>
              <w:widowControl/>
              <w:spacing w:line="360" w:lineRule="auto"/>
              <w:jc w:val="center"/>
              <w:textAlignment w:val="center"/>
              <w:rPr>
                <w:rFonts w:hint="eastAsia" w:ascii="宋体" w:hAnsi="宋体"/>
                <w:sz w:val="24"/>
                <w:highlight w:val="none"/>
              </w:rPr>
            </w:pPr>
          </w:p>
        </w:tc>
        <w:tc>
          <w:tcPr>
            <w:tcW w:w="1539" w:type="dxa"/>
            <w:vAlign w:val="center"/>
          </w:tcPr>
          <w:p w14:paraId="71ED90F4">
            <w:pPr>
              <w:ind w:firstLine="630" w:firstLineChars="300"/>
              <w:jc w:val="center"/>
              <w:rPr>
                <w:rFonts w:hint="eastAsia" w:ascii="宋体" w:hAnsi="宋体"/>
                <w:szCs w:val="21"/>
                <w:highlight w:val="none"/>
              </w:rPr>
            </w:pPr>
          </w:p>
        </w:tc>
        <w:tc>
          <w:tcPr>
            <w:tcW w:w="1555" w:type="dxa"/>
            <w:vAlign w:val="center"/>
          </w:tcPr>
          <w:p w14:paraId="41DECF63">
            <w:pPr>
              <w:ind w:firstLine="630" w:firstLineChars="300"/>
              <w:jc w:val="center"/>
              <w:rPr>
                <w:rFonts w:hint="eastAsia" w:ascii="宋体" w:hAnsi="宋体"/>
                <w:szCs w:val="21"/>
                <w:highlight w:val="none"/>
              </w:rPr>
            </w:pPr>
          </w:p>
        </w:tc>
        <w:tc>
          <w:tcPr>
            <w:tcW w:w="1577" w:type="dxa"/>
            <w:vAlign w:val="center"/>
          </w:tcPr>
          <w:p w14:paraId="1BC6CE6D">
            <w:pPr>
              <w:jc w:val="center"/>
              <w:rPr>
                <w:highlight w:val="none"/>
              </w:rPr>
            </w:pPr>
            <w:r>
              <w:rPr>
                <w:rFonts w:hint="eastAsia" w:ascii="宋体" w:hAnsi="宋体" w:cs="宋体"/>
                <w:szCs w:val="21"/>
                <w:highlight w:val="none"/>
              </w:rPr>
              <w:t>是/否</w:t>
            </w:r>
          </w:p>
        </w:tc>
        <w:tc>
          <w:tcPr>
            <w:tcW w:w="1962" w:type="dxa"/>
            <w:vAlign w:val="center"/>
          </w:tcPr>
          <w:p w14:paraId="34E9EDAF">
            <w:pPr>
              <w:jc w:val="center"/>
              <w:rPr>
                <w:rFonts w:hint="eastAsia" w:ascii="宋体" w:hAnsi="宋体"/>
                <w:szCs w:val="21"/>
                <w:highlight w:val="none"/>
              </w:rPr>
            </w:pPr>
          </w:p>
        </w:tc>
      </w:tr>
      <w:tr w14:paraId="72B6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58F56278">
            <w:pPr>
              <w:jc w:val="center"/>
              <w:rPr>
                <w:rFonts w:hint="eastAsia" w:ascii="宋体" w:hAnsi="宋体"/>
                <w:szCs w:val="21"/>
                <w:highlight w:val="none"/>
              </w:rPr>
            </w:pPr>
            <w:r>
              <w:rPr>
                <w:rFonts w:hint="eastAsia" w:ascii="宋体" w:hAnsi="宋体"/>
                <w:szCs w:val="21"/>
                <w:highlight w:val="none"/>
              </w:rPr>
              <w:t>3</w:t>
            </w:r>
          </w:p>
        </w:tc>
        <w:tc>
          <w:tcPr>
            <w:tcW w:w="1421" w:type="dxa"/>
            <w:shd w:val="clear" w:color="auto" w:fill="FFFFFF"/>
            <w:vAlign w:val="center"/>
          </w:tcPr>
          <w:p w14:paraId="58CF8682">
            <w:pPr>
              <w:widowControl/>
              <w:spacing w:line="360" w:lineRule="auto"/>
              <w:jc w:val="center"/>
              <w:textAlignment w:val="center"/>
              <w:rPr>
                <w:rFonts w:hint="eastAsia" w:ascii="宋体" w:hAnsi="宋体"/>
                <w:sz w:val="24"/>
                <w:highlight w:val="none"/>
              </w:rPr>
            </w:pPr>
          </w:p>
        </w:tc>
        <w:tc>
          <w:tcPr>
            <w:tcW w:w="1539" w:type="dxa"/>
            <w:vAlign w:val="center"/>
          </w:tcPr>
          <w:p w14:paraId="2C681F2A">
            <w:pPr>
              <w:ind w:firstLine="630" w:firstLineChars="300"/>
              <w:jc w:val="center"/>
              <w:rPr>
                <w:rFonts w:hint="eastAsia" w:ascii="宋体" w:hAnsi="宋体"/>
                <w:szCs w:val="21"/>
                <w:highlight w:val="none"/>
              </w:rPr>
            </w:pPr>
          </w:p>
        </w:tc>
        <w:tc>
          <w:tcPr>
            <w:tcW w:w="1555" w:type="dxa"/>
            <w:vAlign w:val="center"/>
          </w:tcPr>
          <w:p w14:paraId="3180645A">
            <w:pPr>
              <w:ind w:firstLine="630" w:firstLineChars="300"/>
              <w:jc w:val="center"/>
              <w:rPr>
                <w:rFonts w:hint="eastAsia" w:ascii="宋体" w:hAnsi="宋体"/>
                <w:szCs w:val="21"/>
                <w:highlight w:val="none"/>
              </w:rPr>
            </w:pPr>
          </w:p>
        </w:tc>
        <w:tc>
          <w:tcPr>
            <w:tcW w:w="1577" w:type="dxa"/>
            <w:vAlign w:val="center"/>
          </w:tcPr>
          <w:p w14:paraId="25969F39">
            <w:pPr>
              <w:jc w:val="center"/>
              <w:rPr>
                <w:highlight w:val="none"/>
              </w:rPr>
            </w:pPr>
            <w:r>
              <w:rPr>
                <w:rFonts w:hint="eastAsia" w:ascii="宋体" w:hAnsi="宋体" w:cs="宋体"/>
                <w:szCs w:val="21"/>
                <w:highlight w:val="none"/>
              </w:rPr>
              <w:t>是/否</w:t>
            </w:r>
          </w:p>
        </w:tc>
        <w:tc>
          <w:tcPr>
            <w:tcW w:w="1962" w:type="dxa"/>
            <w:vAlign w:val="center"/>
          </w:tcPr>
          <w:p w14:paraId="1E670EF9">
            <w:pPr>
              <w:jc w:val="center"/>
              <w:rPr>
                <w:rFonts w:hint="eastAsia" w:ascii="宋体" w:hAnsi="宋体"/>
                <w:szCs w:val="21"/>
                <w:highlight w:val="none"/>
              </w:rPr>
            </w:pPr>
          </w:p>
        </w:tc>
      </w:tr>
      <w:tr w14:paraId="5B54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504149A8">
            <w:pPr>
              <w:jc w:val="center"/>
              <w:rPr>
                <w:rFonts w:hint="eastAsia" w:ascii="宋体" w:hAnsi="宋体"/>
                <w:szCs w:val="21"/>
                <w:highlight w:val="none"/>
              </w:rPr>
            </w:pPr>
            <w:r>
              <w:rPr>
                <w:rFonts w:ascii="宋体" w:hAnsi="宋体"/>
                <w:szCs w:val="21"/>
                <w:highlight w:val="none"/>
              </w:rPr>
              <w:t>…</w:t>
            </w:r>
          </w:p>
        </w:tc>
        <w:tc>
          <w:tcPr>
            <w:tcW w:w="1421" w:type="dxa"/>
            <w:shd w:val="clear" w:color="auto" w:fill="FFFFFF"/>
            <w:vAlign w:val="center"/>
          </w:tcPr>
          <w:p w14:paraId="73B39EE6">
            <w:pPr>
              <w:widowControl/>
              <w:spacing w:line="360" w:lineRule="auto"/>
              <w:jc w:val="center"/>
              <w:textAlignment w:val="center"/>
              <w:rPr>
                <w:rFonts w:hint="eastAsia" w:ascii="宋体" w:hAnsi="宋体"/>
                <w:sz w:val="24"/>
                <w:highlight w:val="none"/>
              </w:rPr>
            </w:pPr>
          </w:p>
        </w:tc>
        <w:tc>
          <w:tcPr>
            <w:tcW w:w="1539" w:type="dxa"/>
            <w:vAlign w:val="center"/>
          </w:tcPr>
          <w:p w14:paraId="4CE3DAD6">
            <w:pPr>
              <w:ind w:firstLine="630" w:firstLineChars="300"/>
              <w:jc w:val="center"/>
              <w:rPr>
                <w:rFonts w:hint="eastAsia" w:ascii="宋体" w:hAnsi="宋体"/>
                <w:szCs w:val="21"/>
                <w:highlight w:val="none"/>
              </w:rPr>
            </w:pPr>
          </w:p>
        </w:tc>
        <w:tc>
          <w:tcPr>
            <w:tcW w:w="1555" w:type="dxa"/>
            <w:vAlign w:val="center"/>
          </w:tcPr>
          <w:p w14:paraId="5C4F1231">
            <w:pPr>
              <w:ind w:firstLine="630" w:firstLineChars="300"/>
              <w:jc w:val="center"/>
              <w:rPr>
                <w:rFonts w:hint="eastAsia" w:ascii="宋体" w:hAnsi="宋体"/>
                <w:szCs w:val="21"/>
                <w:highlight w:val="none"/>
              </w:rPr>
            </w:pPr>
          </w:p>
        </w:tc>
        <w:tc>
          <w:tcPr>
            <w:tcW w:w="1577" w:type="dxa"/>
            <w:vAlign w:val="center"/>
          </w:tcPr>
          <w:p w14:paraId="6079C275">
            <w:pPr>
              <w:jc w:val="center"/>
              <w:rPr>
                <w:rFonts w:hint="eastAsia" w:ascii="宋体" w:hAnsi="宋体" w:cs="宋体"/>
                <w:szCs w:val="21"/>
                <w:highlight w:val="none"/>
              </w:rPr>
            </w:pPr>
            <w:r>
              <w:rPr>
                <w:rFonts w:ascii="宋体" w:hAnsi="宋体" w:cs="宋体"/>
                <w:szCs w:val="21"/>
                <w:highlight w:val="none"/>
              </w:rPr>
              <w:t>…</w:t>
            </w:r>
          </w:p>
        </w:tc>
        <w:tc>
          <w:tcPr>
            <w:tcW w:w="1962" w:type="dxa"/>
            <w:vAlign w:val="center"/>
          </w:tcPr>
          <w:p w14:paraId="3A25E87B">
            <w:pPr>
              <w:jc w:val="center"/>
              <w:rPr>
                <w:rFonts w:hint="eastAsia" w:ascii="宋体" w:hAnsi="宋体"/>
                <w:szCs w:val="21"/>
                <w:highlight w:val="none"/>
              </w:rPr>
            </w:pPr>
          </w:p>
        </w:tc>
      </w:tr>
    </w:tbl>
    <w:p w14:paraId="57728841">
      <w:pPr>
        <w:autoSpaceDE w:val="0"/>
        <w:autoSpaceDN w:val="0"/>
        <w:adjustRightInd w:val="0"/>
        <w:ind w:firstLine="422" w:firstLineChars="200"/>
        <w:rPr>
          <w:rFonts w:hint="eastAsia" w:ascii="宋体" w:hAnsi="宋体"/>
          <w:b/>
          <w:szCs w:val="21"/>
          <w:highlight w:val="none"/>
          <w:lang w:val="zh-CN"/>
        </w:rPr>
      </w:pPr>
      <w:r>
        <w:rPr>
          <w:rFonts w:hint="eastAsia" w:ascii="宋体" w:hAnsi="宋体"/>
          <w:b/>
          <w:szCs w:val="21"/>
          <w:highlight w:val="none"/>
          <w:lang w:val="zh-CN"/>
        </w:rPr>
        <w:t>注：</w:t>
      </w:r>
      <w:r>
        <w:rPr>
          <w:rFonts w:hint="eastAsia" w:ascii="宋体" w:hAnsi="宋体"/>
          <w:b/>
          <w:szCs w:val="21"/>
          <w:highlight w:val="none"/>
        </w:rPr>
        <w:t>1.</w:t>
      </w:r>
      <w:r>
        <w:rPr>
          <w:rFonts w:hint="eastAsia" w:ascii="宋体" w:hAnsi="宋体"/>
          <w:b/>
          <w:szCs w:val="21"/>
          <w:highlight w:val="none"/>
          <w:lang w:val="zh-CN"/>
        </w:rPr>
        <w:t>投标人应逐一说明投标产品</w:t>
      </w:r>
      <w:r>
        <w:rPr>
          <w:rFonts w:hint="eastAsia" w:ascii="宋体" w:hAnsi="宋体"/>
          <w:b/>
          <w:szCs w:val="21"/>
          <w:highlight w:val="none"/>
        </w:rPr>
        <w:t>技术参数与</w:t>
      </w:r>
      <w:r>
        <w:rPr>
          <w:rFonts w:hint="eastAsia" w:ascii="宋体" w:hAnsi="宋体"/>
          <w:b/>
          <w:szCs w:val="21"/>
          <w:highlight w:val="none"/>
          <w:lang w:val="zh-CN"/>
        </w:rPr>
        <w:t>响应</w:t>
      </w:r>
      <w:r>
        <w:rPr>
          <w:rFonts w:hint="eastAsia" w:ascii="宋体" w:hAnsi="宋体"/>
          <w:b/>
          <w:szCs w:val="21"/>
          <w:highlight w:val="none"/>
        </w:rPr>
        <w:t>程度</w:t>
      </w:r>
      <w:r>
        <w:rPr>
          <w:rFonts w:hint="eastAsia" w:ascii="宋体" w:hAnsi="宋体"/>
          <w:b/>
          <w:szCs w:val="21"/>
          <w:highlight w:val="none"/>
          <w:lang w:val="zh-CN"/>
        </w:rPr>
        <w:t>；</w:t>
      </w:r>
    </w:p>
    <w:p w14:paraId="5FE20A2A">
      <w:pPr>
        <w:autoSpaceDE w:val="0"/>
        <w:autoSpaceDN w:val="0"/>
        <w:adjustRightInd w:val="0"/>
        <w:ind w:firstLine="422" w:firstLineChars="200"/>
        <w:rPr>
          <w:rFonts w:hint="eastAsia" w:ascii="宋体" w:hAnsi="宋体"/>
          <w:bCs/>
          <w:szCs w:val="21"/>
          <w:highlight w:val="none"/>
          <w:lang w:val="zh-CN"/>
        </w:rPr>
      </w:pPr>
      <w:r>
        <w:rPr>
          <w:rFonts w:hint="eastAsia" w:ascii="宋体" w:hAnsi="宋体"/>
          <w:b/>
          <w:szCs w:val="21"/>
          <w:highlight w:val="none"/>
        </w:rPr>
        <w:t>2</w:t>
      </w:r>
      <w:r>
        <w:rPr>
          <w:rFonts w:hint="eastAsia" w:ascii="宋体" w:hAnsi="宋体"/>
          <w:b/>
          <w:szCs w:val="21"/>
          <w:highlight w:val="none"/>
          <w:lang w:val="zh-CN"/>
        </w:rPr>
        <w:t>.表格请按照采购清单顺序填写，如果行数不够，请自行增加。</w:t>
      </w:r>
    </w:p>
    <w:p w14:paraId="7DACE451">
      <w:pPr>
        <w:spacing w:line="480" w:lineRule="auto"/>
        <w:ind w:firstLine="420" w:firstLineChars="200"/>
        <w:rPr>
          <w:rFonts w:hint="eastAsia" w:ascii="宋体" w:hAnsi="宋体"/>
          <w:szCs w:val="21"/>
          <w:highlight w:val="none"/>
        </w:rPr>
      </w:pPr>
    </w:p>
    <w:p w14:paraId="6CBFE950">
      <w:pPr>
        <w:spacing w:line="480" w:lineRule="auto"/>
        <w:ind w:firstLine="420" w:firstLineChars="200"/>
        <w:rPr>
          <w:rFonts w:hint="eastAsia" w:ascii="宋体" w:hAnsi="宋体"/>
          <w:szCs w:val="21"/>
          <w:highlight w:val="none"/>
        </w:rPr>
      </w:pPr>
      <w:r>
        <w:rPr>
          <w:rFonts w:hint="eastAsia" w:ascii="宋体" w:hAnsi="宋体"/>
          <w:szCs w:val="21"/>
          <w:highlight w:val="none"/>
        </w:rPr>
        <w:t>投标人名称：</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（签章）</w:t>
      </w:r>
    </w:p>
    <w:p w14:paraId="1966A5DD">
      <w:pPr>
        <w:spacing w:line="480" w:lineRule="auto"/>
        <w:ind w:firstLine="420" w:firstLineChars="200"/>
        <w:rPr>
          <w:rFonts w:hint="eastAsia"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r>
        <w:rPr>
          <w:rFonts w:hint="eastAsia" w:ascii="宋体" w:hAnsi="宋体"/>
          <w:szCs w:val="21"/>
          <w:highlight w:val="none"/>
        </w:rPr>
        <w:t>(签章)</w:t>
      </w:r>
    </w:p>
    <w:p w14:paraId="11F5D63F">
      <w:pPr>
        <w:spacing w:line="480" w:lineRule="auto"/>
        <w:rPr>
          <w:rFonts w:hint="eastAsia" w:ascii="宋体" w:hAnsi="宋体"/>
          <w:szCs w:val="21"/>
          <w:highlight w:val="none"/>
        </w:rPr>
      </w:pPr>
      <w:r>
        <w:rPr>
          <w:rFonts w:hint="eastAsia" w:ascii="宋体" w:hAnsi="宋体"/>
          <w:szCs w:val="21"/>
          <w:highlight w:val="none"/>
        </w:rPr>
        <w:t xml:space="preserve">                                  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F28E2E4">
      <w:pPr>
        <w:pStyle w:val="5"/>
        <w:adjustRightInd w:val="0"/>
        <w:snapToGrid w:val="0"/>
        <w:spacing w:before="0" w:after="0" w:line="560" w:lineRule="exact"/>
        <w:rPr>
          <w:color w:val="000000"/>
          <w:highlight w:val="none"/>
        </w:rPr>
      </w:pPr>
    </w:p>
    <w:p w14:paraId="7E94FA8C">
      <w:pPr>
        <w:pStyle w:val="5"/>
        <w:adjustRightInd w:val="0"/>
        <w:snapToGrid w:val="0"/>
        <w:spacing w:before="0" w:after="0" w:line="560" w:lineRule="exact"/>
        <w:jc w:val="center"/>
        <w:rPr>
          <w:color w:val="000000"/>
          <w:highlight w:val="none"/>
        </w:rPr>
      </w:pPr>
      <w:r>
        <w:rPr>
          <w:rFonts w:hint="eastAsia"/>
          <w:color w:val="000000"/>
          <w:highlight w:val="none"/>
        </w:rPr>
        <w:t>（4）货物的详细配置清单（格式）</w:t>
      </w:r>
    </w:p>
    <w:tbl>
      <w:tblPr>
        <w:tblStyle w:val="27"/>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212"/>
        <w:gridCol w:w="1875"/>
        <w:gridCol w:w="1320"/>
        <w:gridCol w:w="1534"/>
        <w:gridCol w:w="1532"/>
      </w:tblGrid>
      <w:tr w14:paraId="259E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345CD621">
            <w:pPr>
              <w:spacing w:line="360" w:lineRule="auto"/>
              <w:jc w:val="center"/>
              <w:rPr>
                <w:rFonts w:hint="eastAsia" w:ascii="宋体" w:hAnsi="宋体"/>
                <w:szCs w:val="21"/>
                <w:highlight w:val="none"/>
              </w:rPr>
            </w:pPr>
            <w:r>
              <w:rPr>
                <w:rFonts w:hint="eastAsia" w:ascii="宋体" w:hAnsi="宋体"/>
                <w:szCs w:val="21"/>
                <w:highlight w:val="none"/>
              </w:rPr>
              <w:t>序号</w:t>
            </w:r>
          </w:p>
        </w:tc>
        <w:tc>
          <w:tcPr>
            <w:tcW w:w="2212" w:type="dxa"/>
            <w:vAlign w:val="center"/>
          </w:tcPr>
          <w:p w14:paraId="688F80D5">
            <w:pPr>
              <w:spacing w:line="360" w:lineRule="auto"/>
              <w:jc w:val="center"/>
              <w:rPr>
                <w:rFonts w:hint="eastAsia" w:ascii="宋体" w:hAnsi="宋体"/>
                <w:szCs w:val="21"/>
                <w:highlight w:val="none"/>
              </w:rPr>
            </w:pPr>
            <w:r>
              <w:rPr>
                <w:rFonts w:hint="eastAsia" w:ascii="宋体" w:hAnsi="宋体"/>
                <w:szCs w:val="21"/>
                <w:highlight w:val="none"/>
              </w:rPr>
              <w:t>货物名称</w:t>
            </w:r>
          </w:p>
        </w:tc>
        <w:tc>
          <w:tcPr>
            <w:tcW w:w="1875" w:type="dxa"/>
            <w:vAlign w:val="center"/>
          </w:tcPr>
          <w:p w14:paraId="644E6B34">
            <w:pPr>
              <w:spacing w:line="360" w:lineRule="auto"/>
              <w:jc w:val="center"/>
              <w:rPr>
                <w:rFonts w:hint="eastAsia" w:ascii="宋体" w:hAnsi="宋体"/>
                <w:szCs w:val="21"/>
                <w:highlight w:val="none"/>
              </w:rPr>
            </w:pPr>
            <w:r>
              <w:rPr>
                <w:rFonts w:hint="eastAsia" w:ascii="宋体" w:hAnsi="宋体"/>
                <w:szCs w:val="21"/>
                <w:highlight w:val="none"/>
              </w:rPr>
              <w:t>品牌、规格型号</w:t>
            </w:r>
          </w:p>
        </w:tc>
        <w:tc>
          <w:tcPr>
            <w:tcW w:w="1320" w:type="dxa"/>
            <w:vAlign w:val="center"/>
          </w:tcPr>
          <w:p w14:paraId="2F73A573">
            <w:pPr>
              <w:spacing w:line="360" w:lineRule="auto"/>
              <w:jc w:val="center"/>
              <w:rPr>
                <w:rFonts w:hint="eastAsia" w:ascii="宋体" w:hAnsi="宋体"/>
                <w:szCs w:val="21"/>
                <w:highlight w:val="none"/>
              </w:rPr>
            </w:pPr>
            <w:r>
              <w:rPr>
                <w:rFonts w:hint="eastAsia" w:ascii="宋体" w:hAnsi="宋体"/>
                <w:szCs w:val="21"/>
                <w:highlight w:val="none"/>
              </w:rPr>
              <w:t>产地</w:t>
            </w:r>
          </w:p>
        </w:tc>
        <w:tc>
          <w:tcPr>
            <w:tcW w:w="1534" w:type="dxa"/>
            <w:vAlign w:val="center"/>
          </w:tcPr>
          <w:p w14:paraId="029EF46A">
            <w:pPr>
              <w:spacing w:line="360" w:lineRule="auto"/>
              <w:ind w:left="261"/>
              <w:jc w:val="center"/>
              <w:rPr>
                <w:rFonts w:hint="eastAsia" w:ascii="宋体" w:hAnsi="宋体"/>
                <w:szCs w:val="21"/>
                <w:highlight w:val="none"/>
              </w:rPr>
            </w:pPr>
            <w:r>
              <w:rPr>
                <w:rFonts w:hint="eastAsia" w:ascii="宋体" w:hAnsi="宋体"/>
                <w:szCs w:val="21"/>
                <w:highlight w:val="none"/>
              </w:rPr>
              <w:t>生产厂家</w:t>
            </w:r>
          </w:p>
        </w:tc>
        <w:tc>
          <w:tcPr>
            <w:tcW w:w="1532" w:type="dxa"/>
            <w:vAlign w:val="center"/>
          </w:tcPr>
          <w:p w14:paraId="27132C80">
            <w:pPr>
              <w:spacing w:line="360" w:lineRule="auto"/>
              <w:jc w:val="center"/>
              <w:rPr>
                <w:rFonts w:hint="eastAsia" w:ascii="宋体" w:hAnsi="宋体"/>
                <w:szCs w:val="21"/>
                <w:highlight w:val="none"/>
              </w:rPr>
            </w:pPr>
            <w:r>
              <w:rPr>
                <w:rFonts w:hint="eastAsia" w:ascii="宋体" w:hAnsi="宋体"/>
                <w:szCs w:val="21"/>
                <w:highlight w:val="none"/>
              </w:rPr>
              <w:t>备注</w:t>
            </w:r>
          </w:p>
        </w:tc>
      </w:tr>
      <w:tr w14:paraId="65D4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5B3DC26A">
            <w:pPr>
              <w:numPr>
                <w:ilvl w:val="0"/>
                <w:numId w:val="4"/>
              </w:numPr>
              <w:spacing w:line="360" w:lineRule="auto"/>
              <w:rPr>
                <w:rFonts w:hint="eastAsia" w:ascii="宋体" w:hAnsi="宋体"/>
                <w:szCs w:val="21"/>
                <w:highlight w:val="none"/>
              </w:rPr>
            </w:pPr>
          </w:p>
        </w:tc>
        <w:tc>
          <w:tcPr>
            <w:tcW w:w="2212" w:type="dxa"/>
            <w:shd w:val="clear" w:color="auto" w:fill="FFFFFF"/>
            <w:vAlign w:val="center"/>
          </w:tcPr>
          <w:p w14:paraId="6B585152">
            <w:pPr>
              <w:widowControl/>
              <w:spacing w:line="360" w:lineRule="exact"/>
              <w:jc w:val="center"/>
              <w:textAlignment w:val="baseline"/>
              <w:rPr>
                <w:rFonts w:hint="eastAsia" w:ascii="宋体" w:hAnsi="宋体"/>
                <w:szCs w:val="21"/>
                <w:highlight w:val="none"/>
              </w:rPr>
            </w:pPr>
          </w:p>
        </w:tc>
        <w:tc>
          <w:tcPr>
            <w:tcW w:w="1875" w:type="dxa"/>
          </w:tcPr>
          <w:p w14:paraId="36349773">
            <w:pPr>
              <w:spacing w:line="360" w:lineRule="auto"/>
              <w:rPr>
                <w:rFonts w:hint="eastAsia" w:ascii="宋体" w:hAnsi="宋体"/>
                <w:szCs w:val="21"/>
                <w:highlight w:val="none"/>
              </w:rPr>
            </w:pPr>
          </w:p>
        </w:tc>
        <w:tc>
          <w:tcPr>
            <w:tcW w:w="1320" w:type="dxa"/>
          </w:tcPr>
          <w:p w14:paraId="1AA2D68B">
            <w:pPr>
              <w:spacing w:line="360" w:lineRule="auto"/>
              <w:rPr>
                <w:rFonts w:hint="eastAsia" w:ascii="宋体" w:hAnsi="宋体"/>
                <w:szCs w:val="21"/>
                <w:highlight w:val="none"/>
              </w:rPr>
            </w:pPr>
          </w:p>
        </w:tc>
        <w:tc>
          <w:tcPr>
            <w:tcW w:w="1534" w:type="dxa"/>
          </w:tcPr>
          <w:p w14:paraId="740D5C13">
            <w:pPr>
              <w:spacing w:line="360" w:lineRule="auto"/>
              <w:rPr>
                <w:rFonts w:hint="eastAsia" w:ascii="宋体" w:hAnsi="宋体"/>
                <w:szCs w:val="21"/>
                <w:highlight w:val="none"/>
              </w:rPr>
            </w:pPr>
          </w:p>
        </w:tc>
        <w:tc>
          <w:tcPr>
            <w:tcW w:w="1532" w:type="dxa"/>
          </w:tcPr>
          <w:p w14:paraId="3F922CFA">
            <w:pPr>
              <w:spacing w:line="360" w:lineRule="auto"/>
              <w:rPr>
                <w:rFonts w:hint="eastAsia" w:ascii="宋体" w:hAnsi="宋体"/>
                <w:szCs w:val="21"/>
                <w:highlight w:val="none"/>
              </w:rPr>
            </w:pPr>
          </w:p>
        </w:tc>
      </w:tr>
      <w:tr w14:paraId="44F0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E486D27">
            <w:pPr>
              <w:numPr>
                <w:ilvl w:val="0"/>
                <w:numId w:val="4"/>
              </w:numPr>
              <w:spacing w:line="360" w:lineRule="auto"/>
              <w:rPr>
                <w:rFonts w:hint="eastAsia" w:ascii="宋体" w:hAnsi="宋体"/>
                <w:szCs w:val="21"/>
                <w:highlight w:val="none"/>
              </w:rPr>
            </w:pPr>
          </w:p>
        </w:tc>
        <w:tc>
          <w:tcPr>
            <w:tcW w:w="2212" w:type="dxa"/>
            <w:shd w:val="clear" w:color="auto" w:fill="FFFFFF"/>
            <w:vAlign w:val="center"/>
          </w:tcPr>
          <w:p w14:paraId="5B9035BA">
            <w:pPr>
              <w:widowControl/>
              <w:spacing w:line="360" w:lineRule="exact"/>
              <w:jc w:val="center"/>
              <w:textAlignment w:val="baseline"/>
              <w:rPr>
                <w:rFonts w:hint="eastAsia" w:ascii="宋体" w:hAnsi="宋体"/>
                <w:szCs w:val="21"/>
                <w:highlight w:val="none"/>
              </w:rPr>
            </w:pPr>
          </w:p>
        </w:tc>
        <w:tc>
          <w:tcPr>
            <w:tcW w:w="1875" w:type="dxa"/>
          </w:tcPr>
          <w:p w14:paraId="466A0220">
            <w:pPr>
              <w:spacing w:line="360" w:lineRule="auto"/>
              <w:rPr>
                <w:rFonts w:hint="eastAsia" w:ascii="宋体" w:hAnsi="宋体"/>
                <w:szCs w:val="21"/>
                <w:highlight w:val="none"/>
              </w:rPr>
            </w:pPr>
          </w:p>
        </w:tc>
        <w:tc>
          <w:tcPr>
            <w:tcW w:w="1320" w:type="dxa"/>
          </w:tcPr>
          <w:p w14:paraId="6BE0727E">
            <w:pPr>
              <w:spacing w:line="360" w:lineRule="auto"/>
              <w:rPr>
                <w:rFonts w:hint="eastAsia" w:ascii="宋体" w:hAnsi="宋体"/>
                <w:szCs w:val="21"/>
                <w:highlight w:val="none"/>
              </w:rPr>
            </w:pPr>
          </w:p>
        </w:tc>
        <w:tc>
          <w:tcPr>
            <w:tcW w:w="1534" w:type="dxa"/>
          </w:tcPr>
          <w:p w14:paraId="1C95490E">
            <w:pPr>
              <w:spacing w:line="360" w:lineRule="auto"/>
              <w:rPr>
                <w:rFonts w:hint="eastAsia" w:ascii="宋体" w:hAnsi="宋体"/>
                <w:szCs w:val="21"/>
                <w:highlight w:val="none"/>
              </w:rPr>
            </w:pPr>
          </w:p>
        </w:tc>
        <w:tc>
          <w:tcPr>
            <w:tcW w:w="1532" w:type="dxa"/>
          </w:tcPr>
          <w:p w14:paraId="26206C8A">
            <w:pPr>
              <w:spacing w:line="360" w:lineRule="auto"/>
              <w:rPr>
                <w:rFonts w:hint="eastAsia" w:ascii="宋体" w:hAnsi="宋体"/>
                <w:szCs w:val="21"/>
                <w:highlight w:val="none"/>
              </w:rPr>
            </w:pPr>
          </w:p>
        </w:tc>
      </w:tr>
      <w:tr w14:paraId="3E2F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5EE0CF93">
            <w:pPr>
              <w:numPr>
                <w:ilvl w:val="0"/>
                <w:numId w:val="4"/>
              </w:numPr>
              <w:spacing w:line="360" w:lineRule="auto"/>
              <w:rPr>
                <w:rFonts w:hint="eastAsia" w:ascii="宋体" w:hAnsi="宋体"/>
                <w:szCs w:val="21"/>
                <w:highlight w:val="none"/>
              </w:rPr>
            </w:pPr>
          </w:p>
        </w:tc>
        <w:tc>
          <w:tcPr>
            <w:tcW w:w="2212" w:type="dxa"/>
            <w:shd w:val="clear" w:color="auto" w:fill="FFFFFF"/>
            <w:vAlign w:val="center"/>
          </w:tcPr>
          <w:p w14:paraId="71881C68">
            <w:pPr>
              <w:widowControl/>
              <w:spacing w:line="360" w:lineRule="exact"/>
              <w:jc w:val="center"/>
              <w:textAlignment w:val="baseline"/>
              <w:rPr>
                <w:rFonts w:hint="eastAsia" w:ascii="宋体" w:hAnsi="宋体"/>
                <w:szCs w:val="21"/>
                <w:highlight w:val="none"/>
              </w:rPr>
            </w:pPr>
          </w:p>
        </w:tc>
        <w:tc>
          <w:tcPr>
            <w:tcW w:w="1875" w:type="dxa"/>
          </w:tcPr>
          <w:p w14:paraId="0DB6B21A">
            <w:pPr>
              <w:spacing w:line="360" w:lineRule="auto"/>
              <w:rPr>
                <w:rFonts w:hint="eastAsia" w:ascii="宋体" w:hAnsi="宋体"/>
                <w:szCs w:val="21"/>
                <w:highlight w:val="none"/>
              </w:rPr>
            </w:pPr>
          </w:p>
        </w:tc>
        <w:tc>
          <w:tcPr>
            <w:tcW w:w="1320" w:type="dxa"/>
          </w:tcPr>
          <w:p w14:paraId="34DB4DB6">
            <w:pPr>
              <w:spacing w:line="360" w:lineRule="auto"/>
              <w:rPr>
                <w:rFonts w:hint="eastAsia" w:ascii="宋体" w:hAnsi="宋体"/>
                <w:szCs w:val="21"/>
                <w:highlight w:val="none"/>
              </w:rPr>
            </w:pPr>
          </w:p>
        </w:tc>
        <w:tc>
          <w:tcPr>
            <w:tcW w:w="1534" w:type="dxa"/>
          </w:tcPr>
          <w:p w14:paraId="5C4116C8">
            <w:pPr>
              <w:spacing w:line="360" w:lineRule="auto"/>
              <w:rPr>
                <w:rFonts w:hint="eastAsia" w:ascii="宋体" w:hAnsi="宋体"/>
                <w:szCs w:val="21"/>
                <w:highlight w:val="none"/>
              </w:rPr>
            </w:pPr>
          </w:p>
        </w:tc>
        <w:tc>
          <w:tcPr>
            <w:tcW w:w="1532" w:type="dxa"/>
          </w:tcPr>
          <w:p w14:paraId="4813E46D">
            <w:pPr>
              <w:spacing w:line="360" w:lineRule="auto"/>
              <w:rPr>
                <w:rFonts w:hint="eastAsia" w:ascii="宋体" w:hAnsi="宋体"/>
                <w:szCs w:val="21"/>
                <w:highlight w:val="none"/>
              </w:rPr>
            </w:pPr>
          </w:p>
        </w:tc>
      </w:tr>
      <w:tr w14:paraId="2B66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2D3C0A82">
            <w:pPr>
              <w:spacing w:line="360" w:lineRule="auto"/>
              <w:rPr>
                <w:rFonts w:hint="eastAsia" w:ascii="宋体" w:hAnsi="宋体"/>
                <w:szCs w:val="21"/>
                <w:highlight w:val="none"/>
              </w:rPr>
            </w:pPr>
            <w:r>
              <w:rPr>
                <w:rFonts w:hint="eastAsia" w:ascii="宋体" w:hAnsi="宋体"/>
                <w:szCs w:val="21"/>
                <w:highlight w:val="none"/>
              </w:rPr>
              <w:t>…</w:t>
            </w:r>
          </w:p>
        </w:tc>
        <w:tc>
          <w:tcPr>
            <w:tcW w:w="2212" w:type="dxa"/>
            <w:shd w:val="clear" w:color="auto" w:fill="FFFFFF"/>
            <w:vAlign w:val="center"/>
          </w:tcPr>
          <w:p w14:paraId="736BDC03">
            <w:pPr>
              <w:widowControl/>
              <w:spacing w:line="360" w:lineRule="exact"/>
              <w:jc w:val="center"/>
              <w:textAlignment w:val="baseline"/>
              <w:rPr>
                <w:rFonts w:hint="eastAsia" w:ascii="宋体" w:hAnsi="宋体"/>
                <w:szCs w:val="21"/>
                <w:highlight w:val="none"/>
              </w:rPr>
            </w:pPr>
          </w:p>
        </w:tc>
        <w:tc>
          <w:tcPr>
            <w:tcW w:w="1875" w:type="dxa"/>
          </w:tcPr>
          <w:p w14:paraId="0BE4678A">
            <w:pPr>
              <w:spacing w:line="360" w:lineRule="auto"/>
              <w:rPr>
                <w:rFonts w:hint="eastAsia" w:ascii="宋体" w:hAnsi="宋体"/>
                <w:szCs w:val="21"/>
                <w:highlight w:val="none"/>
              </w:rPr>
            </w:pPr>
          </w:p>
        </w:tc>
        <w:tc>
          <w:tcPr>
            <w:tcW w:w="1320" w:type="dxa"/>
          </w:tcPr>
          <w:p w14:paraId="5464C3C4">
            <w:pPr>
              <w:spacing w:line="360" w:lineRule="auto"/>
              <w:rPr>
                <w:rFonts w:hint="eastAsia" w:ascii="宋体" w:hAnsi="宋体"/>
                <w:szCs w:val="21"/>
                <w:highlight w:val="none"/>
              </w:rPr>
            </w:pPr>
          </w:p>
        </w:tc>
        <w:tc>
          <w:tcPr>
            <w:tcW w:w="1534" w:type="dxa"/>
          </w:tcPr>
          <w:p w14:paraId="38B71D9B">
            <w:pPr>
              <w:spacing w:line="360" w:lineRule="auto"/>
              <w:rPr>
                <w:rFonts w:hint="eastAsia" w:ascii="宋体" w:hAnsi="宋体"/>
                <w:szCs w:val="21"/>
                <w:highlight w:val="none"/>
              </w:rPr>
            </w:pPr>
          </w:p>
        </w:tc>
        <w:tc>
          <w:tcPr>
            <w:tcW w:w="1532" w:type="dxa"/>
          </w:tcPr>
          <w:p w14:paraId="63F79042">
            <w:pPr>
              <w:spacing w:line="360" w:lineRule="auto"/>
              <w:rPr>
                <w:rFonts w:hint="eastAsia" w:ascii="宋体" w:hAnsi="宋体"/>
                <w:szCs w:val="21"/>
                <w:highlight w:val="none"/>
              </w:rPr>
            </w:pPr>
          </w:p>
        </w:tc>
      </w:tr>
    </w:tbl>
    <w:p w14:paraId="084ED885">
      <w:pPr>
        <w:autoSpaceDE w:val="0"/>
        <w:autoSpaceDN w:val="0"/>
        <w:adjustRightInd w:val="0"/>
        <w:ind w:firstLine="422" w:firstLineChars="200"/>
        <w:rPr>
          <w:rFonts w:hint="eastAsia" w:ascii="宋体" w:hAnsi="宋体"/>
          <w:b/>
          <w:szCs w:val="21"/>
          <w:highlight w:val="none"/>
          <w:lang w:val="zh-CN"/>
        </w:rPr>
      </w:pPr>
      <w:r>
        <w:rPr>
          <w:rFonts w:hint="eastAsia" w:ascii="宋体" w:hAnsi="宋体"/>
          <w:b/>
          <w:szCs w:val="21"/>
          <w:highlight w:val="none"/>
          <w:lang w:val="zh-CN"/>
        </w:rPr>
        <w:t>注：表格请按照</w:t>
      </w:r>
      <w:r>
        <w:rPr>
          <w:rFonts w:hint="eastAsia" w:ascii="宋体" w:hAnsi="宋体"/>
          <w:b/>
          <w:szCs w:val="21"/>
          <w:highlight w:val="none"/>
        </w:rPr>
        <w:t>采购清单</w:t>
      </w:r>
      <w:r>
        <w:rPr>
          <w:rFonts w:hint="eastAsia" w:ascii="宋体" w:hAnsi="宋体"/>
          <w:b/>
          <w:szCs w:val="21"/>
          <w:highlight w:val="none"/>
          <w:lang w:val="zh-CN"/>
        </w:rPr>
        <w:t>顺序填写，如果行数不够，请自行增加。</w:t>
      </w:r>
    </w:p>
    <w:p w14:paraId="53D51A77">
      <w:pPr>
        <w:spacing w:line="480" w:lineRule="auto"/>
        <w:ind w:firstLine="420" w:firstLineChars="200"/>
        <w:rPr>
          <w:rFonts w:hint="eastAsia" w:ascii="宋体" w:hAnsi="宋体"/>
          <w:szCs w:val="21"/>
          <w:highlight w:val="none"/>
        </w:rPr>
      </w:pPr>
    </w:p>
    <w:p w14:paraId="31653141">
      <w:pPr>
        <w:spacing w:line="480" w:lineRule="auto"/>
        <w:ind w:firstLine="420" w:firstLineChars="200"/>
        <w:rPr>
          <w:rFonts w:hint="eastAsia" w:ascii="宋体" w:hAnsi="宋体"/>
          <w:szCs w:val="21"/>
          <w:highlight w:val="none"/>
        </w:rPr>
      </w:pPr>
      <w:r>
        <w:rPr>
          <w:rFonts w:hint="eastAsia" w:ascii="宋体" w:hAnsi="宋体"/>
          <w:szCs w:val="21"/>
          <w:highlight w:val="none"/>
        </w:rPr>
        <w:t>投标人名称：</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（签章）</w:t>
      </w:r>
    </w:p>
    <w:p w14:paraId="121F6548">
      <w:pPr>
        <w:spacing w:line="480" w:lineRule="auto"/>
        <w:ind w:firstLine="420" w:firstLineChars="200"/>
        <w:rPr>
          <w:rFonts w:hint="eastAsia" w:ascii="宋体" w:hAnsi="宋体"/>
          <w:szCs w:val="21"/>
          <w:highlight w:val="none"/>
        </w:rPr>
      </w:pPr>
      <w:r>
        <w:rPr>
          <w:rFonts w:hint="eastAsia" w:ascii="宋体" w:hAnsi="宋体"/>
          <w:szCs w:val="21"/>
          <w:highlight w:val="none"/>
        </w:rPr>
        <w:t>法定代表人：</w:t>
      </w:r>
      <w:r>
        <w:rPr>
          <w:rFonts w:hint="eastAsia" w:ascii="宋体" w:hAnsi="宋体"/>
          <w:szCs w:val="21"/>
          <w:highlight w:val="none"/>
          <w:u w:val="single"/>
        </w:rPr>
        <w:t xml:space="preserve">                                              </w:t>
      </w:r>
      <w:r>
        <w:rPr>
          <w:rFonts w:hint="eastAsia" w:ascii="宋体" w:hAnsi="宋体"/>
          <w:szCs w:val="21"/>
          <w:highlight w:val="none"/>
        </w:rPr>
        <w:t>(签章)</w:t>
      </w:r>
    </w:p>
    <w:p w14:paraId="597D2663">
      <w:pPr>
        <w:spacing w:line="480" w:lineRule="auto"/>
        <w:rPr>
          <w:rFonts w:ascii="Calibri" w:hAnsi="Calibri"/>
          <w:sz w:val="32"/>
          <w:szCs w:val="32"/>
          <w:highlight w:val="none"/>
        </w:rPr>
      </w:pPr>
      <w:r>
        <w:rPr>
          <w:rFonts w:hint="eastAsia" w:ascii="宋体" w:hAnsi="宋体"/>
          <w:szCs w:val="21"/>
          <w:highlight w:val="none"/>
        </w:rPr>
        <w:t xml:space="preserve">                                  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1369CC0">
      <w:pPr>
        <w:pStyle w:val="52"/>
        <w:tabs>
          <w:tab w:val="left" w:pos="1319"/>
        </w:tabs>
        <w:adjustRightInd w:val="0"/>
        <w:snapToGrid w:val="0"/>
        <w:spacing w:line="560" w:lineRule="exact"/>
        <w:ind w:left="0" w:firstLineChars="200"/>
        <w:rPr>
          <w:rFonts w:hint="eastAsia"/>
          <w:color w:val="000000"/>
          <w:highlight w:val="none"/>
        </w:rPr>
        <w:sectPr>
          <w:pgSz w:w="11910" w:h="16840"/>
          <w:pgMar w:top="1060" w:right="660" w:bottom="1020" w:left="1120" w:header="0" w:footer="833" w:gutter="0"/>
          <w:cols w:space="720" w:num="1"/>
        </w:sectPr>
      </w:pPr>
    </w:p>
    <w:p w14:paraId="17284419">
      <w:pPr>
        <w:pStyle w:val="5"/>
        <w:adjustRightInd w:val="0"/>
        <w:snapToGrid w:val="0"/>
        <w:spacing w:before="0" w:after="0" w:line="560" w:lineRule="exact"/>
        <w:jc w:val="center"/>
        <w:rPr>
          <w:color w:val="000000"/>
          <w:highlight w:val="none"/>
        </w:rPr>
      </w:pPr>
      <w:r>
        <w:rPr>
          <w:rFonts w:hint="eastAsia"/>
          <w:color w:val="000000"/>
          <w:highlight w:val="none"/>
        </w:rPr>
        <w:t>（5）详细评审所需其他材料（如有）</w:t>
      </w:r>
      <w:bookmarkEnd w:id="886"/>
    </w:p>
    <w:p w14:paraId="7EC93E75">
      <w:pPr>
        <w:adjustRightInd w:val="0"/>
        <w:snapToGrid w:val="0"/>
        <w:spacing w:line="560" w:lineRule="exact"/>
        <w:ind w:firstLine="1928" w:firstLineChars="600"/>
        <w:rPr>
          <w:rFonts w:ascii="宋体"/>
          <w:b/>
          <w:color w:val="000000"/>
          <w:sz w:val="32"/>
          <w:szCs w:val="32"/>
          <w:highlight w:val="none"/>
        </w:rPr>
      </w:pPr>
    </w:p>
    <w:p w14:paraId="096E045F">
      <w:pPr>
        <w:adjustRightInd w:val="0"/>
        <w:snapToGrid w:val="0"/>
        <w:spacing w:line="560" w:lineRule="exact"/>
        <w:rPr>
          <w:b/>
          <w:color w:val="000000"/>
          <w:sz w:val="32"/>
          <w:szCs w:val="32"/>
          <w:highlight w:val="none"/>
        </w:rPr>
      </w:pPr>
    </w:p>
    <w:p w14:paraId="5CAA5959">
      <w:pPr>
        <w:adjustRightInd w:val="0"/>
        <w:snapToGrid w:val="0"/>
        <w:spacing w:line="560" w:lineRule="exact"/>
        <w:jc w:val="center"/>
        <w:rPr>
          <w:b/>
          <w:color w:val="000000"/>
          <w:sz w:val="32"/>
          <w:szCs w:val="32"/>
          <w:highlight w:val="none"/>
        </w:rPr>
      </w:pPr>
    </w:p>
    <w:p w14:paraId="0E3284F3">
      <w:pPr>
        <w:adjustRightInd w:val="0"/>
        <w:snapToGrid w:val="0"/>
        <w:spacing w:line="560" w:lineRule="exact"/>
        <w:jc w:val="center"/>
        <w:rPr>
          <w:b/>
          <w:color w:val="000000"/>
          <w:sz w:val="32"/>
          <w:szCs w:val="32"/>
          <w:highlight w:val="none"/>
        </w:rPr>
      </w:pPr>
    </w:p>
    <w:p w14:paraId="43231B0B">
      <w:pPr>
        <w:adjustRightInd w:val="0"/>
        <w:snapToGrid w:val="0"/>
        <w:spacing w:line="560" w:lineRule="exact"/>
        <w:jc w:val="center"/>
        <w:rPr>
          <w:b/>
          <w:color w:val="000000"/>
          <w:sz w:val="32"/>
          <w:szCs w:val="32"/>
          <w:highlight w:val="none"/>
        </w:rPr>
      </w:pPr>
    </w:p>
    <w:p w14:paraId="34D15AC0">
      <w:pPr>
        <w:adjustRightInd w:val="0"/>
        <w:snapToGrid w:val="0"/>
        <w:spacing w:line="560" w:lineRule="exact"/>
        <w:rPr>
          <w:color w:val="000000"/>
          <w:highlight w:val="none"/>
        </w:rPr>
      </w:pPr>
    </w:p>
    <w:p w14:paraId="5E9344DA">
      <w:pPr>
        <w:adjustRightInd w:val="0"/>
        <w:snapToGrid w:val="0"/>
        <w:spacing w:line="560" w:lineRule="exact"/>
        <w:rPr>
          <w:color w:val="000000"/>
          <w:highlight w:val="none"/>
        </w:rPr>
      </w:pPr>
    </w:p>
    <w:p w14:paraId="52C53583">
      <w:pPr>
        <w:adjustRightInd w:val="0"/>
        <w:snapToGrid w:val="0"/>
        <w:spacing w:line="560" w:lineRule="exact"/>
        <w:rPr>
          <w:color w:val="000000"/>
          <w:highlight w:val="none"/>
        </w:rPr>
      </w:pPr>
    </w:p>
    <w:p w14:paraId="72A2C604">
      <w:pPr>
        <w:adjustRightInd w:val="0"/>
        <w:snapToGrid w:val="0"/>
        <w:spacing w:line="560" w:lineRule="exact"/>
        <w:rPr>
          <w:color w:val="000000"/>
          <w:highlight w:val="none"/>
        </w:rPr>
      </w:pPr>
    </w:p>
    <w:p w14:paraId="69938914">
      <w:pPr>
        <w:adjustRightInd w:val="0"/>
        <w:snapToGrid w:val="0"/>
        <w:spacing w:line="560" w:lineRule="exact"/>
        <w:rPr>
          <w:color w:val="000000"/>
          <w:highlight w:val="none"/>
        </w:rPr>
      </w:pPr>
    </w:p>
    <w:p w14:paraId="5BFEA765">
      <w:pPr>
        <w:adjustRightInd w:val="0"/>
        <w:snapToGrid w:val="0"/>
        <w:spacing w:line="560" w:lineRule="exact"/>
        <w:rPr>
          <w:color w:val="000000"/>
          <w:highlight w:val="none"/>
        </w:rPr>
      </w:pPr>
    </w:p>
    <w:p w14:paraId="5368B371">
      <w:pPr>
        <w:adjustRightInd w:val="0"/>
        <w:snapToGrid w:val="0"/>
        <w:spacing w:line="560" w:lineRule="exact"/>
        <w:rPr>
          <w:color w:val="000000"/>
          <w:highlight w:val="none"/>
        </w:rPr>
      </w:pPr>
    </w:p>
    <w:p w14:paraId="72B8E983">
      <w:pPr>
        <w:adjustRightInd w:val="0"/>
        <w:snapToGrid w:val="0"/>
        <w:spacing w:line="560" w:lineRule="exact"/>
        <w:rPr>
          <w:color w:val="000000"/>
          <w:highlight w:val="none"/>
        </w:rPr>
      </w:pPr>
    </w:p>
    <w:p w14:paraId="3AE34345">
      <w:pPr>
        <w:adjustRightInd w:val="0"/>
        <w:snapToGrid w:val="0"/>
        <w:spacing w:line="560" w:lineRule="exact"/>
        <w:rPr>
          <w:color w:val="000000"/>
          <w:highlight w:val="none"/>
        </w:rPr>
      </w:pPr>
    </w:p>
    <w:p w14:paraId="3B98917F">
      <w:pPr>
        <w:adjustRightInd w:val="0"/>
        <w:snapToGrid w:val="0"/>
        <w:spacing w:line="560" w:lineRule="exact"/>
        <w:rPr>
          <w:color w:val="000000"/>
          <w:highlight w:val="none"/>
        </w:rPr>
      </w:pPr>
    </w:p>
    <w:p w14:paraId="67129066">
      <w:pPr>
        <w:adjustRightInd w:val="0"/>
        <w:snapToGrid w:val="0"/>
        <w:spacing w:line="560" w:lineRule="exact"/>
        <w:rPr>
          <w:color w:val="000000"/>
          <w:highlight w:val="none"/>
        </w:rPr>
      </w:pPr>
    </w:p>
    <w:p w14:paraId="4E3A7C09">
      <w:pPr>
        <w:adjustRightInd w:val="0"/>
        <w:snapToGrid w:val="0"/>
        <w:spacing w:line="560" w:lineRule="exact"/>
        <w:rPr>
          <w:color w:val="000000"/>
          <w:highlight w:val="none"/>
        </w:rPr>
      </w:pPr>
    </w:p>
    <w:p w14:paraId="34B53D16">
      <w:pPr>
        <w:adjustRightInd w:val="0"/>
        <w:snapToGrid w:val="0"/>
        <w:spacing w:line="560" w:lineRule="exact"/>
        <w:rPr>
          <w:color w:val="000000"/>
          <w:highlight w:val="none"/>
        </w:rPr>
      </w:pPr>
    </w:p>
    <w:p w14:paraId="27F54A56">
      <w:pPr>
        <w:adjustRightInd w:val="0"/>
        <w:snapToGrid w:val="0"/>
        <w:spacing w:line="560" w:lineRule="exact"/>
        <w:rPr>
          <w:color w:val="000000"/>
          <w:highlight w:val="none"/>
        </w:rPr>
      </w:pPr>
    </w:p>
    <w:p w14:paraId="08319AD0">
      <w:pPr>
        <w:adjustRightInd w:val="0"/>
        <w:snapToGrid w:val="0"/>
        <w:spacing w:line="560" w:lineRule="exact"/>
        <w:rPr>
          <w:color w:val="000000"/>
          <w:highlight w:val="none"/>
        </w:rPr>
      </w:pPr>
    </w:p>
    <w:p w14:paraId="720CE1AB">
      <w:pPr>
        <w:pStyle w:val="26"/>
        <w:rPr>
          <w:color w:val="000000"/>
          <w:highlight w:val="none"/>
        </w:rPr>
      </w:pPr>
    </w:p>
    <w:p w14:paraId="733A6197">
      <w:pPr>
        <w:adjustRightInd w:val="0"/>
        <w:snapToGrid w:val="0"/>
        <w:spacing w:line="560" w:lineRule="exact"/>
        <w:rPr>
          <w:color w:val="000000"/>
          <w:highlight w:val="none"/>
        </w:rPr>
      </w:pPr>
    </w:p>
    <w:p w14:paraId="21BEE374">
      <w:pPr>
        <w:pStyle w:val="26"/>
        <w:rPr>
          <w:color w:val="000000"/>
          <w:highlight w:val="none"/>
        </w:rPr>
      </w:pPr>
    </w:p>
    <w:p w14:paraId="3328ADE3">
      <w:pPr>
        <w:rPr>
          <w:color w:val="000000"/>
          <w:highlight w:val="none"/>
        </w:rPr>
      </w:pPr>
    </w:p>
    <w:p w14:paraId="3AA3A1A6">
      <w:pPr>
        <w:pStyle w:val="26"/>
        <w:rPr>
          <w:color w:val="000000"/>
          <w:highlight w:val="none"/>
        </w:rPr>
      </w:pPr>
    </w:p>
    <w:p w14:paraId="327D4262">
      <w:pPr>
        <w:pStyle w:val="26"/>
        <w:rPr>
          <w:color w:val="000000"/>
          <w:highlight w:val="none"/>
        </w:rPr>
      </w:pPr>
    </w:p>
    <w:p w14:paraId="0A6884B8">
      <w:pPr>
        <w:pStyle w:val="15"/>
        <w:adjustRightInd w:val="0"/>
        <w:snapToGrid w:val="0"/>
        <w:spacing w:after="0" w:line="560" w:lineRule="exact"/>
        <w:jc w:val="center"/>
        <w:outlineLvl w:val="0"/>
        <w:rPr>
          <w:rFonts w:eastAsia="黑体"/>
          <w:b/>
          <w:bCs/>
          <w:color w:val="000000"/>
          <w:sz w:val="32"/>
          <w:highlight w:val="none"/>
        </w:rPr>
        <w:sectPr>
          <w:pgSz w:w="11906" w:h="16838"/>
          <w:pgMar w:top="1134" w:right="1417" w:bottom="1134" w:left="1417" w:header="851" w:footer="992" w:gutter="0"/>
          <w:cols w:space="720" w:num="1"/>
          <w:docGrid w:type="lines" w:linePitch="312" w:charSpace="0"/>
        </w:sectPr>
      </w:pPr>
      <w:bookmarkStart w:id="887" w:name="_Toc95223547"/>
    </w:p>
    <w:p w14:paraId="66B83586">
      <w:pPr>
        <w:pStyle w:val="15"/>
        <w:adjustRightInd w:val="0"/>
        <w:snapToGrid w:val="0"/>
        <w:spacing w:after="0" w:line="560" w:lineRule="exact"/>
        <w:jc w:val="center"/>
        <w:outlineLvl w:val="0"/>
        <w:rPr>
          <w:rFonts w:eastAsia="黑体"/>
          <w:b/>
          <w:bCs/>
          <w:color w:val="000000"/>
          <w:sz w:val="32"/>
          <w:highlight w:val="none"/>
        </w:rPr>
      </w:pPr>
      <w:r>
        <w:rPr>
          <w:rFonts w:hint="eastAsia" w:eastAsia="黑体"/>
          <w:b/>
          <w:bCs/>
          <w:color w:val="000000"/>
          <w:sz w:val="32"/>
          <w:highlight w:val="none"/>
        </w:rPr>
        <w:t>第十章  招标</w:t>
      </w:r>
      <w:bookmarkStart w:id="888" w:name="_Toc60061593"/>
      <w:r>
        <w:rPr>
          <w:rFonts w:hint="eastAsia" w:eastAsia="黑体"/>
          <w:b/>
          <w:bCs/>
          <w:color w:val="000000"/>
          <w:sz w:val="32"/>
          <w:highlight w:val="none"/>
        </w:rPr>
        <w:t>人、招标代理机构对本招标文件的确认</w:t>
      </w:r>
      <w:bookmarkEnd w:id="887"/>
      <w:bookmarkEnd w:id="888"/>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42C6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3" w:hRule="atLeast"/>
          <w:jc w:val="center"/>
        </w:trPr>
        <w:tc>
          <w:tcPr>
            <w:tcW w:w="9580" w:type="dxa"/>
          </w:tcPr>
          <w:p w14:paraId="43EA35BD">
            <w:pPr>
              <w:adjustRightInd w:val="0"/>
              <w:snapToGrid w:val="0"/>
              <w:spacing w:line="560" w:lineRule="exact"/>
              <w:rPr>
                <w:color w:val="000000"/>
                <w:sz w:val="30"/>
                <w:highlight w:val="none"/>
              </w:rPr>
            </w:pPr>
          </w:p>
          <w:p w14:paraId="0B1C6842">
            <w:pPr>
              <w:adjustRightInd w:val="0"/>
              <w:snapToGrid w:val="0"/>
              <w:spacing w:line="360" w:lineRule="auto"/>
              <w:ind w:firstLine="560" w:firstLineChars="200"/>
              <w:jc w:val="left"/>
              <w:rPr>
                <w:color w:val="000000"/>
                <w:sz w:val="28"/>
                <w:szCs w:val="28"/>
                <w:highlight w:val="none"/>
              </w:rPr>
            </w:pPr>
            <w:r>
              <w:rPr>
                <w:rFonts w:hint="eastAsia"/>
                <w:color w:val="000000"/>
                <w:sz w:val="28"/>
                <w:szCs w:val="28"/>
                <w:highlight w:val="none"/>
              </w:rPr>
              <w:t>我单位对</w:t>
            </w:r>
            <w:bookmarkStart w:id="889" w:name="_Toc15058950"/>
            <w:bookmarkStart w:id="890" w:name="_Toc60061594"/>
            <w:bookmarkStart w:id="891" w:name="_Toc506107366"/>
            <w:r>
              <w:rPr>
                <w:rFonts w:hint="eastAsia" w:ascii="宋体" w:hAnsi="宋体" w:cs="宋体"/>
                <w:b/>
                <w:color w:val="000000"/>
                <w:kern w:val="0"/>
                <w:sz w:val="28"/>
                <w:szCs w:val="28"/>
                <w:highlight w:val="none"/>
                <w:u w:val="single"/>
              </w:rPr>
              <w:t>滁州市琅琊区重点流域农业面源污染治理项目EPC相关设备采购</w:t>
            </w:r>
            <w:r>
              <w:rPr>
                <w:rFonts w:hint="eastAsia" w:ascii="宋体" w:hAnsi="宋体" w:cs="宋体"/>
                <w:color w:val="000000"/>
                <w:kern w:val="0"/>
                <w:sz w:val="28"/>
                <w:szCs w:val="28"/>
                <w:highlight w:val="none"/>
              </w:rPr>
              <w:t>招</w:t>
            </w:r>
            <w:bookmarkEnd w:id="889"/>
            <w:bookmarkEnd w:id="890"/>
            <w:bookmarkEnd w:id="891"/>
            <w:r>
              <w:rPr>
                <w:rFonts w:hint="eastAsia" w:ascii="宋体" w:hAnsi="宋体" w:cs="宋体"/>
                <w:color w:val="000000"/>
                <w:kern w:val="0"/>
                <w:sz w:val="28"/>
                <w:szCs w:val="28"/>
                <w:highlight w:val="none"/>
              </w:rPr>
              <w:t>标</w:t>
            </w:r>
            <w:r>
              <w:rPr>
                <w:rFonts w:hint="eastAsia"/>
                <w:color w:val="000000"/>
                <w:sz w:val="28"/>
                <w:szCs w:val="28"/>
                <w:highlight w:val="none"/>
              </w:rPr>
              <w:t>的招标文件进行确认。</w:t>
            </w:r>
          </w:p>
          <w:p w14:paraId="5BD86239">
            <w:pPr>
              <w:adjustRightInd w:val="0"/>
              <w:snapToGrid w:val="0"/>
              <w:spacing w:line="560" w:lineRule="exact"/>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 xml:space="preserve">招 标 人：中电建生态环境集团有限公司 </w:t>
            </w:r>
          </w:p>
          <w:p w14:paraId="173D1208">
            <w:pPr>
              <w:adjustRightInd w:val="0"/>
              <w:snapToGrid w:val="0"/>
              <w:spacing w:line="560" w:lineRule="exact"/>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 xml:space="preserve">联 系 人：田鹏   </w:t>
            </w:r>
          </w:p>
          <w:p w14:paraId="1CE970E9">
            <w:pPr>
              <w:adjustRightInd w:val="0"/>
              <w:snapToGrid w:val="0"/>
              <w:spacing w:line="560" w:lineRule="exact"/>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联系电话：</w:t>
            </w:r>
            <w:r>
              <w:rPr>
                <w:rFonts w:ascii="宋体" w:hAnsi="宋体"/>
                <w:color w:val="000000"/>
                <w:sz w:val="28"/>
                <w:szCs w:val="28"/>
                <w:highlight w:val="none"/>
              </w:rPr>
              <w:t>15538075318</w:t>
            </w:r>
            <w:r>
              <w:rPr>
                <w:rFonts w:hint="eastAsia" w:ascii="宋体" w:hAnsi="宋体"/>
                <w:color w:val="000000"/>
                <w:sz w:val="28"/>
                <w:szCs w:val="28"/>
                <w:highlight w:val="none"/>
              </w:rPr>
              <w:t xml:space="preserve">  </w:t>
            </w:r>
          </w:p>
          <w:p w14:paraId="429D505E">
            <w:pPr>
              <w:adjustRightInd w:val="0"/>
              <w:snapToGrid w:val="0"/>
              <w:spacing w:line="560" w:lineRule="exact"/>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 xml:space="preserve">                                                                      </w:t>
            </w:r>
          </w:p>
          <w:p w14:paraId="2821090E">
            <w:pPr>
              <w:adjustRightInd w:val="0"/>
              <w:snapToGrid w:val="0"/>
              <w:spacing w:line="560" w:lineRule="exact"/>
              <w:ind w:firstLine="6860" w:firstLineChars="2450"/>
              <w:rPr>
                <w:rFonts w:hint="eastAsia" w:ascii="宋体" w:hAnsi="宋体"/>
                <w:color w:val="000000"/>
                <w:sz w:val="28"/>
                <w:szCs w:val="28"/>
                <w:highlight w:val="none"/>
              </w:rPr>
            </w:pPr>
            <w:r>
              <w:rPr>
                <w:rFonts w:hint="eastAsia" w:ascii="宋体" w:hAnsi="宋体"/>
                <w:color w:val="000000"/>
                <w:sz w:val="28"/>
                <w:szCs w:val="28"/>
                <w:highlight w:val="none"/>
              </w:rPr>
              <w:t>（</w:t>
            </w:r>
            <w:r>
              <w:rPr>
                <w:rFonts w:eastAsia="黑体"/>
                <w:color w:val="000000"/>
                <w:sz w:val="28"/>
                <w:szCs w:val="28"/>
                <w:highlight w:val="none"/>
              </w:rPr>
              <w:t>签</w:t>
            </w:r>
            <w:r>
              <w:rPr>
                <w:rFonts w:hint="eastAsia" w:eastAsia="黑体"/>
                <w:color w:val="000000"/>
                <w:sz w:val="28"/>
                <w:szCs w:val="28"/>
                <w:highlight w:val="none"/>
              </w:rPr>
              <w:t>章</w:t>
            </w:r>
            <w:r>
              <w:rPr>
                <w:rFonts w:hint="eastAsia" w:ascii="宋体" w:hAnsi="宋体"/>
                <w:color w:val="000000"/>
                <w:sz w:val="28"/>
                <w:szCs w:val="28"/>
                <w:highlight w:val="none"/>
              </w:rPr>
              <w:t>）</w:t>
            </w:r>
          </w:p>
          <w:p w14:paraId="16652EF0">
            <w:pPr>
              <w:adjustRightInd w:val="0"/>
              <w:snapToGrid w:val="0"/>
              <w:spacing w:line="560" w:lineRule="exact"/>
              <w:ind w:firstLine="5040" w:firstLineChars="1800"/>
              <w:rPr>
                <w:color w:val="000000"/>
                <w:sz w:val="30"/>
                <w:highlight w:val="none"/>
              </w:rPr>
            </w:pPr>
            <w:r>
              <w:rPr>
                <w:rFonts w:hint="eastAsia" w:ascii="宋体" w:hAnsi="宋体"/>
                <w:color w:val="000000"/>
                <w:sz w:val="28"/>
                <w:szCs w:val="28"/>
                <w:highlight w:val="none"/>
              </w:rPr>
              <w:t xml:space="preserve">         2026 年09月</w:t>
            </w:r>
            <w:r>
              <w:rPr>
                <w:rFonts w:hint="eastAsia" w:ascii="宋体" w:hAnsi="宋体"/>
                <w:color w:val="000000"/>
                <w:sz w:val="28"/>
                <w:szCs w:val="28"/>
                <w:highlight w:val="none"/>
                <w:lang w:val="en-US" w:eastAsia="zh-CN"/>
              </w:rPr>
              <w:t>24</w:t>
            </w:r>
            <w:r>
              <w:rPr>
                <w:rFonts w:hint="eastAsia" w:ascii="宋体" w:hAnsi="宋体"/>
                <w:color w:val="000000"/>
                <w:sz w:val="28"/>
                <w:szCs w:val="28"/>
                <w:highlight w:val="none"/>
              </w:rPr>
              <w:t>日</w:t>
            </w:r>
          </w:p>
        </w:tc>
      </w:tr>
      <w:tr w14:paraId="52C5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6" w:hRule="atLeast"/>
          <w:jc w:val="center"/>
        </w:trPr>
        <w:tc>
          <w:tcPr>
            <w:tcW w:w="9580" w:type="dxa"/>
          </w:tcPr>
          <w:p w14:paraId="4F68CC13">
            <w:pPr>
              <w:adjustRightInd w:val="0"/>
              <w:snapToGrid w:val="0"/>
              <w:spacing w:line="560" w:lineRule="exact"/>
              <w:ind w:firstLine="600" w:firstLineChars="200"/>
              <w:rPr>
                <w:color w:val="000000"/>
                <w:sz w:val="30"/>
                <w:highlight w:val="none"/>
              </w:rPr>
            </w:pPr>
          </w:p>
          <w:p w14:paraId="0269E2E7">
            <w:pPr>
              <w:adjustRightInd w:val="0"/>
              <w:snapToGrid w:val="0"/>
              <w:spacing w:line="560" w:lineRule="exact"/>
              <w:ind w:firstLine="560" w:firstLineChars="200"/>
              <w:rPr>
                <w:color w:val="000000"/>
                <w:sz w:val="28"/>
                <w:szCs w:val="28"/>
                <w:highlight w:val="none"/>
              </w:rPr>
            </w:pPr>
            <w:r>
              <w:rPr>
                <w:rFonts w:hint="eastAsia"/>
                <w:color w:val="000000"/>
                <w:sz w:val="28"/>
                <w:szCs w:val="28"/>
                <w:highlight w:val="none"/>
              </w:rPr>
              <w:t xml:space="preserve">招标代理机构：滁州市城投工程咨询管理有限公司  </w:t>
            </w:r>
          </w:p>
          <w:p w14:paraId="33325DE8">
            <w:pPr>
              <w:adjustRightInd w:val="0"/>
              <w:snapToGrid w:val="0"/>
              <w:spacing w:line="560" w:lineRule="exact"/>
              <w:ind w:firstLine="560" w:firstLineChars="200"/>
              <w:rPr>
                <w:color w:val="000000"/>
                <w:sz w:val="28"/>
                <w:szCs w:val="28"/>
                <w:highlight w:val="none"/>
              </w:rPr>
            </w:pPr>
            <w:r>
              <w:rPr>
                <w:rFonts w:hint="eastAsia"/>
                <w:color w:val="000000"/>
                <w:sz w:val="28"/>
                <w:szCs w:val="28"/>
                <w:highlight w:val="none"/>
              </w:rPr>
              <w:t xml:space="preserve">联系人：周蓓蕾  </w:t>
            </w:r>
          </w:p>
          <w:p w14:paraId="2E496AA5">
            <w:pPr>
              <w:adjustRightInd w:val="0"/>
              <w:snapToGrid w:val="0"/>
              <w:spacing w:line="560" w:lineRule="exact"/>
              <w:ind w:firstLine="560" w:firstLineChars="200"/>
              <w:rPr>
                <w:color w:val="000000"/>
                <w:sz w:val="28"/>
                <w:szCs w:val="28"/>
                <w:highlight w:val="none"/>
              </w:rPr>
            </w:pPr>
            <w:r>
              <w:rPr>
                <w:rFonts w:hint="eastAsia"/>
                <w:color w:val="000000"/>
                <w:sz w:val="28"/>
                <w:szCs w:val="28"/>
                <w:highlight w:val="none"/>
              </w:rPr>
              <w:t xml:space="preserve">联系电话：0550-3519519、18005505728  </w:t>
            </w:r>
          </w:p>
          <w:p w14:paraId="518D12DC">
            <w:pPr>
              <w:adjustRightInd w:val="0"/>
              <w:snapToGrid w:val="0"/>
              <w:spacing w:line="560" w:lineRule="exact"/>
              <w:ind w:firstLine="280" w:firstLineChars="100"/>
              <w:rPr>
                <w:color w:val="000000"/>
                <w:sz w:val="28"/>
                <w:szCs w:val="28"/>
                <w:highlight w:val="none"/>
              </w:rPr>
            </w:pPr>
            <w:r>
              <w:rPr>
                <w:rFonts w:hint="eastAsia"/>
                <w:color w:val="000000"/>
                <w:sz w:val="28"/>
                <w:szCs w:val="28"/>
                <w:highlight w:val="none"/>
              </w:rPr>
              <w:t xml:space="preserve">                                  </w:t>
            </w:r>
          </w:p>
          <w:p w14:paraId="2C195060">
            <w:pPr>
              <w:adjustRightInd w:val="0"/>
              <w:snapToGrid w:val="0"/>
              <w:spacing w:line="560" w:lineRule="exact"/>
              <w:ind w:firstLine="280" w:firstLineChars="100"/>
              <w:rPr>
                <w:color w:val="000000"/>
                <w:sz w:val="28"/>
                <w:szCs w:val="28"/>
                <w:highlight w:val="none"/>
              </w:rPr>
            </w:pPr>
          </w:p>
          <w:p w14:paraId="622D2D2B">
            <w:pPr>
              <w:adjustRightInd w:val="0"/>
              <w:snapToGrid w:val="0"/>
              <w:spacing w:line="560" w:lineRule="exact"/>
              <w:ind w:firstLine="280" w:firstLineChars="100"/>
              <w:jc w:val="center"/>
              <w:rPr>
                <w:color w:val="000000"/>
                <w:sz w:val="28"/>
                <w:szCs w:val="28"/>
                <w:highlight w:val="none"/>
              </w:rPr>
            </w:pPr>
            <w:r>
              <w:rPr>
                <w:rFonts w:hint="eastAsia"/>
                <w:color w:val="000000"/>
                <w:sz w:val="28"/>
                <w:szCs w:val="28"/>
                <w:highlight w:val="non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hint="eastAsia"/>
                <w:color w:val="000000"/>
                <w:sz w:val="28"/>
                <w:szCs w:val="28"/>
                <w:highlight w:val="none"/>
              </w:rPr>
              <w:t>）</w:t>
            </w:r>
          </w:p>
          <w:p w14:paraId="7A2AB098">
            <w:pPr>
              <w:adjustRightInd w:val="0"/>
              <w:snapToGrid w:val="0"/>
              <w:spacing w:line="560" w:lineRule="exact"/>
              <w:ind w:firstLine="4900" w:firstLineChars="1750"/>
              <w:rPr>
                <w:color w:val="000000"/>
                <w:sz w:val="30"/>
                <w:highlight w:val="none"/>
              </w:rPr>
            </w:pPr>
            <w:r>
              <w:rPr>
                <w:rFonts w:hint="eastAsia"/>
                <w:color w:val="000000"/>
                <w:sz w:val="28"/>
                <w:szCs w:val="28"/>
                <w:highlight w:val="none"/>
              </w:rPr>
              <w:t xml:space="preserve">      </w:t>
            </w:r>
            <w:r>
              <w:rPr>
                <w:rFonts w:hint="eastAsia" w:ascii="宋体" w:hAnsi="宋体"/>
                <w:color w:val="000000"/>
                <w:sz w:val="28"/>
                <w:szCs w:val="28"/>
                <w:highlight w:val="none"/>
              </w:rPr>
              <w:t xml:space="preserve">  2026 年09月</w:t>
            </w:r>
            <w:r>
              <w:rPr>
                <w:rFonts w:hint="eastAsia" w:ascii="宋体" w:hAnsi="宋体"/>
                <w:color w:val="000000"/>
                <w:sz w:val="28"/>
                <w:szCs w:val="28"/>
                <w:highlight w:val="none"/>
                <w:lang w:val="en-US" w:eastAsia="zh-CN"/>
              </w:rPr>
              <w:t>24</w:t>
            </w:r>
            <w:r>
              <w:rPr>
                <w:rFonts w:hint="eastAsia" w:ascii="宋体" w:hAnsi="宋体"/>
                <w:color w:val="000000"/>
                <w:sz w:val="28"/>
                <w:szCs w:val="28"/>
                <w:highlight w:val="none"/>
              </w:rPr>
              <w:t>日</w:t>
            </w:r>
          </w:p>
        </w:tc>
      </w:tr>
      <w:bookmarkEnd w:id="4"/>
      <w:bookmarkEnd w:id="5"/>
      <w:bookmarkEnd w:id="6"/>
      <w:bookmarkEnd w:id="7"/>
      <w:bookmarkEnd w:id="8"/>
    </w:tbl>
    <w:p w14:paraId="0753CDD0">
      <w:pPr>
        <w:adjustRightInd w:val="0"/>
        <w:snapToGrid w:val="0"/>
        <w:spacing w:line="560" w:lineRule="exact"/>
        <w:rPr>
          <w:rFonts w:ascii="仿宋_GB2312" w:hAnsi="Calibri" w:eastAsia="仿宋_GB2312"/>
          <w:b/>
          <w:color w:val="000000"/>
          <w:sz w:val="32"/>
          <w:szCs w:val="32"/>
          <w:highlight w:val="none"/>
        </w:rPr>
      </w:pPr>
    </w:p>
    <w:p w14:paraId="350B62C1">
      <w:pPr>
        <w:pStyle w:val="3"/>
        <w:spacing w:before="200" w:after="200" w:line="600" w:lineRule="exact"/>
        <w:rPr>
          <w:rFonts w:ascii="仿宋_GB2312" w:eastAsia="仿宋_GB2312"/>
          <w:b w:val="0"/>
          <w:color w:val="000000"/>
          <w:sz w:val="32"/>
          <w:szCs w:val="32"/>
          <w:highlight w:val="none"/>
        </w:rPr>
      </w:pPr>
    </w:p>
    <w:p w14:paraId="10D856D0">
      <w:pPr>
        <w:rPr>
          <w:highlight w:val="none"/>
        </w:rPr>
      </w:pPr>
    </w:p>
    <w:sectPr>
      <w:pgSz w:w="11906" w:h="16838"/>
      <w:pgMar w:top="1134"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05AA4">
    <w:pPr>
      <w:pStyle w:val="19"/>
      <w:jc w:val="right"/>
    </w:pPr>
    <w:r>
      <w:fldChar w:fldCharType="begin"/>
    </w:r>
    <w:r>
      <w:instrText xml:space="preserve">PAGE   \* MERGEFORMAT</w:instrText>
    </w:r>
    <w:r>
      <w:fldChar w:fldCharType="separate"/>
    </w:r>
    <w:r>
      <w:rPr>
        <w:lang w:val="zh-CN"/>
      </w:rPr>
      <w:t>123</w:t>
    </w:r>
    <w:r>
      <w:fldChar w:fldCharType="end"/>
    </w:r>
  </w:p>
  <w:p w14:paraId="354210CF">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1A7AB6B2">
      <w:pPr>
        <w:pStyle w:val="23"/>
      </w:pPr>
    </w:p>
  </w:footnote>
  <w:footnote w:id="1">
    <w:p w14:paraId="70BF92BE">
      <w:pPr>
        <w:pStyle w:val="23"/>
      </w:pPr>
      <w:r>
        <w:rPr>
          <w:rStyle w:val="40"/>
        </w:rPr>
        <w:footnoteRef/>
      </w:r>
      <w:r>
        <w:rPr>
          <w:rFonts w:hint="eastAsia"/>
        </w:rPr>
        <w:t>招标代理服务费可由招标人支付，也可由中标单位代为支付。招标代理服务费不得包含评标专家劳务费等不属于招标代理服务范畴的费用。如由中标单位代为支付，招标人招标时可将该费用列入工程量清单及最高投标限价中的其他项目清单中，此项费用为不可竞争费，投标人投标时不得下浮。项目结算时凭票据实计入工程结算价款中。</w:t>
      </w:r>
    </w:p>
  </w:footnote>
  <w:footnote w:id="2">
    <w:p w14:paraId="006D7931">
      <w:pPr>
        <w:pStyle w:val="23"/>
        <w:snapToGrid w:val="0"/>
      </w:pPr>
      <w:r>
        <w:rPr>
          <w:rStyle w:val="40"/>
          <w:rFonts w:hint="eastAsia" w:ascii="宋体" w:hAnsi="宋体" w:cs="宋体"/>
          <w:sz w:val="24"/>
          <w:szCs w:val="24"/>
        </w:rPr>
        <w:footnoteRef/>
      </w:r>
      <w:r>
        <w:rPr>
          <w:rStyle w:val="40"/>
          <w:rFonts w:hint="eastAsia" w:ascii="宋体" w:hAnsi="宋体" w:cs="宋体"/>
          <w:bCs/>
          <w:snapToGrid w:val="0"/>
          <w:color w:val="000000"/>
          <w:kern w:val="0"/>
          <w:sz w:val="24"/>
          <w:szCs w:val="24"/>
        </w:rPr>
        <w:t>财政部、国家发展改革委印发《节能产品政府采购品目清单》（财库〔2019〕19号）中以“★”标注的为政府强制采购产品</w:t>
      </w:r>
      <w:r>
        <w:rPr>
          <w:rFonts w:hint="eastAsia" w:ascii="宋体" w:hAnsi="宋体" w:cs="宋体"/>
          <w:bCs/>
          <w:snapToGrid w:val="0"/>
          <w:color w:val="000000"/>
          <w:kern w:val="0"/>
          <w:sz w:val="24"/>
          <w:szCs w:val="24"/>
          <w:vertAlign w:val="superscript"/>
        </w:rPr>
        <w:t>。</w:t>
      </w:r>
    </w:p>
  </w:footnote>
  <w:footnote w:id="3">
    <w:p w14:paraId="02CEEB27">
      <w:pPr>
        <w:pStyle w:val="23"/>
        <w:snapToGrid w:val="0"/>
        <w:rPr>
          <w:rStyle w:val="40"/>
        </w:rPr>
      </w:pPr>
      <w:r>
        <w:rPr>
          <w:rStyle w:val="40"/>
          <w:rFonts w:hint="eastAsia"/>
        </w:rPr>
        <w:footnoteRef/>
      </w:r>
      <w:r>
        <w:rPr>
          <w:rStyle w:val="40"/>
          <w:rFonts w:hint="eastAsia"/>
        </w:rPr>
        <w:t>依据《关于做好房屋建筑和市政基础设施工程质量事故报告和调查处理工程的通知》（建质〔2010〕111号）规定。</w:t>
      </w:r>
    </w:p>
  </w:footnote>
  <w:footnote w:id="4">
    <w:p w14:paraId="571FD9EF">
      <w:pPr>
        <w:pStyle w:val="23"/>
        <w:snapToGrid w:val="0"/>
        <w:rPr>
          <w:rStyle w:val="40"/>
        </w:rPr>
      </w:pPr>
      <w:r>
        <w:rPr>
          <w:rStyle w:val="40"/>
          <w:rFonts w:hint="eastAsia"/>
        </w:rPr>
        <w:footnoteRef/>
      </w:r>
      <w:r>
        <w:rPr>
          <w:rStyle w:val="40"/>
          <w:rFonts w:hint="eastAsia"/>
        </w:rPr>
        <w:t>依据《生产安全事故报告和调查处理条例》（国务院令第493号）规定。</w:t>
      </w:r>
    </w:p>
  </w:footnote>
  <w:footnote w:id="5">
    <w:p w14:paraId="7BF895F3">
      <w:pPr>
        <w:pStyle w:val="23"/>
        <w:tabs>
          <w:tab w:val="left" w:pos="8104"/>
        </w:tabs>
      </w:pPr>
      <w:r>
        <w:rPr>
          <w:rStyle w:val="40"/>
        </w:rPr>
        <w:footnoteRef/>
      </w:r>
      <w:r>
        <w:t xml:space="preserve"> </w:t>
      </w:r>
      <w:r>
        <w:rPr>
          <w:rFonts w:hint="eastAsia"/>
        </w:rPr>
        <w:t>采用综合评估法和EPC综合评估法并设置业绩</w:t>
      </w:r>
      <w:r>
        <w:rPr>
          <w:rFonts w:hint="eastAsia" w:ascii="宋体" w:hAnsi="宋体" w:cs="宋体"/>
          <w:color w:val="000000"/>
          <w:szCs w:val="21"/>
        </w:rPr>
        <w:t>和奖项</w:t>
      </w:r>
      <w:r>
        <w:rPr>
          <w:rFonts w:hint="eastAsia"/>
        </w:rPr>
        <w:t>评分项的项目适用本款。</w:t>
      </w:r>
      <w: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ED72A">
    <w:pPr>
      <w:pStyle w:val="20"/>
      <w:jc w:val="left"/>
    </w:pPr>
    <w:r>
      <w:rPr>
        <w:rFonts w:hint="eastAsia"/>
      </w:rPr>
      <w:t>滁州市琅琊区重点流域农业面源污染治理项目EPC相关设备采购招标文件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38E36">
    <w:pPr>
      <w:pStyle w:val="19"/>
    </w:pPr>
    <w:r>
      <w:rPr>
        <w:rFonts w:hint="eastAsia"/>
      </w:rPr>
      <w:t>滁州市琅琊区重点流域农业面源污染治理项目EPC相关设备采购招标文件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76C05"/>
    <w:multiLevelType w:val="singleLevel"/>
    <w:tmpl w:val="88B76C05"/>
    <w:lvl w:ilvl="0" w:tentative="0">
      <w:start w:val="2"/>
      <w:numFmt w:val="decimal"/>
      <w:suff w:val="nothing"/>
      <w:lvlText w:val="（%1）"/>
      <w:lvlJc w:val="left"/>
    </w:lvl>
  </w:abstractNum>
  <w:abstractNum w:abstractNumId="1">
    <w:nsid w:val="0000000C"/>
    <w:multiLevelType w:val="singleLevel"/>
    <w:tmpl w:val="0000000C"/>
    <w:lvl w:ilvl="0" w:tentative="0">
      <w:start w:val="1"/>
      <w:numFmt w:val="decimal"/>
      <w:lvlText w:val="%1."/>
      <w:lvlJc w:val="left"/>
      <w:pPr>
        <w:ind w:left="425" w:hanging="425"/>
      </w:pPr>
      <w:rPr>
        <w:rFonts w:hint="default"/>
      </w:rPr>
    </w:lvl>
  </w:abstractNum>
  <w:abstractNum w:abstractNumId="2">
    <w:nsid w:val="26F4833F"/>
    <w:multiLevelType w:val="singleLevel"/>
    <w:tmpl w:val="26F4833F"/>
    <w:lvl w:ilvl="0" w:tentative="0">
      <w:start w:val="8"/>
      <w:numFmt w:val="chineseCounting"/>
      <w:suff w:val="nothing"/>
      <w:lvlText w:val="（%1）"/>
      <w:lvlJc w:val="left"/>
      <w:rPr>
        <w:rFonts w:hint="eastAsia"/>
      </w:rPr>
    </w:lvl>
  </w:abstractNum>
  <w:abstractNum w:abstractNumId="3">
    <w:nsid w:val="6FBF3256"/>
    <w:multiLevelType w:val="multilevel"/>
    <w:tmpl w:val="6FBF3256"/>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E1597"/>
    <w:rsid w:val="00001E0C"/>
    <w:rsid w:val="00011939"/>
    <w:rsid w:val="000A2DEC"/>
    <w:rsid w:val="000C0A85"/>
    <w:rsid w:val="000E1202"/>
    <w:rsid w:val="0013064A"/>
    <w:rsid w:val="00141AE1"/>
    <w:rsid w:val="00161A8E"/>
    <w:rsid w:val="00181658"/>
    <w:rsid w:val="001834A9"/>
    <w:rsid w:val="001A6372"/>
    <w:rsid w:val="001C038E"/>
    <w:rsid w:val="001D2D20"/>
    <w:rsid w:val="001F2A7E"/>
    <w:rsid w:val="00226BED"/>
    <w:rsid w:val="00227154"/>
    <w:rsid w:val="002410E5"/>
    <w:rsid w:val="00242761"/>
    <w:rsid w:val="00256135"/>
    <w:rsid w:val="0027747E"/>
    <w:rsid w:val="0029126D"/>
    <w:rsid w:val="002F57E5"/>
    <w:rsid w:val="0034228A"/>
    <w:rsid w:val="00350A18"/>
    <w:rsid w:val="0039603F"/>
    <w:rsid w:val="003A5FF6"/>
    <w:rsid w:val="003C41C6"/>
    <w:rsid w:val="003F7420"/>
    <w:rsid w:val="004309B5"/>
    <w:rsid w:val="00430FC9"/>
    <w:rsid w:val="00477468"/>
    <w:rsid w:val="00491D5B"/>
    <w:rsid w:val="00495C0B"/>
    <w:rsid w:val="004D02C5"/>
    <w:rsid w:val="004D53AA"/>
    <w:rsid w:val="004D6175"/>
    <w:rsid w:val="004F440A"/>
    <w:rsid w:val="0051396D"/>
    <w:rsid w:val="00521EC0"/>
    <w:rsid w:val="0052764D"/>
    <w:rsid w:val="0057098F"/>
    <w:rsid w:val="00570AB8"/>
    <w:rsid w:val="005F4267"/>
    <w:rsid w:val="006136A0"/>
    <w:rsid w:val="00623EDA"/>
    <w:rsid w:val="0062447D"/>
    <w:rsid w:val="00630F04"/>
    <w:rsid w:val="0064725E"/>
    <w:rsid w:val="00673E2F"/>
    <w:rsid w:val="00680A69"/>
    <w:rsid w:val="006A49DC"/>
    <w:rsid w:val="006C0709"/>
    <w:rsid w:val="006F430B"/>
    <w:rsid w:val="00701497"/>
    <w:rsid w:val="00717240"/>
    <w:rsid w:val="00744B49"/>
    <w:rsid w:val="00792410"/>
    <w:rsid w:val="007A1F9E"/>
    <w:rsid w:val="007B57DD"/>
    <w:rsid w:val="007D55AC"/>
    <w:rsid w:val="007E7B2C"/>
    <w:rsid w:val="007F3983"/>
    <w:rsid w:val="007F49EF"/>
    <w:rsid w:val="00816082"/>
    <w:rsid w:val="00891E76"/>
    <w:rsid w:val="008D157D"/>
    <w:rsid w:val="008D6A57"/>
    <w:rsid w:val="009113E6"/>
    <w:rsid w:val="00915F63"/>
    <w:rsid w:val="00920A81"/>
    <w:rsid w:val="00922455"/>
    <w:rsid w:val="00992B4E"/>
    <w:rsid w:val="009A5391"/>
    <w:rsid w:val="009F372A"/>
    <w:rsid w:val="00A0204E"/>
    <w:rsid w:val="00A1414F"/>
    <w:rsid w:val="00A223A7"/>
    <w:rsid w:val="00AC7E5B"/>
    <w:rsid w:val="00AD79C6"/>
    <w:rsid w:val="00AF553C"/>
    <w:rsid w:val="00B70073"/>
    <w:rsid w:val="00B80FBE"/>
    <w:rsid w:val="00B85245"/>
    <w:rsid w:val="00B86FD4"/>
    <w:rsid w:val="00BA6F74"/>
    <w:rsid w:val="00BB36BA"/>
    <w:rsid w:val="00C96014"/>
    <w:rsid w:val="00CD17C3"/>
    <w:rsid w:val="00CD5C3D"/>
    <w:rsid w:val="00CE5A71"/>
    <w:rsid w:val="00CF626B"/>
    <w:rsid w:val="00D2089F"/>
    <w:rsid w:val="00D25246"/>
    <w:rsid w:val="00D34125"/>
    <w:rsid w:val="00D60369"/>
    <w:rsid w:val="00D866CE"/>
    <w:rsid w:val="00D90FFE"/>
    <w:rsid w:val="00DE276D"/>
    <w:rsid w:val="00E170FF"/>
    <w:rsid w:val="00E3369C"/>
    <w:rsid w:val="00E40325"/>
    <w:rsid w:val="00E470E2"/>
    <w:rsid w:val="00E51BD4"/>
    <w:rsid w:val="00E65E69"/>
    <w:rsid w:val="00E916DB"/>
    <w:rsid w:val="00EB2E1A"/>
    <w:rsid w:val="00ED59EC"/>
    <w:rsid w:val="00F258C3"/>
    <w:rsid w:val="00F32602"/>
    <w:rsid w:val="00FB169A"/>
    <w:rsid w:val="00FB3FEB"/>
    <w:rsid w:val="00FD7ED2"/>
    <w:rsid w:val="034A03FD"/>
    <w:rsid w:val="06545ADF"/>
    <w:rsid w:val="086E772D"/>
    <w:rsid w:val="09FB198E"/>
    <w:rsid w:val="0C6B69D9"/>
    <w:rsid w:val="11BB3795"/>
    <w:rsid w:val="1B6E1597"/>
    <w:rsid w:val="1FF805A7"/>
    <w:rsid w:val="22816A82"/>
    <w:rsid w:val="265B6273"/>
    <w:rsid w:val="265E763D"/>
    <w:rsid w:val="29492A49"/>
    <w:rsid w:val="2CE46488"/>
    <w:rsid w:val="2F9E209B"/>
    <w:rsid w:val="315F5C8D"/>
    <w:rsid w:val="341D3225"/>
    <w:rsid w:val="3F4370F3"/>
    <w:rsid w:val="4B63361E"/>
    <w:rsid w:val="4F727E38"/>
    <w:rsid w:val="5A0003BB"/>
    <w:rsid w:val="5B6A3EDB"/>
    <w:rsid w:val="60177235"/>
    <w:rsid w:val="6A476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8"/>
    <w:qFormat/>
    <w:uiPriority w:val="9"/>
    <w:pPr>
      <w:keepNext/>
      <w:keepLines/>
      <w:spacing w:before="340" w:after="330" w:line="576" w:lineRule="auto"/>
      <w:outlineLvl w:val="0"/>
    </w:pPr>
    <w:rPr>
      <w:b/>
      <w:bCs/>
      <w:kern w:val="44"/>
      <w:sz w:val="44"/>
      <w:szCs w:val="44"/>
    </w:rPr>
  </w:style>
  <w:style w:type="paragraph" w:styleId="4">
    <w:name w:val="heading 2"/>
    <w:basedOn w:val="1"/>
    <w:next w:val="1"/>
    <w:link w:val="69"/>
    <w:qFormat/>
    <w:uiPriority w:val="9"/>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link w:val="70"/>
    <w:qFormat/>
    <w:uiPriority w:val="9"/>
    <w:pPr>
      <w:keepNext/>
      <w:keepLines/>
      <w:spacing w:before="260" w:after="260" w:line="415" w:lineRule="auto"/>
      <w:outlineLvl w:val="2"/>
    </w:pPr>
    <w:rPr>
      <w:b/>
      <w:bCs/>
      <w:kern w:val="0"/>
      <w:sz w:val="32"/>
      <w:szCs w:val="32"/>
    </w:rPr>
  </w:style>
  <w:style w:type="paragraph" w:styleId="6">
    <w:name w:val="heading 4"/>
    <w:basedOn w:val="1"/>
    <w:next w:val="1"/>
    <w:link w:val="71"/>
    <w:qFormat/>
    <w:uiPriority w:val="9"/>
    <w:pPr>
      <w:keepNext/>
      <w:keepLines/>
      <w:spacing w:before="280" w:after="290" w:line="374" w:lineRule="auto"/>
      <w:outlineLvl w:val="3"/>
    </w:pPr>
    <w:rPr>
      <w:rFonts w:ascii="Arial" w:hAnsi="Arial" w:eastAsia="黑体"/>
      <w:b/>
      <w:bCs/>
      <w:sz w:val="28"/>
      <w:szCs w:val="28"/>
    </w:rPr>
  </w:style>
  <w:style w:type="paragraph" w:styleId="7">
    <w:name w:val="heading 5"/>
    <w:basedOn w:val="1"/>
    <w:next w:val="1"/>
    <w:link w:val="63"/>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E54A1" w:themeColor="accent1" w:themeShade="BF"/>
      <w:sz w:val="24"/>
      <w14:ligatures w14:val="standardContextual"/>
    </w:rPr>
  </w:style>
  <w:style w:type="paragraph" w:styleId="8">
    <w:name w:val="heading 6"/>
    <w:basedOn w:val="1"/>
    <w:next w:val="1"/>
    <w:link w:val="64"/>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E54A1" w:themeColor="accent1" w:themeShade="BF"/>
      <w:sz w:val="22"/>
      <w14:ligatures w14:val="standardContextual"/>
    </w:rPr>
  </w:style>
  <w:style w:type="paragraph" w:styleId="9">
    <w:name w:val="heading 7"/>
    <w:basedOn w:val="1"/>
    <w:next w:val="1"/>
    <w:link w:val="65"/>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8"/>
    <w:basedOn w:val="1"/>
    <w:next w:val="1"/>
    <w:link w:val="66"/>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1">
    <w:name w:val="heading 9"/>
    <w:basedOn w:val="1"/>
    <w:next w:val="1"/>
    <w:link w:val="67"/>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2"/>
    <w:basedOn w:val="1"/>
    <w:link w:val="83"/>
    <w:unhideWhenUsed/>
    <w:qFormat/>
    <w:uiPriority w:val="99"/>
    <w:pPr>
      <w:spacing w:after="120" w:line="480" w:lineRule="auto"/>
    </w:pPr>
  </w:style>
  <w:style w:type="paragraph" w:styleId="12">
    <w:name w:val="toc 7"/>
    <w:basedOn w:val="1"/>
    <w:next w:val="1"/>
    <w:qFormat/>
    <w:uiPriority w:val="39"/>
    <w:pPr>
      <w:ind w:left="1260"/>
      <w:jc w:val="left"/>
    </w:pPr>
    <w:rPr>
      <w:sz w:val="18"/>
      <w:szCs w:val="18"/>
    </w:rPr>
  </w:style>
  <w:style w:type="paragraph" w:styleId="13">
    <w:name w:val="Normal Indent"/>
    <w:basedOn w:val="1"/>
    <w:qFormat/>
    <w:uiPriority w:val="0"/>
    <w:pPr>
      <w:ind w:firstLine="420" w:firstLineChars="200"/>
    </w:pPr>
  </w:style>
  <w:style w:type="paragraph" w:styleId="14">
    <w:name w:val="Body Text 3"/>
    <w:basedOn w:val="1"/>
    <w:link w:val="84"/>
    <w:qFormat/>
    <w:uiPriority w:val="0"/>
    <w:rPr>
      <w:rFonts w:ascii="宋体"/>
      <w:sz w:val="24"/>
      <w:szCs w:val="20"/>
    </w:rPr>
  </w:style>
  <w:style w:type="paragraph" w:styleId="15">
    <w:name w:val="Body Text"/>
    <w:basedOn w:val="1"/>
    <w:link w:val="85"/>
    <w:qFormat/>
    <w:uiPriority w:val="0"/>
    <w:pPr>
      <w:spacing w:after="120"/>
    </w:pPr>
  </w:style>
  <w:style w:type="paragraph" w:styleId="16">
    <w:name w:val="Body Text Indent"/>
    <w:basedOn w:val="1"/>
    <w:next w:val="17"/>
    <w:link w:val="86"/>
    <w:qFormat/>
    <w:uiPriority w:val="99"/>
    <w:pPr>
      <w:spacing w:after="120"/>
      <w:ind w:left="420" w:leftChars="200"/>
    </w:pPr>
  </w:style>
  <w:style w:type="paragraph" w:styleId="17">
    <w:name w:val="envelope return"/>
    <w:basedOn w:val="1"/>
    <w:next w:val="12"/>
    <w:qFormat/>
    <w:uiPriority w:val="0"/>
    <w:pPr>
      <w:snapToGrid w:val="0"/>
    </w:pPr>
    <w:rPr>
      <w:rFonts w:ascii="Arial" w:hAnsi="Arial"/>
    </w:rPr>
  </w:style>
  <w:style w:type="paragraph" w:styleId="18">
    <w:name w:val="List 2"/>
    <w:basedOn w:val="1"/>
    <w:unhideWhenUsed/>
    <w:qFormat/>
    <w:uiPriority w:val="0"/>
    <w:pPr>
      <w:ind w:left="100" w:leftChars="200" w:hanging="200" w:hangingChars="200"/>
      <w:contextualSpacing/>
    </w:pPr>
    <w:rPr>
      <w:rFonts w:ascii="Calibri" w:hAnsi="Calibri" w:cs="Calibri"/>
    </w:rPr>
  </w:style>
  <w:style w:type="paragraph" w:styleId="19">
    <w:name w:val="footer"/>
    <w:basedOn w:val="1"/>
    <w:link w:val="72"/>
    <w:qFormat/>
    <w:uiPriority w:val="99"/>
    <w:pPr>
      <w:tabs>
        <w:tab w:val="center" w:pos="4153"/>
        <w:tab w:val="right" w:pos="8306"/>
      </w:tabs>
      <w:snapToGrid w:val="0"/>
      <w:jc w:val="left"/>
    </w:pPr>
    <w:rPr>
      <w:sz w:val="18"/>
      <w:szCs w:val="18"/>
    </w:rPr>
  </w:style>
  <w:style w:type="paragraph" w:styleId="20">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b/>
      <w:bCs/>
      <w:caps/>
      <w:sz w:val="20"/>
      <w:szCs w:val="20"/>
    </w:rPr>
  </w:style>
  <w:style w:type="paragraph" w:styleId="22">
    <w:name w:val="Subtitle"/>
    <w:basedOn w:val="1"/>
    <w:next w:val="1"/>
    <w:link w:val="74"/>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23">
    <w:name w:val="footnote text"/>
    <w:basedOn w:val="1"/>
    <w:link w:val="87"/>
    <w:qFormat/>
    <w:uiPriority w:val="0"/>
    <w:rPr>
      <w:sz w:val="20"/>
      <w:szCs w:val="20"/>
    </w:rPr>
  </w:style>
  <w:style w:type="paragraph" w:styleId="24">
    <w:name w:val="Normal (Web)"/>
    <w:basedOn w:val="1"/>
    <w:qFormat/>
    <w:uiPriority w:val="0"/>
    <w:pPr>
      <w:spacing w:beforeAutospacing="1" w:afterAutospacing="1"/>
      <w:jc w:val="left"/>
    </w:pPr>
    <w:rPr>
      <w:kern w:val="0"/>
      <w:sz w:val="24"/>
    </w:rPr>
  </w:style>
  <w:style w:type="paragraph" w:styleId="25">
    <w:name w:val="Title"/>
    <w:basedOn w:val="1"/>
    <w:next w:val="1"/>
    <w:link w:val="75"/>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paragraph" w:styleId="26">
    <w:name w:val="Body Text First Indent 2"/>
    <w:basedOn w:val="16"/>
    <w:next w:val="1"/>
    <w:link w:val="88"/>
    <w:qFormat/>
    <w:uiPriority w:val="99"/>
    <w:pPr>
      <w:ind w:firstLine="420" w:firstLineChars="200"/>
    </w:p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bCs/>
    </w:rPr>
  </w:style>
  <w:style w:type="character" w:styleId="31">
    <w:name w:val="FollowedHyperlink"/>
    <w:basedOn w:val="29"/>
    <w:unhideWhenUsed/>
    <w:qFormat/>
    <w:uiPriority w:val="99"/>
    <w:rPr>
      <w:color w:val="7E1FAD" w:themeColor="followedHyperlink"/>
      <w:u w:val="single"/>
      <w14:textFill>
        <w14:solidFill>
          <w14:schemeClr w14:val="folHlink"/>
        </w14:solidFill>
      </w14:textFill>
    </w:rPr>
  </w:style>
  <w:style w:type="character" w:styleId="32">
    <w:name w:val="Emphasis"/>
    <w:basedOn w:val="29"/>
    <w:qFormat/>
    <w:uiPriority w:val="0"/>
    <w:rPr>
      <w:b/>
      <w:bCs/>
    </w:rPr>
  </w:style>
  <w:style w:type="character" w:styleId="33">
    <w:name w:val="HTML Definition"/>
    <w:basedOn w:val="29"/>
    <w:qFormat/>
    <w:uiPriority w:val="0"/>
  </w:style>
  <w:style w:type="character" w:styleId="34">
    <w:name w:val="HTML Typewriter"/>
    <w:basedOn w:val="29"/>
    <w:uiPriority w:val="0"/>
    <w:rPr>
      <w:rFonts w:hint="default" w:ascii="monospace" w:hAnsi="monospace" w:eastAsia="monospace" w:cs="monospace"/>
      <w:sz w:val="20"/>
    </w:rPr>
  </w:style>
  <w:style w:type="character" w:styleId="35">
    <w:name w:val="HTML Acronym"/>
    <w:basedOn w:val="29"/>
    <w:qFormat/>
    <w:uiPriority w:val="0"/>
  </w:style>
  <w:style w:type="character" w:styleId="36">
    <w:name w:val="HTML Variable"/>
    <w:basedOn w:val="29"/>
    <w:uiPriority w:val="0"/>
  </w:style>
  <w:style w:type="character" w:styleId="37">
    <w:name w:val="Hyperlink"/>
    <w:qFormat/>
    <w:uiPriority w:val="99"/>
    <w:rPr>
      <w:color w:val="333333"/>
      <w:u w:val="none"/>
    </w:rPr>
  </w:style>
  <w:style w:type="character" w:styleId="38">
    <w:name w:val="HTML Code"/>
    <w:basedOn w:val="29"/>
    <w:qFormat/>
    <w:uiPriority w:val="0"/>
    <w:rPr>
      <w:rFonts w:ascii="monospace" w:hAnsi="monospace" w:eastAsia="monospace" w:cs="monospace"/>
      <w:sz w:val="20"/>
    </w:rPr>
  </w:style>
  <w:style w:type="character" w:styleId="39">
    <w:name w:val="HTML Cite"/>
    <w:basedOn w:val="29"/>
    <w:uiPriority w:val="0"/>
  </w:style>
  <w:style w:type="character" w:styleId="40">
    <w:name w:val="footnote reference"/>
    <w:qFormat/>
    <w:uiPriority w:val="0"/>
    <w:rPr>
      <w:vertAlign w:val="superscript"/>
    </w:rPr>
  </w:style>
  <w:style w:type="character" w:styleId="41">
    <w:name w:val="HTML Keyboard"/>
    <w:basedOn w:val="29"/>
    <w:uiPriority w:val="0"/>
    <w:rPr>
      <w:rFonts w:hint="default" w:ascii="monospace" w:hAnsi="monospace" w:eastAsia="monospace" w:cs="monospace"/>
      <w:sz w:val="20"/>
    </w:rPr>
  </w:style>
  <w:style w:type="character" w:styleId="42">
    <w:name w:val="HTML Sample"/>
    <w:basedOn w:val="29"/>
    <w:uiPriority w:val="0"/>
    <w:rPr>
      <w:rFonts w:hint="default" w:ascii="monospace" w:hAnsi="monospace" w:eastAsia="monospace" w:cs="monospace"/>
    </w:rPr>
  </w:style>
  <w:style w:type="paragraph" w:customStyle="1" w:styleId="43">
    <w:name w:val="_Style 10"/>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4">
    <w:name w:val="范本-正文-宋体-五号-首行缩进2字符"/>
    <w:basedOn w:val="1"/>
    <w:qFormat/>
    <w:uiPriority w:val="0"/>
    <w:pPr>
      <w:ind w:firstLine="643" w:firstLineChars="200"/>
      <w:jc w:val="left"/>
    </w:pPr>
    <w:rPr>
      <w:rFonts w:hint="eastAsia" w:ascii="黑体" w:hAnsi="黑体" w:cs="黑体"/>
      <w:bCs/>
      <w:snapToGrid w:val="0"/>
      <w:szCs w:val="32"/>
    </w:rPr>
  </w:style>
  <w:style w:type="paragraph" w:customStyle="1" w:styleId="45">
    <w:name w:val="范本-表格-宋体-五号-两端对齐"/>
    <w:basedOn w:val="1"/>
    <w:qFormat/>
    <w:uiPriority w:val="0"/>
    <w:pPr>
      <w:adjustRightInd w:val="0"/>
      <w:spacing w:line="400" w:lineRule="exact"/>
    </w:pPr>
    <w:rPr>
      <w:rFonts w:ascii="Calibri" w:hAnsi="Calibri"/>
      <w:szCs w:val="21"/>
    </w:rPr>
  </w:style>
  <w:style w:type="paragraph" w:customStyle="1" w:styleId="46">
    <w:name w:val="p0"/>
    <w:basedOn w:val="1"/>
    <w:qFormat/>
    <w:uiPriority w:val="0"/>
    <w:pPr>
      <w:widowControl/>
    </w:pPr>
    <w:rPr>
      <w:kern w:val="0"/>
      <w:szCs w:val="21"/>
    </w:rPr>
  </w:style>
  <w:style w:type="paragraph" w:customStyle="1" w:styleId="47">
    <w:name w:val="Table Paragraph"/>
    <w:basedOn w:val="1"/>
    <w:qFormat/>
    <w:uiPriority w:val="1"/>
    <w:rPr>
      <w:rFonts w:ascii="宋体" w:hAnsi="宋体" w:cs="宋体"/>
      <w:lang w:val="zh-CN" w:bidi="zh-CN"/>
    </w:rPr>
  </w:style>
  <w:style w:type="paragraph" w:customStyle="1" w:styleId="4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9">
    <w:name w:val="节标题"/>
    <w:basedOn w:val="1"/>
    <w:next w:val="1"/>
    <w:qFormat/>
    <w:uiPriority w:val="0"/>
    <w:pPr>
      <w:widowControl/>
      <w:spacing w:line="289" w:lineRule="atLeast"/>
      <w:jc w:val="center"/>
      <w:textAlignment w:val="baseline"/>
    </w:pPr>
    <w:rPr>
      <w:color w:val="000000"/>
      <w:kern w:val="0"/>
      <w:sz w:val="28"/>
      <w:szCs w:val="20"/>
      <w:u w:color="000000"/>
    </w:rPr>
  </w:style>
  <w:style w:type="character" w:customStyle="1" w:styleId="50">
    <w:name w:val="蚌埠范本-标题-黑体-四号-居中-固定值20磅 Char"/>
    <w:link w:val="51"/>
    <w:qFormat/>
    <w:uiPriority w:val="0"/>
    <w:rPr>
      <w:rFonts w:hint="eastAsia" w:ascii="黑体" w:hAnsi="黑体" w:eastAsia="黑体"/>
      <w:snapToGrid w:val="0"/>
      <w:color w:val="000000"/>
      <w:sz w:val="28"/>
      <w:szCs w:val="28"/>
    </w:rPr>
  </w:style>
  <w:style w:type="paragraph" w:customStyle="1" w:styleId="51">
    <w:name w:val="范本-标题-黑体-四号-居中-固定值20磅"/>
    <w:basedOn w:val="1"/>
    <w:link w:val="50"/>
    <w:qFormat/>
    <w:uiPriority w:val="0"/>
    <w:pPr>
      <w:spacing w:line="400" w:lineRule="exact"/>
      <w:jc w:val="center"/>
    </w:pPr>
    <w:rPr>
      <w:rFonts w:hint="eastAsia" w:ascii="黑体" w:hAnsi="黑体" w:eastAsia="黑体"/>
      <w:snapToGrid w:val="0"/>
      <w:color w:val="000000"/>
      <w:sz w:val="28"/>
      <w:szCs w:val="28"/>
    </w:rPr>
  </w:style>
  <w:style w:type="paragraph" w:customStyle="1" w:styleId="52">
    <w:name w:val="列表段落1"/>
    <w:basedOn w:val="1"/>
    <w:qFormat/>
    <w:uiPriority w:val="1"/>
    <w:pPr>
      <w:ind w:left="354" w:firstLine="420"/>
    </w:pPr>
    <w:rPr>
      <w:rFonts w:ascii="宋体" w:hAnsi="宋体" w:cs="宋体"/>
      <w:lang w:val="zh-CN" w:bidi="zh-CN"/>
    </w:rPr>
  </w:style>
  <w:style w:type="table" w:customStyle="1" w:styleId="53">
    <w:name w:val="Table Normal"/>
    <w:unhideWhenUsed/>
    <w:qFormat/>
    <w:uiPriority w:val="0"/>
    <w:tblPr>
      <w:tblCellMar>
        <w:top w:w="0" w:type="dxa"/>
        <w:left w:w="0" w:type="dxa"/>
        <w:bottom w:w="0" w:type="dxa"/>
        <w:right w:w="0" w:type="dxa"/>
      </w:tblCellMar>
    </w:tblPr>
  </w:style>
  <w:style w:type="paragraph" w:customStyle="1" w:styleId="54">
    <w:name w:val="正文_0"/>
    <w:qFormat/>
    <w:uiPriority w:val="0"/>
    <w:pPr>
      <w:widowControl w:val="0"/>
      <w:jc w:val="both"/>
    </w:pPr>
    <w:rPr>
      <w:rFonts w:ascii="Times New Roman" w:hAnsi="Times New Roman" w:eastAsia="宋体" w:cs="Times New Roman"/>
      <w:szCs w:val="24"/>
      <w:lang w:val="en-US" w:eastAsia="zh-CN" w:bidi="ar-SA"/>
    </w:rPr>
  </w:style>
  <w:style w:type="character" w:customStyle="1" w:styleId="55">
    <w:name w:val="font41"/>
    <w:basedOn w:val="29"/>
    <w:qFormat/>
    <w:uiPriority w:val="0"/>
    <w:rPr>
      <w:rFonts w:hint="eastAsia" w:ascii="宋体" w:hAnsi="宋体" w:eastAsia="宋体" w:cs="宋体"/>
      <w:color w:val="000000"/>
      <w:sz w:val="20"/>
      <w:szCs w:val="20"/>
      <w:u w:val="none"/>
    </w:rPr>
  </w:style>
  <w:style w:type="character" w:customStyle="1" w:styleId="56">
    <w:name w:val="font91"/>
    <w:basedOn w:val="29"/>
    <w:qFormat/>
    <w:uiPriority w:val="0"/>
    <w:rPr>
      <w:rFonts w:ascii="Calibri" w:hAnsi="Calibri" w:cs="Calibri"/>
      <w:color w:val="000000"/>
      <w:sz w:val="20"/>
      <w:szCs w:val="20"/>
      <w:u w:val="none"/>
    </w:rPr>
  </w:style>
  <w:style w:type="character" w:customStyle="1" w:styleId="57">
    <w:name w:val="font101"/>
    <w:basedOn w:val="29"/>
    <w:qFormat/>
    <w:uiPriority w:val="0"/>
    <w:rPr>
      <w:rFonts w:hint="eastAsia" w:ascii="宋体" w:hAnsi="宋体" w:eastAsia="宋体" w:cs="宋体"/>
      <w:color w:val="000000"/>
      <w:sz w:val="24"/>
      <w:szCs w:val="24"/>
      <w:u w:val="none"/>
      <w:vertAlign w:val="superscript"/>
    </w:rPr>
  </w:style>
  <w:style w:type="character" w:customStyle="1" w:styleId="58">
    <w:name w:val="font112"/>
    <w:basedOn w:val="29"/>
    <w:qFormat/>
    <w:uiPriority w:val="0"/>
    <w:rPr>
      <w:rFonts w:hint="eastAsia" w:ascii="宋体" w:hAnsi="宋体" w:eastAsia="宋体" w:cs="宋体"/>
      <w:color w:val="FF0000"/>
      <w:sz w:val="20"/>
      <w:szCs w:val="20"/>
      <w:u w:val="none"/>
      <w:vertAlign w:val="subscript"/>
    </w:rPr>
  </w:style>
  <w:style w:type="character" w:customStyle="1" w:styleId="59">
    <w:name w:val="font121"/>
    <w:basedOn w:val="29"/>
    <w:qFormat/>
    <w:uiPriority w:val="0"/>
    <w:rPr>
      <w:rFonts w:hint="eastAsia" w:ascii="宋体" w:hAnsi="宋体" w:eastAsia="宋体" w:cs="宋体"/>
      <w:color w:val="FF0000"/>
      <w:sz w:val="20"/>
      <w:szCs w:val="20"/>
      <w:u w:val="none"/>
    </w:rPr>
  </w:style>
  <w:style w:type="character" w:customStyle="1" w:styleId="60">
    <w:name w:val="font131"/>
    <w:basedOn w:val="29"/>
    <w:qFormat/>
    <w:uiPriority w:val="0"/>
    <w:rPr>
      <w:rFonts w:hint="eastAsia" w:ascii="宋体" w:hAnsi="宋体" w:eastAsia="宋体" w:cs="宋体"/>
      <w:color w:val="FF0000"/>
      <w:sz w:val="20"/>
      <w:szCs w:val="20"/>
      <w:u w:val="none"/>
      <w:vertAlign w:val="superscript"/>
    </w:rPr>
  </w:style>
  <w:style w:type="character" w:customStyle="1" w:styleId="61">
    <w:name w:val="font141"/>
    <w:basedOn w:val="29"/>
    <w:qFormat/>
    <w:uiPriority w:val="0"/>
    <w:rPr>
      <w:rFonts w:hint="eastAsia" w:ascii="宋体" w:hAnsi="宋体" w:eastAsia="宋体" w:cs="宋体"/>
      <w:color w:val="000000"/>
      <w:sz w:val="20"/>
      <w:szCs w:val="20"/>
      <w:u w:val="none"/>
      <w:vertAlign w:val="superscript"/>
    </w:rPr>
  </w:style>
  <w:style w:type="character" w:customStyle="1" w:styleId="62">
    <w:name w:val="font11"/>
    <w:basedOn w:val="29"/>
    <w:qFormat/>
    <w:uiPriority w:val="0"/>
    <w:rPr>
      <w:rFonts w:hint="eastAsia" w:ascii="仿宋" w:hAnsi="仿宋" w:eastAsia="仿宋" w:cs="仿宋"/>
      <w:color w:val="000000"/>
      <w:sz w:val="24"/>
      <w:szCs w:val="24"/>
      <w:u w:val="none"/>
    </w:rPr>
  </w:style>
  <w:style w:type="character" w:customStyle="1" w:styleId="63">
    <w:name w:val="标题 5 字符"/>
    <w:basedOn w:val="29"/>
    <w:link w:val="7"/>
    <w:semiHidden/>
    <w:qFormat/>
    <w:uiPriority w:val="9"/>
    <w:rPr>
      <w:rFonts w:asciiTheme="minorHAnsi" w:hAnsiTheme="minorHAnsi" w:eastAsiaTheme="minorEastAsia" w:cstheme="majorBidi"/>
      <w:color w:val="2E54A1" w:themeColor="accent1" w:themeShade="BF"/>
      <w:kern w:val="2"/>
      <w:sz w:val="24"/>
      <w:szCs w:val="24"/>
      <w14:ligatures w14:val="standardContextual"/>
    </w:rPr>
  </w:style>
  <w:style w:type="character" w:customStyle="1" w:styleId="64">
    <w:name w:val="标题 6 字符"/>
    <w:basedOn w:val="29"/>
    <w:link w:val="8"/>
    <w:semiHidden/>
    <w:qFormat/>
    <w:uiPriority w:val="9"/>
    <w:rPr>
      <w:rFonts w:asciiTheme="minorHAnsi" w:hAnsiTheme="minorHAnsi" w:eastAsiaTheme="minorEastAsia" w:cstheme="majorBidi"/>
      <w:b/>
      <w:bCs/>
      <w:color w:val="2E54A1" w:themeColor="accent1" w:themeShade="BF"/>
      <w:kern w:val="2"/>
      <w:sz w:val="22"/>
      <w:szCs w:val="24"/>
      <w14:ligatures w14:val="standardContextual"/>
    </w:rPr>
  </w:style>
  <w:style w:type="character" w:customStyle="1" w:styleId="65">
    <w:name w:val="标题 7 字符"/>
    <w:basedOn w:val="29"/>
    <w:link w:val="9"/>
    <w:semiHidden/>
    <w:qFormat/>
    <w:uiPriority w:val="9"/>
    <w:rPr>
      <w:rFonts w:asciiTheme="minorHAnsi" w:hAnsiTheme="minorHAnsi" w:eastAsiaTheme="minorEastAsia" w:cstheme="majorBidi"/>
      <w:b/>
      <w:bCs/>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66">
    <w:name w:val="标题 8 字符"/>
    <w:basedOn w:val="29"/>
    <w:link w:val="10"/>
    <w:semiHidden/>
    <w:qFormat/>
    <w:uiPriority w:val="9"/>
    <w:rPr>
      <w:rFonts w:asciiTheme="minorHAnsi" w:hAnsiTheme="minorHAnsi" w:eastAsiaTheme="min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67">
    <w:name w:val="标题 9 字符"/>
    <w:basedOn w:val="29"/>
    <w:link w:val="11"/>
    <w:semiHidden/>
    <w:qFormat/>
    <w:uiPriority w:val="9"/>
    <w:rPr>
      <w:rFonts w:asciiTheme="minorHAnsi" w:hAnsiTheme="minorHAnsi" w:eastAsiaTheme="majorEastAsia" w:cstheme="majorBidi"/>
      <w:color w:val="595959" w:themeColor="text1" w:themeTint="A6"/>
      <w:kern w:val="2"/>
      <w:sz w:val="22"/>
      <w:szCs w:val="24"/>
      <w14:textFill>
        <w14:solidFill>
          <w14:schemeClr w14:val="tx1">
            <w14:lumMod w14:val="65000"/>
            <w14:lumOff w14:val="35000"/>
          </w14:schemeClr>
        </w14:solidFill>
      </w14:textFill>
      <w14:ligatures w14:val="standardContextual"/>
    </w:rPr>
  </w:style>
  <w:style w:type="character" w:customStyle="1" w:styleId="68">
    <w:name w:val="标题 1 字符"/>
    <w:basedOn w:val="29"/>
    <w:link w:val="3"/>
    <w:qFormat/>
    <w:uiPriority w:val="9"/>
    <w:rPr>
      <w:b/>
      <w:bCs/>
      <w:kern w:val="44"/>
      <w:sz w:val="44"/>
      <w:szCs w:val="44"/>
    </w:rPr>
  </w:style>
  <w:style w:type="character" w:customStyle="1" w:styleId="69">
    <w:name w:val="标题 2 字符"/>
    <w:basedOn w:val="29"/>
    <w:link w:val="4"/>
    <w:qFormat/>
    <w:uiPriority w:val="9"/>
    <w:rPr>
      <w:rFonts w:ascii="Arial" w:hAnsi="Arial" w:eastAsia="黑体"/>
      <w:b/>
      <w:bCs/>
      <w:kern w:val="2"/>
      <w:sz w:val="32"/>
      <w:szCs w:val="32"/>
    </w:rPr>
  </w:style>
  <w:style w:type="character" w:customStyle="1" w:styleId="70">
    <w:name w:val="标题 3 字符"/>
    <w:basedOn w:val="29"/>
    <w:link w:val="5"/>
    <w:qFormat/>
    <w:uiPriority w:val="9"/>
    <w:rPr>
      <w:b/>
      <w:bCs/>
      <w:sz w:val="32"/>
      <w:szCs w:val="32"/>
    </w:rPr>
  </w:style>
  <w:style w:type="character" w:customStyle="1" w:styleId="71">
    <w:name w:val="标题 4 字符"/>
    <w:basedOn w:val="29"/>
    <w:link w:val="6"/>
    <w:qFormat/>
    <w:uiPriority w:val="9"/>
    <w:rPr>
      <w:rFonts w:ascii="Arial" w:hAnsi="Arial" w:eastAsia="黑体"/>
      <w:b/>
      <w:bCs/>
      <w:kern w:val="2"/>
      <w:sz w:val="28"/>
      <w:szCs w:val="28"/>
    </w:rPr>
  </w:style>
  <w:style w:type="character" w:customStyle="1" w:styleId="72">
    <w:name w:val="页脚 字符"/>
    <w:basedOn w:val="29"/>
    <w:link w:val="19"/>
    <w:uiPriority w:val="99"/>
    <w:rPr>
      <w:kern w:val="2"/>
      <w:sz w:val="18"/>
      <w:szCs w:val="18"/>
    </w:rPr>
  </w:style>
  <w:style w:type="character" w:customStyle="1" w:styleId="73">
    <w:name w:val="页眉 字符"/>
    <w:basedOn w:val="29"/>
    <w:link w:val="20"/>
    <w:qFormat/>
    <w:uiPriority w:val="99"/>
    <w:rPr>
      <w:kern w:val="2"/>
      <w:sz w:val="18"/>
      <w:szCs w:val="18"/>
    </w:rPr>
  </w:style>
  <w:style w:type="character" w:customStyle="1" w:styleId="74">
    <w:name w:val="副标题 字符"/>
    <w:basedOn w:val="29"/>
    <w:link w:val="22"/>
    <w:qFormat/>
    <w:uiPriority w:val="11"/>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character" w:customStyle="1" w:styleId="75">
    <w:name w:val="标题 字符"/>
    <w:basedOn w:val="29"/>
    <w:link w:val="25"/>
    <w:qFormat/>
    <w:uiPriority w:val="10"/>
    <w:rPr>
      <w:rFonts w:asciiTheme="majorHAnsi" w:hAnsiTheme="majorHAnsi" w:eastAsiaTheme="majorEastAsia" w:cstheme="majorBidi"/>
      <w:spacing w:val="-10"/>
      <w:kern w:val="28"/>
      <w:sz w:val="56"/>
      <w:szCs w:val="56"/>
      <w14:ligatures w14:val="standardContextual"/>
    </w:rPr>
  </w:style>
  <w:style w:type="paragraph" w:styleId="76">
    <w:name w:val="Quote"/>
    <w:basedOn w:val="1"/>
    <w:next w:val="1"/>
    <w:link w:val="77"/>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77">
    <w:name w:val="引用 字符"/>
    <w:basedOn w:val="29"/>
    <w:link w:val="76"/>
    <w:qFormat/>
    <w:uiPriority w:val="29"/>
    <w:rPr>
      <w:rFonts w:asciiTheme="minorHAnsi" w:hAnsiTheme="minorHAnsi" w:eastAsiaTheme="minorEastAsia" w:cstheme="minorBidi"/>
      <w:i/>
      <w:iCs/>
      <w:color w:val="404040" w:themeColor="text1" w:themeTint="BF"/>
      <w:kern w:val="2"/>
      <w:sz w:val="22"/>
      <w:szCs w:val="24"/>
      <w14:textFill>
        <w14:solidFill>
          <w14:schemeClr w14:val="tx1">
            <w14:lumMod w14:val="75000"/>
            <w14:lumOff w14:val="25000"/>
          </w14:schemeClr>
        </w14:solidFill>
      </w14:textFill>
      <w14:ligatures w14:val="standardContextual"/>
    </w:rPr>
  </w:style>
  <w:style w:type="paragraph" w:styleId="78">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79">
    <w:name w:val="明显强调1"/>
    <w:basedOn w:val="29"/>
    <w:qFormat/>
    <w:uiPriority w:val="21"/>
    <w:rPr>
      <w:i/>
      <w:iCs/>
      <w:color w:val="2E54A1" w:themeColor="accent1" w:themeShade="BF"/>
    </w:rPr>
  </w:style>
  <w:style w:type="paragraph" w:styleId="80">
    <w:name w:val="Intense Quote"/>
    <w:basedOn w:val="1"/>
    <w:next w:val="1"/>
    <w:link w:val="81"/>
    <w:qFormat/>
    <w:uiPriority w:val="30"/>
    <w:pPr>
      <w:pBdr>
        <w:top w:val="single" w:color="2D54A0" w:themeColor="accent1" w:themeShade="BF" w:sz="4" w:space="10"/>
        <w:bottom w:val="single" w:color="2D54A0" w:themeColor="accent1" w:themeShade="BF" w:sz="4" w:space="10"/>
      </w:pBdr>
      <w:spacing w:before="360" w:after="360" w:line="278" w:lineRule="auto"/>
      <w:ind w:left="864" w:right="864"/>
      <w:jc w:val="center"/>
    </w:pPr>
    <w:rPr>
      <w:rFonts w:asciiTheme="minorHAnsi" w:hAnsiTheme="minorHAnsi" w:eastAsiaTheme="minorEastAsia" w:cstheme="minorBidi"/>
      <w:i/>
      <w:iCs/>
      <w:color w:val="2E54A1" w:themeColor="accent1" w:themeShade="BF"/>
      <w:sz w:val="22"/>
      <w14:ligatures w14:val="standardContextual"/>
    </w:rPr>
  </w:style>
  <w:style w:type="character" w:customStyle="1" w:styleId="81">
    <w:name w:val="明显引用 字符"/>
    <w:basedOn w:val="29"/>
    <w:link w:val="80"/>
    <w:qFormat/>
    <w:uiPriority w:val="30"/>
    <w:rPr>
      <w:rFonts w:asciiTheme="minorHAnsi" w:hAnsiTheme="minorHAnsi" w:eastAsiaTheme="minorEastAsia" w:cstheme="minorBidi"/>
      <w:i/>
      <w:iCs/>
      <w:color w:val="2E54A1" w:themeColor="accent1" w:themeShade="BF"/>
      <w:kern w:val="2"/>
      <w:sz w:val="22"/>
      <w:szCs w:val="24"/>
      <w14:ligatures w14:val="standardContextual"/>
    </w:rPr>
  </w:style>
  <w:style w:type="character" w:customStyle="1" w:styleId="82">
    <w:name w:val="明显参考1"/>
    <w:basedOn w:val="29"/>
    <w:qFormat/>
    <w:uiPriority w:val="32"/>
    <w:rPr>
      <w:b/>
      <w:bCs/>
      <w:smallCaps/>
      <w:color w:val="2E54A1" w:themeColor="accent1" w:themeShade="BF"/>
      <w:spacing w:val="5"/>
    </w:rPr>
  </w:style>
  <w:style w:type="character" w:customStyle="1" w:styleId="83">
    <w:name w:val="正文文本 2 字符"/>
    <w:basedOn w:val="29"/>
    <w:link w:val="2"/>
    <w:uiPriority w:val="99"/>
    <w:rPr>
      <w:kern w:val="2"/>
      <w:sz w:val="21"/>
      <w:szCs w:val="24"/>
    </w:rPr>
  </w:style>
  <w:style w:type="character" w:customStyle="1" w:styleId="84">
    <w:name w:val="正文文本 3 字符"/>
    <w:basedOn w:val="29"/>
    <w:link w:val="14"/>
    <w:qFormat/>
    <w:uiPriority w:val="0"/>
    <w:rPr>
      <w:rFonts w:ascii="宋体"/>
      <w:kern w:val="2"/>
      <w:sz w:val="24"/>
    </w:rPr>
  </w:style>
  <w:style w:type="character" w:customStyle="1" w:styleId="85">
    <w:name w:val="正文文本 字符"/>
    <w:basedOn w:val="29"/>
    <w:link w:val="15"/>
    <w:qFormat/>
    <w:uiPriority w:val="0"/>
    <w:rPr>
      <w:kern w:val="2"/>
      <w:sz w:val="21"/>
      <w:szCs w:val="24"/>
    </w:rPr>
  </w:style>
  <w:style w:type="character" w:customStyle="1" w:styleId="86">
    <w:name w:val="正文文本缩进 字符"/>
    <w:basedOn w:val="29"/>
    <w:link w:val="16"/>
    <w:qFormat/>
    <w:uiPriority w:val="99"/>
    <w:rPr>
      <w:kern w:val="2"/>
      <w:sz w:val="21"/>
      <w:szCs w:val="24"/>
    </w:rPr>
  </w:style>
  <w:style w:type="character" w:customStyle="1" w:styleId="87">
    <w:name w:val="脚注文本 字符"/>
    <w:basedOn w:val="29"/>
    <w:link w:val="23"/>
    <w:qFormat/>
    <w:uiPriority w:val="0"/>
    <w:rPr>
      <w:kern w:val="2"/>
    </w:rPr>
  </w:style>
  <w:style w:type="character" w:customStyle="1" w:styleId="88">
    <w:name w:val="正文文本首行缩进 2 字符"/>
    <w:basedOn w:val="86"/>
    <w:link w:val="26"/>
    <w:uiPriority w:val="99"/>
    <w:rPr>
      <w:kern w:val="2"/>
      <w:sz w:val="21"/>
      <w:szCs w:val="24"/>
    </w:rPr>
  </w:style>
  <w:style w:type="character" w:customStyle="1" w:styleId="89">
    <w:name w:val="first-child"/>
    <w:basedOn w:val="29"/>
    <w:uiPriority w:val="0"/>
  </w:style>
  <w:style w:type="character" w:customStyle="1" w:styleId="90">
    <w:name w:val="layui-this"/>
    <w:basedOn w:val="29"/>
    <w:uiPriority w:val="0"/>
    <w:rPr>
      <w:bdr w:val="single" w:color="EEEEEE" w:sz="6" w:space="0"/>
      <w:shd w:val="clear" w:color="auto" w:fill="FFFFFF"/>
    </w:rPr>
  </w:style>
  <w:style w:type="character" w:customStyle="1" w:styleId="91">
    <w:name w:val="hover"/>
    <w:basedOn w:val="29"/>
    <w:uiPriority w:val="0"/>
    <w:rPr>
      <w:color w:val="2590EB"/>
    </w:rPr>
  </w:style>
  <w:style w:type="character" w:customStyle="1" w:styleId="92">
    <w:name w:val="hover1"/>
    <w:basedOn w:val="29"/>
    <w:uiPriority w:val="0"/>
  </w:style>
  <w:style w:type="character" w:customStyle="1" w:styleId="93">
    <w:name w:val="hover2"/>
    <w:basedOn w:val="29"/>
    <w:uiPriority w:val="0"/>
    <w:rPr>
      <w:color w:val="2590EB"/>
    </w:rPr>
  </w:style>
  <w:style w:type="character" w:customStyle="1" w:styleId="94">
    <w:name w:val="hover3"/>
    <w:basedOn w:val="29"/>
    <w:qFormat/>
    <w:uiPriority w:val="0"/>
    <w:rPr>
      <w:color w:val="2590EB"/>
      <w:shd w:val="clear" w:fill="E9F4FD"/>
    </w:rPr>
  </w:style>
  <w:style w:type="character" w:customStyle="1" w:styleId="95">
    <w:name w:val="hover4"/>
    <w:basedOn w:val="29"/>
    <w:uiPriority w:val="0"/>
    <w:rPr>
      <w:color w:val="2590EB"/>
    </w:rPr>
  </w:style>
  <w:style w:type="character" w:customStyle="1" w:styleId="96">
    <w:name w:val="mini-outputtext1"/>
    <w:basedOn w:val="29"/>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6E397-43DD-403E-88E9-E124E2F2AFA1}">
  <ds:schemaRefs/>
</ds:datastoreItem>
</file>

<file path=docProps/app.xml><?xml version="1.0" encoding="utf-8"?>
<Properties xmlns="http://schemas.openxmlformats.org/officeDocument/2006/extended-properties" xmlns:vt="http://schemas.openxmlformats.org/officeDocument/2006/docPropsVTypes">
  <Template>Normal</Template>
  <Pages>127</Pages>
  <Words>94</Words>
  <Characters>116</Characters>
  <Lines>685</Lines>
  <Paragraphs>193</Paragraphs>
  <TotalTime>60</TotalTime>
  <ScaleCrop>false</ScaleCrop>
  <LinksUpToDate>false</LinksUpToDate>
  <CharactersWithSpaces>127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2026-07-27T04:55:00Z</dcterms:created>
  <dc:creator>傻傻一辈子</dc:creator>
  <cp:lastModifiedBy>傻傻一辈子</cp:lastModifiedBy>
  <cp:lastPrinted>2026-09-20T01:31:00Z</cp:lastPrinted>
  <dcterms:modified xsi:type="dcterms:W3CDTF">2026-09-24T07:36:59Z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2171E82BA0D74AEB9C22EC9276DF2C21_13</vt:lpwstr>
  </property>
  <property fmtid="{D5CDD505-2E9C-101B-9397-08002B2CF9AE}" pid="4" name="KSOTemplateDocerSaveRecord">
    <vt:lpwstr>eyJoZGlkIjoiMTljMDcwYWJmYjExZWQzNTVmZDAzZTYwM2JlMzJmZDYiLCJ1c2VySWQiOiIzODU2Mzk2OTQifQ==</vt:lpwstr>
  </property>
</Properties>
</file>