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3F50AD">
      <w:pPr>
        <w:jc w:val="center"/>
        <w:rPr>
          <w:rFonts w:ascii="宋体" w:cs="宋体"/>
          <w:b/>
          <w:color w:val="auto"/>
          <w:kern w:val="0"/>
          <w:sz w:val="44"/>
          <w:szCs w:val="44"/>
          <w:highlight w:val="none"/>
        </w:rPr>
      </w:pPr>
      <w:bookmarkStart w:id="0" w:name="_Toc15058843"/>
      <w:bookmarkStart w:id="1" w:name="_Toc506107265"/>
      <w:bookmarkStart w:id="2" w:name="_Toc324404811"/>
      <w:bookmarkStart w:id="3" w:name="_Toc246996898"/>
      <w:bookmarkStart w:id="4" w:name="_Toc247085669"/>
      <w:bookmarkStart w:id="5" w:name="_Toc296602400"/>
      <w:bookmarkStart w:id="6" w:name="_Toc461631222"/>
      <w:bookmarkStart w:id="7" w:name="OLE_LINK5"/>
      <w:bookmarkStart w:id="8" w:name="OLE_LINK4"/>
      <w:bookmarkStart w:id="9" w:name="OLE_LINK1"/>
      <w:bookmarkStart w:id="10" w:name="OLE_LINK3"/>
      <w:bookmarkStart w:id="11" w:name="OLE_LINK2"/>
    </w:p>
    <w:p w14:paraId="16081681">
      <w:pPr>
        <w:wordWrap w:val="0"/>
        <w:jc w:val="center"/>
        <w:rPr>
          <w:rFonts w:hint="default"/>
          <w:color w:val="auto"/>
          <w:sz w:val="21"/>
          <w:szCs w:val="21"/>
          <w:highlight w:val="none"/>
          <w:lang w:val="en-US"/>
        </w:rPr>
      </w:pPr>
      <w:r>
        <w:rPr>
          <w:rFonts w:hint="eastAsia" w:ascii="宋体" w:hAnsi="宋体" w:cs="宋体"/>
          <w:b/>
          <w:color w:val="auto"/>
          <w:kern w:val="0"/>
          <w:sz w:val="44"/>
          <w:szCs w:val="44"/>
          <w:highlight w:val="none"/>
          <w:lang w:val="en-US" w:eastAsia="zh-CN"/>
        </w:rPr>
        <w:t>同业公司物业项目消防设施设备采购更换项目</w:t>
      </w:r>
    </w:p>
    <w:p w14:paraId="66D69215">
      <w:pPr>
        <w:wordWrap w:val="0"/>
        <w:ind w:firstLine="2640" w:firstLineChars="1100"/>
        <w:rPr>
          <w:color w:val="auto"/>
          <w:sz w:val="24"/>
          <w:highlight w:val="none"/>
        </w:rPr>
      </w:pPr>
    </w:p>
    <w:p w14:paraId="6F2B2CBD">
      <w:pPr>
        <w:jc w:val="center"/>
        <w:rPr>
          <w:rFonts w:hint="eastAsia" w:ascii="宋体" w:hAnsi="宋体"/>
          <w:color w:val="auto"/>
          <w:sz w:val="84"/>
          <w:szCs w:val="84"/>
          <w:highlight w:val="none"/>
        </w:rPr>
      </w:pPr>
    </w:p>
    <w:p w14:paraId="2ACAB077">
      <w:pPr>
        <w:jc w:val="center"/>
        <w:rPr>
          <w:color w:val="auto"/>
          <w:sz w:val="24"/>
          <w:highlight w:val="none"/>
        </w:rPr>
      </w:pPr>
      <w:r>
        <w:rPr>
          <w:rFonts w:hint="eastAsia" w:ascii="宋体" w:hAnsi="宋体"/>
          <w:color w:val="auto"/>
          <w:sz w:val="84"/>
          <w:szCs w:val="84"/>
          <w:highlight w:val="none"/>
        </w:rPr>
        <w:t>招</w:t>
      </w:r>
      <w:r>
        <w:rPr>
          <w:rFonts w:hint="eastAsia" w:ascii="宋体"/>
          <w:color w:val="auto"/>
          <w:sz w:val="84"/>
          <w:szCs w:val="84"/>
          <w:highlight w:val="none"/>
        </w:rPr>
        <w:t>标</w:t>
      </w:r>
      <w:r>
        <w:rPr>
          <w:rFonts w:hint="eastAsia" w:ascii="宋体" w:hAnsi="宋体"/>
          <w:color w:val="auto"/>
          <w:sz w:val="84"/>
          <w:szCs w:val="84"/>
          <w:highlight w:val="none"/>
        </w:rPr>
        <w:t>文件</w:t>
      </w:r>
      <w:r>
        <w:rPr>
          <w:color w:val="auto"/>
          <w:sz w:val="24"/>
          <w:highlight w:val="none"/>
        </w:rPr>
        <w:t xml:space="preserve"> </w:t>
      </w:r>
    </w:p>
    <w:p w14:paraId="404D040C">
      <w:pPr>
        <w:spacing w:line="400" w:lineRule="exact"/>
        <w:jc w:val="center"/>
        <w:rPr>
          <w:rFonts w:hint="default" w:eastAsia="宋体"/>
          <w:b w:val="0"/>
          <w:bCs/>
          <w:color w:val="auto"/>
          <w:sz w:val="16"/>
          <w:szCs w:val="20"/>
          <w:highlight w:val="none"/>
          <w:lang w:val="en-US" w:eastAsia="zh-CN"/>
        </w:rPr>
      </w:pPr>
      <w:r>
        <w:rPr>
          <w:rFonts w:hint="eastAsia" w:ascii="宋体"/>
          <w:b w:val="0"/>
          <w:bCs/>
          <w:color w:val="auto"/>
          <w:sz w:val="28"/>
          <w:szCs w:val="20"/>
          <w:highlight w:val="none"/>
          <w:lang w:val="en-US" w:eastAsia="zh-CN"/>
        </w:rPr>
        <w:t>项目编号：TYLX-2026-FW-ZB-44</w:t>
      </w:r>
    </w:p>
    <w:p w14:paraId="508A4BDA">
      <w:pPr>
        <w:spacing w:line="720" w:lineRule="exact"/>
        <w:rPr>
          <w:b/>
          <w:bCs/>
          <w:color w:val="auto"/>
          <w:sz w:val="28"/>
          <w:szCs w:val="28"/>
          <w:highlight w:val="none"/>
        </w:rPr>
      </w:pPr>
    </w:p>
    <w:p w14:paraId="37CB3BC2">
      <w:pPr>
        <w:spacing w:line="720" w:lineRule="exact"/>
        <w:rPr>
          <w:b/>
          <w:bCs/>
          <w:color w:val="auto"/>
          <w:sz w:val="28"/>
          <w:szCs w:val="28"/>
          <w:highlight w:val="none"/>
        </w:rPr>
      </w:pPr>
    </w:p>
    <w:p w14:paraId="2639CFA6">
      <w:pPr>
        <w:pStyle w:val="63"/>
        <w:rPr>
          <w:b/>
          <w:bCs/>
          <w:color w:val="auto"/>
          <w:sz w:val="28"/>
          <w:szCs w:val="28"/>
          <w:highlight w:val="none"/>
        </w:rPr>
      </w:pPr>
    </w:p>
    <w:p w14:paraId="1ECB3432">
      <w:pPr>
        <w:pStyle w:val="64"/>
        <w:rPr>
          <w:b/>
          <w:bCs/>
          <w:color w:val="auto"/>
          <w:sz w:val="28"/>
          <w:szCs w:val="28"/>
          <w:highlight w:val="none"/>
        </w:rPr>
      </w:pPr>
    </w:p>
    <w:p w14:paraId="40D2CC13">
      <w:pPr>
        <w:pStyle w:val="63"/>
        <w:rPr>
          <w:b/>
          <w:bCs/>
          <w:color w:val="auto"/>
          <w:sz w:val="28"/>
          <w:szCs w:val="28"/>
          <w:highlight w:val="none"/>
        </w:rPr>
      </w:pPr>
    </w:p>
    <w:p w14:paraId="4EB74C96">
      <w:pPr>
        <w:keepNext w:val="0"/>
        <w:keepLines w:val="0"/>
        <w:pageBreakBefore w:val="0"/>
        <w:widowControl/>
        <w:kinsoku/>
        <w:wordWrap/>
        <w:overflowPunct/>
        <w:topLinePunct w:val="0"/>
        <w:autoSpaceDE/>
        <w:autoSpaceDN/>
        <w:bidi w:val="0"/>
        <w:adjustRightInd/>
        <w:snapToGrid/>
        <w:spacing w:before="157" w:beforeLines="50" w:after="157" w:afterLines="50" w:line="640" w:lineRule="exact"/>
        <w:ind w:firstLine="0" w:firstLineChars="0"/>
        <w:jc w:val="both"/>
        <w:textAlignment w:val="baseline"/>
        <w:rPr>
          <w:rFonts w:hint="eastAsia" w:ascii="宋体" w:hAnsi="宋体" w:cs="宋体"/>
          <w:b/>
          <w:bCs/>
          <w:color w:val="auto"/>
          <w:sz w:val="28"/>
          <w:szCs w:val="28"/>
          <w:highlight w:val="none"/>
          <w:lang w:eastAsia="zh-CN"/>
        </w:rPr>
      </w:pPr>
    </w:p>
    <w:p w14:paraId="22ADAF50">
      <w:pPr>
        <w:keepNext w:val="0"/>
        <w:keepLines w:val="0"/>
        <w:pageBreakBefore w:val="0"/>
        <w:widowControl/>
        <w:kinsoku/>
        <w:wordWrap/>
        <w:overflowPunct/>
        <w:topLinePunct w:val="0"/>
        <w:autoSpaceDE/>
        <w:autoSpaceDN/>
        <w:bidi w:val="0"/>
        <w:adjustRightInd/>
        <w:snapToGrid/>
        <w:spacing w:before="157" w:beforeLines="50" w:after="157" w:afterLines="50" w:line="640" w:lineRule="exact"/>
        <w:ind w:firstLine="0" w:firstLineChars="0"/>
        <w:jc w:val="both"/>
        <w:textAlignment w:val="baseline"/>
        <w:rPr>
          <w:rFonts w:hint="eastAsia" w:ascii="宋体" w:hAnsi="宋体" w:cs="宋体"/>
          <w:b/>
          <w:bCs/>
          <w:color w:val="auto"/>
          <w:sz w:val="28"/>
          <w:szCs w:val="28"/>
          <w:highlight w:val="none"/>
          <w:lang w:eastAsia="zh-CN"/>
        </w:rPr>
      </w:pPr>
    </w:p>
    <w:p w14:paraId="106A1F09">
      <w:pPr>
        <w:keepNext w:val="0"/>
        <w:keepLines w:val="0"/>
        <w:pageBreakBefore w:val="0"/>
        <w:widowControl/>
        <w:kinsoku/>
        <w:wordWrap/>
        <w:overflowPunct/>
        <w:topLinePunct w:val="0"/>
        <w:autoSpaceDE/>
        <w:autoSpaceDN/>
        <w:bidi w:val="0"/>
        <w:adjustRightInd/>
        <w:snapToGrid/>
        <w:spacing w:before="157" w:beforeLines="50" w:after="157" w:afterLines="50" w:line="640" w:lineRule="exact"/>
        <w:ind w:firstLine="0" w:firstLineChars="0"/>
        <w:jc w:val="both"/>
        <w:textAlignment w:val="baseline"/>
        <w:rPr>
          <w:rFonts w:hint="eastAsia" w:ascii="宋体" w:hAnsi="宋体" w:cs="宋体"/>
          <w:b/>
          <w:bCs/>
          <w:color w:val="auto"/>
          <w:sz w:val="28"/>
          <w:szCs w:val="28"/>
          <w:highlight w:val="none"/>
          <w:lang w:eastAsia="zh-CN"/>
        </w:rPr>
      </w:pPr>
    </w:p>
    <w:p w14:paraId="4F3F50B4">
      <w:pPr>
        <w:adjustRightInd w:val="0"/>
        <w:snapToGrid w:val="0"/>
        <w:spacing w:line="480" w:lineRule="auto"/>
        <w:ind w:firstLine="960" w:firstLineChars="300"/>
        <w:rPr>
          <w:rFonts w:hint="eastAsia" w:ascii="宋体" w:hAnsi="宋体" w:cs="宋体"/>
          <w:b/>
          <w:bCs/>
          <w:color w:val="auto"/>
          <w:sz w:val="28"/>
          <w:szCs w:val="28"/>
          <w:highlight w:val="none"/>
          <w:lang w:eastAsia="zh-CN"/>
        </w:rPr>
      </w:pPr>
      <w:r>
        <w:rPr>
          <w:rFonts w:hint="eastAsia" w:ascii="宋体" w:hAnsi="宋体" w:eastAsia="宋体" w:cs="宋体"/>
          <w:color w:val="auto"/>
          <w:sz w:val="32"/>
          <w:szCs w:val="32"/>
          <w:highlight w:val="none"/>
          <w:u w:val="none"/>
          <w:lang w:val="en-US" w:eastAsia="zh-CN"/>
        </w:rPr>
        <w:t>招标单位：</w:t>
      </w:r>
      <w:r>
        <w:rPr>
          <w:rFonts w:hint="eastAsia" w:ascii="宋体" w:hAnsi="宋体" w:eastAsia="宋体" w:cs="宋体"/>
          <w:color w:val="auto"/>
          <w:sz w:val="32"/>
          <w:szCs w:val="32"/>
          <w:highlight w:val="none"/>
          <w:u w:val="single"/>
          <w:lang w:val="en-US" w:eastAsia="zh-CN"/>
        </w:rPr>
        <w:t xml:space="preserve">  </w:t>
      </w:r>
      <w:r>
        <w:rPr>
          <w:rFonts w:hint="eastAsia" w:ascii="宋体" w:hAnsi="宋体" w:cs="宋体"/>
          <w:color w:val="auto"/>
          <w:sz w:val="32"/>
          <w:szCs w:val="32"/>
          <w:highlight w:val="none"/>
          <w:u w:val="single"/>
          <w:lang w:val="en-US" w:eastAsia="zh-CN"/>
        </w:rPr>
        <w:t>滁州同业投资发展有限公司</w:t>
      </w:r>
      <w:r>
        <w:rPr>
          <w:rFonts w:hint="eastAsia" w:ascii="宋体" w:hAnsi="宋体" w:eastAsia="宋体" w:cs="宋体"/>
          <w:color w:val="auto"/>
          <w:sz w:val="32"/>
          <w:szCs w:val="32"/>
          <w:highlight w:val="none"/>
          <w:u w:val="single"/>
          <w:lang w:val="en-US" w:eastAsia="zh-CN"/>
        </w:rPr>
        <w:t xml:space="preserve"> （盖章）</w:t>
      </w:r>
    </w:p>
    <w:p w14:paraId="5204D77C">
      <w:pPr>
        <w:adjustRightInd w:val="0"/>
        <w:snapToGrid w:val="0"/>
        <w:spacing w:line="480" w:lineRule="auto"/>
        <w:ind w:firstLine="960" w:firstLineChars="300"/>
        <w:rPr>
          <w:rFonts w:hint="eastAsia" w:ascii="宋体" w:hAnsi="宋体" w:cs="宋体"/>
          <w:color w:val="auto"/>
          <w:sz w:val="32"/>
          <w:szCs w:val="32"/>
          <w:highlight w:val="none"/>
        </w:rPr>
      </w:pPr>
      <w:r>
        <w:rPr>
          <w:rFonts w:hint="eastAsia" w:ascii="宋体" w:hAnsi="宋体" w:cs="宋体"/>
          <w:color w:val="auto"/>
          <w:sz w:val="32"/>
          <w:szCs w:val="32"/>
          <w:highlight w:val="none"/>
        </w:rPr>
        <w:t>招标代理机构：</w:t>
      </w:r>
      <w:r>
        <w:rPr>
          <w:rFonts w:hint="eastAsia" w:ascii="宋体" w:hAnsi="宋体" w:cs="宋体"/>
          <w:color w:val="auto"/>
          <w:sz w:val="32"/>
          <w:szCs w:val="32"/>
          <w:highlight w:val="none"/>
          <w:u w:val="single"/>
          <w:lang w:val="en-US" w:eastAsia="zh-CN"/>
        </w:rPr>
        <w:t>滁州市城投工程咨询管理有限公司</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（盖章）</w:t>
      </w:r>
    </w:p>
    <w:p w14:paraId="0EAC0282">
      <w:pPr>
        <w:pStyle w:val="44"/>
        <w:ind w:left="0" w:leftChars="0" w:firstLine="0" w:firstLineChars="0"/>
        <w:rPr>
          <w:rFonts w:hint="eastAsia"/>
          <w:color w:val="auto"/>
          <w:highlight w:val="none"/>
        </w:rPr>
      </w:pPr>
    </w:p>
    <w:p w14:paraId="543ED3CC">
      <w:pPr>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2026</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11</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single"/>
          <w:lang w:val="en-US" w:eastAsia="zh-CN"/>
        </w:rPr>
        <w:t xml:space="preserve"> 2 </w:t>
      </w:r>
      <w:r>
        <w:rPr>
          <w:rFonts w:hint="eastAsia" w:ascii="宋体" w:hAnsi="宋体" w:cs="宋体"/>
          <w:color w:val="auto"/>
          <w:sz w:val="32"/>
          <w:szCs w:val="32"/>
          <w:highlight w:val="none"/>
        </w:rPr>
        <w:t>日</w:t>
      </w:r>
    </w:p>
    <w:p w14:paraId="01B028F3">
      <w:pPr>
        <w:jc w:val="center"/>
        <w:rPr>
          <w:color w:val="auto"/>
          <w:sz w:val="44"/>
          <w:szCs w:val="44"/>
          <w:highlight w:val="none"/>
        </w:rPr>
        <w:sectPr>
          <w:footerReference r:id="rId5" w:type="first"/>
          <w:headerReference r:id="rId3" w:type="default"/>
          <w:footerReference r:id="rId4" w:type="default"/>
          <w:pgSz w:w="11906" w:h="16838"/>
          <w:pgMar w:top="1134" w:right="1417" w:bottom="1134" w:left="1417" w:header="851" w:footer="992" w:gutter="0"/>
          <w:cols w:space="720" w:num="1"/>
          <w:docGrid w:type="lines" w:linePitch="312" w:charSpace="0"/>
        </w:sectPr>
      </w:pPr>
    </w:p>
    <w:p w14:paraId="09BD7044">
      <w:pPr>
        <w:spacing w:line="700" w:lineRule="exact"/>
        <w:jc w:val="center"/>
        <w:rPr>
          <w:color w:val="auto"/>
          <w:sz w:val="44"/>
          <w:szCs w:val="44"/>
          <w:highlight w:val="none"/>
        </w:rPr>
      </w:pPr>
      <w:r>
        <w:rPr>
          <w:rFonts w:hint="eastAsia"/>
          <w:color w:val="auto"/>
          <w:sz w:val="44"/>
          <w:szCs w:val="44"/>
          <w:highlight w:val="none"/>
        </w:rPr>
        <w:t>目</w:t>
      </w:r>
      <w:r>
        <w:rPr>
          <w:color w:val="auto"/>
          <w:sz w:val="44"/>
          <w:szCs w:val="44"/>
          <w:highlight w:val="none"/>
        </w:rPr>
        <w:t xml:space="preserve">   </w:t>
      </w:r>
      <w:r>
        <w:rPr>
          <w:rFonts w:hint="eastAsia"/>
          <w:color w:val="auto"/>
          <w:sz w:val="44"/>
          <w:szCs w:val="44"/>
          <w:highlight w:val="none"/>
        </w:rPr>
        <w:t>录</w:t>
      </w:r>
      <w:bookmarkEnd w:id="0"/>
      <w:bookmarkEnd w:id="1"/>
      <w:bookmarkEnd w:id="2"/>
      <w:bookmarkEnd w:id="3"/>
      <w:bookmarkEnd w:id="4"/>
      <w:bookmarkEnd w:id="5"/>
      <w:bookmarkEnd w:id="6"/>
      <w:bookmarkStart w:id="12" w:name="_Toc144974479"/>
      <w:bookmarkStart w:id="13" w:name="_Toc179632527"/>
      <w:bookmarkStart w:id="14" w:name="_Toc152042287"/>
      <w:bookmarkStart w:id="15" w:name="_Toc152045511"/>
    </w:p>
    <w:p w14:paraId="4B3482C0">
      <w:pPr>
        <w:pStyle w:val="29"/>
        <w:tabs>
          <w:tab w:val="right" w:leader="dot" w:pos="9072"/>
        </w:tabs>
        <w:spacing w:line="700" w:lineRule="exact"/>
        <w:rPr>
          <w:rFonts w:ascii="宋体" w:cs="宋体"/>
          <w:color w:val="auto"/>
          <w:sz w:val="24"/>
          <w:szCs w:val="24"/>
          <w:highlight w:val="none"/>
        </w:rPr>
      </w:pPr>
      <w:r>
        <w:rPr>
          <w:rFonts w:ascii="宋体" w:hAnsi="宋体" w:cs="宋体"/>
          <w:b w:val="0"/>
          <w:bCs w:val="0"/>
          <w:caps w:val="0"/>
          <w:color w:val="auto"/>
          <w:sz w:val="24"/>
          <w:szCs w:val="24"/>
          <w:highlight w:val="none"/>
        </w:rPr>
        <w:fldChar w:fldCharType="begin"/>
      </w:r>
      <w:r>
        <w:rPr>
          <w:rFonts w:ascii="宋体" w:hAnsi="宋体" w:cs="宋体"/>
          <w:b w:val="0"/>
          <w:bCs w:val="0"/>
          <w:caps w:val="0"/>
          <w:color w:val="auto"/>
          <w:sz w:val="24"/>
          <w:szCs w:val="24"/>
          <w:highlight w:val="none"/>
        </w:rPr>
        <w:instrText xml:space="preserve"> TOC \o "1-3" \h \z \u </w:instrText>
      </w:r>
      <w:r>
        <w:rPr>
          <w:rFonts w:ascii="宋体" w:hAnsi="宋体" w:cs="宋体"/>
          <w:b w:val="0"/>
          <w:bCs w:val="0"/>
          <w:caps w:val="0"/>
          <w:color w:val="auto"/>
          <w:sz w:val="24"/>
          <w:szCs w:val="24"/>
          <w:highlight w:val="none"/>
        </w:rPr>
        <w:fldChar w:fldCharType="separate"/>
      </w:r>
      <w:r>
        <w:rPr>
          <w:color w:val="auto"/>
          <w:highlight w:val="none"/>
        </w:rPr>
        <w:fldChar w:fldCharType="begin"/>
      </w:r>
      <w:r>
        <w:rPr>
          <w:color w:val="auto"/>
          <w:highlight w:val="none"/>
        </w:rPr>
        <w:instrText xml:space="preserve"> HYPERLINK \l "_Toc3705" </w:instrText>
      </w:r>
      <w:r>
        <w:rPr>
          <w:color w:val="auto"/>
          <w:highlight w:val="none"/>
        </w:rPr>
        <w:fldChar w:fldCharType="separate"/>
      </w:r>
      <w:r>
        <w:rPr>
          <w:rFonts w:hint="eastAsia" w:ascii="宋体" w:hAnsi="宋体" w:cs="宋体"/>
          <w:color w:val="auto"/>
          <w:sz w:val="24"/>
          <w:szCs w:val="24"/>
          <w:highlight w:val="none"/>
        </w:rPr>
        <w:t>招标公告信息</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1</w:t>
      </w:r>
      <w:r>
        <w:rPr>
          <w:rFonts w:ascii="宋体" w:hAnsi="宋体" w:cs="宋体"/>
          <w:color w:val="auto"/>
          <w:sz w:val="24"/>
          <w:szCs w:val="24"/>
          <w:highlight w:val="none"/>
        </w:rPr>
        <w:fldChar w:fldCharType="end"/>
      </w:r>
    </w:p>
    <w:p w14:paraId="3B0B25BB">
      <w:pPr>
        <w:pStyle w:val="29"/>
        <w:tabs>
          <w:tab w:val="right" w:leader="dot" w:pos="9072"/>
        </w:tabs>
        <w:spacing w:line="700" w:lineRule="exact"/>
        <w:rPr>
          <w:rFonts w:ascii="宋体" w:cs="宋体"/>
          <w:color w:val="auto"/>
          <w:sz w:val="24"/>
          <w:szCs w:val="24"/>
          <w:highlight w:val="none"/>
        </w:rPr>
      </w:pPr>
      <w:r>
        <w:rPr>
          <w:color w:val="auto"/>
          <w:highlight w:val="none"/>
        </w:rPr>
        <w:fldChar w:fldCharType="begin"/>
      </w:r>
      <w:r>
        <w:rPr>
          <w:color w:val="auto"/>
          <w:highlight w:val="none"/>
        </w:rPr>
        <w:instrText xml:space="preserve"> HYPERLINK \l "_Toc8504" </w:instrText>
      </w:r>
      <w:r>
        <w:rPr>
          <w:color w:val="auto"/>
          <w:highlight w:val="none"/>
        </w:rPr>
        <w:fldChar w:fldCharType="separate"/>
      </w:r>
      <w:r>
        <w:rPr>
          <w:rFonts w:hint="eastAsia" w:ascii="宋体" w:hAnsi="宋体" w:cs="宋体"/>
          <w:color w:val="auto"/>
          <w:sz w:val="24"/>
          <w:szCs w:val="24"/>
          <w:highlight w:val="none"/>
        </w:rPr>
        <w:t>第一章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投标人须知</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4</w:t>
      </w:r>
      <w:r>
        <w:rPr>
          <w:rFonts w:ascii="宋体" w:hAnsi="宋体" w:cs="宋体"/>
          <w:color w:val="auto"/>
          <w:sz w:val="24"/>
          <w:szCs w:val="24"/>
          <w:highlight w:val="none"/>
        </w:rPr>
        <w:fldChar w:fldCharType="end"/>
      </w:r>
    </w:p>
    <w:p w14:paraId="74797813">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"_Toc18840" </w:instrText>
      </w:r>
      <w:r>
        <w:rPr>
          <w:color w:val="auto"/>
          <w:highlight w:val="none"/>
        </w:rPr>
        <w:fldChar w:fldCharType="separate"/>
      </w:r>
      <w:r>
        <w:rPr>
          <w:rFonts w:hint="eastAsia" w:ascii="宋体" w:hAnsi="宋体" w:cs="宋体"/>
          <w:color w:val="auto"/>
          <w:sz w:val="24"/>
          <w:szCs w:val="24"/>
          <w:highlight w:val="none"/>
        </w:rPr>
        <w:t>第二章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资格审查办法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1</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8</w:t>
      </w:r>
    </w:p>
    <w:p w14:paraId="4B10B56E">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"_Toc24443" </w:instrText>
      </w:r>
      <w:r>
        <w:rPr>
          <w:color w:val="auto"/>
          <w:highlight w:val="none"/>
        </w:rPr>
        <w:fldChar w:fldCharType="separate"/>
      </w:r>
      <w:r>
        <w:rPr>
          <w:rFonts w:hint="eastAsia" w:ascii="宋体" w:hAnsi="宋体" w:cs="宋体"/>
          <w:color w:val="auto"/>
          <w:sz w:val="24"/>
          <w:szCs w:val="24"/>
          <w:highlight w:val="none"/>
        </w:rPr>
        <w:t>第三章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评标办法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0</w:t>
      </w:r>
    </w:p>
    <w:p w14:paraId="08E579FC">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"_Toc16404" </w:instrText>
      </w:r>
      <w:r>
        <w:rPr>
          <w:color w:val="auto"/>
          <w:highlight w:val="none"/>
        </w:rPr>
        <w:fldChar w:fldCharType="separate"/>
      </w:r>
      <w:r>
        <w:rPr>
          <w:rFonts w:hint="eastAsia" w:ascii="宋体" w:hAnsi="宋体" w:cs="宋体"/>
          <w:color w:val="auto"/>
          <w:sz w:val="24"/>
          <w:szCs w:val="24"/>
          <w:highlight w:val="none"/>
        </w:rPr>
        <w:t>第四章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采购需求</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5</w:t>
      </w:r>
    </w:p>
    <w:p w14:paraId="3370256B">
      <w:pPr>
        <w:pStyle w:val="29"/>
        <w:tabs>
          <w:tab w:val="right" w:leader="dot" w:pos="9072"/>
        </w:tabs>
        <w:spacing w:line="700" w:lineRule="exact"/>
        <w:rPr>
          <w:rFonts w:hint="default" w:asci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第五章  </w:t>
      </w:r>
      <w:r>
        <w:rPr>
          <w:rFonts w:hint="eastAsia" w:ascii="宋体" w:hAnsi="宋体" w:cs="宋体"/>
          <w:color w:val="auto"/>
          <w:sz w:val="24"/>
          <w:szCs w:val="24"/>
          <w:highlight w:val="none"/>
          <w:lang w:val="en-US" w:eastAsia="zh-CN"/>
        </w:rPr>
        <w:t>合同协议书</w:t>
      </w:r>
      <w:r>
        <w:rPr>
          <w:rFonts w:ascii="宋体" w:cs="宋体"/>
          <w:color w:val="auto"/>
          <w:sz w:val="24"/>
          <w:szCs w:val="24"/>
          <w:highlight w:val="none"/>
        </w:rPr>
        <w:tab/>
      </w:r>
      <w:r>
        <w:rPr>
          <w:rFonts w:hint="eastAsia" w:ascii="宋体" w:cs="宋体"/>
          <w:color w:val="auto"/>
          <w:sz w:val="24"/>
          <w:szCs w:val="24"/>
          <w:highlight w:val="none"/>
          <w:lang w:val="en-US" w:eastAsia="zh-CN"/>
        </w:rPr>
        <w:t>26</w:t>
      </w:r>
    </w:p>
    <w:p w14:paraId="06F9A577">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"_Toc16786" </w:instrText>
      </w:r>
      <w:r>
        <w:rPr>
          <w:color w:val="auto"/>
          <w:highlight w:val="none"/>
        </w:rPr>
        <w:fldChar w:fldCharType="separate"/>
      </w:r>
      <w:r>
        <w:rPr>
          <w:rFonts w:hint="eastAsia" w:ascii="宋体" w:hAnsi="宋体" w:cs="宋体"/>
          <w:color w:val="auto"/>
          <w:sz w:val="24"/>
          <w:szCs w:val="24"/>
          <w:highlight w:val="none"/>
        </w:rPr>
        <w:t>第</w:t>
      </w:r>
      <w:r>
        <w:rPr>
          <w:rFonts w:hint="eastAsia" w:ascii="宋体" w:hAnsi="宋体" w:cs="宋体"/>
          <w:color w:val="auto"/>
          <w:sz w:val="24"/>
          <w:szCs w:val="24"/>
          <w:highlight w:val="none"/>
          <w:lang w:val="en-US" w:eastAsia="zh-CN"/>
        </w:rPr>
        <w:t>六</w:t>
      </w:r>
      <w:r>
        <w:rPr>
          <w:rFonts w:hint="eastAsia" w:ascii="宋体" w:hAnsi="宋体" w:cs="宋体"/>
          <w:color w:val="auto"/>
          <w:sz w:val="24"/>
          <w:szCs w:val="24"/>
          <w:highlight w:val="none"/>
        </w:rPr>
        <w:t>章</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投标文件格式</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01D6AE83">
      <w:pPr>
        <w:pStyle w:val="44"/>
        <w:spacing w:line="700" w:lineRule="exact"/>
        <w:ind w:left="0" w:leftChars="0" w:firstLine="0" w:firstLineChars="0"/>
        <w:jc w:val="left"/>
        <w:rPr>
          <w:color w:val="auto"/>
          <w:sz w:val="24"/>
          <w:szCs w:val="24"/>
          <w:highlight w:val="none"/>
        </w:rPr>
      </w:pPr>
      <w:r>
        <w:rPr>
          <w:rFonts w:hAnsi="宋体" w:cs="宋体"/>
          <w:b/>
          <w:bCs/>
          <w:caps/>
          <w:color w:val="auto"/>
          <w:sz w:val="24"/>
          <w:szCs w:val="24"/>
          <w:highlight w:val="none"/>
        </w:rPr>
        <w:fldChar w:fldCharType="end"/>
      </w:r>
    </w:p>
    <w:p w14:paraId="30512659">
      <w:pPr>
        <w:pStyle w:val="42"/>
        <w:spacing w:line="700" w:lineRule="exact"/>
        <w:jc w:val="left"/>
        <w:rPr>
          <w:color w:val="auto"/>
          <w:sz w:val="24"/>
          <w:szCs w:val="24"/>
          <w:highlight w:val="none"/>
        </w:rPr>
      </w:pPr>
      <w:bookmarkStart w:id="789" w:name="_GoBack"/>
      <w:bookmarkEnd w:id="789"/>
    </w:p>
    <w:p w14:paraId="6E027E14">
      <w:pPr>
        <w:bidi w:val="0"/>
        <w:rPr>
          <w:color w:val="auto"/>
          <w:highlight w:val="none"/>
        </w:rPr>
      </w:pPr>
    </w:p>
    <w:p w14:paraId="46735590">
      <w:pPr>
        <w:bidi w:val="0"/>
        <w:rPr>
          <w:color w:val="auto"/>
          <w:highlight w:val="none"/>
        </w:rPr>
      </w:pPr>
    </w:p>
    <w:p w14:paraId="116F8071">
      <w:pPr>
        <w:bidi w:val="0"/>
        <w:rPr>
          <w:color w:val="auto"/>
          <w:highlight w:val="none"/>
        </w:rPr>
      </w:pPr>
    </w:p>
    <w:p w14:paraId="5471AD8E">
      <w:pPr>
        <w:bidi w:val="0"/>
        <w:rPr>
          <w:color w:val="auto"/>
          <w:highlight w:val="none"/>
        </w:rPr>
      </w:pPr>
    </w:p>
    <w:p w14:paraId="6219923C">
      <w:pPr>
        <w:bidi w:val="0"/>
        <w:rPr>
          <w:color w:val="auto"/>
          <w:highlight w:val="none"/>
        </w:rPr>
      </w:pPr>
    </w:p>
    <w:p w14:paraId="25DA2343">
      <w:pPr>
        <w:bidi w:val="0"/>
        <w:rPr>
          <w:color w:val="auto"/>
          <w:highlight w:val="none"/>
        </w:rPr>
      </w:pPr>
    </w:p>
    <w:p w14:paraId="200B8EB0">
      <w:pPr>
        <w:bidi w:val="0"/>
        <w:rPr>
          <w:color w:val="auto"/>
          <w:highlight w:val="none"/>
        </w:rPr>
      </w:pPr>
    </w:p>
    <w:p w14:paraId="18C39272">
      <w:pPr>
        <w:bidi w:val="0"/>
        <w:rPr>
          <w:color w:val="auto"/>
          <w:highlight w:val="none"/>
        </w:rPr>
      </w:pPr>
    </w:p>
    <w:p w14:paraId="157A1113">
      <w:pPr>
        <w:tabs>
          <w:tab w:val="left" w:pos="7034"/>
        </w:tabs>
        <w:bidi w:val="0"/>
        <w:jc w:val="left"/>
        <w:rPr>
          <w:rFonts w:hint="eastAsia" w:eastAsia="宋体"/>
          <w:color w:val="auto"/>
          <w:highlight w:val="none"/>
          <w:lang w:eastAsia="zh-CN"/>
        </w:rPr>
        <w:sectPr>
          <w:footerReference r:id="rId6" w:type="default"/>
          <w:pgSz w:w="11906" w:h="16838"/>
          <w:pgMar w:top="1134" w:right="1417" w:bottom="1134" w:left="1417" w:header="851" w:footer="992" w:gutter="0"/>
          <w:pgNumType w:start="1"/>
          <w:cols w:space="720" w:num="1"/>
          <w:docGrid w:type="lines" w:linePitch="312" w:charSpace="0"/>
        </w:sectPr>
      </w:pPr>
      <w:r>
        <w:rPr>
          <w:rFonts w:hint="eastAsia"/>
          <w:color w:val="auto"/>
          <w:highlight w:val="none"/>
          <w:lang w:eastAsia="zh-CN"/>
        </w:rPr>
        <w:tab/>
      </w:r>
    </w:p>
    <w:p w14:paraId="5263545D">
      <w:pPr>
        <w:pStyle w:val="42"/>
        <w:spacing w:beforeLines="50" w:afterLines="50" w:line="440" w:lineRule="exact"/>
        <w:rPr>
          <w:rFonts w:hint="eastAsia"/>
          <w:bCs/>
          <w:color w:val="auto"/>
          <w:szCs w:val="32"/>
          <w:highlight w:val="none"/>
          <w:lang w:val="en-US" w:eastAsia="zh-CN"/>
        </w:rPr>
      </w:pPr>
      <w:bookmarkStart w:id="16" w:name="_Toc3705"/>
      <w:r>
        <w:rPr>
          <w:rFonts w:hint="eastAsia"/>
          <w:bCs/>
          <w:color w:val="auto"/>
          <w:szCs w:val="32"/>
          <w:highlight w:val="none"/>
          <w:lang w:eastAsia="zh-CN"/>
        </w:rPr>
        <w:t>同业公司物业项目消防设施设备采购更换项目</w:t>
      </w:r>
      <w:r>
        <w:rPr>
          <w:rFonts w:hint="eastAsia"/>
          <w:bCs/>
          <w:color w:val="auto"/>
          <w:szCs w:val="32"/>
          <w:highlight w:val="none"/>
        </w:rPr>
        <w:t>招标公告信息</w:t>
      </w:r>
      <w:bookmarkEnd w:id="16"/>
    </w:p>
    <w:bookmarkEnd w:id="12"/>
    <w:bookmarkEnd w:id="13"/>
    <w:bookmarkEnd w:id="14"/>
    <w:bookmarkEnd w:id="15"/>
    <w:p w14:paraId="2B109C14">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Cs/>
          <w:color w:val="auto"/>
          <w:sz w:val="21"/>
          <w:szCs w:val="21"/>
          <w:highlight w:val="none"/>
          <w:lang w:eastAsia="zh-CN"/>
        </w:rPr>
      </w:pPr>
      <w:bookmarkStart w:id="17" w:name="_Toc246996916"/>
      <w:bookmarkStart w:id="18" w:name="_Toc144974495"/>
      <w:bookmarkStart w:id="19" w:name="_Toc506107267"/>
      <w:bookmarkStart w:id="20" w:name="_Toc152045527"/>
      <w:bookmarkStart w:id="21" w:name="_Toc324404813"/>
      <w:bookmarkStart w:id="22" w:name="_Toc247085687"/>
      <w:bookmarkStart w:id="23" w:name="_Toc152042303"/>
      <w:bookmarkStart w:id="24" w:name="_Toc35424883"/>
      <w:bookmarkStart w:id="25" w:name="_Toc35425050"/>
      <w:bookmarkStart w:id="26" w:name="_Toc179632544"/>
      <w:bookmarkStart w:id="27" w:name="_Toc246996173"/>
      <w:bookmarkStart w:id="28" w:name="_Toc15058844"/>
      <w:r>
        <w:rPr>
          <w:rFonts w:hint="eastAsia" w:ascii="宋体" w:hAnsi="宋体" w:eastAsia="宋体" w:cs="宋体"/>
          <w:bCs/>
          <w:color w:val="auto"/>
          <w:sz w:val="21"/>
          <w:szCs w:val="21"/>
          <w:highlight w:val="none"/>
          <w:u w:val="single"/>
          <w:lang w:val="en-US" w:eastAsia="zh-CN"/>
        </w:rPr>
        <w:t>同业公司物业项目消防设施设备采购更换项</w:t>
      </w:r>
      <w:r>
        <w:rPr>
          <w:rFonts w:hint="eastAsia" w:ascii="宋体" w:hAnsi="宋体" w:eastAsia="宋体" w:cs="宋体"/>
          <w:bCs/>
          <w:color w:val="auto"/>
          <w:sz w:val="21"/>
          <w:szCs w:val="21"/>
          <w:highlight w:val="none"/>
          <w:lang w:val="en-US" w:eastAsia="zh-CN"/>
        </w:rPr>
        <w:t>目的潜在投标人在</w:t>
      </w:r>
      <w:r>
        <w:rPr>
          <w:rFonts w:hint="eastAsia" w:ascii="宋体" w:hAnsi="宋体" w:eastAsia="宋体" w:cs="宋体"/>
          <w:bCs/>
          <w:color w:val="auto"/>
          <w:sz w:val="21"/>
          <w:szCs w:val="21"/>
          <w:highlight w:val="none"/>
          <w:u w:val="single"/>
          <w:lang w:val="en-US" w:eastAsia="zh-CN"/>
        </w:rPr>
        <w:t>滁州同业投资发展有限公司微信公众号、滁州市城投工程咨询管理有限公司网站（https://www.czctgczx.com/）</w:t>
      </w:r>
      <w:r>
        <w:rPr>
          <w:rFonts w:hint="eastAsia" w:ascii="宋体" w:hAnsi="宋体" w:eastAsia="宋体" w:cs="宋体"/>
          <w:bCs/>
          <w:color w:val="auto"/>
          <w:sz w:val="21"/>
          <w:szCs w:val="21"/>
          <w:highlight w:val="none"/>
          <w:lang w:val="en-US" w:eastAsia="zh-CN"/>
        </w:rPr>
        <w:t>获取招标文件，并于</w:t>
      </w:r>
      <w:r>
        <w:rPr>
          <w:rFonts w:hint="eastAsia" w:ascii="宋体" w:hAnsi="宋体" w:eastAsia="宋体" w:cs="宋体"/>
          <w:bCs/>
          <w:color w:val="auto"/>
          <w:sz w:val="21"/>
          <w:szCs w:val="21"/>
          <w:highlight w:val="none"/>
          <w:u w:val="single"/>
          <w:lang w:val="en-US" w:eastAsia="zh-CN"/>
        </w:rPr>
        <w:t>2026年</w:t>
      </w:r>
      <w:r>
        <w:rPr>
          <w:rFonts w:hint="eastAsia" w:ascii="宋体" w:hAnsi="宋体" w:cs="宋体"/>
          <w:bCs/>
          <w:color w:val="auto"/>
          <w:sz w:val="21"/>
          <w:szCs w:val="21"/>
          <w:highlight w:val="none"/>
          <w:u w:val="single"/>
          <w:lang w:val="en-US" w:eastAsia="zh-CN"/>
        </w:rPr>
        <w:t>11</w:t>
      </w:r>
      <w:r>
        <w:rPr>
          <w:rFonts w:hint="eastAsia" w:ascii="宋体" w:hAnsi="宋体" w:eastAsia="宋体" w:cs="宋体"/>
          <w:bCs/>
          <w:color w:val="auto"/>
          <w:sz w:val="21"/>
          <w:szCs w:val="21"/>
          <w:highlight w:val="none"/>
          <w:u w:val="single"/>
          <w:lang w:val="en-US" w:eastAsia="zh-CN"/>
        </w:rPr>
        <w:t>月</w:t>
      </w:r>
      <w:r>
        <w:rPr>
          <w:rFonts w:hint="eastAsia" w:ascii="宋体" w:hAnsi="宋体" w:cs="宋体"/>
          <w:bCs/>
          <w:color w:val="auto"/>
          <w:sz w:val="21"/>
          <w:szCs w:val="21"/>
          <w:highlight w:val="none"/>
          <w:u w:val="single"/>
          <w:lang w:val="en-US" w:eastAsia="zh-CN"/>
        </w:rPr>
        <w:t>6</w:t>
      </w:r>
      <w:r>
        <w:rPr>
          <w:rFonts w:hint="eastAsia" w:ascii="宋体" w:hAnsi="宋体" w:eastAsia="宋体" w:cs="宋体"/>
          <w:bCs/>
          <w:color w:val="auto"/>
          <w:sz w:val="21"/>
          <w:szCs w:val="21"/>
          <w:highlight w:val="none"/>
          <w:u w:val="single"/>
          <w:lang w:val="en-US" w:eastAsia="zh-CN"/>
        </w:rPr>
        <w:t>日</w:t>
      </w:r>
      <w:r>
        <w:rPr>
          <w:rFonts w:hint="eastAsia" w:ascii="宋体" w:hAnsi="宋体" w:cs="宋体"/>
          <w:bCs/>
          <w:color w:val="auto"/>
          <w:sz w:val="21"/>
          <w:szCs w:val="21"/>
          <w:highlight w:val="none"/>
          <w:u w:val="single"/>
          <w:lang w:val="en-US" w:eastAsia="zh-CN"/>
        </w:rPr>
        <w:t>16</w:t>
      </w:r>
      <w:r>
        <w:rPr>
          <w:rFonts w:hint="eastAsia" w:ascii="宋体" w:hAnsi="宋体" w:eastAsia="宋体" w:cs="宋体"/>
          <w:bCs/>
          <w:color w:val="auto"/>
          <w:sz w:val="21"/>
          <w:szCs w:val="21"/>
          <w:highlight w:val="none"/>
          <w:u w:val="single"/>
          <w:lang w:val="en-US" w:eastAsia="zh-CN"/>
        </w:rPr>
        <w:t>点</w:t>
      </w:r>
      <w:r>
        <w:rPr>
          <w:rFonts w:hint="eastAsia" w:ascii="宋体" w:hAnsi="宋体" w:cs="宋体"/>
          <w:bCs/>
          <w:color w:val="auto"/>
          <w:sz w:val="21"/>
          <w:szCs w:val="21"/>
          <w:highlight w:val="none"/>
          <w:u w:val="single"/>
          <w:lang w:val="en-US" w:eastAsia="zh-CN"/>
        </w:rPr>
        <w:t>00</w:t>
      </w:r>
      <w:r>
        <w:rPr>
          <w:rFonts w:hint="eastAsia" w:ascii="宋体" w:hAnsi="宋体" w:eastAsia="宋体" w:cs="宋体"/>
          <w:bCs/>
          <w:color w:val="auto"/>
          <w:sz w:val="21"/>
          <w:szCs w:val="21"/>
          <w:highlight w:val="none"/>
          <w:u w:val="single"/>
          <w:lang w:val="en-US" w:eastAsia="zh-CN"/>
        </w:rPr>
        <w:t>分</w:t>
      </w:r>
      <w:r>
        <w:rPr>
          <w:rFonts w:hint="eastAsia" w:ascii="宋体" w:hAnsi="宋体" w:eastAsia="宋体" w:cs="宋体"/>
          <w:bCs/>
          <w:color w:val="auto"/>
          <w:sz w:val="21"/>
          <w:szCs w:val="21"/>
          <w:highlight w:val="none"/>
          <w:lang w:val="en-US" w:eastAsia="zh-CN"/>
        </w:rPr>
        <w:t>（北京时间）前递交投标文件。</w:t>
      </w:r>
    </w:p>
    <w:p w14:paraId="4DBC8A90">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442" w:firstLineChars="200"/>
        <w:jc w:val="left"/>
        <w:textAlignment w:val="auto"/>
        <w:rPr>
          <w:rFonts w:hint="eastAsia" w:ascii="宋体" w:hAnsi="宋体" w:eastAsia="宋体" w:cs="宋体"/>
          <w:color w:val="auto"/>
          <w:sz w:val="22"/>
          <w:szCs w:val="22"/>
          <w:highlight w:val="none"/>
        </w:rPr>
      </w:pPr>
      <w:bookmarkStart w:id="29" w:name="_Toc15135"/>
      <w:bookmarkStart w:id="30" w:name="_Toc27716"/>
      <w:bookmarkStart w:id="31" w:name="_Toc23391"/>
      <w:r>
        <w:rPr>
          <w:rFonts w:hint="eastAsia" w:ascii="宋体" w:hAnsi="宋体" w:eastAsia="宋体" w:cs="宋体"/>
          <w:b/>
          <w:bCs/>
          <w:color w:val="auto"/>
          <w:sz w:val="22"/>
          <w:szCs w:val="22"/>
          <w:highlight w:val="none"/>
        </w:rPr>
        <w:t>一、项目名称及内容</w:t>
      </w:r>
      <w:bookmarkEnd w:id="29"/>
      <w:bookmarkEnd w:id="30"/>
      <w:bookmarkEnd w:id="31"/>
    </w:p>
    <w:p w14:paraId="5407669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项目名称：同业公司物业项目消防设施设备采购更换项目</w:t>
      </w:r>
    </w:p>
    <w:p w14:paraId="2197FD7C">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招标单位</w:t>
      </w:r>
      <w:r>
        <w:rPr>
          <w:rFonts w:hint="eastAsia" w:ascii="宋体" w:hAnsi="宋体" w:eastAsia="宋体" w:cs="宋体"/>
          <w:color w:val="auto"/>
          <w:sz w:val="21"/>
          <w:szCs w:val="21"/>
          <w:highlight w:val="none"/>
        </w:rPr>
        <w:t>：</w:t>
      </w:r>
      <w:r>
        <w:rPr>
          <w:rFonts w:hint="eastAsia" w:ascii="宋体" w:hAnsi="宋体" w:eastAsia="宋体" w:cs="宋体"/>
          <w:bCs/>
          <w:color w:val="auto"/>
          <w:sz w:val="21"/>
          <w:szCs w:val="21"/>
          <w:highlight w:val="none"/>
          <w:lang w:eastAsia="zh-CN"/>
        </w:rPr>
        <w:t>滁州同业投资发展有限公司</w:t>
      </w:r>
    </w:p>
    <w:p w14:paraId="0DFD5B66">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资金来源：</w:t>
      </w:r>
      <w:r>
        <w:rPr>
          <w:rFonts w:hint="eastAsia" w:ascii="宋体" w:hAnsi="宋体" w:eastAsia="宋体" w:cs="宋体"/>
          <w:color w:val="auto"/>
          <w:sz w:val="21"/>
          <w:szCs w:val="21"/>
          <w:highlight w:val="none"/>
          <w:lang w:val="en-US" w:eastAsia="zh-CN"/>
        </w:rPr>
        <w:t>自筹资金</w:t>
      </w:r>
    </w:p>
    <w:p w14:paraId="6C69DF1B">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项目预算：65411.20元</w:t>
      </w:r>
    </w:p>
    <w:p w14:paraId="56F1B89A">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5.最高限价：65411.20元</w:t>
      </w:r>
    </w:p>
    <w:p w14:paraId="5734A90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标段（包别）划分：一个标段</w:t>
      </w:r>
    </w:p>
    <w:p w14:paraId="713CBFED">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项目基本概况：更换同业公司物业项目消防设施设备</w:t>
      </w:r>
    </w:p>
    <w:p w14:paraId="1CD4D755">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rPr>
          <w:rFonts w:hint="eastAsia" w:ascii="宋体" w:hAnsi="宋体" w:eastAsia="宋体" w:cs="宋体"/>
          <w:b/>
          <w:bCs/>
          <w:color w:val="auto"/>
          <w:sz w:val="21"/>
          <w:szCs w:val="21"/>
          <w:highlight w:val="none"/>
          <w:lang w:val="en-US" w:eastAsia="zh-CN"/>
        </w:rPr>
      </w:pPr>
      <w:bookmarkStart w:id="32" w:name="_Toc24705"/>
      <w:bookmarkStart w:id="33" w:name="_Toc4722"/>
      <w:bookmarkStart w:id="34" w:name="_Toc6270"/>
      <w:r>
        <w:rPr>
          <w:rFonts w:hint="eastAsia" w:ascii="宋体" w:hAnsi="宋体" w:eastAsia="宋体" w:cs="宋体"/>
          <w:b/>
          <w:bCs/>
          <w:color w:val="auto"/>
          <w:sz w:val="21"/>
          <w:szCs w:val="21"/>
          <w:highlight w:val="none"/>
          <w:lang w:val="en-US" w:eastAsia="zh-CN"/>
        </w:rPr>
        <w:t>8.本项目不接受联合体投标</w:t>
      </w:r>
    </w:p>
    <w:p w14:paraId="796B3F32">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442" w:firstLineChars="200"/>
        <w:jc w:val="left"/>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二、</w:t>
      </w:r>
      <w:bookmarkEnd w:id="32"/>
      <w:bookmarkEnd w:id="33"/>
      <w:bookmarkEnd w:id="34"/>
      <w:r>
        <w:rPr>
          <w:rFonts w:hint="eastAsia" w:ascii="宋体" w:hAnsi="宋体" w:eastAsia="宋体" w:cs="宋体"/>
          <w:b/>
          <w:bCs/>
          <w:color w:val="auto"/>
          <w:sz w:val="22"/>
          <w:szCs w:val="22"/>
          <w:highlight w:val="none"/>
        </w:rPr>
        <w:t>申请人的资格要求</w:t>
      </w:r>
    </w:p>
    <w:p w14:paraId="4A4D9398">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bookmarkStart w:id="35" w:name="_Toc16461"/>
      <w:bookmarkStart w:id="36" w:name="_Toc23547"/>
      <w:bookmarkStart w:id="37" w:name="_Toc10245"/>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rPr>
        <w:t>具有建设行政主管部门颁发的消防设施工程专业承包二级（或以上）资质，其同时具有有效的企业安全生产许可证</w:t>
      </w:r>
      <w:r>
        <w:rPr>
          <w:rFonts w:hint="eastAsia" w:ascii="宋体" w:hAnsi="宋体" w:eastAsia="宋体" w:cs="宋体"/>
          <w:color w:val="auto"/>
          <w:sz w:val="21"/>
          <w:szCs w:val="21"/>
          <w:highlight w:val="none"/>
          <w:lang w:eastAsia="zh-CN"/>
        </w:rPr>
        <w:t>；</w:t>
      </w:r>
    </w:p>
    <w:p w14:paraId="169ED01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.投标人存在以下情形之一的，不得被确定为中标人：</w:t>
      </w:r>
    </w:p>
    <w:p w14:paraId="5F47399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①被列入“信用中国”网站（www.creditchina.gov.cn）“失信被执行人”的；</w:t>
      </w:r>
    </w:p>
    <w:p w14:paraId="650217D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②被列入“信用中国”网站（www.creditchina.gov.cn）“重大税收违法失信主体”的；</w:t>
      </w:r>
    </w:p>
    <w:p w14:paraId="5F77FF2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③被列入“信用中国”网站（www.creditchina.gov.cn）“拖欠农民工工资失信联合惩戒对象名单”的；</w:t>
      </w:r>
    </w:p>
    <w:p w14:paraId="44CBE9F4">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④被列入“信用中国”网站（www.creditchina.gov.cn）“安全生产严重失信主体名单”的；</w:t>
      </w:r>
    </w:p>
    <w:p w14:paraId="0E8F1B70">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⑤被列入国家企业信用信息公示系统网站（www.gsxt.gov.cn）“严重违法失信名单”的</w:t>
      </w:r>
    </w:p>
    <w:p w14:paraId="080DFB6D">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.投标人所属分公司、办事处等分支机构存在第</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条信誉要求①-⑤项情形之一的， 接受其被确定为中标人。</w:t>
      </w:r>
    </w:p>
    <w:p w14:paraId="00CBFDE7">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442" w:firstLineChars="200"/>
        <w:jc w:val="left"/>
        <w:textAlignment w:val="auto"/>
        <w:rPr>
          <w:rFonts w:hint="eastAsia" w:ascii="宋体" w:hAnsi="宋体" w:eastAsia="宋体" w:cs="宋体"/>
          <w:b/>
          <w:bCs/>
          <w:color w:val="auto"/>
          <w:sz w:val="22"/>
          <w:szCs w:val="22"/>
          <w:highlight w:val="none"/>
          <w:lang w:val="en-US"/>
        </w:rPr>
      </w:pPr>
      <w:r>
        <w:rPr>
          <w:rFonts w:hint="eastAsia" w:ascii="宋体" w:hAnsi="宋体" w:eastAsia="宋体" w:cs="宋体"/>
          <w:b/>
          <w:bCs/>
          <w:color w:val="auto"/>
          <w:sz w:val="22"/>
          <w:szCs w:val="22"/>
          <w:highlight w:val="none"/>
        </w:rPr>
        <w:t>三、</w:t>
      </w:r>
      <w:bookmarkEnd w:id="35"/>
      <w:bookmarkEnd w:id="36"/>
      <w:bookmarkEnd w:id="37"/>
      <w:r>
        <w:rPr>
          <w:rFonts w:hint="eastAsia" w:ascii="宋体" w:hAnsi="宋体" w:eastAsia="宋体" w:cs="宋体"/>
          <w:b/>
          <w:bCs/>
          <w:color w:val="auto"/>
          <w:sz w:val="22"/>
          <w:szCs w:val="22"/>
          <w:highlight w:val="none"/>
          <w:lang w:val="en-US" w:eastAsia="zh-CN"/>
        </w:rPr>
        <w:t>获取招标文件</w:t>
      </w:r>
    </w:p>
    <w:p w14:paraId="5E35295B">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时</w:t>
      </w:r>
      <w:r>
        <w:rPr>
          <w:rFonts w:hint="eastAsia" w:ascii="宋体" w:hAnsi="宋体" w:eastAsia="宋体" w:cs="宋体"/>
          <w:color w:val="auto"/>
          <w:sz w:val="21"/>
          <w:szCs w:val="21"/>
          <w:highlight w:val="none"/>
        </w:rPr>
        <w:t>间：202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日至202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日</w:t>
      </w:r>
    </w:p>
    <w:p w14:paraId="0EE53613">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地点：滁州同业投资发展有限公司微信公众号、滁州市城投工程咨询管理有限公司网站（https://www.czctgczx.com/）</w:t>
      </w:r>
    </w:p>
    <w:p w14:paraId="48EB4A3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方式：</w:t>
      </w:r>
      <w:r>
        <w:rPr>
          <w:rFonts w:hint="eastAsia" w:ascii="宋体" w:hAnsi="宋体" w:eastAsia="宋体" w:cs="宋体"/>
          <w:color w:val="auto"/>
          <w:sz w:val="21"/>
          <w:szCs w:val="21"/>
          <w:highlight w:val="none"/>
          <w:lang w:val="en-US" w:eastAsia="zh-CN"/>
        </w:rPr>
        <w:t>网上下载</w:t>
      </w:r>
    </w:p>
    <w:p w14:paraId="183C483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售价：0元</w:t>
      </w:r>
    </w:p>
    <w:p w14:paraId="412315FE">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442" w:firstLineChars="200"/>
        <w:jc w:val="left"/>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val="en-US" w:eastAsia="zh-CN"/>
        </w:rPr>
        <w:t>四</w:t>
      </w:r>
      <w:r>
        <w:rPr>
          <w:rFonts w:hint="eastAsia" w:ascii="宋体" w:hAnsi="宋体" w:eastAsia="宋体" w:cs="宋体"/>
          <w:b/>
          <w:bCs/>
          <w:color w:val="auto"/>
          <w:sz w:val="22"/>
          <w:szCs w:val="22"/>
          <w:highlight w:val="none"/>
        </w:rPr>
        <w:t>、提交</w:t>
      </w:r>
      <w:r>
        <w:rPr>
          <w:rFonts w:hint="eastAsia" w:ascii="宋体" w:hAnsi="宋体" w:eastAsia="宋体" w:cs="宋体"/>
          <w:b/>
          <w:bCs/>
          <w:color w:val="auto"/>
          <w:sz w:val="22"/>
          <w:szCs w:val="22"/>
          <w:highlight w:val="none"/>
          <w:lang w:eastAsia="zh-CN"/>
        </w:rPr>
        <w:t>投标文件</w:t>
      </w:r>
      <w:r>
        <w:rPr>
          <w:rFonts w:hint="eastAsia" w:ascii="宋体" w:hAnsi="宋体" w:eastAsia="宋体" w:cs="宋体"/>
          <w:b/>
          <w:bCs/>
          <w:color w:val="auto"/>
          <w:sz w:val="22"/>
          <w:szCs w:val="22"/>
          <w:highlight w:val="none"/>
        </w:rPr>
        <w:t>截止时间、开标时间和地点</w:t>
      </w:r>
    </w:p>
    <w:p w14:paraId="30EBAE03">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bookmarkStart w:id="38" w:name="_Toc21401"/>
      <w:bookmarkStart w:id="39" w:name="_Toc7279"/>
      <w:bookmarkStart w:id="40" w:name="_Toc26252"/>
      <w:r>
        <w:rPr>
          <w:rFonts w:hint="eastAsia" w:ascii="宋体" w:hAnsi="宋体" w:eastAsia="宋体" w:cs="宋体"/>
          <w:color w:val="auto"/>
          <w:sz w:val="21"/>
          <w:szCs w:val="21"/>
          <w:highlight w:val="none"/>
          <w:lang w:val="en-US" w:eastAsia="zh-CN"/>
        </w:rPr>
        <w:t>时间：2026年</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lang w:val="en-US" w:eastAsia="zh-CN"/>
        </w:rPr>
        <w:t>月</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日</w:t>
      </w:r>
      <w:r>
        <w:rPr>
          <w:rFonts w:hint="eastAsia" w:ascii="宋体" w:hAnsi="宋体" w:cs="宋体"/>
          <w:color w:val="auto"/>
          <w:sz w:val="21"/>
          <w:szCs w:val="21"/>
          <w:highlight w:val="none"/>
          <w:lang w:val="en-US" w:eastAsia="zh-CN"/>
        </w:rPr>
        <w:t>16</w:t>
      </w:r>
      <w:r>
        <w:rPr>
          <w:rFonts w:hint="eastAsia" w:ascii="宋体" w:hAnsi="宋体" w:eastAsia="宋体" w:cs="宋体"/>
          <w:color w:val="auto"/>
          <w:sz w:val="21"/>
          <w:szCs w:val="21"/>
          <w:highlight w:val="none"/>
          <w:lang w:val="en-US" w:eastAsia="zh-CN"/>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lang w:val="en-US" w:eastAsia="zh-CN"/>
        </w:rPr>
        <w:t>分（北京时间）</w:t>
      </w:r>
    </w:p>
    <w:p w14:paraId="677B16D4">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地点：新点电子交易平台【滁州专区】</w:t>
      </w:r>
    </w:p>
    <w:p w14:paraId="147C6482">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442" w:firstLineChars="200"/>
        <w:jc w:val="left"/>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五、投标截止时间</w:t>
      </w:r>
      <w:bookmarkEnd w:id="38"/>
      <w:bookmarkEnd w:id="39"/>
      <w:bookmarkEnd w:id="40"/>
    </w:p>
    <w:p w14:paraId="68B88E8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期限：自本公告发布之日起至投标截止时间止。</w:t>
      </w:r>
    </w:p>
    <w:p w14:paraId="16F9966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媒体：本次招标公告同时在滁州同业投资发展有限公司微信公众号、滁州市城投工程咨询管理有限公司网站（https://www.czctgczx.com/）上发布</w:t>
      </w:r>
    </w:p>
    <w:p w14:paraId="1C8C9FFB">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442" w:firstLineChars="200"/>
        <w:jc w:val="left"/>
        <w:textAlignment w:val="auto"/>
        <w:rPr>
          <w:rFonts w:hint="eastAsia" w:ascii="宋体" w:hAnsi="宋体" w:eastAsia="宋体" w:cs="宋体"/>
          <w:b/>
          <w:bCs/>
          <w:color w:val="auto"/>
          <w:sz w:val="22"/>
          <w:szCs w:val="22"/>
          <w:highlight w:val="none"/>
          <w:lang w:val="en-US" w:eastAsia="zh-CN"/>
        </w:rPr>
      </w:pPr>
      <w:bookmarkStart w:id="41" w:name="_Toc14460"/>
      <w:bookmarkStart w:id="42" w:name="_Toc23625"/>
      <w:bookmarkStart w:id="43" w:name="_Toc17642"/>
      <w:r>
        <w:rPr>
          <w:rFonts w:hint="eastAsia" w:ascii="宋体" w:hAnsi="宋体" w:eastAsia="宋体" w:cs="宋体"/>
          <w:b/>
          <w:bCs/>
          <w:color w:val="auto"/>
          <w:sz w:val="22"/>
          <w:szCs w:val="22"/>
          <w:highlight w:val="none"/>
          <w:lang w:val="en-US" w:eastAsia="zh-CN"/>
        </w:rPr>
        <w:t>六、投标保证金</w:t>
      </w:r>
    </w:p>
    <w:p w14:paraId="3C94E2C8">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本项目不要求缴纳投标保证金。</w:t>
      </w:r>
    </w:p>
    <w:p w14:paraId="3849A9DC">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442" w:firstLineChars="200"/>
        <w:jc w:val="lef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七、其他补充事宜</w:t>
      </w:r>
    </w:p>
    <w:p w14:paraId="41D272B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请于公告发布之日起从滁州同业投资发展有限公司微信公众号、滁州市城投工程咨询管理有限公司网站（https://www.czctgczx.com/）下载本项目招标文件。投标人自行承担因未按要求获取招标文件导致无法上传电子投标文件的风险。</w:t>
      </w:r>
    </w:p>
    <w:p w14:paraId="5E9BBF81">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人须登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35188A5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3.投标人登录新点电子交易平台【滁州专区】获取招标文件及其它资料（含澄清和补充说明等）。如在招标文件获取过程中遇到系统问题，请拨打技术支持服务热线0512-58151515或者网站首页在线客服。</w:t>
      </w:r>
    </w:p>
    <w:p w14:paraId="3548908A">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4.招标文件及相关资料售价：人民币0元/套（含清单控制价、图纸及澄清答疑文件）。</w:t>
      </w:r>
    </w:p>
    <w:p w14:paraId="6EEC522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5.本项目采用不见面开标，各投标人登录不见面开标系统进行开标（</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HYPERLINK "http://js.etrading.cn/EpointBidOpening/bidopeninghallaction/hall/login）。"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lang w:val="en-US" w:eastAsia="zh-CN"/>
        </w:rPr>
        <w:t>http://js.etrading.cn/EpointBidOpening/bidopeninghallaction/hall/login）。</w:t>
      </w:r>
      <w:r>
        <w:rPr>
          <w:rFonts w:hint="eastAsia" w:ascii="宋体" w:hAnsi="宋体" w:eastAsia="宋体" w:cs="宋体"/>
          <w:color w:val="auto"/>
          <w:sz w:val="21"/>
          <w:szCs w:val="21"/>
          <w:highlight w:val="none"/>
          <w:lang w:val="en-US" w:eastAsia="zh-CN"/>
        </w:rPr>
        <w:fldChar w:fldCharType="end"/>
      </w:r>
    </w:p>
    <w:p w14:paraId="6EC6C04B">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6.投标人应在投标截止时间前，登录新点电子交易平台【滁州专区】上传投标文件。投标人逾期上传投标文件的，电子系统不予受理。</w:t>
      </w:r>
    </w:p>
    <w:p w14:paraId="5C3E0ACF">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7.投标人的联系人电话（手机）、电子邮箱等通讯方式在开标过程中必须保持畅通，否则因上述原因造成的后果，责任自负。</w:t>
      </w:r>
    </w:p>
    <w:p w14:paraId="023D1D8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本项目采用电子招投标方式，请投标人在“新点电子交易平台”常用下载专区下载“新点电子交易平台专用投标文件制作软件”“新点驱动（安徽省互联互通版）”，仔细阅读采购文件要求和相关操作手册，以免影响投标文件编制，因投标人未及时关注相关信息对开标造成的不利后果由其自行承担。</w:t>
      </w:r>
    </w:p>
    <w:p w14:paraId="25131DB1">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en-US" w:eastAsia="zh-CN"/>
        </w:rPr>
        <w:t>9.本项目开评标实行全流程电子化，在线完成开标活动。开标时投标人无需到达开标现场，不接受现场解密，实行远程解密和在线询标。各投标人认真学习《新点电子交易平台投标人操作手册》，务必掌握远程解密方法和在线回复询标方法。</w:t>
      </w:r>
    </w:p>
    <w:p w14:paraId="5612C81E">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ind w:firstLine="442" w:firstLineChars="200"/>
        <w:jc w:val="left"/>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val="en-US" w:eastAsia="zh-CN"/>
        </w:rPr>
        <w:t>八</w:t>
      </w:r>
      <w:r>
        <w:rPr>
          <w:rFonts w:hint="eastAsia" w:ascii="宋体" w:hAnsi="宋体" w:eastAsia="宋体" w:cs="宋体"/>
          <w:b/>
          <w:bCs/>
          <w:color w:val="auto"/>
          <w:sz w:val="22"/>
          <w:szCs w:val="22"/>
          <w:highlight w:val="none"/>
        </w:rPr>
        <w:t>、联系方法</w:t>
      </w:r>
      <w:bookmarkEnd w:id="41"/>
      <w:bookmarkEnd w:id="42"/>
      <w:bookmarkEnd w:id="43"/>
    </w:p>
    <w:p w14:paraId="39CB302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eastAsia="zh-CN"/>
        </w:rPr>
      </w:pPr>
      <w:bookmarkStart w:id="44" w:name="_Toc12234"/>
      <w:r>
        <w:rPr>
          <w:rFonts w:hint="eastAsia" w:ascii="宋体" w:hAnsi="宋体" w:eastAsia="宋体" w:cs="宋体"/>
          <w:color w:val="auto"/>
          <w:sz w:val="21"/>
          <w:szCs w:val="21"/>
          <w:highlight w:val="none"/>
        </w:rPr>
        <w:t>（一）</w:t>
      </w:r>
      <w:r>
        <w:rPr>
          <w:rFonts w:hint="eastAsia" w:ascii="宋体" w:hAnsi="宋体" w:eastAsia="宋体" w:cs="宋体"/>
          <w:color w:val="auto"/>
          <w:sz w:val="21"/>
          <w:szCs w:val="21"/>
          <w:highlight w:val="none"/>
          <w:lang w:eastAsia="zh-CN"/>
        </w:rPr>
        <w:t>招标单位</w:t>
      </w:r>
      <w:r>
        <w:rPr>
          <w:rFonts w:hint="eastAsia" w:ascii="宋体" w:hAnsi="宋体" w:eastAsia="宋体" w:cs="宋体"/>
          <w:color w:val="auto"/>
          <w:sz w:val="21"/>
          <w:szCs w:val="21"/>
          <w:highlight w:val="none"/>
        </w:rPr>
        <w:t>：</w:t>
      </w:r>
      <w:bookmarkEnd w:id="44"/>
      <w:r>
        <w:rPr>
          <w:rFonts w:hint="eastAsia" w:ascii="宋体" w:hAnsi="宋体" w:eastAsia="宋体" w:cs="宋体"/>
          <w:bCs/>
          <w:color w:val="auto"/>
          <w:sz w:val="21"/>
          <w:szCs w:val="21"/>
          <w:highlight w:val="none"/>
          <w:lang w:eastAsia="zh-CN"/>
        </w:rPr>
        <w:t>滁州同业投资发展有限公司</w:t>
      </w:r>
    </w:p>
    <w:p w14:paraId="2C695CEF">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地址：滁州市全椒路155号</w:t>
      </w:r>
    </w:p>
    <w:p w14:paraId="382D8A8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eastAsia="zh-CN"/>
        </w:rPr>
        <w:t>陈小兵</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联系方式：</w:t>
      </w:r>
      <w:r>
        <w:rPr>
          <w:rFonts w:hint="eastAsia" w:ascii="宋体" w:hAnsi="宋体" w:eastAsia="宋体" w:cs="宋体"/>
          <w:color w:val="auto"/>
          <w:sz w:val="21"/>
          <w:szCs w:val="21"/>
          <w:highlight w:val="none"/>
          <w:lang w:eastAsia="zh-CN"/>
        </w:rPr>
        <w:t>18055009903</w:t>
      </w:r>
      <w:r>
        <w:rPr>
          <w:rFonts w:hint="eastAsia" w:ascii="宋体" w:hAnsi="宋体" w:eastAsia="宋体" w:cs="宋体"/>
          <w:color w:val="auto"/>
          <w:sz w:val="21"/>
          <w:szCs w:val="21"/>
          <w:highlight w:val="none"/>
          <w:lang w:val="en-US" w:eastAsia="zh-CN"/>
        </w:rPr>
        <w:t xml:space="preserve"> </w:t>
      </w:r>
    </w:p>
    <w:p w14:paraId="0CA1157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bookmarkStart w:id="45" w:name="_Toc878"/>
      <w:r>
        <w:rPr>
          <w:rFonts w:hint="eastAsia" w:ascii="宋体" w:hAnsi="宋体" w:eastAsia="宋体" w:cs="宋体"/>
          <w:color w:val="auto"/>
          <w:kern w:val="2"/>
          <w:sz w:val="21"/>
          <w:szCs w:val="21"/>
          <w:highlight w:val="none"/>
          <w:lang w:val="en-US" w:eastAsia="zh-CN" w:bidi="ar-SA"/>
        </w:rPr>
        <w:t>（二）</w:t>
      </w:r>
      <w:r>
        <w:rPr>
          <w:rFonts w:hint="eastAsia" w:ascii="宋体" w:hAnsi="宋体" w:eastAsia="宋体" w:cs="宋体"/>
          <w:color w:val="auto"/>
          <w:sz w:val="21"/>
          <w:szCs w:val="21"/>
          <w:highlight w:val="none"/>
        </w:rPr>
        <w:t>代理机构：</w:t>
      </w:r>
      <w:bookmarkEnd w:id="45"/>
      <w:r>
        <w:rPr>
          <w:rFonts w:hint="eastAsia" w:ascii="宋体" w:hAnsi="宋体" w:eastAsia="宋体" w:cs="宋体"/>
          <w:color w:val="auto"/>
          <w:sz w:val="21"/>
          <w:szCs w:val="21"/>
          <w:highlight w:val="none"/>
          <w:lang w:eastAsia="zh-CN"/>
        </w:rPr>
        <w:t>滁州市城投工程咨询管理有限公司</w:t>
      </w:r>
    </w:p>
    <w:p w14:paraId="0284979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地址：滁州市龙蟠大道109号房产商务大厦6楼</w:t>
      </w:r>
    </w:p>
    <w:p w14:paraId="0B16904A">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val="en-US" w:eastAsia="zh-CN"/>
        </w:rPr>
        <w:t>杨韦</w:t>
      </w:r>
      <w:r>
        <w:rPr>
          <w:rFonts w:hint="eastAsia" w:ascii="宋体" w:hAnsi="宋体" w:eastAsia="宋体" w:cs="宋体"/>
          <w:color w:val="auto"/>
          <w:sz w:val="21"/>
          <w:szCs w:val="21"/>
          <w:highlight w:val="none"/>
        </w:rPr>
        <w:t xml:space="preserve">    联系方式：</w:t>
      </w:r>
      <w:r>
        <w:rPr>
          <w:rFonts w:hint="eastAsia" w:ascii="宋体" w:hAnsi="宋体" w:eastAsia="宋体" w:cs="宋体"/>
          <w:color w:val="auto"/>
          <w:sz w:val="21"/>
          <w:szCs w:val="21"/>
          <w:highlight w:val="none"/>
          <w:lang w:val="en-US" w:eastAsia="zh-CN"/>
        </w:rPr>
        <w:t>0550-3519590、18005501210</w:t>
      </w:r>
    </w:p>
    <w:p w14:paraId="2F6BE0BC">
      <w:pPr>
        <w:rPr>
          <w:color w:val="auto"/>
          <w:highlight w:val="none"/>
        </w:rPr>
      </w:pPr>
    </w:p>
    <w:p w14:paraId="3D2CF60F">
      <w:pPr>
        <w:rPr>
          <w:rFonts w:hint="eastAsia"/>
          <w:bCs/>
          <w:color w:val="auto"/>
          <w:szCs w:val="32"/>
          <w:highlight w:val="none"/>
        </w:rPr>
      </w:pPr>
      <w:bookmarkStart w:id="46" w:name="_Toc8504"/>
      <w:r>
        <w:rPr>
          <w:rFonts w:hint="eastAsia"/>
          <w:bCs/>
          <w:color w:val="auto"/>
          <w:szCs w:val="32"/>
          <w:highlight w:val="none"/>
        </w:rPr>
        <w:br w:type="page"/>
      </w:r>
    </w:p>
    <w:p w14:paraId="1D0C9878">
      <w:pPr>
        <w:pStyle w:val="42"/>
        <w:spacing w:beforeLines="50" w:afterLines="50" w:line="440" w:lineRule="exact"/>
        <w:rPr>
          <w:bCs/>
          <w:color w:val="auto"/>
          <w:szCs w:val="32"/>
          <w:highlight w:val="none"/>
        </w:rPr>
      </w:pPr>
      <w:r>
        <w:rPr>
          <w:rFonts w:hint="eastAsia"/>
          <w:bCs/>
          <w:color w:val="auto"/>
          <w:szCs w:val="32"/>
          <w:highlight w:val="none"/>
        </w:rPr>
        <w:t>第一章</w:t>
      </w:r>
      <w:r>
        <w:rPr>
          <w:bCs/>
          <w:color w:val="auto"/>
          <w:szCs w:val="32"/>
          <w:highlight w:val="none"/>
        </w:rPr>
        <w:t xml:space="preserve"> </w:t>
      </w:r>
      <w:r>
        <w:rPr>
          <w:rFonts w:hint="eastAsia"/>
          <w:bCs/>
          <w:color w:val="auto"/>
          <w:szCs w:val="32"/>
          <w:highlight w:val="none"/>
        </w:rPr>
        <w:t>投标人须知</w:t>
      </w:r>
      <w:bookmarkEnd w:id="17"/>
      <w:bookmarkEnd w:id="18"/>
      <w:bookmarkEnd w:id="19"/>
      <w:bookmarkEnd w:id="20"/>
      <w:bookmarkEnd w:id="21"/>
      <w:bookmarkEnd w:id="22"/>
      <w:bookmarkEnd w:id="23"/>
      <w:bookmarkEnd w:id="24"/>
      <w:bookmarkEnd w:id="25"/>
      <w:bookmarkEnd w:id="26"/>
      <w:bookmarkEnd w:id="27"/>
      <w:bookmarkEnd w:id="28"/>
      <w:bookmarkEnd w:id="46"/>
    </w:p>
    <w:p w14:paraId="39E76530">
      <w:pPr>
        <w:spacing w:beforeLines="50" w:afterLines="50" w:line="440" w:lineRule="exact"/>
        <w:jc w:val="center"/>
        <w:rPr>
          <w:b/>
          <w:bCs/>
          <w:color w:val="auto"/>
          <w:sz w:val="28"/>
          <w:szCs w:val="28"/>
          <w:highlight w:val="none"/>
        </w:rPr>
      </w:pPr>
      <w:bookmarkStart w:id="47" w:name="_Toc506107268"/>
      <w:bookmarkStart w:id="48" w:name="_Toc35425051"/>
      <w:bookmarkStart w:id="49" w:name="_Toc179632545"/>
      <w:bookmarkStart w:id="50" w:name="_Toc144974496"/>
      <w:bookmarkStart w:id="51" w:name="_Toc247085688"/>
      <w:bookmarkStart w:id="52" w:name="_Toc246996917"/>
      <w:bookmarkStart w:id="53" w:name="_Toc152042304"/>
      <w:bookmarkStart w:id="54" w:name="_Toc35424884"/>
      <w:bookmarkStart w:id="55" w:name="_Toc246996174"/>
      <w:bookmarkStart w:id="56" w:name="_Toc152045528"/>
      <w:bookmarkStart w:id="57" w:name="_Toc324404814"/>
      <w:bookmarkStart w:id="58" w:name="_Toc15058845"/>
      <w:r>
        <w:rPr>
          <w:rFonts w:hint="eastAsia"/>
          <w:b/>
          <w:bCs/>
          <w:color w:val="auto"/>
          <w:sz w:val="28"/>
          <w:szCs w:val="28"/>
          <w:highlight w:val="none"/>
        </w:rPr>
        <w:t>投标人须知前附表</w:t>
      </w:r>
      <w:bookmarkEnd w:id="47"/>
      <w:bookmarkEnd w:id="48"/>
      <w:bookmarkEnd w:id="49"/>
      <w:bookmarkEnd w:id="50"/>
      <w:bookmarkEnd w:id="51"/>
      <w:bookmarkEnd w:id="52"/>
      <w:bookmarkEnd w:id="53"/>
      <w:bookmarkEnd w:id="54"/>
      <w:bookmarkEnd w:id="55"/>
      <w:bookmarkEnd w:id="56"/>
      <w:bookmarkEnd w:id="57"/>
      <w:bookmarkEnd w:id="58"/>
    </w:p>
    <w:tbl>
      <w:tblPr>
        <w:tblStyle w:val="45"/>
        <w:tblW w:w="10527" w:type="dxa"/>
        <w:jc w:val="center"/>
        <w:tblLayout w:type="fixed"/>
        <w:tblCellMar>
          <w:top w:w="0" w:type="dxa"/>
          <w:left w:w="108" w:type="dxa"/>
          <w:bottom w:w="0" w:type="dxa"/>
          <w:right w:w="108" w:type="dxa"/>
        </w:tblCellMar>
      </w:tblPr>
      <w:tblGrid>
        <w:gridCol w:w="868"/>
        <w:gridCol w:w="910"/>
        <w:gridCol w:w="1220"/>
        <w:gridCol w:w="7529"/>
      </w:tblGrid>
      <w:tr w14:paraId="748587BB">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B4EBD0A">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bookmarkStart w:id="59" w:name="_Toc246996918"/>
            <w:bookmarkStart w:id="60" w:name="_Toc144974497"/>
            <w:bookmarkStart w:id="61" w:name="_Toc506107269"/>
            <w:bookmarkStart w:id="62" w:name="_Toc324404815"/>
            <w:bookmarkStart w:id="63" w:name="_Toc152042305"/>
            <w:bookmarkStart w:id="64" w:name="_Toc247085689"/>
            <w:bookmarkStart w:id="65" w:name="_Toc152045529"/>
            <w:bookmarkStart w:id="66" w:name="_Toc246996175"/>
            <w:bookmarkStart w:id="67" w:name="_Toc179632546"/>
            <w:r>
              <w:rPr>
                <w:rFonts w:hint="eastAsia" w:ascii="宋体" w:hAnsi="宋体" w:eastAsia="宋体" w:cs="宋体"/>
                <w:b/>
                <w:color w:val="auto"/>
                <w:sz w:val="21"/>
                <w:szCs w:val="21"/>
                <w:highlight w:val="none"/>
              </w:rPr>
              <w:t>序号</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2392639">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  款  名  称</w:t>
            </w:r>
          </w:p>
        </w:tc>
        <w:tc>
          <w:tcPr>
            <w:tcW w:w="7529" w:type="dxa"/>
            <w:tcBorders>
              <w:top w:val="single" w:color="auto" w:sz="4" w:space="0"/>
              <w:left w:val="single" w:color="auto" w:sz="4" w:space="0"/>
              <w:bottom w:val="single" w:color="auto" w:sz="4" w:space="0"/>
              <w:right w:val="single" w:color="auto" w:sz="4" w:space="0"/>
            </w:tcBorders>
            <w:vAlign w:val="center"/>
          </w:tcPr>
          <w:p w14:paraId="6082EB75">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  列  内  容</w:t>
            </w:r>
          </w:p>
        </w:tc>
      </w:tr>
      <w:tr w14:paraId="4A74F3FB">
        <w:tblPrEx>
          <w:tblCellMar>
            <w:top w:w="0" w:type="dxa"/>
            <w:left w:w="108" w:type="dxa"/>
            <w:bottom w:w="0" w:type="dxa"/>
            <w:right w:w="108" w:type="dxa"/>
          </w:tblCellMar>
        </w:tblPrEx>
        <w:trPr>
          <w:jc w:val="center"/>
        </w:trPr>
        <w:tc>
          <w:tcPr>
            <w:tcW w:w="868" w:type="dxa"/>
            <w:tcBorders>
              <w:top w:val="single" w:color="auto" w:sz="4" w:space="0"/>
              <w:left w:val="single" w:color="auto" w:sz="4" w:space="0"/>
              <w:right w:val="single" w:color="auto" w:sz="4" w:space="0"/>
            </w:tcBorders>
            <w:vAlign w:val="center"/>
          </w:tcPr>
          <w:p w14:paraId="30E7AF10">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D79036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w:t>
            </w:r>
            <w:r>
              <w:rPr>
                <w:rFonts w:hint="eastAsia" w:ascii="宋体" w:hAnsi="宋体" w:cs="宋体"/>
                <w:color w:val="auto"/>
                <w:sz w:val="21"/>
                <w:szCs w:val="21"/>
                <w:highlight w:val="none"/>
                <w:lang w:val="en-US" w:eastAsia="zh-CN"/>
              </w:rPr>
              <w:t>单位</w:t>
            </w:r>
          </w:p>
        </w:tc>
        <w:tc>
          <w:tcPr>
            <w:tcW w:w="7529" w:type="dxa"/>
            <w:tcBorders>
              <w:top w:val="single" w:color="auto" w:sz="4" w:space="0"/>
              <w:left w:val="single" w:color="auto" w:sz="4" w:space="0"/>
              <w:bottom w:val="single" w:color="auto" w:sz="4" w:space="0"/>
              <w:right w:val="single" w:color="auto" w:sz="4" w:space="0"/>
            </w:tcBorders>
            <w:vAlign w:val="center"/>
          </w:tcPr>
          <w:p w14:paraId="62A8D777">
            <w:pPr>
              <w:pStyle w:val="40"/>
              <w:keepNext w:val="0"/>
              <w:keepLines w:val="0"/>
              <w:pageBreakBefore w:val="0"/>
              <w:kinsoku/>
              <w:overflowPunct/>
              <w:autoSpaceDE/>
              <w:autoSpaceDN/>
              <w:bidi w:val="0"/>
              <w:spacing w:beforeAutospacing="0" w:afterAutospacing="0" w:line="500" w:lineRule="exact"/>
              <w:textAlignment w:val="auto"/>
              <w:rPr>
                <w:rFonts w:hint="default" w:ascii="宋体" w:hAnsi="宋体" w:eastAsia="宋体" w:cs="宋体"/>
                <w:color w:val="auto"/>
                <w:kern w:val="2"/>
                <w:sz w:val="21"/>
                <w:szCs w:val="21"/>
                <w:highlight w:val="none"/>
                <w:lang w:val="en-US" w:eastAsia="zh-CN"/>
              </w:rPr>
            </w:pPr>
            <w:r>
              <w:rPr>
                <w:rFonts w:hint="eastAsia" w:cs="宋体"/>
                <w:color w:val="auto"/>
                <w:sz w:val="21"/>
                <w:szCs w:val="21"/>
                <w:highlight w:val="none"/>
                <w:lang w:val="en-US" w:eastAsia="zh-CN"/>
              </w:rPr>
              <w:t>见招标公告</w:t>
            </w:r>
          </w:p>
        </w:tc>
      </w:tr>
      <w:tr w14:paraId="1458B5E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0C16215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5BA9B48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招标代理机构</w:t>
            </w:r>
          </w:p>
        </w:tc>
        <w:tc>
          <w:tcPr>
            <w:tcW w:w="7529" w:type="dxa"/>
            <w:tcBorders>
              <w:top w:val="single" w:color="auto" w:sz="4" w:space="0"/>
              <w:left w:val="single" w:color="auto" w:sz="4" w:space="0"/>
              <w:bottom w:val="single" w:color="auto" w:sz="4" w:space="0"/>
              <w:right w:val="single" w:color="auto" w:sz="4" w:space="0"/>
            </w:tcBorders>
            <w:vAlign w:val="center"/>
          </w:tcPr>
          <w:p w14:paraId="137E46B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6AC2D34B">
        <w:tblPrEx>
          <w:tblCellMar>
            <w:top w:w="0" w:type="dxa"/>
            <w:left w:w="108" w:type="dxa"/>
            <w:bottom w:w="0" w:type="dxa"/>
            <w:right w:w="108" w:type="dxa"/>
          </w:tblCellMar>
        </w:tblPrEx>
        <w:trPr>
          <w:trHeight w:val="39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0BC61BB9">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356E4AA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7529" w:type="dxa"/>
            <w:tcBorders>
              <w:top w:val="single" w:color="auto" w:sz="4" w:space="0"/>
              <w:left w:val="single" w:color="auto" w:sz="4" w:space="0"/>
              <w:bottom w:val="single" w:color="auto" w:sz="4" w:space="0"/>
              <w:right w:val="single" w:color="auto" w:sz="4" w:space="0"/>
            </w:tcBorders>
            <w:vAlign w:val="center"/>
          </w:tcPr>
          <w:p w14:paraId="45462298">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rPr>
            </w:pPr>
            <w:r>
              <w:rPr>
                <w:rFonts w:hint="eastAsia" w:cs="宋体"/>
                <w:color w:val="auto"/>
                <w:sz w:val="21"/>
                <w:szCs w:val="21"/>
                <w:highlight w:val="none"/>
                <w:lang w:val="en-US" w:eastAsia="zh-CN"/>
              </w:rPr>
              <w:t>见招标公告</w:t>
            </w:r>
          </w:p>
        </w:tc>
      </w:tr>
      <w:tr w14:paraId="3C15F299">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791BFE4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2E8168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建设地点</w:t>
            </w:r>
          </w:p>
        </w:tc>
        <w:tc>
          <w:tcPr>
            <w:tcW w:w="7529" w:type="dxa"/>
            <w:tcBorders>
              <w:top w:val="single" w:color="auto" w:sz="4" w:space="0"/>
              <w:left w:val="single" w:color="auto" w:sz="4" w:space="0"/>
              <w:bottom w:val="single" w:color="auto" w:sz="4" w:space="0"/>
              <w:right w:val="single" w:color="auto" w:sz="4" w:space="0"/>
            </w:tcBorders>
            <w:vAlign w:val="center"/>
          </w:tcPr>
          <w:p w14:paraId="7D679AB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见招标公告</w:t>
            </w:r>
          </w:p>
        </w:tc>
      </w:tr>
      <w:tr w14:paraId="5480B341">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3B3A54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7E2F6C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资金来源及比例</w:t>
            </w:r>
          </w:p>
        </w:tc>
        <w:tc>
          <w:tcPr>
            <w:tcW w:w="7529" w:type="dxa"/>
            <w:tcBorders>
              <w:top w:val="single" w:color="auto" w:sz="4" w:space="0"/>
              <w:left w:val="single" w:color="auto" w:sz="4" w:space="0"/>
              <w:bottom w:val="single" w:color="auto" w:sz="4" w:space="0"/>
              <w:right w:val="single" w:color="auto" w:sz="4" w:space="0"/>
            </w:tcBorders>
            <w:vAlign w:val="center"/>
          </w:tcPr>
          <w:p w14:paraId="339D356B">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781E9D8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6E741A1">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522CA5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招标范围</w:t>
            </w:r>
          </w:p>
        </w:tc>
        <w:tc>
          <w:tcPr>
            <w:tcW w:w="7529" w:type="dxa"/>
            <w:tcBorders>
              <w:top w:val="single" w:color="auto" w:sz="4" w:space="0"/>
              <w:left w:val="single" w:color="auto" w:sz="4" w:space="0"/>
              <w:bottom w:val="single" w:color="auto" w:sz="4" w:space="0"/>
              <w:right w:val="single" w:color="auto" w:sz="4" w:space="0"/>
            </w:tcBorders>
            <w:vAlign w:val="center"/>
          </w:tcPr>
          <w:p w14:paraId="55AE24C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019E5517">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8A9E25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D02F68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评标办法</w:t>
            </w:r>
          </w:p>
        </w:tc>
        <w:tc>
          <w:tcPr>
            <w:tcW w:w="7529" w:type="dxa"/>
            <w:tcBorders>
              <w:top w:val="single" w:color="auto" w:sz="4" w:space="0"/>
              <w:left w:val="single" w:color="auto" w:sz="4" w:space="0"/>
              <w:bottom w:val="single" w:color="auto" w:sz="4" w:space="0"/>
              <w:right w:val="single" w:color="auto" w:sz="4" w:space="0"/>
            </w:tcBorders>
            <w:vAlign w:val="center"/>
          </w:tcPr>
          <w:p w14:paraId="1BF29738">
            <w:pPr>
              <w:pStyle w:val="120"/>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总价中位值法</w:t>
            </w:r>
          </w:p>
        </w:tc>
      </w:tr>
      <w:tr w14:paraId="1E247E0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3B67ADF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DB75E0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服务期</w:t>
            </w:r>
          </w:p>
        </w:tc>
        <w:tc>
          <w:tcPr>
            <w:tcW w:w="7529" w:type="dxa"/>
            <w:tcBorders>
              <w:top w:val="single" w:color="auto" w:sz="4" w:space="0"/>
              <w:left w:val="single" w:color="auto" w:sz="4" w:space="0"/>
              <w:bottom w:val="single" w:color="auto" w:sz="4" w:space="0"/>
              <w:right w:val="single" w:color="auto" w:sz="4" w:space="0"/>
            </w:tcBorders>
            <w:vAlign w:val="center"/>
          </w:tcPr>
          <w:p w14:paraId="3C668856">
            <w:pPr>
              <w:keepNext w:val="0"/>
              <w:keepLines w:val="0"/>
              <w:pageBreakBefore w:val="0"/>
              <w:kinsoku/>
              <w:overflowPunct/>
              <w:autoSpaceDE/>
              <w:autoSpaceDN/>
              <w:bidi w:val="0"/>
              <w:spacing w:line="50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自</w:t>
            </w:r>
            <w:r>
              <w:rPr>
                <w:rFonts w:hint="eastAsia" w:ascii="宋体" w:hAnsi="宋体" w:eastAsia="宋体" w:cs="宋体"/>
                <w:b w:val="0"/>
                <w:bCs w:val="0"/>
                <w:color w:val="auto"/>
                <w:sz w:val="21"/>
                <w:szCs w:val="21"/>
                <w:highlight w:val="none"/>
                <w:lang w:val="en-US" w:eastAsia="zh-CN"/>
              </w:rPr>
              <w:t>合同签订之日起30日内完成更换及调试并通过验收</w:t>
            </w:r>
            <w:r>
              <w:rPr>
                <w:rFonts w:hint="eastAsia" w:ascii="宋体" w:hAnsi="宋体" w:cs="宋体"/>
                <w:b w:val="0"/>
                <w:bCs w:val="0"/>
                <w:color w:val="auto"/>
                <w:sz w:val="21"/>
                <w:szCs w:val="21"/>
                <w:highlight w:val="none"/>
                <w:lang w:val="en-US" w:eastAsia="zh-CN"/>
              </w:rPr>
              <w:t>。</w:t>
            </w:r>
          </w:p>
          <w:p w14:paraId="322A122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注：每延期一天将处以</w:t>
            </w:r>
            <w:r>
              <w:rPr>
                <w:rFonts w:hint="eastAsia" w:ascii="宋体" w:hAnsi="宋体" w:cs="宋体"/>
                <w:b/>
                <w:bCs/>
                <w:color w:val="auto"/>
                <w:sz w:val="21"/>
                <w:szCs w:val="21"/>
                <w:highlight w:val="none"/>
                <w:lang w:val="en-US" w:eastAsia="zh-CN"/>
              </w:rPr>
              <w:t>500</w:t>
            </w:r>
            <w:r>
              <w:rPr>
                <w:rFonts w:hint="eastAsia" w:ascii="宋体" w:hAnsi="宋体" w:eastAsia="宋体" w:cs="宋体"/>
                <w:b/>
                <w:bCs/>
                <w:color w:val="auto"/>
                <w:sz w:val="21"/>
                <w:szCs w:val="21"/>
                <w:highlight w:val="none"/>
                <w:lang w:val="en-US" w:eastAsia="zh-CN"/>
              </w:rPr>
              <w:t>元/天违约金，提前不奖励。</w:t>
            </w:r>
          </w:p>
        </w:tc>
      </w:tr>
      <w:tr w14:paraId="3C8ECCF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05F322F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614B10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c>
          <w:tcPr>
            <w:tcW w:w="7529" w:type="dxa"/>
            <w:tcBorders>
              <w:top w:val="single" w:color="auto" w:sz="4" w:space="0"/>
              <w:left w:val="single" w:color="auto" w:sz="4" w:space="0"/>
              <w:bottom w:val="single" w:color="auto" w:sz="4" w:space="0"/>
              <w:right w:val="single" w:color="auto" w:sz="4" w:space="0"/>
            </w:tcBorders>
            <w:vAlign w:val="center"/>
          </w:tcPr>
          <w:p w14:paraId="14E39116">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满足或优于招标文件第四章采购需求</w:t>
            </w:r>
          </w:p>
        </w:tc>
      </w:tr>
      <w:tr w14:paraId="24F54B11">
        <w:tblPrEx>
          <w:tblCellMar>
            <w:top w:w="0" w:type="dxa"/>
            <w:left w:w="108" w:type="dxa"/>
            <w:bottom w:w="0" w:type="dxa"/>
            <w:right w:w="108" w:type="dxa"/>
          </w:tblCellMar>
        </w:tblPrEx>
        <w:trPr>
          <w:trHeight w:val="805" w:hRule="atLeast"/>
          <w:jc w:val="center"/>
        </w:trPr>
        <w:tc>
          <w:tcPr>
            <w:tcW w:w="868" w:type="dxa"/>
            <w:vMerge w:val="restart"/>
            <w:tcBorders>
              <w:top w:val="single" w:color="auto" w:sz="4" w:space="0"/>
              <w:left w:val="single" w:color="auto" w:sz="4" w:space="0"/>
              <w:right w:val="single" w:color="auto" w:sz="4" w:space="0"/>
            </w:tcBorders>
            <w:vAlign w:val="center"/>
          </w:tcPr>
          <w:p w14:paraId="6F32116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30E2A60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投标人资质条件、能力和信誉</w:t>
            </w:r>
          </w:p>
        </w:tc>
        <w:tc>
          <w:tcPr>
            <w:tcW w:w="7529" w:type="dxa"/>
            <w:tcBorders>
              <w:top w:val="single" w:color="auto" w:sz="4" w:space="0"/>
              <w:left w:val="single" w:color="auto" w:sz="4" w:space="0"/>
              <w:bottom w:val="single" w:color="auto" w:sz="4" w:space="0"/>
              <w:right w:val="single" w:color="auto" w:sz="4" w:space="0"/>
            </w:tcBorders>
            <w:vAlign w:val="center"/>
          </w:tcPr>
          <w:p w14:paraId="412A2D13">
            <w:pPr>
              <w:pStyle w:val="44"/>
              <w:keepNext w:val="0"/>
              <w:keepLines w:val="0"/>
              <w:pageBreakBefore w:val="0"/>
              <w:kinsoku/>
              <w:overflowPunct/>
              <w:autoSpaceDE/>
              <w:autoSpaceDN/>
              <w:bidi w:val="0"/>
              <w:spacing w:line="500" w:lineRule="exact"/>
              <w:ind w:left="0" w:leftChars="0" w:firstLine="0"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见招标公告</w:t>
            </w:r>
          </w:p>
        </w:tc>
      </w:tr>
      <w:tr w14:paraId="079EB64F">
        <w:tblPrEx>
          <w:tblCellMar>
            <w:top w:w="0" w:type="dxa"/>
            <w:left w:w="108" w:type="dxa"/>
            <w:bottom w:w="0" w:type="dxa"/>
            <w:right w:w="108" w:type="dxa"/>
          </w:tblCellMar>
        </w:tblPrEx>
        <w:trPr>
          <w:trHeight w:val="575" w:hRule="atLeast"/>
          <w:jc w:val="center"/>
        </w:trPr>
        <w:tc>
          <w:tcPr>
            <w:tcW w:w="868" w:type="dxa"/>
            <w:vMerge w:val="continue"/>
            <w:tcBorders>
              <w:left w:val="single" w:color="auto" w:sz="4" w:space="0"/>
              <w:bottom w:val="single" w:color="auto" w:sz="4" w:space="0"/>
              <w:right w:val="single" w:color="auto" w:sz="4" w:space="0"/>
            </w:tcBorders>
            <w:vAlign w:val="center"/>
          </w:tcPr>
          <w:p w14:paraId="38F61BD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5EEE4E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招标文件发布时间：</w:t>
            </w:r>
          </w:p>
        </w:tc>
        <w:tc>
          <w:tcPr>
            <w:tcW w:w="7529" w:type="dxa"/>
            <w:tcBorders>
              <w:top w:val="single" w:color="auto" w:sz="4" w:space="0"/>
              <w:left w:val="single" w:color="auto" w:sz="4" w:space="0"/>
              <w:bottom w:val="single" w:color="auto" w:sz="4" w:space="0"/>
              <w:right w:val="single" w:color="auto" w:sz="4" w:space="0"/>
            </w:tcBorders>
            <w:vAlign w:val="center"/>
          </w:tcPr>
          <w:p w14:paraId="145F7CB3">
            <w:pPr>
              <w:keepNext w:val="0"/>
              <w:keepLines w:val="0"/>
              <w:pageBreakBefore w:val="0"/>
              <w:kinsoku/>
              <w:overflowPunct/>
              <w:autoSpaceDE/>
              <w:autoSpaceDN/>
              <w:bidi w:val="0"/>
              <w:spacing w:line="50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见招标公告</w:t>
            </w:r>
          </w:p>
        </w:tc>
      </w:tr>
      <w:tr w14:paraId="2E94FC6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EE4EC7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C94674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踏勘现场</w:t>
            </w:r>
          </w:p>
        </w:tc>
        <w:tc>
          <w:tcPr>
            <w:tcW w:w="7529" w:type="dxa"/>
            <w:tcBorders>
              <w:top w:val="single" w:color="auto" w:sz="4" w:space="0"/>
              <w:left w:val="single" w:color="auto" w:sz="4" w:space="0"/>
              <w:bottom w:val="single" w:color="auto" w:sz="4" w:space="0"/>
              <w:right w:val="single" w:color="auto" w:sz="4" w:space="0"/>
            </w:tcBorders>
            <w:vAlign w:val="center"/>
          </w:tcPr>
          <w:p w14:paraId="5A6A97AF">
            <w:pPr>
              <w:pStyle w:val="16"/>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不组织，投标人自行组织踏勘现场</w:t>
            </w:r>
          </w:p>
        </w:tc>
      </w:tr>
      <w:tr w14:paraId="71CDEA9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717FB30F">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015C18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投标预备会</w:t>
            </w:r>
          </w:p>
        </w:tc>
        <w:tc>
          <w:tcPr>
            <w:tcW w:w="7529" w:type="dxa"/>
            <w:tcBorders>
              <w:top w:val="single" w:color="auto" w:sz="4" w:space="0"/>
              <w:left w:val="single" w:color="auto" w:sz="4" w:space="0"/>
              <w:bottom w:val="single" w:color="auto" w:sz="4" w:space="0"/>
              <w:right w:val="single" w:color="auto" w:sz="4" w:space="0"/>
            </w:tcBorders>
            <w:vAlign w:val="center"/>
          </w:tcPr>
          <w:p w14:paraId="167FF1FC">
            <w:pPr>
              <w:pStyle w:val="16"/>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不召开</w:t>
            </w:r>
          </w:p>
        </w:tc>
      </w:tr>
      <w:tr w14:paraId="56ED5E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24572C1">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1B8B3D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投标人提出问题的截止时间及方式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08E6FFA9">
            <w:pPr>
              <w:keepNext w:val="0"/>
              <w:keepLines w:val="0"/>
              <w:pageBreakBefore w:val="0"/>
              <w:kinsoku/>
              <w:wordWrap w:val="0"/>
              <w:overflowPunct/>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val="0"/>
                <w:bCs/>
                <w:color w:val="auto"/>
                <w:kern w:val="0"/>
                <w:szCs w:val="21"/>
                <w:highlight w:val="none"/>
              </w:rPr>
              <w:t>如投标人对招标文件有异议，请于</w:t>
            </w:r>
            <w:r>
              <w:rPr>
                <w:rFonts w:hint="eastAsia" w:ascii="宋体" w:hAnsi="宋体" w:eastAsia="宋体" w:cs="宋体"/>
                <w:b/>
                <w:bCs w:val="0"/>
                <w:color w:val="auto"/>
                <w:kern w:val="0"/>
                <w:szCs w:val="21"/>
                <w:highlight w:val="none"/>
                <w:lang w:val="en-US" w:eastAsia="zh-CN"/>
              </w:rPr>
              <w:t>202</w:t>
            </w:r>
            <w:r>
              <w:rPr>
                <w:rFonts w:hint="eastAsia" w:ascii="宋体" w:hAnsi="宋体" w:cs="宋体"/>
                <w:b/>
                <w:bCs w:val="0"/>
                <w:color w:val="auto"/>
                <w:kern w:val="0"/>
                <w:szCs w:val="21"/>
                <w:highlight w:val="none"/>
                <w:lang w:val="en-US" w:eastAsia="zh-CN"/>
              </w:rPr>
              <w:t>6</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11</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4</w:t>
            </w:r>
            <w:r>
              <w:rPr>
                <w:rFonts w:hint="eastAsia" w:ascii="宋体" w:hAnsi="宋体" w:eastAsia="宋体" w:cs="宋体"/>
                <w:b/>
                <w:bCs w:val="0"/>
                <w:color w:val="auto"/>
                <w:kern w:val="0"/>
                <w:szCs w:val="21"/>
                <w:highlight w:val="none"/>
              </w:rPr>
              <w:t>日</w:t>
            </w:r>
            <w:r>
              <w:rPr>
                <w:rFonts w:hint="eastAsia" w:ascii="宋体" w:hAnsi="宋体" w:cs="宋体"/>
                <w:b/>
                <w:bCs w:val="0"/>
                <w:color w:val="auto"/>
                <w:kern w:val="0"/>
                <w:szCs w:val="21"/>
                <w:highlight w:val="none"/>
                <w:lang w:val="en-US" w:eastAsia="zh-CN"/>
              </w:rPr>
              <w:t>11</w:t>
            </w:r>
            <w:r>
              <w:rPr>
                <w:rFonts w:hint="eastAsia" w:ascii="宋体" w:hAnsi="宋体" w:eastAsia="宋体" w:cs="宋体"/>
                <w:b/>
                <w:bCs w:val="0"/>
                <w:color w:val="auto"/>
                <w:kern w:val="0"/>
                <w:szCs w:val="21"/>
                <w:highlight w:val="none"/>
              </w:rPr>
              <w:t>时前</w:t>
            </w:r>
            <w:r>
              <w:rPr>
                <w:rFonts w:hint="eastAsia" w:ascii="宋体" w:hAnsi="宋体" w:eastAsia="宋体" w:cs="宋体"/>
                <w:b w:val="0"/>
                <w:bCs/>
                <w:color w:val="auto"/>
                <w:kern w:val="0"/>
                <w:sz w:val="21"/>
                <w:szCs w:val="21"/>
                <w:highlight w:val="none"/>
              </w:rPr>
              <w:t>在新点电子交易平台【滁州专区】中在线进行异议</w:t>
            </w:r>
            <w:r>
              <w:rPr>
                <w:rFonts w:hint="eastAsia" w:ascii="宋体" w:hAnsi="宋体" w:cs="宋体"/>
                <w:b w:val="0"/>
                <w:bCs/>
                <w:color w:val="auto"/>
                <w:kern w:val="0"/>
                <w:sz w:val="21"/>
                <w:szCs w:val="21"/>
                <w:highlight w:val="none"/>
                <w:lang w:eastAsia="zh-CN"/>
              </w:rPr>
              <w:t>。</w:t>
            </w:r>
          </w:p>
        </w:tc>
      </w:tr>
      <w:tr w14:paraId="7A567977">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DA58E06">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C34C49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招标人澄清的时间及方式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3CB95C9F">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rPr>
              <w:t>时前</w:t>
            </w:r>
            <w:r>
              <w:rPr>
                <w:rFonts w:hint="eastAsia" w:ascii="宋体" w:hAnsi="宋体" w:eastAsia="宋体" w:cs="宋体"/>
                <w:color w:val="auto"/>
                <w:kern w:val="0"/>
                <w:sz w:val="21"/>
                <w:szCs w:val="21"/>
                <w:highlight w:val="none"/>
              </w:rPr>
              <w:t>在滁州同业投资发展有限公司微信公众号、滁州市城投工程咨询管理有限公司网站（https://www.czctgczx.com/）</w:t>
            </w:r>
            <w:r>
              <w:rPr>
                <w:rFonts w:hint="eastAsia" w:ascii="宋体" w:hAnsi="宋体" w:eastAsia="宋体" w:cs="宋体"/>
                <w:b w:val="0"/>
                <w:bCs w:val="0"/>
                <w:color w:val="auto"/>
                <w:sz w:val="21"/>
                <w:szCs w:val="21"/>
                <w:highlight w:val="none"/>
                <w:lang w:val="en-US" w:eastAsia="zh-CN"/>
              </w:rPr>
              <w:t>予以公告</w:t>
            </w:r>
            <w:r>
              <w:rPr>
                <w:rFonts w:hint="eastAsia" w:ascii="宋体" w:hAnsi="宋体" w:eastAsia="宋体" w:cs="宋体"/>
                <w:b w:val="0"/>
                <w:bCs w:val="0"/>
                <w:color w:val="auto"/>
                <w:sz w:val="21"/>
                <w:szCs w:val="21"/>
                <w:highlight w:val="none"/>
              </w:rPr>
              <w:t>，请各</w:t>
            </w:r>
            <w:r>
              <w:rPr>
                <w:rFonts w:hint="eastAsia" w:ascii="宋体" w:hAnsi="宋体" w:eastAsia="宋体" w:cs="宋体"/>
                <w:b w:val="0"/>
                <w:bCs w:val="0"/>
                <w:color w:val="auto"/>
                <w:sz w:val="21"/>
                <w:szCs w:val="21"/>
                <w:highlight w:val="none"/>
                <w:lang w:val="en-US" w:eastAsia="zh-CN"/>
              </w:rPr>
              <w:t>潜在</w:t>
            </w:r>
            <w:r>
              <w:rPr>
                <w:rFonts w:hint="eastAsia" w:ascii="宋体" w:hAnsi="宋体" w:eastAsia="宋体" w:cs="宋体"/>
                <w:b w:val="0"/>
                <w:bCs w:val="0"/>
                <w:color w:val="auto"/>
                <w:sz w:val="21"/>
                <w:szCs w:val="21"/>
                <w:highlight w:val="none"/>
              </w:rPr>
              <w:t>投标人注意查看有关澄清内容，如不及时查看或领取造成后果由投标人自负。</w:t>
            </w:r>
          </w:p>
        </w:tc>
      </w:tr>
      <w:tr w14:paraId="1CBB52C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3DFE89E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B6EBF9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偏离</w:t>
            </w:r>
          </w:p>
        </w:tc>
        <w:tc>
          <w:tcPr>
            <w:tcW w:w="7529" w:type="dxa"/>
            <w:tcBorders>
              <w:top w:val="single" w:color="auto" w:sz="4" w:space="0"/>
              <w:left w:val="single" w:color="auto" w:sz="4" w:space="0"/>
              <w:bottom w:val="single" w:color="auto" w:sz="4" w:space="0"/>
              <w:right w:val="single" w:color="auto" w:sz="4" w:space="0"/>
            </w:tcBorders>
            <w:vAlign w:val="center"/>
          </w:tcPr>
          <w:p w14:paraId="268F6BD4">
            <w:pPr>
              <w:pStyle w:val="16"/>
              <w:keepNext w:val="0"/>
              <w:keepLines w:val="0"/>
              <w:pageBreakBefore w:val="0"/>
              <w:kinsoku/>
              <w:overflowPunct/>
              <w:topLine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详见招标文件1.11偏离</w:t>
            </w:r>
          </w:p>
        </w:tc>
      </w:tr>
      <w:tr w14:paraId="1B5C66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49E861F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5F9D06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构成招标文件的其他材料</w:t>
            </w:r>
          </w:p>
        </w:tc>
        <w:tc>
          <w:tcPr>
            <w:tcW w:w="7529" w:type="dxa"/>
            <w:tcBorders>
              <w:top w:val="single" w:color="auto" w:sz="4" w:space="0"/>
              <w:left w:val="single" w:color="auto" w:sz="4" w:space="0"/>
              <w:bottom w:val="single" w:color="auto" w:sz="4" w:space="0"/>
              <w:right w:val="single" w:color="auto" w:sz="4" w:space="0"/>
            </w:tcBorders>
            <w:vAlign w:val="center"/>
          </w:tcPr>
          <w:p w14:paraId="7BD9513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本工程招标澄清答疑文件等。</w:t>
            </w:r>
          </w:p>
        </w:tc>
      </w:tr>
      <w:tr w14:paraId="63D0014D">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5913D41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4796B1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投标人要求澄清招标文件的截止时间及方式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38B586BF">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同本表第13条</w:t>
            </w:r>
          </w:p>
        </w:tc>
      </w:tr>
      <w:tr w14:paraId="35E48778">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6774F8B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B12786A">
            <w:pPr>
              <w:keepNext w:val="0"/>
              <w:keepLines w:val="0"/>
              <w:pageBreakBefore w:val="0"/>
              <w:kinsoku/>
              <w:overflowPunct/>
              <w:autoSpaceDE/>
              <w:autoSpaceDN/>
              <w:bidi w:val="0"/>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最高投标限价</w:t>
            </w:r>
          </w:p>
        </w:tc>
        <w:tc>
          <w:tcPr>
            <w:tcW w:w="7529" w:type="dxa"/>
            <w:tcBorders>
              <w:top w:val="single" w:color="auto" w:sz="4" w:space="0"/>
              <w:left w:val="single" w:color="auto" w:sz="4" w:space="0"/>
              <w:bottom w:val="single" w:color="auto" w:sz="4" w:space="0"/>
              <w:right w:val="single" w:color="auto" w:sz="4" w:space="0"/>
            </w:tcBorders>
            <w:vAlign w:val="center"/>
          </w:tcPr>
          <w:p w14:paraId="75A4D270">
            <w:pPr>
              <w:keepNext w:val="0"/>
              <w:keepLines w:val="0"/>
              <w:pageBreakBefore w:val="0"/>
              <w:numPr>
                <w:ilvl w:val="0"/>
                <w:numId w:val="0"/>
              </w:numPr>
              <w:kinsoku/>
              <w:overflowPunct/>
              <w:autoSpaceDE/>
              <w:autoSpaceDN/>
              <w:bidi w:val="0"/>
              <w:spacing w:line="50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本项目最高限价为</w:t>
            </w:r>
            <w:r>
              <w:rPr>
                <w:rFonts w:hint="eastAsia" w:ascii="宋体" w:hAnsi="宋体" w:cs="宋体"/>
                <w:b/>
                <w:bCs/>
                <w:color w:val="auto"/>
                <w:sz w:val="21"/>
                <w:szCs w:val="21"/>
                <w:highlight w:val="none"/>
                <w:lang w:val="en-US" w:eastAsia="zh-CN"/>
              </w:rPr>
              <w:t>陆万伍仟肆佰壹拾壹元贰角（65411.20元）</w:t>
            </w:r>
            <w:r>
              <w:rPr>
                <w:rFonts w:hint="eastAsia" w:ascii="宋体" w:hAnsi="宋体" w:eastAsia="宋体" w:cs="宋体"/>
                <w:b/>
                <w:bCs/>
                <w:color w:val="auto"/>
                <w:sz w:val="21"/>
                <w:szCs w:val="21"/>
                <w:highlight w:val="none"/>
                <w:lang w:val="en-US" w:eastAsia="zh-CN"/>
              </w:rPr>
              <w:t>，投标报价（含对应综合单价）不得超过最高投标限价（含对应最高综合单价），否则按无效投标处理。</w:t>
            </w:r>
          </w:p>
        </w:tc>
      </w:tr>
      <w:tr w14:paraId="1113B7E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7D4233A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23AA7F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7529" w:type="dxa"/>
            <w:tcBorders>
              <w:top w:val="single" w:color="auto" w:sz="4" w:space="0"/>
              <w:left w:val="single" w:color="auto" w:sz="4" w:space="0"/>
              <w:bottom w:val="single" w:color="auto" w:sz="4" w:space="0"/>
              <w:right w:val="single" w:color="auto" w:sz="4" w:space="0"/>
            </w:tcBorders>
            <w:vAlign w:val="center"/>
          </w:tcPr>
          <w:p w14:paraId="778F012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90</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76D2FBE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860666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0539B8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7529" w:type="dxa"/>
            <w:tcBorders>
              <w:top w:val="single" w:color="auto" w:sz="4" w:space="0"/>
              <w:left w:val="single" w:color="auto" w:sz="4" w:space="0"/>
              <w:bottom w:val="single" w:color="auto" w:sz="4" w:space="0"/>
              <w:right w:val="single" w:color="auto" w:sz="4" w:space="0"/>
            </w:tcBorders>
            <w:vAlign w:val="center"/>
          </w:tcPr>
          <w:p w14:paraId="630873E5">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本项目无需缴纳投标保证金。</w:t>
            </w:r>
          </w:p>
        </w:tc>
      </w:tr>
      <w:tr w14:paraId="1747EF2F">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6ACEBE4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7D15B9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7529" w:type="dxa"/>
            <w:tcBorders>
              <w:top w:val="single" w:color="auto" w:sz="4" w:space="0"/>
              <w:left w:val="single" w:color="auto" w:sz="4" w:space="0"/>
              <w:bottom w:val="single" w:color="auto" w:sz="4" w:space="0"/>
              <w:right w:val="single" w:color="auto" w:sz="4" w:space="0"/>
            </w:tcBorders>
            <w:vAlign w:val="center"/>
          </w:tcPr>
          <w:p w14:paraId="6741ACD0">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Cs w:val="21"/>
                <w:highlight w:val="none"/>
              </w:rPr>
              <w:t>投标文件须按格式文件要求签字或盖章。</w:t>
            </w:r>
          </w:p>
        </w:tc>
      </w:tr>
      <w:tr w14:paraId="66CE6403">
        <w:tblPrEx>
          <w:tblCellMar>
            <w:top w:w="0" w:type="dxa"/>
            <w:left w:w="108" w:type="dxa"/>
            <w:bottom w:w="0" w:type="dxa"/>
            <w:right w:w="108" w:type="dxa"/>
          </w:tblCellMar>
        </w:tblPrEx>
        <w:trPr>
          <w:trHeight w:val="9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2C9BAC4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886895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投标文件份数</w:t>
            </w:r>
          </w:p>
        </w:tc>
        <w:tc>
          <w:tcPr>
            <w:tcW w:w="7529" w:type="dxa"/>
            <w:tcBorders>
              <w:top w:val="single" w:color="auto" w:sz="4" w:space="0"/>
              <w:left w:val="single" w:color="auto" w:sz="4" w:space="0"/>
              <w:bottom w:val="single" w:color="auto" w:sz="4" w:space="0"/>
              <w:right w:val="single" w:color="auto" w:sz="4" w:space="0"/>
            </w:tcBorders>
            <w:vAlign w:val="center"/>
          </w:tcPr>
          <w:p w14:paraId="1E349287">
            <w:pPr>
              <w:spacing w:line="500" w:lineRule="exact"/>
              <w:jc w:val="left"/>
              <w:rPr>
                <w:rFonts w:hint="eastAsia" w:ascii="宋体" w:hAnsi="宋体" w:eastAsia="宋体" w:cs="宋体"/>
                <w:color w:val="auto"/>
                <w:spacing w:val="-4"/>
                <w:kern w:val="0"/>
                <w:szCs w:val="21"/>
                <w:highlight w:val="none"/>
              </w:rPr>
            </w:pPr>
            <w:r>
              <w:rPr>
                <w:rFonts w:hint="eastAsia" w:ascii="宋体" w:hAnsi="宋体" w:eastAsia="宋体" w:cs="宋体"/>
                <w:color w:val="auto"/>
                <w:spacing w:val="-4"/>
                <w:kern w:val="0"/>
                <w:szCs w:val="21"/>
                <w:highlight w:val="none"/>
              </w:rPr>
              <w:t>加密电子投标文件应在投标截止时间前通过</w:t>
            </w:r>
            <w:r>
              <w:rPr>
                <w:rFonts w:hint="eastAsia" w:ascii="宋体" w:hAnsi="宋体" w:eastAsia="宋体" w:cs="宋体"/>
                <w:color w:val="auto"/>
                <w:spacing w:val="-4"/>
                <w:kern w:val="0"/>
                <w:szCs w:val="21"/>
                <w:highlight w:val="none"/>
                <w:lang w:val="en-US" w:eastAsia="zh-CN"/>
              </w:rPr>
              <w:t>新点电子交易平台【滁州专区】</w:t>
            </w:r>
            <w:r>
              <w:rPr>
                <w:rFonts w:hint="eastAsia" w:ascii="宋体" w:hAnsi="宋体" w:eastAsia="宋体" w:cs="宋体"/>
                <w:color w:val="auto"/>
                <w:spacing w:val="-4"/>
                <w:kern w:val="0"/>
                <w:szCs w:val="21"/>
                <w:highlight w:val="none"/>
              </w:rPr>
              <w:t>上传。</w:t>
            </w:r>
          </w:p>
          <w:p w14:paraId="32CC7DF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4"/>
                <w:kern w:val="0"/>
                <w:sz w:val="21"/>
                <w:szCs w:val="21"/>
                <w:highlight w:val="none"/>
                <w:lang w:val="en-US" w:eastAsia="zh-CN" w:bidi="ar-SA"/>
              </w:rPr>
              <w:t>（投标人中标后须递交与网上电子投标文件完全一致的纸质版投标文件，并按要求加盖单位公章；份数：正本1份，副本1份；中标人领取中标通知书时，一并递交给招标代理机构）。</w:t>
            </w:r>
          </w:p>
        </w:tc>
      </w:tr>
      <w:tr w14:paraId="3DDBEB97">
        <w:tblPrEx>
          <w:tblCellMar>
            <w:top w:w="0" w:type="dxa"/>
            <w:left w:w="108" w:type="dxa"/>
            <w:bottom w:w="0" w:type="dxa"/>
            <w:right w:w="108" w:type="dxa"/>
          </w:tblCellMar>
        </w:tblPrEx>
        <w:trPr>
          <w:trHeight w:val="510" w:hRule="atLeast"/>
          <w:jc w:val="center"/>
        </w:trPr>
        <w:tc>
          <w:tcPr>
            <w:tcW w:w="868" w:type="dxa"/>
            <w:vMerge w:val="restart"/>
            <w:tcBorders>
              <w:left w:val="single" w:color="auto" w:sz="4" w:space="0"/>
              <w:right w:val="single" w:color="auto" w:sz="4" w:space="0"/>
            </w:tcBorders>
            <w:vAlign w:val="center"/>
          </w:tcPr>
          <w:p w14:paraId="2E919B0C">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1C16330">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投标截止时间</w:t>
            </w:r>
          </w:p>
        </w:tc>
        <w:tc>
          <w:tcPr>
            <w:tcW w:w="7529" w:type="dxa"/>
            <w:tcBorders>
              <w:top w:val="single" w:color="auto" w:sz="4" w:space="0"/>
              <w:left w:val="single" w:color="auto" w:sz="4" w:space="0"/>
              <w:bottom w:val="single" w:color="auto" w:sz="4" w:space="0"/>
              <w:right w:val="single" w:color="auto" w:sz="4" w:space="0"/>
            </w:tcBorders>
            <w:vAlign w:val="center"/>
          </w:tcPr>
          <w:p w14:paraId="63E5E395">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11</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16</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00</w:t>
            </w:r>
            <w:r>
              <w:rPr>
                <w:rFonts w:hint="eastAsia" w:ascii="宋体" w:hAnsi="宋体" w:eastAsia="宋体" w:cs="宋体"/>
                <w:b/>
                <w:color w:val="auto"/>
                <w:spacing w:val="-4"/>
                <w:kern w:val="0"/>
                <w:sz w:val="21"/>
                <w:szCs w:val="21"/>
                <w:highlight w:val="none"/>
              </w:rPr>
              <w:t>分（北京时间）</w:t>
            </w:r>
          </w:p>
        </w:tc>
      </w:tr>
      <w:tr w14:paraId="7FF0820C">
        <w:tblPrEx>
          <w:tblCellMar>
            <w:top w:w="0" w:type="dxa"/>
            <w:left w:w="108" w:type="dxa"/>
            <w:bottom w:w="0" w:type="dxa"/>
            <w:right w:w="108" w:type="dxa"/>
          </w:tblCellMar>
        </w:tblPrEx>
        <w:trPr>
          <w:jc w:val="center"/>
        </w:trPr>
        <w:tc>
          <w:tcPr>
            <w:tcW w:w="868" w:type="dxa"/>
            <w:vMerge w:val="continue"/>
            <w:tcBorders>
              <w:left w:val="single" w:color="auto" w:sz="4" w:space="0"/>
              <w:right w:val="single" w:color="auto" w:sz="4" w:space="0"/>
            </w:tcBorders>
            <w:vAlign w:val="center"/>
          </w:tcPr>
          <w:p w14:paraId="7403350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83981C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递交投标文件地点</w:t>
            </w:r>
          </w:p>
        </w:tc>
        <w:tc>
          <w:tcPr>
            <w:tcW w:w="7529" w:type="dxa"/>
            <w:tcBorders>
              <w:top w:val="single" w:color="auto" w:sz="4" w:space="0"/>
              <w:left w:val="single" w:color="auto" w:sz="4" w:space="0"/>
              <w:bottom w:val="single" w:color="auto" w:sz="4" w:space="0"/>
              <w:right w:val="single" w:color="auto" w:sz="4" w:space="0"/>
            </w:tcBorders>
            <w:vAlign w:val="center"/>
          </w:tcPr>
          <w:p w14:paraId="729B8BA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通过新点电子交易平台后在【滁州专区】（https://www.etrading.cn/BREpointSSO/login/oauth2login?regioncode=DQ_ChuZhou）交易系统递交电子投标文件。</w:t>
            </w:r>
          </w:p>
        </w:tc>
      </w:tr>
      <w:tr w14:paraId="68BDA1A4">
        <w:tblPrEx>
          <w:tblCellMar>
            <w:top w:w="0" w:type="dxa"/>
            <w:left w:w="108" w:type="dxa"/>
            <w:bottom w:w="0" w:type="dxa"/>
            <w:right w:w="108" w:type="dxa"/>
          </w:tblCellMar>
        </w:tblPrEx>
        <w:trPr>
          <w:jc w:val="center"/>
        </w:trPr>
        <w:tc>
          <w:tcPr>
            <w:tcW w:w="868" w:type="dxa"/>
            <w:vMerge w:val="continue"/>
            <w:tcBorders>
              <w:left w:val="single" w:color="auto" w:sz="4" w:space="0"/>
              <w:right w:val="single" w:color="auto" w:sz="4" w:space="0"/>
            </w:tcBorders>
            <w:vAlign w:val="center"/>
          </w:tcPr>
          <w:p w14:paraId="534743D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FCA95B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7529" w:type="dxa"/>
            <w:tcBorders>
              <w:top w:val="single" w:color="auto" w:sz="4" w:space="0"/>
              <w:left w:val="single" w:color="auto" w:sz="4" w:space="0"/>
              <w:bottom w:val="single" w:color="auto" w:sz="4" w:space="0"/>
              <w:right w:val="single" w:color="auto" w:sz="4" w:space="0"/>
            </w:tcBorders>
            <w:vAlign w:val="center"/>
          </w:tcPr>
          <w:p w14:paraId="6657B8B5">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开标时间：同投标截止时间</w:t>
            </w:r>
          </w:p>
          <w:p w14:paraId="65E8B040">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开标地点：</w:t>
            </w:r>
            <w:r>
              <w:rPr>
                <w:rFonts w:hint="eastAsia" w:ascii="宋体" w:hAnsi="宋体" w:eastAsia="宋体" w:cs="宋体"/>
                <w:color w:val="auto"/>
                <w:sz w:val="21"/>
                <w:szCs w:val="21"/>
                <w:highlight w:val="none"/>
                <w:lang w:val="en-US" w:eastAsia="zh-CN"/>
              </w:rPr>
              <w:t>见招标公告</w:t>
            </w:r>
          </w:p>
          <w:p w14:paraId="2CD2212E">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注：解密程序开始后30分钟内（以电子交易系统解密倒计时为准），解密时间为</w:t>
            </w: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11</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16</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00</w:t>
            </w:r>
            <w:r>
              <w:rPr>
                <w:rFonts w:hint="eastAsia" w:ascii="宋体" w:hAnsi="宋体" w:eastAsia="宋体" w:cs="宋体"/>
                <w:b/>
                <w:color w:val="auto"/>
                <w:spacing w:val="-4"/>
                <w:kern w:val="0"/>
                <w:sz w:val="21"/>
                <w:szCs w:val="21"/>
                <w:highlight w:val="none"/>
              </w:rPr>
              <w:t>分</w:t>
            </w:r>
            <w:r>
              <w:rPr>
                <w:rFonts w:hint="eastAsia" w:ascii="宋体" w:hAnsi="宋体" w:cs="宋体"/>
                <w:b/>
                <w:bCs/>
                <w:color w:val="auto"/>
                <w:sz w:val="21"/>
                <w:szCs w:val="21"/>
                <w:highlight w:val="none"/>
                <w:lang w:val="en-US" w:eastAsia="zh-CN"/>
              </w:rPr>
              <w:t>至</w:t>
            </w: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11</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16</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30</w:t>
            </w:r>
            <w:r>
              <w:rPr>
                <w:rFonts w:hint="eastAsia" w:ascii="宋体" w:hAnsi="宋体" w:eastAsia="宋体" w:cs="宋体"/>
                <w:b/>
                <w:color w:val="auto"/>
                <w:spacing w:val="-4"/>
                <w:kern w:val="0"/>
                <w:sz w:val="21"/>
                <w:szCs w:val="21"/>
                <w:highlight w:val="none"/>
              </w:rPr>
              <w:t>分</w:t>
            </w:r>
            <w:r>
              <w:rPr>
                <w:rFonts w:hint="eastAsia" w:ascii="宋体" w:hAnsi="宋体" w:cs="宋体"/>
                <w:b/>
                <w:bCs/>
                <w:color w:val="auto"/>
                <w:sz w:val="21"/>
                <w:szCs w:val="21"/>
                <w:highlight w:val="none"/>
                <w:lang w:val="en-US" w:eastAsia="zh-CN"/>
              </w:rPr>
              <w:t>。</w:t>
            </w:r>
          </w:p>
        </w:tc>
      </w:tr>
      <w:tr w14:paraId="258E7419">
        <w:tblPrEx>
          <w:tblCellMar>
            <w:top w:w="0" w:type="dxa"/>
            <w:left w:w="108" w:type="dxa"/>
            <w:bottom w:w="0" w:type="dxa"/>
            <w:right w:w="108" w:type="dxa"/>
          </w:tblCellMar>
        </w:tblPrEx>
        <w:trPr>
          <w:trHeight w:val="557" w:hRule="atLeast"/>
          <w:jc w:val="center"/>
        </w:trPr>
        <w:tc>
          <w:tcPr>
            <w:tcW w:w="868" w:type="dxa"/>
            <w:vMerge w:val="continue"/>
            <w:tcBorders>
              <w:left w:val="single" w:color="auto" w:sz="4" w:space="0"/>
              <w:right w:val="single" w:color="auto" w:sz="4" w:space="0"/>
            </w:tcBorders>
            <w:vAlign w:val="center"/>
          </w:tcPr>
          <w:p w14:paraId="4220165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3D5ED4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开标顺序</w:t>
            </w:r>
          </w:p>
        </w:tc>
        <w:tc>
          <w:tcPr>
            <w:tcW w:w="7529" w:type="dxa"/>
            <w:tcBorders>
              <w:top w:val="single" w:color="auto" w:sz="4" w:space="0"/>
              <w:left w:val="single" w:color="auto" w:sz="4" w:space="0"/>
              <w:bottom w:val="single" w:color="auto" w:sz="4" w:space="0"/>
              <w:right w:val="single" w:color="auto" w:sz="4" w:space="0"/>
            </w:tcBorders>
            <w:vAlign w:val="center"/>
          </w:tcPr>
          <w:p w14:paraId="11528BF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公布在投标截止时间前通过电子交易系统完成投标文件递交的投标人名称</w:t>
            </w:r>
            <w:r>
              <w:rPr>
                <w:rFonts w:hint="eastAsia" w:ascii="宋体" w:hAnsi="宋体" w:cs="宋体"/>
                <w:color w:val="auto"/>
                <w:spacing w:val="-4"/>
                <w:kern w:val="0"/>
                <w:szCs w:val="21"/>
                <w:highlight w:val="none"/>
                <w:lang w:eastAsia="zh-CN"/>
              </w:rPr>
              <w:t>，</w:t>
            </w:r>
            <w:r>
              <w:rPr>
                <w:rFonts w:hint="eastAsia" w:ascii="宋体" w:hAnsi="宋体" w:cs="宋体"/>
                <w:color w:val="auto"/>
                <w:sz w:val="21"/>
                <w:szCs w:val="21"/>
                <w:highlight w:val="none"/>
                <w:lang w:val="en-US" w:eastAsia="zh-CN"/>
              </w:rPr>
              <w:t>再</w:t>
            </w:r>
            <w:r>
              <w:rPr>
                <w:rFonts w:hint="eastAsia" w:ascii="宋体" w:hAnsi="宋体" w:eastAsia="宋体" w:cs="宋体"/>
                <w:color w:val="auto"/>
                <w:sz w:val="21"/>
                <w:szCs w:val="21"/>
                <w:highlight w:val="none"/>
              </w:rPr>
              <w:t>进行符合性审查，</w:t>
            </w:r>
            <w:r>
              <w:rPr>
                <w:rFonts w:hint="eastAsia" w:ascii="宋体" w:hAnsi="宋体" w:cs="宋体"/>
                <w:color w:val="auto"/>
                <w:sz w:val="21"/>
                <w:szCs w:val="21"/>
                <w:highlight w:val="none"/>
                <w:lang w:val="en-US" w:eastAsia="zh-CN"/>
              </w:rPr>
              <w:t>最后</w:t>
            </w:r>
            <w:r>
              <w:rPr>
                <w:rFonts w:hint="eastAsia" w:ascii="宋体" w:hAnsi="宋体" w:eastAsia="宋体" w:cs="宋体"/>
                <w:color w:val="auto"/>
                <w:sz w:val="21"/>
                <w:szCs w:val="21"/>
                <w:highlight w:val="none"/>
              </w:rPr>
              <w:t>进行综合评审。</w:t>
            </w:r>
          </w:p>
        </w:tc>
      </w:tr>
      <w:tr w14:paraId="7467580B">
        <w:tblPrEx>
          <w:tblCellMar>
            <w:top w:w="0" w:type="dxa"/>
            <w:left w:w="108" w:type="dxa"/>
            <w:bottom w:w="0" w:type="dxa"/>
            <w:right w:w="108" w:type="dxa"/>
          </w:tblCellMar>
        </w:tblPrEx>
        <w:trPr>
          <w:trHeight w:val="91"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3DC6A2A3">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E27E140">
            <w:pPr>
              <w:keepNext w:val="0"/>
              <w:keepLines w:val="0"/>
              <w:pageBreakBefore w:val="0"/>
              <w:kinsoku/>
              <w:overflowPunct/>
              <w:autoSpaceDE/>
              <w:autoSpaceDN/>
              <w:bidi w:val="0"/>
              <w:spacing w:line="500" w:lineRule="exact"/>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是否退还</w:t>
            </w:r>
            <w:r>
              <w:rPr>
                <w:rFonts w:hint="eastAsia" w:ascii="宋体" w:hAnsi="宋体" w:cs="宋体"/>
                <w:bCs/>
                <w:color w:val="auto"/>
                <w:sz w:val="21"/>
                <w:szCs w:val="21"/>
                <w:highlight w:val="none"/>
                <w:lang w:val="en-US" w:eastAsia="zh-CN"/>
              </w:rPr>
              <w:t>投标文件</w:t>
            </w:r>
          </w:p>
        </w:tc>
        <w:tc>
          <w:tcPr>
            <w:tcW w:w="7529" w:type="dxa"/>
            <w:tcBorders>
              <w:top w:val="single" w:color="auto" w:sz="4" w:space="0"/>
              <w:left w:val="single" w:color="auto" w:sz="4" w:space="0"/>
              <w:bottom w:val="single" w:color="auto" w:sz="4" w:space="0"/>
              <w:right w:val="single" w:color="auto" w:sz="4" w:space="0"/>
            </w:tcBorders>
            <w:vAlign w:val="center"/>
          </w:tcPr>
          <w:p w14:paraId="5AA15E09">
            <w:pPr>
              <w:pStyle w:val="16"/>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BDF6972">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507F1569">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F521F1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7529" w:type="dxa"/>
            <w:tcBorders>
              <w:top w:val="single" w:color="auto" w:sz="4" w:space="0"/>
              <w:left w:val="single" w:color="auto" w:sz="4" w:space="0"/>
              <w:bottom w:val="single" w:color="auto" w:sz="4" w:space="0"/>
              <w:right w:val="single" w:color="auto" w:sz="4" w:space="0"/>
            </w:tcBorders>
            <w:vAlign w:val="center"/>
          </w:tcPr>
          <w:p w14:paraId="3FBAF243">
            <w:pPr>
              <w:keepNext w:val="0"/>
              <w:keepLines w:val="0"/>
              <w:pageBreakBefore w:val="0"/>
              <w:kinsoku/>
              <w:wordWrap w:val="0"/>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评标委员会构成：</w:t>
            </w:r>
            <w:r>
              <w:rPr>
                <w:rFonts w:hint="eastAsia" w:ascii="宋体" w:hAnsi="宋体" w:eastAsia="宋体" w:cs="宋体"/>
                <w:b/>
                <w:bCs/>
                <w:color w:val="auto"/>
                <w:sz w:val="21"/>
                <w:szCs w:val="21"/>
                <w:highlight w:val="none"/>
                <w:u w:val="none"/>
                <w:lang w:val="en-US" w:eastAsia="zh-CN"/>
              </w:rPr>
              <w:t>招标人</w:t>
            </w:r>
            <w:r>
              <w:rPr>
                <w:rFonts w:hint="eastAsia" w:ascii="宋体" w:hAnsi="宋体" w:cs="宋体"/>
                <w:b/>
                <w:bCs/>
                <w:color w:val="auto"/>
                <w:sz w:val="21"/>
                <w:szCs w:val="21"/>
                <w:highlight w:val="none"/>
                <w:u w:val="none"/>
                <w:lang w:val="en-US" w:eastAsia="zh-CN"/>
              </w:rPr>
              <w:t>自行</w:t>
            </w:r>
            <w:r>
              <w:rPr>
                <w:rFonts w:hint="eastAsia" w:ascii="宋体" w:hAnsi="宋体" w:eastAsia="宋体" w:cs="宋体"/>
                <w:b/>
                <w:bCs/>
                <w:color w:val="auto"/>
                <w:sz w:val="21"/>
                <w:szCs w:val="21"/>
                <w:highlight w:val="none"/>
                <w:u w:val="none"/>
                <w:lang w:val="en-US" w:eastAsia="zh-CN"/>
              </w:rPr>
              <w:t>组建</w:t>
            </w:r>
            <w:r>
              <w:rPr>
                <w:rFonts w:hint="eastAsia" w:ascii="宋体" w:hAnsi="宋体" w:cs="宋体"/>
                <w:b/>
                <w:bCs/>
                <w:color w:val="auto"/>
                <w:sz w:val="21"/>
                <w:szCs w:val="21"/>
                <w:highlight w:val="none"/>
                <w:u w:val="none"/>
                <w:lang w:val="en-US" w:eastAsia="zh-CN"/>
              </w:rPr>
              <w:t>。</w:t>
            </w:r>
          </w:p>
        </w:tc>
      </w:tr>
      <w:tr w14:paraId="5A57B91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A5CCA7F">
            <w:pPr>
              <w:keepNext w:val="0"/>
              <w:keepLines w:val="0"/>
              <w:pageBreakBefore w:val="0"/>
              <w:kinsoku/>
              <w:overflowPunct/>
              <w:autoSpaceDE/>
              <w:autoSpaceDN/>
              <w:bidi w:val="0"/>
              <w:spacing w:line="50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cs="宋体"/>
                <w:color w:val="auto"/>
                <w:sz w:val="21"/>
                <w:szCs w:val="21"/>
                <w:highlight w:val="none"/>
                <w:lang w:val="en-US" w:eastAsia="zh-CN"/>
              </w:rPr>
              <w:t>26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5929B95">
            <w:pPr>
              <w:keepNext w:val="0"/>
              <w:keepLines w:val="0"/>
              <w:pageBreakBefore w:val="0"/>
              <w:kinsoku/>
              <w:overflowPunct/>
              <w:autoSpaceDE/>
              <w:autoSpaceDN/>
              <w:bidi w:val="0"/>
              <w:spacing w:line="5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是否授权评标委员会确定中标候选人</w:t>
            </w:r>
          </w:p>
        </w:tc>
        <w:tc>
          <w:tcPr>
            <w:tcW w:w="7529" w:type="dxa"/>
            <w:tcBorders>
              <w:top w:val="single" w:color="auto" w:sz="4" w:space="0"/>
              <w:left w:val="single" w:color="auto" w:sz="4" w:space="0"/>
              <w:bottom w:val="single" w:color="auto" w:sz="4" w:space="0"/>
              <w:right w:val="single" w:color="auto" w:sz="4" w:space="0"/>
            </w:tcBorders>
            <w:vAlign w:val="center"/>
          </w:tcPr>
          <w:p w14:paraId="7782666B">
            <w:pPr>
              <w:keepNext w:val="0"/>
              <w:keepLines w:val="0"/>
              <w:pageBreakBefore w:val="0"/>
              <w:kinsoku/>
              <w:overflowPunct/>
              <w:autoSpaceDE/>
              <w:autoSpaceDN/>
              <w:bidi w:val="0"/>
              <w:spacing w:line="50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是，推荐的中标候选人数：</w:t>
            </w: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名，并标明排序。</w:t>
            </w:r>
          </w:p>
        </w:tc>
      </w:tr>
      <w:tr w14:paraId="5CE29EEE">
        <w:tblPrEx>
          <w:tblCellMar>
            <w:top w:w="0" w:type="dxa"/>
            <w:left w:w="108" w:type="dxa"/>
            <w:bottom w:w="0" w:type="dxa"/>
            <w:right w:w="108" w:type="dxa"/>
          </w:tblCellMar>
        </w:tblPrEx>
        <w:trPr>
          <w:jc w:val="center"/>
        </w:trPr>
        <w:tc>
          <w:tcPr>
            <w:tcW w:w="868" w:type="dxa"/>
            <w:tcBorders>
              <w:top w:val="single" w:color="auto" w:sz="4" w:space="0"/>
              <w:left w:val="single" w:color="auto" w:sz="4" w:space="0"/>
              <w:right w:val="single" w:color="auto" w:sz="4" w:space="0"/>
            </w:tcBorders>
            <w:vAlign w:val="center"/>
          </w:tcPr>
          <w:p w14:paraId="66A11B1E">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27</w:t>
            </w:r>
          </w:p>
        </w:tc>
        <w:tc>
          <w:tcPr>
            <w:tcW w:w="2130" w:type="dxa"/>
            <w:gridSpan w:val="2"/>
            <w:tcBorders>
              <w:top w:val="single" w:color="auto" w:sz="4" w:space="0"/>
              <w:left w:val="single" w:color="auto" w:sz="4" w:space="0"/>
              <w:right w:val="single" w:color="auto" w:sz="4" w:space="0"/>
            </w:tcBorders>
            <w:vAlign w:val="center"/>
          </w:tcPr>
          <w:p w14:paraId="0A78473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中标候选人公示媒介</w:t>
            </w:r>
          </w:p>
        </w:tc>
        <w:tc>
          <w:tcPr>
            <w:tcW w:w="7529" w:type="dxa"/>
            <w:tcBorders>
              <w:top w:val="single" w:color="auto" w:sz="4" w:space="0"/>
              <w:left w:val="single" w:color="auto" w:sz="4" w:space="0"/>
              <w:right w:val="single" w:color="auto" w:sz="4" w:space="0"/>
            </w:tcBorders>
            <w:vAlign w:val="center"/>
          </w:tcPr>
          <w:p w14:paraId="14EAF808">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滁州同业投资发展有限公司微信公众号、滁州市城投工程咨询管理有限公司网站（https://www.czctgczx.com/）</w:t>
            </w:r>
          </w:p>
        </w:tc>
      </w:tr>
      <w:tr w14:paraId="400F4D59">
        <w:tblPrEx>
          <w:tblCellMar>
            <w:top w:w="0" w:type="dxa"/>
            <w:left w:w="108" w:type="dxa"/>
            <w:bottom w:w="0" w:type="dxa"/>
            <w:right w:w="108" w:type="dxa"/>
          </w:tblCellMar>
        </w:tblPrEx>
        <w:trPr>
          <w:jc w:val="center"/>
        </w:trPr>
        <w:tc>
          <w:tcPr>
            <w:tcW w:w="868" w:type="dxa"/>
            <w:tcBorders>
              <w:top w:val="single" w:color="auto" w:sz="4" w:space="0"/>
              <w:left w:val="single" w:color="auto" w:sz="4" w:space="0"/>
              <w:right w:val="single" w:color="auto" w:sz="4" w:space="0"/>
            </w:tcBorders>
            <w:vAlign w:val="center"/>
          </w:tcPr>
          <w:p w14:paraId="3649D7A0">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28</w:t>
            </w:r>
          </w:p>
        </w:tc>
        <w:tc>
          <w:tcPr>
            <w:tcW w:w="2130" w:type="dxa"/>
            <w:gridSpan w:val="2"/>
            <w:tcBorders>
              <w:top w:val="single" w:color="auto" w:sz="4" w:space="0"/>
              <w:left w:val="single" w:color="auto" w:sz="4" w:space="0"/>
              <w:right w:val="single" w:color="auto" w:sz="4" w:space="0"/>
            </w:tcBorders>
            <w:vAlign w:val="center"/>
          </w:tcPr>
          <w:p w14:paraId="5B137C86">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中标通知书发出形式</w:t>
            </w:r>
          </w:p>
        </w:tc>
        <w:tc>
          <w:tcPr>
            <w:tcW w:w="7529" w:type="dxa"/>
            <w:tcBorders>
              <w:top w:val="single" w:color="auto" w:sz="4" w:space="0"/>
              <w:left w:val="single" w:color="auto" w:sz="4" w:space="0"/>
              <w:right w:val="single" w:color="auto" w:sz="4" w:space="0"/>
            </w:tcBorders>
            <w:vAlign w:val="center"/>
          </w:tcPr>
          <w:p w14:paraId="43A86472">
            <w:pPr>
              <w:keepNext w:val="0"/>
              <w:keepLines w:val="0"/>
              <w:pageBreakBefore w:val="0"/>
              <w:widowControl/>
              <w:kinsoku/>
              <w:wordWrap/>
              <w:overflowPunct/>
              <w:autoSpaceDE/>
              <w:autoSpaceDN/>
              <w:bidi w:val="0"/>
              <w:adjustRightInd w:val="0"/>
              <w:snapToGrid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纸质</w:t>
            </w:r>
          </w:p>
        </w:tc>
      </w:tr>
      <w:tr w14:paraId="15AA952E">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D814A2F">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CFD929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7529" w:type="dxa"/>
            <w:tcBorders>
              <w:top w:val="single" w:color="auto" w:sz="4" w:space="0"/>
              <w:left w:val="single" w:color="auto" w:sz="4" w:space="0"/>
              <w:bottom w:val="single" w:color="auto" w:sz="4" w:space="0"/>
              <w:right w:val="single" w:color="auto" w:sz="4" w:space="0"/>
            </w:tcBorders>
            <w:vAlign w:val="center"/>
          </w:tcPr>
          <w:p w14:paraId="5F1BD6EE">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不要求中标人提交履约保证金。</w:t>
            </w:r>
          </w:p>
        </w:tc>
      </w:tr>
      <w:tr w14:paraId="024102EB">
        <w:tblPrEx>
          <w:tblCellMar>
            <w:top w:w="0" w:type="dxa"/>
            <w:left w:w="108" w:type="dxa"/>
            <w:bottom w:w="0" w:type="dxa"/>
            <w:right w:w="108" w:type="dxa"/>
          </w:tblCellMar>
        </w:tblPrEx>
        <w:trPr>
          <w:trHeight w:val="90" w:hRule="atLeast"/>
          <w:jc w:val="center"/>
        </w:trPr>
        <w:tc>
          <w:tcPr>
            <w:tcW w:w="10527" w:type="dxa"/>
            <w:gridSpan w:val="4"/>
            <w:tcBorders>
              <w:top w:val="single" w:color="auto" w:sz="4" w:space="0"/>
              <w:left w:val="single" w:color="auto" w:sz="4" w:space="0"/>
              <w:bottom w:val="single" w:color="auto" w:sz="4" w:space="0"/>
              <w:right w:val="single" w:color="auto" w:sz="4" w:space="0"/>
            </w:tcBorders>
            <w:vAlign w:val="center"/>
          </w:tcPr>
          <w:p w14:paraId="442548B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需要补充的其他内容</w:t>
            </w:r>
          </w:p>
        </w:tc>
      </w:tr>
      <w:tr w14:paraId="351F58D5">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616CECBB">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招标代理服务费</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1126A25F">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代理服务费具体金额</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2000</w:t>
            </w:r>
            <w:r>
              <w:rPr>
                <w:rFonts w:hint="eastAsia" w:ascii="宋体" w:hAnsi="宋体" w:eastAsia="宋体" w:cs="宋体"/>
                <w:color w:val="auto"/>
                <w:sz w:val="21"/>
                <w:szCs w:val="21"/>
                <w:highlight w:val="none"/>
                <w:lang w:val="en-US" w:eastAsia="zh-CN"/>
              </w:rPr>
              <w:t>元</w:t>
            </w:r>
            <w:r>
              <w:rPr>
                <w:rFonts w:hint="eastAsia" w:ascii="宋体" w:hAnsi="宋体" w:eastAsia="宋体" w:cs="宋体"/>
                <w:color w:val="auto"/>
                <w:sz w:val="21"/>
                <w:szCs w:val="21"/>
                <w:highlight w:val="none"/>
              </w:rPr>
              <w:t>；</w:t>
            </w:r>
          </w:p>
          <w:p w14:paraId="1EEA0567">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代理服务费主体：</w:t>
            </w:r>
            <w:r>
              <w:rPr>
                <w:rFonts w:hint="eastAsia" w:ascii="宋体" w:hAnsi="宋体" w:eastAsia="宋体" w:cs="宋体"/>
                <w:color w:val="auto"/>
                <w:sz w:val="21"/>
                <w:szCs w:val="21"/>
                <w:highlight w:val="none"/>
                <w:lang w:val="en-US" w:eastAsia="zh-CN"/>
              </w:rPr>
              <w:t>中标单位</w:t>
            </w:r>
          </w:p>
        </w:tc>
      </w:tr>
      <w:tr w14:paraId="7FC1F5A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6AD73985">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专家评审劳务费</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02C7DF9E">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费用或支付标准：</w:t>
            </w:r>
            <w:r>
              <w:rPr>
                <w:rFonts w:hint="eastAsia" w:ascii="宋体" w:hAnsi="宋体" w:eastAsia="宋体" w:cs="宋体"/>
                <w:color w:val="auto"/>
                <w:sz w:val="21"/>
                <w:szCs w:val="21"/>
                <w:highlight w:val="none"/>
                <w:lang w:val="en-US" w:eastAsia="zh-CN"/>
              </w:rPr>
              <w:t>以实际发生为准；</w:t>
            </w:r>
          </w:p>
          <w:p w14:paraId="2015AD46">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支付主体：</w:t>
            </w:r>
            <w:r>
              <w:rPr>
                <w:rFonts w:hint="eastAsia" w:ascii="宋体" w:hAnsi="宋体" w:cs="宋体"/>
                <w:color w:val="auto"/>
                <w:sz w:val="21"/>
                <w:szCs w:val="21"/>
                <w:highlight w:val="none"/>
                <w:lang w:val="en-US" w:eastAsia="zh-CN"/>
              </w:rPr>
              <w:t>招标人</w:t>
            </w:r>
          </w:p>
        </w:tc>
      </w:tr>
      <w:tr w14:paraId="2E535B7A">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3EE258E0">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解释权</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13EA2CD7">
            <w:pPr>
              <w:pStyle w:val="119"/>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1.构成本招标文件的各个组成文件应互为解释，互为说明；</w:t>
            </w:r>
          </w:p>
          <w:p w14:paraId="177E4D2E">
            <w:pPr>
              <w:pStyle w:val="119"/>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2.同一组成文件中就同一事项的规定或约定不一致的，以编排顺序在后者为准；</w:t>
            </w:r>
          </w:p>
          <w:p w14:paraId="37A8D32D">
            <w:pPr>
              <w:pStyle w:val="119"/>
              <w:keepNext w:val="0"/>
              <w:keepLines w:val="0"/>
              <w:pageBreakBefore w:val="0"/>
              <w:tabs>
                <w:tab w:val="left" w:pos="351"/>
              </w:tabs>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3.如有不明确或不一致，构成合同文件组成内容的，以合同文件约定内容为准，且以专用合同条款约定的合同文件优先顺序解释；</w:t>
            </w:r>
          </w:p>
          <w:p w14:paraId="3980C3B1">
            <w:pPr>
              <w:pStyle w:val="119"/>
              <w:keepNext w:val="0"/>
              <w:keepLines w:val="0"/>
              <w:pageBreakBefore w:val="0"/>
              <w:tabs>
                <w:tab w:val="left" w:pos="636"/>
              </w:tabs>
              <w:kinsoku/>
              <w:wordWrap/>
              <w:overflowPunct/>
              <w:autoSpaceDE/>
              <w:autoSpaceDN/>
              <w:bidi w:val="0"/>
              <w:adjustRightInd w:val="0"/>
              <w:snapToGrid w:val="0"/>
              <w:spacing w:line="500" w:lineRule="exact"/>
              <w:jc w:val="left"/>
              <w:textAlignment w:val="auto"/>
              <w:rPr>
                <w:rFonts w:hint="eastAsia" w:ascii="宋体" w:hAnsi="宋体" w:eastAsia="宋体" w:cs="宋体"/>
                <w:strike/>
                <w:color w:val="auto"/>
                <w:sz w:val="21"/>
                <w:szCs w:val="21"/>
                <w:highlight w:val="none"/>
              </w:rPr>
            </w:pPr>
            <w:r>
              <w:rPr>
                <w:rFonts w:hint="eastAsia" w:cs="宋体"/>
                <w:bCs/>
                <w:color w:val="auto"/>
                <w:kern w:val="2"/>
                <w:sz w:val="21"/>
                <w:szCs w:val="21"/>
                <w:highlight w:val="none"/>
                <w:lang w:val="en-US" w:eastAsia="zh-CN" w:bidi="ar-SA"/>
              </w:rPr>
              <w:t>4</w:t>
            </w:r>
            <w:r>
              <w:rPr>
                <w:rFonts w:hint="eastAsia" w:ascii="宋体" w:hAnsi="宋体" w:eastAsia="宋体" w:cs="宋体"/>
                <w:bCs/>
                <w:color w:val="auto"/>
                <w:kern w:val="2"/>
                <w:sz w:val="21"/>
                <w:szCs w:val="21"/>
                <w:highlight w:val="none"/>
                <w:lang w:val="en-US" w:eastAsia="zh-CN" w:bidi="ar-SA"/>
              </w:rPr>
              <w:t>.按本款前述规定仍不能形成结论的，由招标人负责解释。</w:t>
            </w:r>
          </w:p>
        </w:tc>
      </w:tr>
      <w:tr w14:paraId="2FEA909C">
        <w:tblPrEx>
          <w:tblCellMar>
            <w:top w:w="0" w:type="dxa"/>
            <w:left w:w="108" w:type="dxa"/>
            <w:bottom w:w="0" w:type="dxa"/>
            <w:right w:w="108" w:type="dxa"/>
          </w:tblCellMar>
        </w:tblPrEx>
        <w:trPr>
          <w:jc w:val="center"/>
        </w:trPr>
        <w:tc>
          <w:tcPr>
            <w:tcW w:w="10527" w:type="dxa"/>
            <w:gridSpan w:val="4"/>
            <w:tcBorders>
              <w:top w:val="single" w:color="auto" w:sz="4" w:space="0"/>
              <w:left w:val="single" w:color="auto" w:sz="4" w:space="0"/>
              <w:bottom w:val="single" w:color="auto" w:sz="4" w:space="0"/>
              <w:right w:val="single" w:color="auto" w:sz="4" w:space="0"/>
            </w:tcBorders>
            <w:vAlign w:val="center"/>
          </w:tcPr>
          <w:p w14:paraId="3371501C">
            <w:pPr>
              <w:pStyle w:val="119"/>
              <w:keepNext w:val="0"/>
              <w:keepLines w:val="0"/>
              <w:pageBreakBefore w:val="0"/>
              <w:tabs>
                <w:tab w:val="left" w:pos="636"/>
              </w:tabs>
              <w:kinsoku/>
              <w:wordWrap/>
              <w:overflowPunct/>
              <w:autoSpaceDE/>
              <w:autoSpaceDN/>
              <w:bidi w:val="0"/>
              <w:adjustRightInd w:val="0"/>
              <w:snapToGrid w:val="0"/>
              <w:spacing w:line="500" w:lineRule="exact"/>
              <w:jc w:val="left"/>
              <w:textAlignment w:val="auto"/>
              <w:rPr>
                <w:rFonts w:hint="eastAsia" w:cs="宋体"/>
                <w:bCs/>
                <w:color w:val="auto"/>
                <w:kern w:val="2"/>
                <w:sz w:val="21"/>
                <w:szCs w:val="21"/>
                <w:highlight w:val="none"/>
                <w:lang w:val="en-US" w:eastAsia="zh-CN" w:bidi="ar-SA"/>
              </w:rPr>
            </w:pPr>
            <w:bookmarkStart w:id="68" w:name="_Toc15058846"/>
            <w:bookmarkStart w:id="69" w:name="_Toc35425053"/>
            <w:bookmarkStart w:id="70" w:name="_Toc35424887"/>
            <w:bookmarkStart w:id="71" w:name="_Toc5813"/>
            <w:r>
              <w:rPr>
                <w:rFonts w:hint="eastAsia" w:ascii="宋体" w:hAnsi="宋体" w:cs="宋体"/>
                <w:b/>
                <w:bCs/>
                <w:color w:val="auto"/>
                <w:sz w:val="21"/>
                <w:szCs w:val="21"/>
                <w:highlight w:val="none"/>
                <w:lang w:val="en-US" w:eastAsia="zh-CN"/>
              </w:rPr>
              <w:t>投标人在系统中制作或提交投标文件时，项目编号填写系统生成的编号“HXJY1110001066118001”；具体投标文件里的内容所涉及的项目编号</w:t>
            </w:r>
            <w:r>
              <w:rPr>
                <w:rFonts w:hint="eastAsia" w:ascii="宋体" w:hAnsi="宋体" w:eastAsia="宋体" w:cs="宋体"/>
                <w:b/>
                <w:bCs/>
                <w:color w:val="auto"/>
                <w:sz w:val="21"/>
                <w:szCs w:val="21"/>
                <w:highlight w:val="none"/>
                <w:lang w:val="en-US" w:eastAsia="zh-CN"/>
              </w:rPr>
              <w:t>以“TYLX-2026-FW-ZB-44”为准。</w:t>
            </w:r>
          </w:p>
        </w:tc>
      </w:tr>
    </w:tbl>
    <w:p w14:paraId="4ED1E86B">
      <w:pPr>
        <w:pageBreakBefore w:val="0"/>
        <w:widowControl w:val="0"/>
        <w:kinsoku/>
        <w:wordWrap/>
        <w:overflowPunct/>
        <w:topLinePunct w:val="0"/>
        <w:autoSpaceDE/>
        <w:autoSpaceDN/>
        <w:bidi w:val="0"/>
        <w:spacing w:line="500" w:lineRule="exact"/>
        <w:textAlignment w:val="auto"/>
        <w:rPr>
          <w:rFonts w:ascii="宋体" w:hAnsi="宋体" w:eastAsia="宋体" w:cs="宋体"/>
          <w:color w:val="auto"/>
          <w:sz w:val="24"/>
          <w:szCs w:val="24"/>
          <w:highlight w:val="none"/>
        </w:rPr>
      </w:pPr>
      <w:r>
        <w:rPr>
          <w:rFonts w:ascii="宋体" w:cs="宋体"/>
          <w:color w:val="auto"/>
          <w:sz w:val="24"/>
          <w:highlight w:val="none"/>
        </w:rPr>
        <w:br w:type="page"/>
      </w:r>
      <w:r>
        <w:rPr>
          <w:rFonts w:ascii="宋体" w:hAnsi="宋体" w:eastAsia="宋体" w:cs="宋体"/>
          <w:b/>
          <w:bCs/>
          <w:color w:val="auto"/>
          <w:sz w:val="24"/>
          <w:szCs w:val="24"/>
          <w:highlight w:val="none"/>
        </w:rPr>
        <w:t xml:space="preserve">1. </w:t>
      </w:r>
      <w:r>
        <w:rPr>
          <w:rFonts w:hint="eastAsia" w:ascii="宋体" w:hAnsi="宋体" w:eastAsia="宋体" w:cs="宋体"/>
          <w:b/>
          <w:bCs/>
          <w:color w:val="auto"/>
          <w:sz w:val="24"/>
          <w:szCs w:val="24"/>
          <w:highlight w:val="none"/>
        </w:rPr>
        <w:t>总则</w:t>
      </w:r>
      <w:bookmarkEnd w:id="59"/>
      <w:bookmarkEnd w:id="60"/>
      <w:bookmarkEnd w:id="61"/>
      <w:bookmarkEnd w:id="62"/>
      <w:bookmarkEnd w:id="63"/>
      <w:bookmarkEnd w:id="64"/>
      <w:bookmarkEnd w:id="65"/>
      <w:bookmarkEnd w:id="66"/>
      <w:bookmarkEnd w:id="67"/>
      <w:bookmarkEnd w:id="68"/>
      <w:bookmarkEnd w:id="69"/>
      <w:bookmarkEnd w:id="70"/>
      <w:bookmarkEnd w:id="71"/>
    </w:p>
    <w:p w14:paraId="0E5C6C6D">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kern w:val="44"/>
          <w:highlight w:val="none"/>
        </w:rPr>
      </w:pPr>
      <w:bookmarkStart w:id="72" w:name="_Toc246996176"/>
      <w:bookmarkStart w:id="73" w:name="_Toc15058847"/>
      <w:bookmarkStart w:id="74" w:name="_Toc35425054"/>
      <w:bookmarkStart w:id="75" w:name="_Toc152045530"/>
      <w:bookmarkStart w:id="76" w:name="_Toc179632547"/>
      <w:bookmarkStart w:id="77" w:name="_Toc35424888"/>
      <w:bookmarkStart w:id="78" w:name="_Toc152042306"/>
      <w:bookmarkStart w:id="79" w:name="_Toc247085690"/>
      <w:bookmarkStart w:id="80" w:name="_Toc324404816"/>
      <w:bookmarkStart w:id="81" w:name="_Toc246996919"/>
      <w:bookmarkStart w:id="82" w:name="_Toc506107270"/>
      <w:bookmarkStart w:id="83" w:name="_Toc144974498"/>
      <w:bookmarkStart w:id="84" w:name="_Toc296602421"/>
      <w:bookmarkStart w:id="85" w:name="_Toc4678"/>
      <w:r>
        <w:rPr>
          <w:rFonts w:ascii="宋体" w:hAnsi="宋体" w:eastAsia="宋体" w:cs="宋体"/>
          <w:color w:val="auto"/>
          <w:kern w:val="44"/>
          <w:highlight w:val="none"/>
        </w:rPr>
        <w:t xml:space="preserve">1.1 </w:t>
      </w:r>
      <w:r>
        <w:rPr>
          <w:rFonts w:hint="eastAsia" w:ascii="宋体" w:hAnsi="宋体" w:eastAsia="宋体" w:cs="宋体"/>
          <w:color w:val="auto"/>
          <w:kern w:val="44"/>
          <w:highlight w:val="none"/>
        </w:rPr>
        <w:t>项目概况</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121DECF6">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1.1.1</w:t>
      </w:r>
      <w:r>
        <w:rPr>
          <w:rFonts w:hint="eastAsia" w:ascii="宋体" w:hAnsi="宋体" w:cs="宋体"/>
          <w:color w:val="auto"/>
          <w:szCs w:val="21"/>
          <w:highlight w:val="none"/>
        </w:rPr>
        <w:t>根据</w:t>
      </w:r>
      <w:r>
        <w:rPr>
          <w:rFonts w:hint="eastAsia" w:ascii="宋体" w:hAnsi="宋体" w:cs="宋体"/>
          <w:color w:val="auto"/>
          <w:szCs w:val="21"/>
          <w:highlight w:val="none"/>
          <w:lang w:val="en-US" w:eastAsia="zh-CN"/>
        </w:rPr>
        <w:t>相关</w:t>
      </w:r>
      <w:r>
        <w:rPr>
          <w:rFonts w:hint="eastAsia" w:ascii="宋体" w:hAnsi="宋体" w:cs="宋体"/>
          <w:color w:val="auto"/>
          <w:szCs w:val="21"/>
          <w:highlight w:val="none"/>
        </w:rPr>
        <w:t>规定，本招标项目已具备招标条件，现对本项目进行招标。</w:t>
      </w:r>
    </w:p>
    <w:p w14:paraId="6C2ADD7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1.1.2 </w:t>
      </w:r>
      <w:r>
        <w:rPr>
          <w:rFonts w:hint="eastAsia" w:ascii="宋体" w:hAnsi="宋体" w:cs="宋体"/>
          <w:color w:val="auto"/>
          <w:szCs w:val="21"/>
          <w:highlight w:val="none"/>
        </w:rPr>
        <w:t>本招标项目招标人：见投标人须知前附表。</w:t>
      </w:r>
    </w:p>
    <w:p w14:paraId="4E19506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1.1.3 </w:t>
      </w:r>
      <w:r>
        <w:rPr>
          <w:rFonts w:hint="eastAsia" w:ascii="宋体" w:hAnsi="宋体" w:cs="宋体"/>
          <w:color w:val="auto"/>
          <w:szCs w:val="21"/>
          <w:highlight w:val="none"/>
        </w:rPr>
        <w:t>本招标项目招标代理机构：见投标人须知前附表。</w:t>
      </w:r>
    </w:p>
    <w:p w14:paraId="7E9A9943">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1.1.4 </w:t>
      </w:r>
      <w:r>
        <w:rPr>
          <w:rFonts w:hint="eastAsia" w:ascii="宋体" w:hAnsi="宋体" w:cs="宋体"/>
          <w:color w:val="auto"/>
          <w:szCs w:val="21"/>
          <w:highlight w:val="none"/>
        </w:rPr>
        <w:t>本招标项目名称：见投标人须知前附表。</w:t>
      </w:r>
    </w:p>
    <w:p w14:paraId="7A8B39B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1.1.5 </w:t>
      </w:r>
      <w:r>
        <w:rPr>
          <w:rFonts w:hint="eastAsia" w:ascii="宋体" w:hAnsi="宋体" w:cs="宋体"/>
          <w:color w:val="auto"/>
          <w:szCs w:val="21"/>
          <w:highlight w:val="none"/>
        </w:rPr>
        <w:t>本招标项目建设地点：见投标人须知前附表。</w:t>
      </w:r>
    </w:p>
    <w:p w14:paraId="3C37191C">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86" w:name="_Toc152042307"/>
      <w:bookmarkStart w:id="87" w:name="_Toc246996177"/>
      <w:bookmarkStart w:id="88" w:name="_Toc179632548"/>
      <w:bookmarkStart w:id="89" w:name="_Toc144974499"/>
      <w:bookmarkStart w:id="90" w:name="_Toc506107271"/>
      <w:bookmarkStart w:id="91" w:name="_Toc247085691"/>
      <w:bookmarkStart w:id="92" w:name="_Toc296602422"/>
      <w:bookmarkStart w:id="93" w:name="_Toc152045531"/>
      <w:bookmarkStart w:id="94" w:name="_Toc35425055"/>
      <w:bookmarkStart w:id="95" w:name="_Toc35424889"/>
      <w:bookmarkStart w:id="96" w:name="_Toc15058848"/>
      <w:bookmarkStart w:id="97" w:name="_Toc7142"/>
      <w:bookmarkStart w:id="98" w:name="_Toc246996920"/>
      <w:bookmarkStart w:id="99" w:name="_Toc324404817"/>
      <w:r>
        <w:rPr>
          <w:rFonts w:ascii="宋体" w:hAnsi="宋体" w:eastAsia="宋体" w:cs="宋体"/>
          <w:color w:val="auto"/>
          <w:highlight w:val="none"/>
        </w:rPr>
        <w:t xml:space="preserve">1.2 </w:t>
      </w:r>
      <w:r>
        <w:rPr>
          <w:rFonts w:hint="eastAsia" w:ascii="宋体" w:hAnsi="宋体" w:eastAsia="宋体" w:cs="宋体"/>
          <w:color w:val="auto"/>
          <w:highlight w:val="none"/>
        </w:rPr>
        <w:t>资金来源和落实情况</w:t>
      </w:r>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34E913A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1.2.1 </w:t>
      </w:r>
      <w:r>
        <w:rPr>
          <w:rFonts w:hint="eastAsia" w:ascii="宋体" w:hAnsi="宋体" w:cs="宋体"/>
          <w:color w:val="auto"/>
          <w:szCs w:val="21"/>
          <w:highlight w:val="none"/>
        </w:rPr>
        <w:t>本招标项目的资金来源及出资比例：见投标人须知前附表。</w:t>
      </w:r>
    </w:p>
    <w:p w14:paraId="5F0F50F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1.2.2 </w:t>
      </w:r>
      <w:r>
        <w:rPr>
          <w:rFonts w:hint="eastAsia" w:ascii="宋体" w:hAnsi="宋体" w:cs="宋体"/>
          <w:color w:val="auto"/>
          <w:szCs w:val="21"/>
          <w:highlight w:val="none"/>
        </w:rPr>
        <w:t>本招标项目的资金落实情况：见投标人须知前附表。</w:t>
      </w:r>
    </w:p>
    <w:p w14:paraId="2F27D4C1">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00" w:name="_Toc35425056"/>
      <w:bookmarkStart w:id="101" w:name="_Toc246996921"/>
      <w:bookmarkStart w:id="102" w:name="_Toc324404818"/>
      <w:bookmarkStart w:id="103" w:name="_Toc247085692"/>
      <w:bookmarkStart w:id="104" w:name="_Toc179632549"/>
      <w:bookmarkStart w:id="105" w:name="_Toc144974500"/>
      <w:bookmarkStart w:id="106" w:name="_Toc152045532"/>
      <w:bookmarkStart w:id="107" w:name="_Toc296602423"/>
      <w:bookmarkStart w:id="108" w:name="_Toc6330"/>
      <w:bookmarkStart w:id="109" w:name="_Toc152042308"/>
      <w:bookmarkStart w:id="110" w:name="_Toc506107272"/>
      <w:bookmarkStart w:id="111" w:name="_Toc15058849"/>
      <w:bookmarkStart w:id="112" w:name="_Toc246996178"/>
      <w:bookmarkStart w:id="113" w:name="_Toc35424890"/>
      <w:r>
        <w:rPr>
          <w:rFonts w:ascii="宋体" w:hAnsi="宋体" w:eastAsia="宋体" w:cs="宋体"/>
          <w:color w:val="auto"/>
          <w:highlight w:val="none"/>
        </w:rPr>
        <w:t xml:space="preserve">1.3 </w:t>
      </w:r>
      <w:r>
        <w:rPr>
          <w:rFonts w:hint="eastAsia" w:ascii="宋体" w:hAnsi="宋体" w:eastAsia="宋体" w:cs="宋体"/>
          <w:color w:val="auto"/>
          <w:highlight w:val="none"/>
        </w:rPr>
        <w:t>招标范围、服务期限、质量要求</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73E4411B">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1.3.1 </w:t>
      </w:r>
      <w:r>
        <w:rPr>
          <w:rFonts w:hint="eastAsia" w:ascii="宋体" w:hAnsi="宋体" w:cs="宋体"/>
          <w:color w:val="auto"/>
          <w:szCs w:val="21"/>
          <w:highlight w:val="none"/>
        </w:rPr>
        <w:t>本次招标范围：见投标人须知前附表。</w:t>
      </w:r>
    </w:p>
    <w:p w14:paraId="620492B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1.3.2 </w:t>
      </w:r>
      <w:r>
        <w:rPr>
          <w:rFonts w:hint="eastAsia" w:ascii="宋体" w:hAnsi="宋体" w:cs="宋体"/>
          <w:color w:val="auto"/>
          <w:szCs w:val="21"/>
          <w:highlight w:val="none"/>
        </w:rPr>
        <w:t>本招标项目的服务期限：见投标人须知前附表。</w:t>
      </w:r>
    </w:p>
    <w:p w14:paraId="756FCA70">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1.3.3 </w:t>
      </w:r>
      <w:r>
        <w:rPr>
          <w:rFonts w:hint="eastAsia" w:ascii="宋体" w:hAnsi="宋体" w:cs="宋体"/>
          <w:color w:val="auto"/>
          <w:szCs w:val="21"/>
          <w:highlight w:val="none"/>
        </w:rPr>
        <w:t>本招标项目的质量要求：见投标人须知前附表。</w:t>
      </w:r>
    </w:p>
    <w:p w14:paraId="2CD246C6">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14" w:name="_Toc246996179"/>
      <w:bookmarkStart w:id="115" w:name="_Toc15058850"/>
      <w:bookmarkStart w:id="116" w:name="_Toc35424891"/>
      <w:bookmarkStart w:id="117" w:name="_Toc179632551"/>
      <w:bookmarkStart w:id="118" w:name="_Toc152045534"/>
      <w:bookmarkStart w:id="119" w:name="_Toc324404819"/>
      <w:bookmarkStart w:id="120" w:name="_Toc296602424"/>
      <w:bookmarkStart w:id="121" w:name="_Toc35425057"/>
      <w:bookmarkStart w:id="122" w:name="_Toc152042310"/>
      <w:bookmarkStart w:id="123" w:name="_Toc506107273"/>
      <w:bookmarkStart w:id="124" w:name="_Toc144974502"/>
      <w:bookmarkStart w:id="125" w:name="_Toc246996922"/>
      <w:bookmarkStart w:id="126" w:name="_Toc247085693"/>
      <w:bookmarkStart w:id="127" w:name="_Toc26897"/>
      <w:r>
        <w:rPr>
          <w:rFonts w:ascii="宋体" w:hAnsi="宋体" w:eastAsia="宋体" w:cs="宋体"/>
          <w:color w:val="auto"/>
          <w:highlight w:val="none"/>
        </w:rPr>
        <w:t xml:space="preserve">1.4 </w:t>
      </w:r>
      <w:r>
        <w:rPr>
          <w:rFonts w:hint="eastAsia" w:ascii="宋体" w:hAnsi="宋体" w:eastAsia="宋体" w:cs="宋体"/>
          <w:color w:val="auto"/>
          <w:highlight w:val="none"/>
        </w:rPr>
        <w:t>投标人资格要求</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071F0ED6">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1.4.1 </w:t>
      </w:r>
      <w:r>
        <w:rPr>
          <w:rFonts w:hint="eastAsia" w:ascii="宋体" w:hAnsi="宋体" w:cs="宋体"/>
          <w:color w:val="auto"/>
          <w:szCs w:val="21"/>
          <w:highlight w:val="none"/>
        </w:rPr>
        <w:t>投标人应具备承担本项目监理的资质条件、能力和信誉。</w:t>
      </w:r>
    </w:p>
    <w:p w14:paraId="45E744E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（1）资质条件：见投标人须知前附表；</w:t>
      </w:r>
    </w:p>
    <w:p w14:paraId="2CCC554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）其他要求：见投标人须知前附表。</w:t>
      </w:r>
    </w:p>
    <w:p w14:paraId="5519237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 投标人（包括联合体各成员）不得与本标段相关单位存在下列关联关系：</w:t>
      </w:r>
    </w:p>
    <w:p w14:paraId="7A18C93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（1）为招标人不具有独立法人资格的附属机构（单位）；</w:t>
      </w:r>
    </w:p>
    <w:p w14:paraId="170BE32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（2）与招标人存在利害关系且可能影响招标公正性；</w:t>
      </w:r>
    </w:p>
    <w:p w14:paraId="47DB91F2">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（3）与本标段的其他投标人同为一个单位负责人；</w:t>
      </w:r>
    </w:p>
    <w:p w14:paraId="60BE246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（4）与本标段的其他投标人存在控股、管理关系；</w:t>
      </w:r>
    </w:p>
    <w:p w14:paraId="327F63E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（5）为本标段前期准备提供设计或咨询服务的法人或其任何附属机构（单位）；</w:t>
      </w:r>
    </w:p>
    <w:p w14:paraId="0C3EC4C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）为本标段的代建人；</w:t>
      </w:r>
    </w:p>
    <w:p w14:paraId="6EC8E96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）为本标段的招标代理机构；</w:t>
      </w:r>
    </w:p>
    <w:p w14:paraId="3AEB403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）与本标段的代建人或招标代理机构同为一个法定代表人；</w:t>
      </w:r>
    </w:p>
    <w:p w14:paraId="173732E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）与本标段的代建人或招标代理机构存在控股或参股关系；</w:t>
      </w:r>
    </w:p>
    <w:p w14:paraId="386154B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）法律法规或投标人须知前附表规定的其他情形。</w:t>
      </w:r>
    </w:p>
    <w:p w14:paraId="32B04A4D">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28" w:name="_Toc152042311"/>
      <w:bookmarkStart w:id="129" w:name="_Toc296602425"/>
      <w:bookmarkStart w:id="130" w:name="_Toc10179"/>
      <w:bookmarkStart w:id="131" w:name="_Toc144974503"/>
      <w:bookmarkStart w:id="132" w:name="_Toc35424892"/>
      <w:bookmarkStart w:id="133" w:name="_Toc247085694"/>
      <w:bookmarkStart w:id="134" w:name="_Toc35425058"/>
      <w:bookmarkStart w:id="135" w:name="_Toc246996923"/>
      <w:bookmarkStart w:id="136" w:name="_Toc324404820"/>
      <w:bookmarkStart w:id="137" w:name="_Toc15058851"/>
      <w:bookmarkStart w:id="138" w:name="_Toc152045535"/>
      <w:bookmarkStart w:id="139" w:name="_Toc506107274"/>
      <w:bookmarkStart w:id="140" w:name="_Toc246996180"/>
      <w:bookmarkStart w:id="141" w:name="_Toc179632552"/>
      <w:r>
        <w:rPr>
          <w:rFonts w:ascii="宋体" w:hAnsi="宋体" w:eastAsia="宋体" w:cs="宋体"/>
          <w:color w:val="auto"/>
          <w:highlight w:val="none"/>
        </w:rPr>
        <w:t xml:space="preserve">1.5 </w:t>
      </w:r>
      <w:r>
        <w:rPr>
          <w:rFonts w:hint="eastAsia" w:ascii="宋体" w:hAnsi="宋体" w:eastAsia="宋体" w:cs="宋体"/>
          <w:color w:val="auto"/>
          <w:highlight w:val="none"/>
        </w:rPr>
        <w:t>费用承担</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1ACEEC9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投标人准备和参加投标活动发生的费用自理。</w:t>
      </w:r>
    </w:p>
    <w:p w14:paraId="56322EFB">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42" w:name="_Toc152045536"/>
      <w:bookmarkStart w:id="143" w:name="_Toc246996924"/>
      <w:bookmarkStart w:id="144" w:name="_Toc35425059"/>
      <w:bookmarkStart w:id="145" w:name="_Toc246996181"/>
      <w:bookmarkStart w:id="146" w:name="_Toc179632553"/>
      <w:bookmarkStart w:id="147" w:name="_Toc324404821"/>
      <w:bookmarkStart w:id="148" w:name="_Toc4092"/>
      <w:bookmarkStart w:id="149" w:name="_Toc15058852"/>
      <w:bookmarkStart w:id="150" w:name="_Toc247085695"/>
      <w:bookmarkStart w:id="151" w:name="_Toc35424893"/>
      <w:bookmarkStart w:id="152" w:name="_Toc144974504"/>
      <w:bookmarkStart w:id="153" w:name="_Toc296602426"/>
      <w:bookmarkStart w:id="154" w:name="_Toc152042312"/>
      <w:bookmarkStart w:id="155" w:name="_Toc506107275"/>
      <w:r>
        <w:rPr>
          <w:rFonts w:ascii="宋体" w:hAnsi="宋体" w:eastAsia="宋体" w:cs="宋体"/>
          <w:color w:val="auto"/>
          <w:highlight w:val="none"/>
        </w:rPr>
        <w:t xml:space="preserve">1.6 </w:t>
      </w:r>
      <w:r>
        <w:rPr>
          <w:rFonts w:hint="eastAsia" w:ascii="宋体" w:hAnsi="宋体" w:eastAsia="宋体" w:cs="宋体"/>
          <w:color w:val="auto"/>
          <w:highlight w:val="none"/>
        </w:rPr>
        <w:t>保密</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3A6522C0">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参与招标投标活动的各方应对招标文件和投标文件中的商业和技术等秘密保密，违者应对由此造成的后果承担法律责任。</w:t>
      </w:r>
      <w:r>
        <w:rPr>
          <w:rFonts w:ascii="宋体" w:hAnsi="宋体" w:cs="宋体"/>
          <w:color w:val="auto"/>
          <w:szCs w:val="21"/>
          <w:highlight w:val="none"/>
        </w:rPr>
        <w:t xml:space="preserve"> </w:t>
      </w:r>
    </w:p>
    <w:p w14:paraId="38C9060B">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56" w:name="_Toc144974505"/>
      <w:bookmarkStart w:id="157" w:name="_Toc35425060"/>
      <w:bookmarkStart w:id="158" w:name="_Toc246996182"/>
      <w:bookmarkStart w:id="159" w:name="_Toc4119"/>
      <w:bookmarkStart w:id="160" w:name="_Toc506107276"/>
      <w:bookmarkStart w:id="161" w:name="_Toc152045537"/>
      <w:bookmarkStart w:id="162" w:name="_Toc15058853"/>
      <w:bookmarkStart w:id="163" w:name="_Toc324404822"/>
      <w:bookmarkStart w:id="164" w:name="_Toc296602427"/>
      <w:bookmarkStart w:id="165" w:name="_Toc247085696"/>
      <w:bookmarkStart w:id="166" w:name="_Toc246996925"/>
      <w:bookmarkStart w:id="167" w:name="_Toc179632554"/>
      <w:bookmarkStart w:id="168" w:name="_Toc35424894"/>
      <w:bookmarkStart w:id="169" w:name="_Toc152042313"/>
      <w:r>
        <w:rPr>
          <w:rFonts w:ascii="宋体" w:hAnsi="宋体" w:eastAsia="宋体" w:cs="宋体"/>
          <w:color w:val="auto"/>
          <w:highlight w:val="none"/>
        </w:rPr>
        <w:t xml:space="preserve">1.7 </w:t>
      </w:r>
      <w:r>
        <w:rPr>
          <w:rFonts w:hint="eastAsia" w:ascii="宋体" w:hAnsi="宋体" w:eastAsia="宋体" w:cs="宋体"/>
          <w:color w:val="auto"/>
          <w:highlight w:val="none"/>
        </w:rPr>
        <w:t>语言</w:t>
      </w:r>
      <w:bookmarkEnd w:id="156"/>
      <w:r>
        <w:rPr>
          <w:rFonts w:hint="eastAsia" w:ascii="宋体" w:hAnsi="宋体" w:eastAsia="宋体" w:cs="宋体"/>
          <w:color w:val="auto"/>
          <w:highlight w:val="none"/>
        </w:rPr>
        <w:t>文字</w:t>
      </w:r>
      <w:bookmarkEnd w:id="157"/>
      <w:bookmarkEnd w:id="158"/>
      <w:bookmarkEnd w:id="159"/>
      <w:bookmarkEnd w:id="160"/>
      <w:bookmarkEnd w:id="161"/>
      <w:bookmarkEnd w:id="162"/>
      <w:bookmarkEnd w:id="163"/>
      <w:bookmarkEnd w:id="164"/>
      <w:bookmarkEnd w:id="165"/>
      <w:bookmarkEnd w:id="166"/>
      <w:bookmarkEnd w:id="167"/>
      <w:bookmarkEnd w:id="168"/>
      <w:bookmarkEnd w:id="169"/>
    </w:p>
    <w:p w14:paraId="1AE78A3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bookmarkStart w:id="170" w:name="_Toc179632555"/>
      <w:bookmarkStart w:id="171" w:name="_Toc246996183"/>
      <w:bookmarkStart w:id="172" w:name="_Toc152042314"/>
      <w:bookmarkStart w:id="173" w:name="_Toc246996926"/>
      <w:bookmarkStart w:id="174" w:name="_Toc247085697"/>
      <w:bookmarkStart w:id="175" w:name="_Toc152045538"/>
      <w:bookmarkStart w:id="176" w:name="_Toc144974506"/>
      <w:r>
        <w:rPr>
          <w:rFonts w:hint="eastAsia" w:ascii="宋体" w:hAnsi="宋体" w:cs="宋体"/>
          <w:color w:val="auto"/>
          <w:szCs w:val="21"/>
          <w:highlight w:val="none"/>
        </w:rPr>
        <w:t>招标投标文件使用的语言文字为中文。专用术语使用外文的，应附有中文注释。</w:t>
      </w:r>
    </w:p>
    <w:p w14:paraId="4174E491">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77" w:name="_Toc15058854"/>
      <w:bookmarkStart w:id="178" w:name="_Toc35424895"/>
      <w:bookmarkStart w:id="179" w:name="_Toc13408"/>
      <w:bookmarkStart w:id="180" w:name="_Toc35425061"/>
      <w:bookmarkStart w:id="181" w:name="_Toc296602428"/>
      <w:bookmarkStart w:id="182" w:name="_Toc324404823"/>
      <w:bookmarkStart w:id="183" w:name="_Toc506107277"/>
      <w:r>
        <w:rPr>
          <w:rFonts w:ascii="宋体" w:hAnsi="宋体" w:eastAsia="宋体" w:cs="宋体"/>
          <w:color w:val="auto"/>
          <w:highlight w:val="none"/>
        </w:rPr>
        <w:t xml:space="preserve">1.8 </w:t>
      </w:r>
      <w:r>
        <w:rPr>
          <w:rFonts w:hint="eastAsia" w:ascii="宋体" w:hAnsi="宋体" w:eastAsia="宋体" w:cs="宋体"/>
          <w:color w:val="auto"/>
          <w:highlight w:val="none"/>
        </w:rPr>
        <w:t>计量单位</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62A74194">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所有计量均采用中华人民共和国法定计量单位。</w:t>
      </w:r>
    </w:p>
    <w:p w14:paraId="5EB03E0E">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84" w:name="_Toc35424896"/>
      <w:bookmarkStart w:id="185" w:name="_Toc35425062"/>
      <w:bookmarkStart w:id="186" w:name="_Toc324404824"/>
      <w:bookmarkStart w:id="187" w:name="_Toc296602429"/>
      <w:bookmarkStart w:id="188" w:name="_Toc15058855"/>
      <w:bookmarkStart w:id="189" w:name="_Toc247527563"/>
      <w:bookmarkStart w:id="190" w:name="_Toc506107278"/>
      <w:bookmarkStart w:id="191" w:name="_Toc152042315"/>
      <w:bookmarkStart w:id="192" w:name="_Toc11493"/>
      <w:bookmarkStart w:id="193" w:name="_Toc144974507"/>
      <w:bookmarkStart w:id="194" w:name="_Toc247513962"/>
      <w:bookmarkStart w:id="195" w:name="_Toc152045539"/>
      <w:bookmarkStart w:id="196" w:name="_Toc247592876"/>
      <w:r>
        <w:rPr>
          <w:rFonts w:ascii="宋体" w:hAnsi="宋体" w:eastAsia="宋体" w:cs="宋体"/>
          <w:color w:val="auto"/>
          <w:highlight w:val="none"/>
        </w:rPr>
        <w:t xml:space="preserve">1.9 </w:t>
      </w:r>
      <w:r>
        <w:rPr>
          <w:rFonts w:hint="eastAsia" w:ascii="宋体" w:hAnsi="宋体" w:eastAsia="宋体" w:cs="宋体"/>
          <w:color w:val="auto"/>
          <w:highlight w:val="none"/>
        </w:rPr>
        <w:t>踏勘现场</w:t>
      </w:r>
      <w:bookmarkEnd w:id="184"/>
      <w:bookmarkEnd w:id="185"/>
      <w:bookmarkEnd w:id="186"/>
      <w:bookmarkEnd w:id="187"/>
      <w:bookmarkEnd w:id="188"/>
      <w:bookmarkEnd w:id="189"/>
      <w:bookmarkEnd w:id="190"/>
      <w:bookmarkEnd w:id="191"/>
      <w:bookmarkEnd w:id="192"/>
      <w:bookmarkEnd w:id="193"/>
      <w:bookmarkEnd w:id="194"/>
      <w:bookmarkEnd w:id="195"/>
      <w:bookmarkEnd w:id="196"/>
    </w:p>
    <w:p w14:paraId="58D78C9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197" w:name="_Toc152042316"/>
      <w:bookmarkStart w:id="198" w:name="_Toc296602430"/>
      <w:bookmarkStart w:id="199" w:name="_Toc144974508"/>
      <w:bookmarkStart w:id="200" w:name="_Toc152045540"/>
      <w:bookmarkStart w:id="201" w:name="_Toc35424897"/>
      <w:bookmarkStart w:id="202" w:name="_Toc247527564"/>
      <w:bookmarkStart w:id="203" w:name="_Toc506107279"/>
      <w:bookmarkStart w:id="204" w:name="_Toc247592877"/>
      <w:bookmarkStart w:id="205" w:name="_Toc22954"/>
      <w:bookmarkStart w:id="206" w:name="_Toc35425063"/>
      <w:bookmarkStart w:id="207" w:name="_Toc247513963"/>
      <w:bookmarkStart w:id="208" w:name="_Toc15058856"/>
      <w:bookmarkStart w:id="209" w:name="_Toc324404825"/>
      <w:r>
        <w:rPr>
          <w:rFonts w:hint="eastAsia" w:ascii="宋体" w:hAnsi="宋体" w:eastAsia="宋体" w:cs="宋体"/>
          <w:color w:val="auto"/>
          <w:szCs w:val="21"/>
          <w:highlight w:val="none"/>
        </w:rPr>
        <w:t xml:space="preserve">1.9.1前附表规定组织踏勘现场的，招标人按投标人须知前附表规定的时间、地点组织投标人踏勘项目现场。部分投标人未按时参加踏勘现场的，不影响踏勘现场的正常进行。招标人不得组织单个或部分投标人踏勘项目现场。 </w:t>
      </w:r>
    </w:p>
    <w:p w14:paraId="50BF1D28">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 投标人踏勘现场发生的费用自理。</w:t>
      </w:r>
    </w:p>
    <w:p w14:paraId="60199C1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1.9.3 除招标人的原因外，投标人自行负责在踏勘现场中所发生的人员伤亡和财产损失。</w:t>
      </w:r>
    </w:p>
    <w:p w14:paraId="41C74A0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1.9.4 招标人在踏勘现场中介绍的工程场地和相关的周边环境情况，供投标人在编制投标文件时参考，招标人不对投标人据此作出的判断和决策负责。</w:t>
      </w:r>
    </w:p>
    <w:p w14:paraId="435F7B1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1.9.5无论投标人是否到施工现场实地踏勘，中标后签订合同时和履约过程中，投标人不得以不完全了解现场情况或现场情况与招标文件描述不一致等为由，提出任何形式的增加工程造价或索赔的要求。</w:t>
      </w:r>
    </w:p>
    <w:p w14:paraId="52278334">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1.10 </w:t>
      </w:r>
      <w:r>
        <w:rPr>
          <w:rFonts w:hint="eastAsia" w:ascii="宋体" w:hAnsi="宋体" w:eastAsia="宋体" w:cs="宋体"/>
          <w:color w:val="auto"/>
          <w:highlight w:val="none"/>
        </w:rPr>
        <w:t>投标预备会</w:t>
      </w:r>
      <w:bookmarkEnd w:id="197"/>
      <w:bookmarkEnd w:id="198"/>
      <w:bookmarkEnd w:id="199"/>
      <w:bookmarkEnd w:id="200"/>
      <w:bookmarkEnd w:id="201"/>
      <w:bookmarkEnd w:id="202"/>
      <w:bookmarkEnd w:id="203"/>
      <w:bookmarkEnd w:id="204"/>
      <w:bookmarkEnd w:id="205"/>
      <w:bookmarkEnd w:id="206"/>
      <w:bookmarkEnd w:id="207"/>
      <w:bookmarkEnd w:id="208"/>
      <w:bookmarkEnd w:id="209"/>
    </w:p>
    <w:p w14:paraId="49FF739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1.10.1投标人须知前附表规定召开投标预备会的，招标人按投标人须知前附表规定的时间和地点召开投标预备会，澄清投标人提出的问题。</w:t>
      </w:r>
    </w:p>
    <w:p w14:paraId="7DF638E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1.10.2投标人应在投标人须知前附表规定的时间前，将提出的问题送达招标人，以便招标人澄清。</w:t>
      </w:r>
    </w:p>
    <w:p w14:paraId="63424D19">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10" w:name="_Toc296602431"/>
      <w:bookmarkStart w:id="211" w:name="_Toc35425064"/>
      <w:bookmarkStart w:id="212" w:name="_Toc324404826"/>
      <w:bookmarkStart w:id="213" w:name="_Toc15058857"/>
      <w:bookmarkStart w:id="214" w:name="_Toc32016"/>
      <w:bookmarkStart w:id="215" w:name="_Toc506107280"/>
      <w:bookmarkStart w:id="216" w:name="_Toc35424898"/>
      <w:r>
        <w:rPr>
          <w:rFonts w:ascii="宋体" w:hAnsi="宋体" w:eastAsia="宋体" w:cs="宋体"/>
          <w:color w:val="auto"/>
          <w:highlight w:val="none"/>
        </w:rPr>
        <w:t xml:space="preserve">1.11 </w:t>
      </w:r>
      <w:r>
        <w:rPr>
          <w:rFonts w:hint="eastAsia" w:ascii="宋体" w:hAnsi="宋体" w:eastAsia="宋体" w:cs="宋体"/>
          <w:color w:val="auto"/>
          <w:highlight w:val="none"/>
        </w:rPr>
        <w:t>偏离</w:t>
      </w:r>
      <w:bookmarkEnd w:id="210"/>
      <w:bookmarkEnd w:id="211"/>
      <w:bookmarkEnd w:id="212"/>
      <w:bookmarkEnd w:id="213"/>
      <w:bookmarkEnd w:id="214"/>
      <w:bookmarkEnd w:id="215"/>
      <w:bookmarkEnd w:id="216"/>
    </w:p>
    <w:p w14:paraId="7BF3D87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217" w:name="_Toc324404827"/>
      <w:bookmarkStart w:id="218" w:name="_Toc179632560"/>
      <w:bookmarkStart w:id="219" w:name="_Toc247085701"/>
      <w:bookmarkStart w:id="220" w:name="_Toc152045542"/>
      <w:bookmarkStart w:id="221" w:name="_Toc4012"/>
      <w:bookmarkStart w:id="222" w:name="_Toc152042318"/>
      <w:bookmarkStart w:id="223" w:name="_Toc144974510"/>
      <w:bookmarkStart w:id="224" w:name="_Toc246996187"/>
      <w:bookmarkStart w:id="225" w:name="_Toc35425065"/>
      <w:bookmarkStart w:id="226" w:name="_Toc35424899"/>
      <w:bookmarkStart w:id="227" w:name="_Toc506107281"/>
      <w:bookmarkStart w:id="228" w:name="_Toc246996930"/>
      <w:bookmarkStart w:id="229" w:name="_Toc15058858"/>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.1投标文件偏离招标文件某些要求，视为投标文件存在偏差。偏差包括重大偏差和细微偏差。</w:t>
      </w:r>
    </w:p>
    <w:p w14:paraId="2828E66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.2投标文件应对招标文件的实质性要求和条件作出满足性或更有利于招标人的响应，否则，视为投标文件存在重大偏差，投标人的投标将被否决。</w:t>
      </w:r>
    </w:p>
    <w:p w14:paraId="239B937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投标文件存在第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章“评标办法”中所列任一无效投标情形的，均属于存在重大偏差。</w:t>
      </w:r>
    </w:p>
    <w:p w14:paraId="0189A97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.3投标文件中的下列偏差为细微偏差：</w:t>
      </w:r>
    </w:p>
    <w:p w14:paraId="6047546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（1）在按照第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章“评标办法”的规定对投标价进行算术性错误修正及其他错误修正后，最终投标报价未超过最高投标限价（如有）或未被否决投标的情况下，出现第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章“评标办法”规定的算术性错误和投标报价的其他错误；</w:t>
      </w:r>
    </w:p>
    <w:p w14:paraId="49841C5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（2）投标文件个别文字有遗漏错误等不影响投标文件实质性内容的偏差。</w:t>
      </w:r>
    </w:p>
    <w:p w14:paraId="263E119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.4评标委员会对投标文件中的细微偏差按如下规定处理：</w:t>
      </w:r>
    </w:p>
    <w:p w14:paraId="74C24D8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对于本章第 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 项（1）目所述的细微偏差，按照第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章“评标办法”的规定予以修正并要求投标人进行澄清；</w:t>
      </w:r>
    </w:p>
    <w:p w14:paraId="2A5F5CE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对于本章第 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 项（2）目所述的细微偏差，可要求投标人对细微偏差进行澄清。</w:t>
      </w:r>
    </w:p>
    <w:p w14:paraId="4BE6BBB3">
      <w:pPr>
        <w:pStyle w:val="4"/>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2. </w:t>
      </w:r>
      <w:r>
        <w:rPr>
          <w:rFonts w:hint="eastAsia" w:ascii="宋体" w:hAnsi="宋体" w:eastAsia="宋体" w:cs="宋体"/>
          <w:color w:val="auto"/>
          <w:sz w:val="24"/>
          <w:szCs w:val="24"/>
          <w:highlight w:val="none"/>
        </w:rPr>
        <w:t>招标文件</w:t>
      </w:r>
      <w:bookmarkEnd w:id="217"/>
      <w:bookmarkEnd w:id="218"/>
      <w:bookmarkEnd w:id="219"/>
      <w:bookmarkEnd w:id="220"/>
      <w:bookmarkEnd w:id="221"/>
      <w:bookmarkEnd w:id="222"/>
      <w:bookmarkEnd w:id="223"/>
      <w:bookmarkEnd w:id="224"/>
      <w:bookmarkEnd w:id="225"/>
      <w:bookmarkEnd w:id="226"/>
      <w:bookmarkEnd w:id="227"/>
      <w:bookmarkEnd w:id="228"/>
      <w:bookmarkEnd w:id="229"/>
    </w:p>
    <w:p w14:paraId="15E97858">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30" w:name="_Toc247085702"/>
      <w:bookmarkStart w:id="231" w:name="_Toc152045543"/>
      <w:bookmarkStart w:id="232" w:name="_Toc324404828"/>
      <w:bookmarkStart w:id="233" w:name="_Toc179632561"/>
      <w:bookmarkStart w:id="234" w:name="_Toc15058859"/>
      <w:bookmarkStart w:id="235" w:name="_Toc152042319"/>
      <w:bookmarkStart w:id="236" w:name="_Toc35424900"/>
      <w:bookmarkStart w:id="237" w:name="_Toc35425066"/>
      <w:bookmarkStart w:id="238" w:name="_Toc144974511"/>
      <w:bookmarkStart w:id="239" w:name="_Toc296602433"/>
      <w:bookmarkStart w:id="240" w:name="_Toc246996188"/>
      <w:bookmarkStart w:id="241" w:name="_Toc506107282"/>
      <w:bookmarkStart w:id="242" w:name="_Toc13213"/>
      <w:bookmarkStart w:id="243" w:name="_Toc246996931"/>
      <w:r>
        <w:rPr>
          <w:rFonts w:ascii="宋体" w:hAnsi="宋体" w:eastAsia="宋体" w:cs="宋体"/>
          <w:color w:val="auto"/>
          <w:highlight w:val="none"/>
        </w:rPr>
        <w:t xml:space="preserve">2.1 </w:t>
      </w:r>
      <w:r>
        <w:rPr>
          <w:rFonts w:hint="eastAsia" w:ascii="宋体" w:hAnsi="宋体" w:eastAsia="宋体" w:cs="宋体"/>
          <w:color w:val="auto"/>
          <w:highlight w:val="none"/>
        </w:rPr>
        <w:t>招标文件的组成</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721D075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2.1.1 </w:t>
      </w:r>
      <w:r>
        <w:rPr>
          <w:rFonts w:hint="eastAsia" w:ascii="宋体" w:hAnsi="宋体" w:cs="宋体"/>
          <w:color w:val="auto"/>
          <w:szCs w:val="21"/>
          <w:highlight w:val="none"/>
        </w:rPr>
        <w:t>本招标文件包括：</w:t>
      </w:r>
    </w:p>
    <w:p w14:paraId="5AC3E69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）招标公告；</w:t>
      </w:r>
    </w:p>
    <w:p w14:paraId="0A58B5C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）投标人须知；</w:t>
      </w:r>
    </w:p>
    <w:p w14:paraId="4527B6B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）资格审查办法</w:t>
      </w:r>
    </w:p>
    <w:p w14:paraId="26AC9AB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）评标办法；</w:t>
      </w:r>
    </w:p>
    <w:p w14:paraId="54B880DD">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5）采购需求；</w:t>
      </w:r>
    </w:p>
    <w:p w14:paraId="5A9B4E05">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合同协议书；</w:t>
      </w:r>
    </w:p>
    <w:p w14:paraId="5916542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）投标文件格式；</w:t>
      </w:r>
    </w:p>
    <w:p w14:paraId="6C7200A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）投标人须知前附表规定的其他材料。</w:t>
      </w:r>
    </w:p>
    <w:p w14:paraId="3CFFAA9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2.1.2 </w:t>
      </w:r>
      <w:r>
        <w:rPr>
          <w:rFonts w:hint="eastAsia" w:ascii="宋体" w:hAnsi="宋体" w:cs="宋体"/>
          <w:color w:val="auto"/>
          <w:szCs w:val="21"/>
          <w:highlight w:val="none"/>
        </w:rPr>
        <w:t>根据本章第</w:t>
      </w:r>
      <w:r>
        <w:rPr>
          <w:rFonts w:ascii="宋体" w:hAnsi="宋体" w:cs="宋体"/>
          <w:color w:val="auto"/>
          <w:szCs w:val="21"/>
          <w:highlight w:val="none"/>
        </w:rPr>
        <w:t>1.10</w:t>
      </w:r>
      <w:r>
        <w:rPr>
          <w:rFonts w:hint="eastAsia" w:ascii="宋体" w:hAnsi="宋体" w:cs="宋体"/>
          <w:color w:val="auto"/>
          <w:szCs w:val="21"/>
          <w:highlight w:val="none"/>
        </w:rPr>
        <w:t>款、第</w:t>
      </w:r>
      <w:r>
        <w:rPr>
          <w:rFonts w:ascii="宋体" w:hAnsi="宋体" w:cs="宋体"/>
          <w:color w:val="auto"/>
          <w:szCs w:val="21"/>
          <w:highlight w:val="none"/>
        </w:rPr>
        <w:t>2.2</w:t>
      </w:r>
      <w:r>
        <w:rPr>
          <w:rFonts w:hint="eastAsia" w:ascii="宋体" w:hAnsi="宋体" w:cs="宋体"/>
          <w:color w:val="auto"/>
          <w:szCs w:val="21"/>
          <w:highlight w:val="none"/>
        </w:rPr>
        <w:t>款和第</w:t>
      </w:r>
      <w:r>
        <w:rPr>
          <w:rFonts w:ascii="宋体" w:hAnsi="宋体" w:cs="宋体"/>
          <w:color w:val="auto"/>
          <w:szCs w:val="21"/>
          <w:highlight w:val="none"/>
        </w:rPr>
        <w:t>2.3</w:t>
      </w:r>
      <w:r>
        <w:rPr>
          <w:rFonts w:hint="eastAsia" w:ascii="宋体" w:hAnsi="宋体" w:cs="宋体"/>
          <w:color w:val="auto"/>
          <w:szCs w:val="21"/>
          <w:highlight w:val="none"/>
        </w:rPr>
        <w:t>款对招标文件所作的澄清、修改，构成招标文件的组成部分。</w:t>
      </w:r>
    </w:p>
    <w:p w14:paraId="1DD97B52">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44" w:name="_Toc296602434"/>
      <w:bookmarkStart w:id="245" w:name="_Toc144974512"/>
      <w:bookmarkStart w:id="246" w:name="_Toc247085703"/>
      <w:bookmarkStart w:id="247" w:name="_Toc324404829"/>
      <w:bookmarkStart w:id="248" w:name="_Toc15058860"/>
      <w:bookmarkStart w:id="249" w:name="_Toc32239"/>
      <w:bookmarkStart w:id="250" w:name="_Toc152042320"/>
      <w:bookmarkStart w:id="251" w:name="_Toc35425067"/>
      <w:bookmarkStart w:id="252" w:name="_Toc506107283"/>
      <w:bookmarkStart w:id="253" w:name="_Toc246996189"/>
      <w:bookmarkStart w:id="254" w:name="_Toc179632562"/>
      <w:bookmarkStart w:id="255" w:name="_Toc246996932"/>
      <w:bookmarkStart w:id="256" w:name="_Toc35424901"/>
      <w:bookmarkStart w:id="257" w:name="_Toc152045544"/>
      <w:r>
        <w:rPr>
          <w:rFonts w:ascii="宋体" w:hAnsi="宋体" w:eastAsia="宋体" w:cs="宋体"/>
          <w:color w:val="auto"/>
          <w:highlight w:val="none"/>
        </w:rPr>
        <w:t xml:space="preserve">2.2 </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Fonts w:hint="eastAsia" w:ascii="黑体" w:hAnsi="黑体" w:eastAsia="黑体" w:cs="黑体"/>
          <w:color w:val="auto"/>
          <w:sz w:val="21"/>
          <w:szCs w:val="21"/>
          <w:highlight w:val="none"/>
        </w:rPr>
        <w:t>招标文件的异议</w:t>
      </w:r>
      <w:r>
        <w:rPr>
          <w:rFonts w:ascii="宋体" w:hAnsi="宋体" w:eastAsia="宋体" w:cs="宋体"/>
          <w:color w:val="auto"/>
          <w:highlight w:val="none"/>
        </w:rPr>
        <w:t xml:space="preserve"> </w:t>
      </w:r>
    </w:p>
    <w:p w14:paraId="37C0409B">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投标人或其他利害关系人投标人应仔细阅读和检查招标文件的全部内容，对招标文件有异议的，应在</w:t>
      </w:r>
      <w:r>
        <w:rPr>
          <w:rFonts w:hint="eastAsia" w:ascii="宋体" w:hAnsi="宋体" w:eastAsia="宋体" w:cs="宋体"/>
          <w:b/>
          <w:bCs w:val="0"/>
          <w:color w:val="auto"/>
          <w:kern w:val="0"/>
          <w:szCs w:val="21"/>
          <w:highlight w:val="none"/>
          <w:lang w:val="en-US" w:eastAsia="zh-CN"/>
        </w:rPr>
        <w:t>202</w:t>
      </w:r>
      <w:r>
        <w:rPr>
          <w:rFonts w:hint="eastAsia" w:ascii="宋体" w:hAnsi="宋体" w:cs="宋体"/>
          <w:b/>
          <w:bCs w:val="0"/>
          <w:color w:val="auto"/>
          <w:kern w:val="0"/>
          <w:szCs w:val="21"/>
          <w:highlight w:val="none"/>
          <w:lang w:val="en-US" w:eastAsia="zh-CN"/>
        </w:rPr>
        <w:t>6</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11</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4</w:t>
      </w:r>
      <w:r>
        <w:rPr>
          <w:rFonts w:hint="eastAsia" w:ascii="宋体" w:hAnsi="宋体" w:eastAsia="宋体" w:cs="宋体"/>
          <w:b/>
          <w:bCs w:val="0"/>
          <w:color w:val="auto"/>
          <w:kern w:val="0"/>
          <w:szCs w:val="21"/>
          <w:highlight w:val="none"/>
        </w:rPr>
        <w:t>日</w:t>
      </w:r>
      <w:r>
        <w:rPr>
          <w:rFonts w:hint="eastAsia" w:ascii="宋体" w:hAnsi="宋体" w:cs="宋体"/>
          <w:b/>
          <w:bCs w:val="0"/>
          <w:color w:val="auto"/>
          <w:kern w:val="0"/>
          <w:szCs w:val="21"/>
          <w:highlight w:val="none"/>
          <w:lang w:val="en-US" w:eastAsia="zh-CN"/>
        </w:rPr>
        <w:t>11</w:t>
      </w:r>
      <w:r>
        <w:rPr>
          <w:rFonts w:hint="eastAsia" w:ascii="宋体" w:hAnsi="宋体" w:eastAsia="宋体" w:cs="宋体"/>
          <w:b/>
          <w:bCs w:val="0"/>
          <w:color w:val="auto"/>
          <w:kern w:val="0"/>
          <w:szCs w:val="21"/>
          <w:highlight w:val="none"/>
        </w:rPr>
        <w:t>时前</w:t>
      </w:r>
      <w:r>
        <w:rPr>
          <w:rFonts w:hint="eastAsia" w:ascii="宋体" w:hAnsi="宋体" w:eastAsia="宋体" w:cs="宋体"/>
          <w:b w:val="0"/>
          <w:bCs/>
          <w:color w:val="auto"/>
          <w:kern w:val="0"/>
          <w:szCs w:val="21"/>
          <w:highlight w:val="none"/>
        </w:rPr>
        <w:t>在新点电子交易平台【滁州专区】中</w:t>
      </w:r>
      <w:r>
        <w:rPr>
          <w:rFonts w:hint="eastAsia" w:ascii="宋体" w:hAnsi="宋体" w:cs="宋体"/>
          <w:b w:val="0"/>
          <w:bCs/>
          <w:color w:val="auto"/>
          <w:kern w:val="0"/>
          <w:szCs w:val="21"/>
          <w:highlight w:val="none"/>
          <w:lang w:val="en-US" w:eastAsia="zh-CN"/>
        </w:rPr>
        <w:t>在线</w:t>
      </w:r>
      <w:r>
        <w:rPr>
          <w:rFonts w:hint="eastAsia" w:ascii="宋体" w:hAnsi="宋体" w:eastAsia="宋体" w:cs="宋体"/>
          <w:b w:val="0"/>
          <w:bCs/>
          <w:color w:val="auto"/>
          <w:kern w:val="0"/>
          <w:szCs w:val="21"/>
          <w:highlight w:val="none"/>
        </w:rPr>
        <w:t>提出</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招标人将于</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rPr>
        <w:t>时前</w:t>
      </w:r>
      <w:r>
        <w:rPr>
          <w:rFonts w:hint="eastAsia" w:ascii="宋体" w:hAnsi="宋体" w:eastAsia="宋体" w:cs="宋体"/>
          <w:color w:val="auto"/>
          <w:kern w:val="0"/>
          <w:sz w:val="21"/>
          <w:szCs w:val="21"/>
          <w:highlight w:val="none"/>
        </w:rPr>
        <w:t>在滁州同业投资发展有限公司微信公众号、滁州市城投工程咨询管理有限公司网站（https://www.czctgczx.com/）</w:t>
      </w:r>
      <w:r>
        <w:rPr>
          <w:rFonts w:hint="eastAsia" w:ascii="宋体" w:hAnsi="宋体" w:eastAsia="宋体" w:cs="宋体"/>
          <w:color w:val="auto"/>
          <w:sz w:val="21"/>
          <w:szCs w:val="21"/>
          <w:highlight w:val="none"/>
        </w:rPr>
        <w:t>予以公告</w:t>
      </w:r>
      <w:r>
        <w:rPr>
          <w:rFonts w:hint="eastAsia" w:ascii="宋体" w:hAnsi="宋体" w:eastAsia="宋体" w:cs="宋体"/>
          <w:color w:val="auto"/>
          <w:kern w:val="0"/>
          <w:sz w:val="21"/>
          <w:szCs w:val="21"/>
          <w:highlight w:val="none"/>
        </w:rPr>
        <w:t>。</w:t>
      </w:r>
      <w:r>
        <w:rPr>
          <w:rFonts w:ascii="宋体" w:hAnsi="宋体" w:eastAsia="宋体" w:cs="宋体"/>
          <w:color w:val="auto"/>
          <w:szCs w:val="21"/>
          <w:highlight w:val="none"/>
        </w:rPr>
        <w:t xml:space="preserve"> </w:t>
      </w:r>
    </w:p>
    <w:p w14:paraId="163E3226">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58" w:name="_Toc246996933"/>
      <w:bookmarkStart w:id="259" w:name="_Toc144974513"/>
      <w:bookmarkStart w:id="260" w:name="_Toc24633"/>
      <w:bookmarkStart w:id="261" w:name="_Toc152042321"/>
      <w:bookmarkStart w:id="262" w:name="_Toc324404830"/>
      <w:bookmarkStart w:id="263" w:name="_Toc247085704"/>
      <w:bookmarkStart w:id="264" w:name="_Toc35425068"/>
      <w:bookmarkStart w:id="265" w:name="_Toc296602435"/>
      <w:bookmarkStart w:id="266" w:name="_Toc35424902"/>
      <w:bookmarkStart w:id="267" w:name="_Toc152045545"/>
      <w:bookmarkStart w:id="268" w:name="_Toc506107284"/>
      <w:bookmarkStart w:id="269" w:name="_Toc15058861"/>
      <w:bookmarkStart w:id="270" w:name="_Toc246996190"/>
      <w:bookmarkStart w:id="271" w:name="_Toc179632563"/>
      <w:r>
        <w:rPr>
          <w:rFonts w:ascii="宋体" w:hAnsi="宋体" w:eastAsia="宋体" w:cs="宋体"/>
          <w:color w:val="auto"/>
          <w:highlight w:val="none"/>
        </w:rPr>
        <w:t xml:space="preserve">2.3 </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Fonts w:hint="eastAsia" w:ascii="黑体" w:hAnsi="黑体" w:eastAsia="黑体" w:cs="黑体"/>
          <w:color w:val="auto"/>
          <w:sz w:val="21"/>
          <w:szCs w:val="21"/>
          <w:highlight w:val="none"/>
        </w:rPr>
        <w:t>招标文件的澄清</w:t>
      </w:r>
    </w:p>
    <w:p w14:paraId="5DA8C438">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272" w:name="_Toc324404831"/>
      <w:bookmarkStart w:id="273" w:name="_Toc15058862"/>
      <w:bookmarkStart w:id="274" w:name="_Toc2696"/>
      <w:bookmarkStart w:id="275" w:name="_Toc35424903"/>
      <w:bookmarkStart w:id="276" w:name="_Toc35425069"/>
      <w:r>
        <w:rPr>
          <w:rFonts w:hint="eastAsia" w:ascii="宋体" w:hAnsi="宋体" w:eastAsia="宋体" w:cs="宋体"/>
          <w:color w:val="auto"/>
          <w:szCs w:val="21"/>
          <w:highlight w:val="none"/>
        </w:rPr>
        <w:t>招标人可以澄清招标文件，并以投标人须知前附表规定澄清的方式在滁州同业投资发展有限公司微信公众号、滁州市城投工程咨询管理有限公司网站（https://www.czctgczx.com/）发布。</w:t>
      </w:r>
    </w:p>
    <w:p w14:paraId="3C26B391">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2.4</w:t>
      </w:r>
      <w:bookmarkEnd w:id="272"/>
      <w:r>
        <w:rPr>
          <w:rFonts w:hint="eastAsia" w:ascii="宋体" w:hAnsi="宋体" w:eastAsia="宋体" w:cs="宋体"/>
          <w:color w:val="auto"/>
          <w:highlight w:val="none"/>
        </w:rPr>
        <w:t>最高投标限价</w:t>
      </w:r>
      <w:bookmarkEnd w:id="273"/>
      <w:bookmarkEnd w:id="274"/>
      <w:bookmarkEnd w:id="275"/>
      <w:bookmarkEnd w:id="276"/>
    </w:p>
    <w:p w14:paraId="7F03169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2.4.1</w:t>
      </w:r>
      <w:r>
        <w:rPr>
          <w:rFonts w:hint="eastAsia" w:ascii="宋体" w:hAnsi="宋体" w:cs="宋体"/>
          <w:color w:val="auto"/>
          <w:szCs w:val="21"/>
          <w:highlight w:val="none"/>
        </w:rPr>
        <w:t>最高投标限价的作用和说明</w:t>
      </w:r>
    </w:p>
    <w:p w14:paraId="6B08952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w:t>
      </w:r>
      <w:r>
        <w:rPr>
          <w:rFonts w:hint="eastAsia" w:ascii="宋体" w:hAnsi="宋体" w:eastAsia="宋体" w:cs="宋体"/>
          <w:color w:val="auto"/>
          <w:szCs w:val="21"/>
          <w:highlight w:val="none"/>
        </w:rPr>
        <w:t>投标报价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含对应综合单价）</w:t>
      </w:r>
      <w:r>
        <w:rPr>
          <w:rFonts w:hint="eastAsia" w:ascii="宋体" w:hAnsi="宋体" w:eastAsia="宋体" w:cs="宋体"/>
          <w:color w:val="auto"/>
          <w:szCs w:val="21"/>
          <w:highlight w:val="none"/>
        </w:rPr>
        <w:t>不得超过最高投标限价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含对应最高综合单价）</w:t>
      </w:r>
      <w:r>
        <w:rPr>
          <w:rFonts w:hint="eastAsia" w:ascii="宋体" w:hAnsi="宋体" w:cs="宋体"/>
          <w:color w:val="auto"/>
          <w:highlight w:val="none"/>
        </w:rPr>
        <w:t>，最高投标限价的发布时间及方式在投标人须知前附表中载明。</w:t>
      </w:r>
    </w:p>
    <w:p w14:paraId="0F7F7953">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）投标人对最高投标限价有异议的，可在</w:t>
      </w:r>
      <w:r>
        <w:rPr>
          <w:rFonts w:hint="eastAsia" w:ascii="宋体" w:hAnsi="宋体" w:cs="宋体"/>
          <w:color w:val="auto"/>
          <w:highlight w:val="none"/>
        </w:rPr>
        <w:t>投标人须知前附表规定的时间内向招标人提出异议，</w:t>
      </w:r>
      <w:r>
        <w:rPr>
          <w:rFonts w:hint="eastAsia" w:ascii="宋体" w:hAnsi="宋体" w:cs="宋体"/>
          <w:color w:val="auto"/>
          <w:szCs w:val="21"/>
          <w:highlight w:val="none"/>
        </w:rPr>
        <w:t>未在规定时间内提出异议的或投标人提出异议经招标人复核后的最高投标限价，视为合理有效。</w:t>
      </w:r>
    </w:p>
    <w:p w14:paraId="4654D879">
      <w:pPr>
        <w:pStyle w:val="4"/>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277" w:name="_Toc506107285"/>
      <w:bookmarkStart w:id="278" w:name="_Toc246996934"/>
      <w:bookmarkStart w:id="279" w:name="_Toc246996191"/>
      <w:bookmarkStart w:id="280" w:name="_Toc247085705"/>
      <w:bookmarkStart w:id="281" w:name="_Toc144974514"/>
      <w:bookmarkStart w:id="282" w:name="_Toc35424904"/>
      <w:bookmarkStart w:id="283" w:name="_Toc35425070"/>
      <w:bookmarkStart w:id="284" w:name="_Toc152042322"/>
      <w:bookmarkStart w:id="285" w:name="_Toc15058863"/>
      <w:bookmarkStart w:id="286" w:name="_Toc152045546"/>
      <w:bookmarkStart w:id="287" w:name="_Toc6464"/>
      <w:bookmarkStart w:id="288" w:name="_Toc324404832"/>
      <w:bookmarkStart w:id="289" w:name="_Toc179632564"/>
      <w:r>
        <w:rPr>
          <w:rFonts w:ascii="宋体" w:hAnsi="宋体" w:eastAsia="宋体" w:cs="宋体"/>
          <w:color w:val="auto"/>
          <w:sz w:val="24"/>
          <w:szCs w:val="24"/>
          <w:highlight w:val="none"/>
        </w:rPr>
        <w:t xml:space="preserve">3. </w:t>
      </w:r>
      <w:r>
        <w:rPr>
          <w:rFonts w:hint="eastAsia" w:ascii="宋体" w:hAnsi="宋体" w:eastAsia="宋体" w:cs="宋体"/>
          <w:color w:val="auto"/>
          <w:sz w:val="24"/>
          <w:szCs w:val="24"/>
          <w:highlight w:val="none"/>
        </w:rPr>
        <w:t>投标文件</w:t>
      </w:r>
      <w:bookmarkEnd w:id="277"/>
      <w:bookmarkEnd w:id="278"/>
      <w:bookmarkEnd w:id="279"/>
      <w:bookmarkEnd w:id="280"/>
      <w:bookmarkEnd w:id="281"/>
      <w:bookmarkEnd w:id="282"/>
      <w:bookmarkEnd w:id="283"/>
      <w:bookmarkEnd w:id="284"/>
      <w:bookmarkEnd w:id="285"/>
      <w:bookmarkEnd w:id="286"/>
      <w:bookmarkEnd w:id="287"/>
      <w:bookmarkEnd w:id="288"/>
      <w:bookmarkEnd w:id="289"/>
    </w:p>
    <w:p w14:paraId="4E47C4C4">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90" w:name="_Toc35424905"/>
      <w:bookmarkStart w:id="291" w:name="_Toc246996935"/>
      <w:bookmarkStart w:id="292" w:name="_Toc506107286"/>
      <w:bookmarkStart w:id="293" w:name="_Toc246996192"/>
      <w:bookmarkStart w:id="294" w:name="_Toc296602437"/>
      <w:bookmarkStart w:id="295" w:name="_Toc152042323"/>
      <w:bookmarkStart w:id="296" w:name="_Toc157"/>
      <w:bookmarkStart w:id="297" w:name="_Toc247085706"/>
      <w:bookmarkStart w:id="298" w:name="_Toc152045547"/>
      <w:bookmarkStart w:id="299" w:name="_Toc144974515"/>
      <w:bookmarkStart w:id="300" w:name="_Toc324404833"/>
      <w:bookmarkStart w:id="301" w:name="_Toc15058864"/>
      <w:bookmarkStart w:id="302" w:name="_Toc179632565"/>
      <w:bookmarkStart w:id="303" w:name="_Toc35425071"/>
      <w:r>
        <w:rPr>
          <w:rFonts w:ascii="宋体" w:hAnsi="宋体" w:eastAsia="宋体" w:cs="宋体"/>
          <w:color w:val="auto"/>
          <w:highlight w:val="none"/>
        </w:rPr>
        <w:t xml:space="preserve">3.1 </w:t>
      </w:r>
      <w:r>
        <w:rPr>
          <w:rFonts w:hint="eastAsia" w:ascii="宋体" w:hAnsi="宋体" w:eastAsia="宋体" w:cs="宋体"/>
          <w:color w:val="auto"/>
          <w:highlight w:val="none"/>
        </w:rPr>
        <w:t>投标文件的组成</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4E43919B">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cs="宋体"/>
          <w:color w:val="auto"/>
          <w:szCs w:val="21"/>
          <w:highlight w:val="none"/>
        </w:rPr>
      </w:pPr>
      <w:bookmarkStart w:id="304" w:name="_Toc246996936"/>
      <w:bookmarkStart w:id="305" w:name="_Toc179632566"/>
      <w:bookmarkStart w:id="306" w:name="_Toc35425072"/>
      <w:bookmarkStart w:id="307" w:name="_Toc35424906"/>
      <w:bookmarkStart w:id="308" w:name="_Toc15058865"/>
      <w:bookmarkStart w:id="309" w:name="_Toc144974516"/>
      <w:bookmarkStart w:id="310" w:name="_Toc246996193"/>
      <w:bookmarkStart w:id="311" w:name="_Toc247085707"/>
      <w:bookmarkStart w:id="312" w:name="_Toc6829"/>
      <w:bookmarkStart w:id="313" w:name="_Toc152045548"/>
      <w:bookmarkStart w:id="314" w:name="_Toc152042324"/>
      <w:bookmarkStart w:id="315" w:name="_Toc296602438"/>
      <w:bookmarkStart w:id="316" w:name="_Toc324404834"/>
      <w:bookmarkStart w:id="317" w:name="_Toc506107287"/>
      <w:r>
        <w:rPr>
          <w:rFonts w:hint="eastAsia" w:ascii="宋体" w:hAnsi="宋体" w:cs="宋体"/>
          <w:color w:val="auto"/>
          <w:szCs w:val="21"/>
          <w:highlight w:val="none"/>
        </w:rPr>
        <w:t>投标文件的具体组成部分及材料要求详见本招标文件第</w:t>
      </w:r>
      <w:r>
        <w:rPr>
          <w:rFonts w:hint="eastAsia" w:ascii="宋体" w:hAnsi="宋体" w:cs="宋体"/>
          <w:color w:val="auto"/>
          <w:szCs w:val="21"/>
          <w:highlight w:val="none"/>
          <w:lang w:val="en-US" w:eastAsia="zh-CN"/>
        </w:rPr>
        <w:t>六</w:t>
      </w:r>
      <w:r>
        <w:rPr>
          <w:rFonts w:hint="eastAsia" w:ascii="宋体" w:hAnsi="宋体" w:cs="宋体"/>
          <w:color w:val="auto"/>
          <w:szCs w:val="21"/>
          <w:highlight w:val="none"/>
        </w:rPr>
        <w:t>章“投标文件格式”。</w:t>
      </w:r>
    </w:p>
    <w:p w14:paraId="691FC976">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3.2 </w:t>
      </w:r>
      <w:r>
        <w:rPr>
          <w:rFonts w:hint="eastAsia" w:ascii="宋体" w:hAnsi="宋体" w:eastAsia="宋体" w:cs="宋体"/>
          <w:color w:val="auto"/>
          <w:highlight w:val="none"/>
        </w:rPr>
        <w:t>投标报价</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14:paraId="52736688">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bookmarkStart w:id="318" w:name="_Toc246996937"/>
      <w:bookmarkStart w:id="319" w:name="_Toc324404835"/>
      <w:bookmarkStart w:id="320" w:name="_Toc152045549"/>
      <w:bookmarkStart w:id="321" w:name="_Toc152042325"/>
      <w:bookmarkStart w:id="322" w:name="_Toc144974517"/>
      <w:bookmarkStart w:id="323" w:name="_Toc179632567"/>
      <w:bookmarkStart w:id="324" w:name="_Toc247085708"/>
      <w:bookmarkStart w:id="325" w:name="_Toc296602439"/>
      <w:bookmarkStart w:id="326" w:name="_Toc246996194"/>
      <w:r>
        <w:rPr>
          <w:rFonts w:hint="eastAsia" w:ascii="宋体" w:hAnsi="宋体" w:eastAsia="宋体" w:cs="宋体"/>
          <w:color w:val="auto"/>
          <w:szCs w:val="21"/>
          <w:highlight w:val="none"/>
        </w:rPr>
        <w:t>3.2.1投标报价应包括国家规定的增值税税金，除投标人须知前附表另有规定外，增值税税金按一般计税方法计算。投标人应按第</w:t>
      </w: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章“投标文件格式”的要求在投标函中进行报价并填写</w:t>
      </w:r>
      <w:r>
        <w:rPr>
          <w:rFonts w:hint="eastAsia" w:ascii="宋体" w:hAnsi="宋体" w:cs="宋体"/>
          <w:color w:val="auto"/>
          <w:szCs w:val="21"/>
          <w:highlight w:val="none"/>
          <w:lang w:val="en-US" w:eastAsia="zh-CN"/>
        </w:rPr>
        <w:t>分项报价清单</w:t>
      </w:r>
      <w:r>
        <w:rPr>
          <w:rFonts w:hint="eastAsia" w:ascii="宋体" w:hAnsi="宋体" w:eastAsia="宋体" w:cs="宋体"/>
          <w:color w:val="auto"/>
          <w:szCs w:val="21"/>
          <w:highlight w:val="none"/>
        </w:rPr>
        <w:t>。</w:t>
      </w:r>
    </w:p>
    <w:p w14:paraId="76E7F69B">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3.2.2投标人应充分了解本项目的总体情况以及影响投标报价的其他要素。</w:t>
      </w:r>
    </w:p>
    <w:p w14:paraId="479B65EF">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3.2.3投标人在投标截止时间前修改投标函中的投标报价总额，应同时修改“分项报价清单”中的相应报价，投标报价总额为各分项金额之和。此修改须符合本章第4.4款的有关要求。</w:t>
      </w:r>
    </w:p>
    <w:p w14:paraId="6F9BC38B">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3.2.4招标人设有最高投标限价的，投标人的投标报价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含对应综合单价）</w:t>
      </w:r>
      <w:r>
        <w:rPr>
          <w:rFonts w:hint="eastAsia" w:ascii="宋体" w:hAnsi="宋体" w:eastAsia="宋体" w:cs="宋体"/>
          <w:color w:val="auto"/>
          <w:szCs w:val="21"/>
          <w:highlight w:val="none"/>
        </w:rPr>
        <w:t>不得超过最高投标限价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含对应最高综合单价）</w:t>
      </w:r>
      <w:r>
        <w:rPr>
          <w:rFonts w:hint="eastAsia" w:ascii="宋体" w:hAnsi="宋体" w:eastAsia="宋体" w:cs="宋体"/>
          <w:color w:val="auto"/>
          <w:szCs w:val="21"/>
          <w:highlight w:val="none"/>
        </w:rPr>
        <w:t>，最高投标限价在投标人须知前附表中载</w:t>
      </w:r>
      <w:r>
        <w:rPr>
          <w:rFonts w:hint="eastAsia" w:ascii="宋体" w:hAnsi="宋体" w:cs="宋体"/>
          <w:color w:val="auto"/>
          <w:szCs w:val="21"/>
          <w:highlight w:val="none"/>
        </w:rPr>
        <w:t>明。</w:t>
      </w:r>
    </w:p>
    <w:p w14:paraId="0AC47844">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3.2.5</w:t>
      </w:r>
      <w:r>
        <w:rPr>
          <w:rFonts w:hint="eastAsia" w:ascii="宋体" w:hAnsi="宋体" w:cs="宋体"/>
          <w:color w:val="auto"/>
          <w:szCs w:val="21"/>
          <w:highlight w:val="none"/>
        </w:rPr>
        <w:t>投标报价的其他要求见投标人须知前附表。</w:t>
      </w:r>
    </w:p>
    <w:p w14:paraId="7D4C6BE7">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327" w:name="_Toc35425073"/>
      <w:bookmarkStart w:id="328" w:name="_Toc15058866"/>
      <w:bookmarkStart w:id="329" w:name="_Toc35424907"/>
      <w:bookmarkStart w:id="330" w:name="_Toc506107288"/>
      <w:bookmarkStart w:id="331" w:name="_Toc31735"/>
      <w:r>
        <w:rPr>
          <w:rFonts w:ascii="宋体" w:hAnsi="宋体" w:eastAsia="宋体" w:cs="宋体"/>
          <w:color w:val="auto"/>
          <w:highlight w:val="none"/>
        </w:rPr>
        <w:t xml:space="preserve">3.3 </w:t>
      </w:r>
      <w:r>
        <w:rPr>
          <w:rFonts w:hint="eastAsia" w:ascii="宋体" w:hAnsi="宋体" w:eastAsia="宋体" w:cs="宋体"/>
          <w:color w:val="auto"/>
          <w:highlight w:val="none"/>
        </w:rPr>
        <w:t>投标有效期</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7F96CA7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3.3.1</w:t>
      </w:r>
      <w:r>
        <w:rPr>
          <w:rFonts w:hint="eastAsia" w:ascii="宋体" w:hAnsi="宋体" w:cs="宋体"/>
          <w:color w:val="auto"/>
          <w:szCs w:val="21"/>
          <w:highlight w:val="none"/>
        </w:rPr>
        <w:t>除投标人须知前附表另有规定外，投标有效期为</w:t>
      </w:r>
      <w:r>
        <w:rPr>
          <w:rFonts w:ascii="宋体" w:hAnsi="宋体" w:cs="宋体"/>
          <w:color w:val="auto"/>
          <w:szCs w:val="21"/>
          <w:highlight w:val="none"/>
        </w:rPr>
        <w:t>90</w:t>
      </w:r>
      <w:r>
        <w:rPr>
          <w:rFonts w:hint="eastAsia" w:ascii="宋体" w:hAnsi="宋体" w:cs="宋体"/>
          <w:color w:val="auto"/>
          <w:szCs w:val="21"/>
          <w:highlight w:val="none"/>
        </w:rPr>
        <w:t>天。</w:t>
      </w:r>
    </w:p>
    <w:p w14:paraId="4C9A2B4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3.3.2</w:t>
      </w:r>
      <w:r>
        <w:rPr>
          <w:rFonts w:hint="eastAsia" w:ascii="宋体" w:hAnsi="宋体" w:cs="宋体"/>
          <w:color w:val="auto"/>
          <w:szCs w:val="21"/>
          <w:highlight w:val="none"/>
        </w:rPr>
        <w:t>在投标有效期内，投标人撤销或修改其投标文件的，应承担招标文件和法律规定的责任。</w:t>
      </w:r>
    </w:p>
    <w:p w14:paraId="269D9BC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3.3.3</w:t>
      </w:r>
      <w:r>
        <w:rPr>
          <w:rFonts w:hint="eastAsia" w:ascii="宋体" w:hAnsi="宋体" w:cs="宋体"/>
          <w:color w:val="auto"/>
          <w:szCs w:val="21"/>
          <w:highlight w:val="none"/>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0740D1A3">
      <w:pPr>
        <w:pStyle w:val="4"/>
        <w:pageBreakBefore w:val="0"/>
        <w:widowControl w:val="0"/>
        <w:kinsoku/>
        <w:wordWrap/>
        <w:overflowPunct/>
        <w:topLinePunct w:val="0"/>
        <w:autoSpaceDE/>
        <w:autoSpaceDN/>
        <w:bidi w:val="0"/>
        <w:spacing w:line="500" w:lineRule="exact"/>
        <w:ind w:firstLine="422" w:firstLineChars="200"/>
        <w:textAlignment w:val="auto"/>
        <w:rPr>
          <w:rFonts w:hint="default" w:ascii="宋体" w:hAnsi="宋体" w:eastAsia="宋体" w:cs="宋体"/>
          <w:color w:val="auto"/>
          <w:highlight w:val="none"/>
          <w:lang w:val="en-US" w:eastAsia="zh-CN"/>
        </w:rPr>
      </w:pPr>
      <w:bookmarkStart w:id="332" w:name="_Toc246996195"/>
      <w:bookmarkStart w:id="333" w:name="_Toc35425074"/>
      <w:bookmarkStart w:id="334" w:name="_Toc296602440"/>
      <w:bookmarkStart w:id="335" w:name="_Toc324404836"/>
      <w:bookmarkStart w:id="336" w:name="_Toc10714"/>
      <w:bookmarkStart w:id="337" w:name="_Toc246996938"/>
      <w:bookmarkStart w:id="338" w:name="_Toc152045550"/>
      <w:bookmarkStart w:id="339" w:name="_Toc144974518"/>
      <w:bookmarkStart w:id="340" w:name="_Toc506107289"/>
      <w:bookmarkStart w:id="341" w:name="_Toc247085709"/>
      <w:bookmarkStart w:id="342" w:name="_Toc152042326"/>
      <w:bookmarkStart w:id="343" w:name="_Toc35424908"/>
      <w:bookmarkStart w:id="344" w:name="_Toc15058867"/>
      <w:bookmarkStart w:id="345" w:name="_Toc179632568"/>
      <w:r>
        <w:rPr>
          <w:rFonts w:ascii="宋体" w:hAnsi="宋体" w:eastAsia="宋体" w:cs="宋体"/>
          <w:color w:val="auto"/>
          <w:highlight w:val="none"/>
        </w:rPr>
        <w:t xml:space="preserve">3.4 </w:t>
      </w:r>
      <w:r>
        <w:rPr>
          <w:rFonts w:hint="eastAsia" w:ascii="宋体" w:hAnsi="宋体" w:eastAsia="宋体" w:cs="宋体"/>
          <w:color w:val="auto"/>
          <w:highlight w:val="none"/>
        </w:rPr>
        <w:t>投标保证金</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本项目不采用）</w:t>
      </w:r>
    </w:p>
    <w:p w14:paraId="28BB0F4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3.4.1投标人须知前附表规定递交投标保证金的，投标人在递交投标文件的同时，应按投标人须知前附表规定的金额、担保形式和第</w:t>
      </w: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章“投标文件格式”规定的或者事先经过招标人认可的保证金格式递交保证金，并作为其投标文件的组成部分。</w:t>
      </w:r>
    </w:p>
    <w:p w14:paraId="0E3E349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无论采取何种形式的投标保证金，投标保证金有效期均应与投标有效期一致（采用投标电子保函的保证期截止时间不得早于该项目投标有效期的截止时间）。招标人如果按本章第3.3.3项的规定延长了投标有效期，则投标保证金的有效期也相应延长。</w:t>
      </w:r>
    </w:p>
    <w:p w14:paraId="34A7F64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 投标人不按本章第3.4.1项要求提交投标保证金的，评标委员会将否决其投标。</w:t>
      </w:r>
    </w:p>
    <w:p w14:paraId="060DC23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 xml:space="preserve"> 有下列情形之一的，投标保证金将不予退还： </w:t>
      </w:r>
    </w:p>
    <w:p w14:paraId="1DA4AB6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（1）投标截止后投标人撤销投标文件的；</w:t>
      </w:r>
    </w:p>
    <w:p w14:paraId="3EAA1E4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（2）中标人无正当理由不与招标人订立合同，在签订合同时向招标人提出附加条件，或者不按照招标文件要求提交履约保证金的。</w:t>
      </w:r>
    </w:p>
    <w:p w14:paraId="612098FB">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346" w:name="_Toc19037"/>
      <w:bookmarkStart w:id="347" w:name="_Toc296602442"/>
      <w:bookmarkStart w:id="348" w:name="_Toc506107290"/>
      <w:bookmarkStart w:id="349" w:name="_Toc324404837"/>
      <w:bookmarkStart w:id="350" w:name="_Toc15058868"/>
      <w:bookmarkStart w:id="351" w:name="_Toc35425075"/>
      <w:bookmarkStart w:id="352" w:name="_Toc35424909"/>
      <w:bookmarkStart w:id="353" w:name="_Toc179632571"/>
      <w:bookmarkStart w:id="354" w:name="_Toc152045553"/>
      <w:bookmarkStart w:id="355" w:name="_Toc144974521"/>
      <w:bookmarkStart w:id="356" w:name="_Toc247085711"/>
      <w:bookmarkStart w:id="357" w:name="_Toc152042329"/>
      <w:bookmarkStart w:id="358" w:name="_Toc246996197"/>
      <w:bookmarkStart w:id="359" w:name="_Toc246996940"/>
      <w:r>
        <w:rPr>
          <w:rFonts w:ascii="宋体" w:hAnsi="宋体" w:eastAsia="宋体" w:cs="宋体"/>
          <w:color w:val="auto"/>
          <w:highlight w:val="none"/>
        </w:rPr>
        <w:t>3.5</w:t>
      </w:r>
      <w:r>
        <w:rPr>
          <w:rFonts w:hint="eastAsia" w:ascii="宋体" w:hAnsi="宋体" w:eastAsia="宋体" w:cs="宋体"/>
          <w:color w:val="auto"/>
          <w:highlight w:val="none"/>
        </w:rPr>
        <w:t>投标文件的编制</w:t>
      </w:r>
      <w:bookmarkEnd w:id="346"/>
      <w:bookmarkEnd w:id="347"/>
      <w:bookmarkEnd w:id="348"/>
      <w:bookmarkEnd w:id="349"/>
      <w:bookmarkEnd w:id="350"/>
      <w:bookmarkEnd w:id="351"/>
      <w:bookmarkEnd w:id="352"/>
    </w:p>
    <w:bookmarkEnd w:id="353"/>
    <w:bookmarkEnd w:id="354"/>
    <w:bookmarkEnd w:id="355"/>
    <w:bookmarkEnd w:id="356"/>
    <w:bookmarkEnd w:id="357"/>
    <w:bookmarkEnd w:id="358"/>
    <w:bookmarkEnd w:id="359"/>
    <w:p w14:paraId="3545380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bookmarkStart w:id="360" w:name="_Toc152045555"/>
      <w:bookmarkStart w:id="361" w:name="_Toc19455"/>
      <w:bookmarkStart w:id="362" w:name="_Toc35425076"/>
      <w:bookmarkStart w:id="363" w:name="_Toc179632573"/>
      <w:bookmarkStart w:id="364" w:name="_Toc246996942"/>
      <w:bookmarkStart w:id="365" w:name="_Toc152042331"/>
      <w:bookmarkStart w:id="366" w:name="_Toc144974523"/>
      <w:bookmarkStart w:id="367" w:name="_Toc246996199"/>
      <w:bookmarkStart w:id="368" w:name="_Toc35424910"/>
      <w:bookmarkStart w:id="369" w:name="_Toc247085713"/>
      <w:bookmarkStart w:id="370" w:name="_Toc324404838"/>
      <w:bookmarkStart w:id="371" w:name="_Toc15058869"/>
      <w:bookmarkStart w:id="372" w:name="_Toc506107291"/>
      <w:r>
        <w:rPr>
          <w:rFonts w:hint="eastAsia" w:ascii="宋体" w:hAnsi="宋体" w:cs="宋体"/>
          <w:color w:val="auto"/>
          <w:sz w:val="21"/>
          <w:szCs w:val="21"/>
          <w:highlight w:val="none"/>
          <w:lang w:val="en-US" w:eastAsia="zh-CN"/>
        </w:rPr>
        <w:t>3.5.1</w:t>
      </w:r>
      <w:r>
        <w:rPr>
          <w:rFonts w:hint="eastAsia" w:ascii="宋体" w:hAnsi="宋体" w:eastAsia="宋体" w:cs="宋体"/>
          <w:color w:val="auto"/>
          <w:sz w:val="21"/>
          <w:szCs w:val="21"/>
          <w:highlight w:val="none"/>
          <w:lang w:val="en-US" w:eastAsia="zh-CN"/>
        </w:rPr>
        <w:t>投标文件应按第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章“投标文件格式”进行编写，如有必要，可以增加附页，作为投标文件的组成部分。其中，投标函在满足招标文件实质性要求的基础上，可以提出比招标文件要求更有利于招标人的承诺。</w:t>
      </w:r>
    </w:p>
    <w:p w14:paraId="625212D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3.5.2</w:t>
      </w:r>
      <w:r>
        <w:rPr>
          <w:rFonts w:hint="eastAsia" w:ascii="宋体" w:hAnsi="宋体" w:eastAsia="宋体" w:cs="宋体"/>
          <w:color w:val="auto"/>
          <w:sz w:val="21"/>
          <w:szCs w:val="21"/>
          <w:highlight w:val="none"/>
          <w:lang w:val="en-US" w:eastAsia="zh-CN"/>
        </w:rPr>
        <w:t>投标文件应当对招标文件有关</w:t>
      </w:r>
      <w:r>
        <w:rPr>
          <w:rFonts w:hint="eastAsia" w:ascii="宋体" w:hAnsi="宋体" w:cs="宋体"/>
          <w:color w:val="auto"/>
          <w:sz w:val="21"/>
          <w:szCs w:val="21"/>
          <w:highlight w:val="none"/>
          <w:lang w:val="en-US" w:eastAsia="zh-CN"/>
        </w:rPr>
        <w:t>供货</w:t>
      </w:r>
      <w:r>
        <w:rPr>
          <w:rFonts w:hint="eastAsia" w:ascii="宋体" w:hAnsi="宋体" w:eastAsia="宋体" w:cs="宋体"/>
          <w:color w:val="auto"/>
          <w:sz w:val="21"/>
          <w:szCs w:val="21"/>
          <w:highlight w:val="none"/>
          <w:lang w:val="en-US" w:eastAsia="zh-CN"/>
        </w:rPr>
        <w:t>周期、投标有效期、质量要求、技术标准和要求、招标范围等实质性内容作出响应。</w:t>
      </w:r>
    </w:p>
    <w:p w14:paraId="116FB15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3.5.3</w:t>
      </w:r>
      <w:r>
        <w:rPr>
          <w:rFonts w:hint="eastAsia" w:ascii="宋体" w:hAnsi="宋体" w:eastAsia="宋体" w:cs="宋体"/>
          <w:color w:val="auto"/>
          <w:sz w:val="21"/>
          <w:szCs w:val="21"/>
          <w:highlight w:val="none"/>
          <w:lang w:val="en-US" w:eastAsia="zh-CN"/>
        </w:rPr>
        <w:t>本次投标不需要提供纸质投标文件，投标人应按照电子招标投标的要求，在投标人的电子系统中制作、签章、上传加密的电子投标文件。</w:t>
      </w:r>
    </w:p>
    <w:p w14:paraId="0609B8B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3.5.4</w:t>
      </w:r>
      <w:r>
        <w:rPr>
          <w:rFonts w:hint="eastAsia" w:ascii="宋体" w:hAnsi="宋体" w:eastAsia="宋体" w:cs="宋体"/>
          <w:color w:val="auto"/>
          <w:sz w:val="21"/>
          <w:szCs w:val="21"/>
          <w:highlight w:val="none"/>
          <w:lang w:val="en-US" w:eastAsia="zh-CN"/>
        </w:rPr>
        <w:t>投标人须知前附表规定接受联合体投标的，资格审查资料应包括联合体各方相关情况。</w:t>
      </w:r>
    </w:p>
    <w:p w14:paraId="44B3EA2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3.5.6</w:t>
      </w:r>
      <w:r>
        <w:rPr>
          <w:rFonts w:hint="eastAsia" w:ascii="宋体" w:hAnsi="宋体" w:eastAsia="宋体" w:cs="宋体"/>
          <w:color w:val="auto"/>
          <w:sz w:val="21"/>
          <w:szCs w:val="21"/>
          <w:highlight w:val="none"/>
          <w:lang w:val="en-US" w:eastAsia="zh-CN"/>
        </w:rPr>
        <w:t>招标人有权核查投标人在投标文件中提供的资料，若发现投标人以他人名义投标或者以其他方式弄虚作假骗取中标的，中标无效；如果签订合同后发现中标人提供了虚假材料，招标人有权解除合同。</w:t>
      </w:r>
    </w:p>
    <w:p w14:paraId="4B5BBE2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3.5.7</w:t>
      </w:r>
      <w:r>
        <w:rPr>
          <w:rFonts w:hint="eastAsia" w:ascii="宋体" w:hAnsi="宋体" w:eastAsia="宋体" w:cs="宋体"/>
          <w:color w:val="auto"/>
          <w:sz w:val="21"/>
          <w:szCs w:val="21"/>
          <w:highlight w:val="none"/>
          <w:lang w:val="en-US" w:eastAsia="zh-CN"/>
        </w:rPr>
        <w:t>投标文件的制作应满足以下规定：</w:t>
      </w:r>
    </w:p>
    <w:p w14:paraId="5334DA9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文件由投标人使用电子交易系统提供的“投标文件制作工具”制作生成。“投标文件制作工具”下载链接为https://download.bqpoint.com/download/downloaddetail.html?SourceFrom=Ztb&amp;ZtbSoftXiaQuCode=0128&amp;ZtbSoftType=tballinclusive</w:t>
      </w:r>
      <w:r>
        <w:rPr>
          <w:rFonts w:hint="eastAsia" w:ascii="宋体" w:hAnsi="宋体" w:cs="宋体"/>
          <w:color w:val="auto"/>
          <w:sz w:val="21"/>
          <w:szCs w:val="21"/>
          <w:highlight w:val="none"/>
          <w:lang w:val="en-US" w:eastAsia="zh-CN"/>
        </w:rPr>
        <w:t>.</w:t>
      </w:r>
    </w:p>
    <w:p w14:paraId="4D30713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（2）招标文件中“签章”是指签字或盖章。在第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39C5238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4B11678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20.7因投标人自身原因而导致投标文件无法导入电子交易系统电子开标、评标系统，该投标视为无效投标，投标人自行承担由此导致的全部责任。</w:t>
      </w:r>
    </w:p>
    <w:p w14:paraId="32B4A1C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20.8 投标人中标后须递交与网上电子投标文件完全一致的纸质版投标文件，在领取中标通知书时，一并递交给招标代理机构。</w:t>
      </w:r>
    </w:p>
    <w:p w14:paraId="3CC1791A">
      <w:pPr>
        <w:pStyle w:val="4"/>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w:t>
      </w:r>
      <w:r>
        <w:rPr>
          <w:rFonts w:hint="eastAsia" w:ascii="宋体" w:hAnsi="宋体" w:eastAsia="宋体" w:cs="宋体"/>
          <w:color w:val="auto"/>
          <w:sz w:val="24"/>
          <w:szCs w:val="24"/>
          <w:highlight w:val="none"/>
        </w:rPr>
        <w:t>投标</w:t>
      </w:r>
      <w:bookmarkEnd w:id="360"/>
      <w:bookmarkEnd w:id="361"/>
      <w:bookmarkEnd w:id="362"/>
      <w:bookmarkEnd w:id="363"/>
      <w:bookmarkEnd w:id="364"/>
      <w:bookmarkEnd w:id="365"/>
      <w:bookmarkEnd w:id="366"/>
      <w:bookmarkEnd w:id="367"/>
      <w:bookmarkEnd w:id="368"/>
      <w:bookmarkEnd w:id="369"/>
      <w:bookmarkEnd w:id="370"/>
      <w:bookmarkEnd w:id="371"/>
      <w:bookmarkEnd w:id="372"/>
    </w:p>
    <w:p w14:paraId="3C7C7E40">
      <w:pPr>
        <w:pStyle w:val="4"/>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lang w:eastAsia="zh-CN"/>
        </w:rPr>
      </w:pPr>
      <w:bookmarkStart w:id="373" w:name="_Toc15058870"/>
      <w:bookmarkStart w:id="374" w:name="_Toc14473"/>
      <w:bookmarkStart w:id="375" w:name="_Toc35424911"/>
      <w:bookmarkStart w:id="376" w:name="_Toc78803346"/>
      <w:bookmarkStart w:id="377" w:name="_Toc35425077"/>
      <w:bookmarkStart w:id="378" w:name="_Toc35425081"/>
      <w:bookmarkStart w:id="379" w:name="_Toc506107295"/>
      <w:bookmarkStart w:id="380" w:name="_Toc246996203"/>
      <w:bookmarkStart w:id="381" w:name="_Toc247085717"/>
      <w:bookmarkStart w:id="382" w:name="_Toc144974527"/>
      <w:bookmarkStart w:id="383" w:name="_Toc179632577"/>
      <w:bookmarkStart w:id="384" w:name="_Toc152042335"/>
      <w:bookmarkStart w:id="385" w:name="_Toc29639"/>
      <w:bookmarkStart w:id="386" w:name="_Toc246996946"/>
      <w:bookmarkStart w:id="387" w:name="_Toc152045559"/>
      <w:bookmarkStart w:id="388" w:name="_Toc324404842"/>
      <w:bookmarkStart w:id="389" w:name="_Toc15058874"/>
      <w:bookmarkStart w:id="390" w:name="_Toc35424915"/>
      <w:r>
        <w:rPr>
          <w:rFonts w:hint="eastAsia" w:ascii="宋体" w:hAnsi="宋体" w:eastAsia="宋体" w:cs="宋体"/>
          <w:color w:val="auto"/>
          <w:highlight w:val="none"/>
        </w:rPr>
        <w:t>4.1</w:t>
      </w:r>
      <w:bookmarkEnd w:id="373"/>
      <w:bookmarkEnd w:id="374"/>
      <w:bookmarkEnd w:id="375"/>
      <w:bookmarkEnd w:id="376"/>
      <w:bookmarkEnd w:id="377"/>
      <w:r>
        <w:rPr>
          <w:rFonts w:hint="eastAsia" w:ascii="宋体" w:hAnsi="宋体" w:eastAsia="宋体" w:cs="宋体"/>
          <w:color w:val="auto"/>
          <w:highlight w:val="none"/>
        </w:rPr>
        <w:t>投标文件上传</w:t>
      </w:r>
    </w:p>
    <w:p w14:paraId="2F6CC2B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4.1.1请投标人通过系统下载投标工具制作投标文件，并利用CA数字证书进行上传投标文件，上传已加密的投标文件，务必通过此方式上传投标文件</w:t>
      </w:r>
      <w:r>
        <w:rPr>
          <w:rFonts w:hint="eastAsia" w:ascii="宋体" w:hAnsi="宋体" w:cs="宋体"/>
          <w:color w:val="auto"/>
          <w:sz w:val="21"/>
          <w:szCs w:val="21"/>
          <w:highlight w:val="none"/>
          <w:lang w:val="en-US" w:eastAsia="zh-CN"/>
        </w:rPr>
        <w:t>。</w:t>
      </w:r>
    </w:p>
    <w:p w14:paraId="1430AF1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cs="宋体"/>
          <w:color w:val="auto"/>
          <w:szCs w:val="21"/>
          <w:highlight w:val="none"/>
        </w:rPr>
        <w:t>4.1.</w:t>
      </w:r>
      <w:r>
        <w:rPr>
          <w:rFonts w:hint="eastAsia" w:ascii="宋体" w:hAnsi="宋体" w:cs="宋体"/>
          <w:color w:val="auto"/>
          <w:szCs w:val="21"/>
          <w:highlight w:val="none"/>
          <w:lang w:val="en-US" w:eastAsia="zh-CN"/>
        </w:rPr>
        <w:t>2</w:t>
      </w:r>
      <w:bookmarkStart w:id="391" w:name="_Toc35424912"/>
      <w:bookmarkStart w:id="392" w:name="_Toc246996943"/>
      <w:bookmarkStart w:id="393" w:name="_Toc35425078"/>
      <w:bookmarkStart w:id="394" w:name="_Toc324404839"/>
      <w:bookmarkStart w:id="395" w:name="_Toc246996200"/>
      <w:bookmarkStart w:id="396" w:name="_Toc152045556"/>
      <w:bookmarkStart w:id="397" w:name="_Toc15058871"/>
      <w:bookmarkStart w:id="398" w:name="_Toc144974524"/>
      <w:bookmarkStart w:id="399" w:name="_Toc152042332"/>
      <w:bookmarkStart w:id="400" w:name="_Toc296602444"/>
      <w:bookmarkStart w:id="401" w:name="_Toc179632574"/>
      <w:bookmarkStart w:id="402" w:name="_Toc3526"/>
      <w:bookmarkStart w:id="403" w:name="_Toc247085714"/>
      <w:bookmarkStart w:id="404" w:name="_Toc506107292"/>
      <w:r>
        <w:rPr>
          <w:rFonts w:hint="eastAsia" w:ascii="宋体" w:hAnsi="宋体" w:cs="宋体"/>
          <w:color w:val="auto"/>
          <w:szCs w:val="21"/>
          <w:highlight w:val="none"/>
          <w:lang w:val="en-US" w:eastAsia="zh-CN"/>
        </w:rPr>
        <w:t>投标人在投标文件编制、签章、上传过程中如有任何操作的疑问请及时联系技术支持，电话：0512-58151515（工作日）。</w:t>
      </w:r>
    </w:p>
    <w:p w14:paraId="6BFC449F">
      <w:pPr>
        <w:pStyle w:val="4"/>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4.2投标文件的密封和标记</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4FCD9CA8">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cs="宋体"/>
          <w:color w:val="auto"/>
          <w:szCs w:val="21"/>
          <w:highlight w:val="none"/>
        </w:rPr>
      </w:pPr>
      <w:bookmarkStart w:id="405" w:name="_Toc152045557"/>
      <w:bookmarkStart w:id="406" w:name="_Toc296602445"/>
      <w:bookmarkStart w:id="407" w:name="_Toc246996201"/>
      <w:bookmarkStart w:id="408" w:name="_Toc324404840"/>
      <w:bookmarkStart w:id="409" w:name="_Toc144974525"/>
      <w:bookmarkStart w:id="410" w:name="_Toc247085715"/>
      <w:bookmarkStart w:id="411" w:name="_Toc152042333"/>
      <w:bookmarkStart w:id="412" w:name="_Toc246996944"/>
      <w:bookmarkStart w:id="413" w:name="_Toc179632575"/>
      <w:r>
        <w:rPr>
          <w:rFonts w:hint="eastAsia" w:ascii="宋体" w:hAnsi="宋体" w:cs="宋体"/>
          <w:color w:val="auto"/>
          <w:szCs w:val="21"/>
          <w:highlight w:val="none"/>
        </w:rPr>
        <w:t>4.2.1</w:t>
      </w:r>
      <w:r>
        <w:rPr>
          <w:rFonts w:hint="eastAsia" w:ascii="宋体" w:hAnsi="宋体" w:eastAsia="宋体" w:cs="宋体"/>
          <w:color w:val="auto"/>
          <w:sz w:val="21"/>
          <w:szCs w:val="21"/>
          <w:highlight w:val="none"/>
        </w:rPr>
        <w:t>投标文件应按照</w:t>
      </w:r>
      <w:r>
        <w:rPr>
          <w:rFonts w:hint="eastAsia" w:ascii="宋体" w:hAnsi="宋体" w:cs="宋体"/>
          <w:color w:val="auto"/>
          <w:sz w:val="21"/>
          <w:szCs w:val="21"/>
          <w:highlight w:val="none"/>
          <w:lang w:val="en-US" w:eastAsia="zh-CN"/>
        </w:rPr>
        <w:t>招标文件</w:t>
      </w:r>
      <w:r>
        <w:rPr>
          <w:rFonts w:hint="eastAsia" w:ascii="宋体" w:hAnsi="宋体" w:eastAsia="宋体" w:cs="宋体"/>
          <w:color w:val="auto"/>
          <w:sz w:val="21"/>
          <w:szCs w:val="21"/>
          <w:highlight w:val="none"/>
        </w:rPr>
        <w:t>要求制作并加密，否则招标人不予接收，以投标人在投标截止时间前网上递交的电子投标文件为准。</w:t>
      </w:r>
    </w:p>
    <w:bookmarkEnd w:id="405"/>
    <w:bookmarkEnd w:id="406"/>
    <w:bookmarkEnd w:id="407"/>
    <w:bookmarkEnd w:id="408"/>
    <w:bookmarkEnd w:id="409"/>
    <w:bookmarkEnd w:id="410"/>
    <w:bookmarkEnd w:id="411"/>
    <w:bookmarkEnd w:id="412"/>
    <w:bookmarkEnd w:id="413"/>
    <w:p w14:paraId="2B489D41">
      <w:pPr>
        <w:pStyle w:val="4"/>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414" w:name="_Toc179632576"/>
      <w:bookmarkStart w:id="415" w:name="_Toc324404841"/>
      <w:bookmarkStart w:id="416" w:name="_Toc296602446"/>
      <w:bookmarkStart w:id="417" w:name="_Toc19572"/>
      <w:bookmarkStart w:id="418" w:name="_Toc246996945"/>
      <w:bookmarkStart w:id="419" w:name="_Toc247085716"/>
      <w:bookmarkStart w:id="420" w:name="_Toc506107294"/>
      <w:bookmarkStart w:id="421" w:name="_Toc15058873"/>
      <w:bookmarkStart w:id="422" w:name="_Toc152042334"/>
      <w:bookmarkStart w:id="423" w:name="_Toc35425080"/>
      <w:bookmarkStart w:id="424" w:name="_Toc78803347"/>
      <w:bookmarkStart w:id="425" w:name="_Toc152045558"/>
      <w:bookmarkStart w:id="426" w:name="_Toc246996202"/>
      <w:bookmarkStart w:id="427" w:name="_Toc35424914"/>
      <w:bookmarkStart w:id="428" w:name="_Toc144974526"/>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Fonts w:hint="eastAsia" w:ascii="宋体" w:hAnsi="宋体" w:eastAsia="宋体" w:cs="宋体"/>
          <w:color w:val="auto"/>
          <w:highlight w:val="none"/>
        </w:rPr>
        <w:t>投标文件的递交</w:t>
      </w:r>
    </w:p>
    <w:p w14:paraId="2BD79474">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w:t>
      </w:r>
      <w:r>
        <w:rPr>
          <w:rFonts w:hint="eastAsia" w:ascii="宋体" w:hAnsi="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.1投标人应当在第一章“招标公告”规定的投标截止时间前，将加密投标文件上传至电子交易平台【滁州专区】</w:t>
      </w:r>
    </w:p>
    <w:p w14:paraId="6C481577">
      <w:pPr>
        <w:keepNext w:val="0"/>
        <w:keepLines w:val="0"/>
        <w:pageBreakBefore w:val="0"/>
        <w:widowControl w:val="0"/>
        <w:kinsoku/>
        <w:wordWrap/>
        <w:overflowPunct/>
        <w:topLinePunct w:val="0"/>
        <w:autoSpaceDE/>
        <w:autoSpaceDN/>
        <w:bidi w:val="0"/>
        <w:adjustRightInd/>
        <w:snapToGrid/>
        <w:spacing w:line="500" w:lineRule="exact"/>
        <w:ind w:left="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cs="宋体"/>
          <w:b w:val="0"/>
          <w:bCs w:val="0"/>
          <w:color w:val="auto"/>
          <w:szCs w:val="21"/>
          <w:highlight w:val="none"/>
          <w:lang w:val="en-US" w:eastAsia="zh-CN"/>
        </w:rPr>
        <w:t>4.3.2</w:t>
      </w:r>
      <w:r>
        <w:rPr>
          <w:rFonts w:hint="eastAsia" w:ascii="宋体" w:hAnsi="宋体" w:eastAsia="宋体" w:cs="宋体"/>
          <w:color w:val="auto"/>
          <w:sz w:val="21"/>
          <w:szCs w:val="21"/>
          <w:highlight w:val="none"/>
        </w:rPr>
        <w:t>除投标人须知前附表另有规定外，投标人所递交的投标文件不予退还。</w:t>
      </w:r>
    </w:p>
    <w:p w14:paraId="12FCBDFE">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4.3.3</w:t>
      </w:r>
      <w:r>
        <w:rPr>
          <w:rFonts w:hint="eastAsia" w:ascii="宋体" w:hAnsi="宋体" w:eastAsia="宋体" w:cs="宋体"/>
          <w:color w:val="auto"/>
          <w:sz w:val="21"/>
          <w:szCs w:val="21"/>
          <w:highlight w:val="none"/>
        </w:rPr>
        <w:t>投标人应当在投标截止时间前完成投标文件的网上递交， 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5C7AA47E">
      <w:pPr>
        <w:pStyle w:val="4"/>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4投标文件的修改与撤回</w:t>
      </w:r>
    </w:p>
    <w:p w14:paraId="68D68031">
      <w:pPr>
        <w:keepNext w:val="0"/>
        <w:keepLines w:val="0"/>
        <w:pageBreakBefore w:val="0"/>
        <w:widowControl w:val="0"/>
        <w:kinsoku/>
        <w:wordWrap/>
        <w:overflowPunct/>
        <w:topLinePunct w:val="0"/>
        <w:autoSpaceDE/>
        <w:autoSpaceDN/>
        <w:bidi w:val="0"/>
        <w:adjustRightInd/>
        <w:snapToGrid/>
        <w:spacing w:line="500" w:lineRule="exact"/>
        <w:ind w:left="0" w:right="0" w:firstLine="420" w:firstLineChars="200"/>
        <w:jc w:val="both"/>
        <w:textAlignment w:val="auto"/>
        <w:outlineLvl w:val="9"/>
        <w:rPr>
          <w:rFonts w:hint="default"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4.4.1在第一章“招标公告”规定的投标截止时间前，投标人可以自行从网上招投标系统撤回已递交的投标文件，并可修改后重新加密上传，开标时以投标截止时间前投标人最终上传的投标文件为准。</w:t>
      </w:r>
    </w:p>
    <w:p w14:paraId="4199FE4B">
      <w:pPr>
        <w:pStyle w:val="4"/>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5. </w:t>
      </w:r>
      <w:r>
        <w:rPr>
          <w:rFonts w:hint="eastAsia" w:ascii="宋体" w:hAnsi="宋体" w:eastAsia="宋体" w:cs="宋体"/>
          <w:color w:val="auto"/>
          <w:sz w:val="24"/>
          <w:szCs w:val="24"/>
          <w:highlight w:val="none"/>
        </w:rPr>
        <w:t>开标</w:t>
      </w:r>
      <w:bookmarkEnd w:id="378"/>
      <w:bookmarkEnd w:id="379"/>
      <w:bookmarkEnd w:id="380"/>
      <w:bookmarkEnd w:id="381"/>
      <w:bookmarkEnd w:id="382"/>
      <w:bookmarkEnd w:id="383"/>
      <w:bookmarkEnd w:id="384"/>
      <w:bookmarkEnd w:id="385"/>
      <w:bookmarkEnd w:id="386"/>
      <w:bookmarkEnd w:id="387"/>
      <w:bookmarkEnd w:id="388"/>
      <w:bookmarkEnd w:id="389"/>
      <w:bookmarkEnd w:id="390"/>
    </w:p>
    <w:p w14:paraId="35278C8C">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29" w:name="_Toc296602448"/>
      <w:bookmarkStart w:id="430" w:name="_Toc246996204"/>
      <w:bookmarkStart w:id="431" w:name="_Toc324404843"/>
      <w:bookmarkStart w:id="432" w:name="_Toc35425082"/>
      <w:bookmarkStart w:id="433" w:name="_Toc152042336"/>
      <w:bookmarkStart w:id="434" w:name="_Toc246996947"/>
      <w:bookmarkStart w:id="435" w:name="_Toc152045560"/>
      <w:bookmarkStart w:id="436" w:name="_Toc13691"/>
      <w:bookmarkStart w:id="437" w:name="_Toc144974528"/>
      <w:bookmarkStart w:id="438" w:name="_Toc179632578"/>
      <w:bookmarkStart w:id="439" w:name="_Toc35424916"/>
      <w:bookmarkStart w:id="440" w:name="_Toc247085718"/>
      <w:bookmarkStart w:id="441" w:name="_Toc506107296"/>
      <w:bookmarkStart w:id="442" w:name="_Toc15058875"/>
      <w:r>
        <w:rPr>
          <w:rFonts w:ascii="宋体" w:hAnsi="宋体" w:eastAsia="宋体" w:cs="宋体"/>
          <w:color w:val="auto"/>
          <w:highlight w:val="none"/>
        </w:rPr>
        <w:t xml:space="preserve">5.1 </w:t>
      </w:r>
      <w:r>
        <w:rPr>
          <w:rFonts w:hint="eastAsia" w:ascii="宋体" w:hAnsi="宋体" w:eastAsia="宋体" w:cs="宋体"/>
          <w:color w:val="auto"/>
          <w:highlight w:val="none"/>
        </w:rPr>
        <w:t>开标时间和地点</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14:paraId="0B1270F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443" w:name="_Toc179632579"/>
      <w:bookmarkStart w:id="444" w:name="_Toc35425083"/>
      <w:bookmarkStart w:id="445" w:name="_Toc246996205"/>
      <w:bookmarkStart w:id="446" w:name="_Toc296602449"/>
      <w:bookmarkStart w:id="447" w:name="_Toc15058876"/>
      <w:bookmarkStart w:id="448" w:name="_Toc247085719"/>
      <w:bookmarkStart w:id="449" w:name="_Toc144974529"/>
      <w:bookmarkStart w:id="450" w:name="_Toc324404844"/>
      <w:bookmarkStart w:id="451" w:name="_Toc246996948"/>
      <w:bookmarkStart w:id="452" w:name="_Toc35424917"/>
      <w:bookmarkStart w:id="453" w:name="_Toc32451"/>
      <w:bookmarkStart w:id="454" w:name="_Toc152042337"/>
      <w:bookmarkStart w:id="455" w:name="_Toc506107297"/>
      <w:bookmarkStart w:id="456" w:name="_Toc152045561"/>
      <w:r>
        <w:rPr>
          <w:rFonts w:hint="eastAsia" w:ascii="宋体" w:hAnsi="宋体" w:eastAsia="宋体" w:cs="宋体"/>
          <w:color w:val="auto"/>
          <w:szCs w:val="21"/>
          <w:highlight w:val="none"/>
          <w:lang w:val="en-US" w:eastAsia="zh-CN"/>
        </w:rPr>
        <w:t>招标人在第一章“招标公告”规定的投标截止时间前（开标时间）和地点通过电子交易系统公开开标。</w:t>
      </w:r>
    </w:p>
    <w:p w14:paraId="096889E6">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5.2 </w:t>
      </w:r>
      <w:r>
        <w:rPr>
          <w:rFonts w:hint="eastAsia" w:ascii="宋体" w:hAnsi="宋体" w:eastAsia="宋体" w:cs="宋体"/>
          <w:color w:val="auto"/>
          <w:highlight w:val="none"/>
        </w:rPr>
        <w:t>开标程序</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14:paraId="0C4A1AD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457" w:name="_Toc296602450"/>
      <w:bookmarkStart w:id="458" w:name="_Toc5999"/>
      <w:bookmarkStart w:id="459" w:name="_Toc15058883"/>
      <w:bookmarkStart w:id="460" w:name="_Toc35425084"/>
      <w:bookmarkStart w:id="461" w:name="_Toc506107298"/>
      <w:bookmarkStart w:id="462" w:name="_Toc35424918"/>
      <w:bookmarkStart w:id="463" w:name="_Toc324404845"/>
      <w:r>
        <w:rPr>
          <w:rFonts w:hint="eastAsia" w:ascii="宋体" w:hAnsi="宋体" w:eastAsia="宋体" w:cs="宋体"/>
          <w:color w:val="auto"/>
          <w:szCs w:val="21"/>
          <w:highlight w:val="none"/>
        </w:rPr>
        <w:t>主持人按下列程序进行开标：</w:t>
      </w:r>
    </w:p>
    <w:p w14:paraId="6EC7C89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（1）公布在投标截止时间前通过电子交易系统完成投标文件递交的投标人名称；</w:t>
      </w:r>
    </w:p>
    <w:p w14:paraId="51AA306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（2）投标人在投标截止时间后在投标人须知前附表规定的解密时间内完成投标文件的解密工作；</w:t>
      </w:r>
    </w:p>
    <w:p w14:paraId="6334234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（3）招标人或招标代理机构完成解密工作，导入并读取所有成功解密的投标文件；</w:t>
      </w:r>
    </w:p>
    <w:p w14:paraId="62E7F6E4">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（4）按投标人须知前附表规定公布投标人名称、标段名称、投标报价、质量目标、</w:t>
      </w:r>
      <w:r>
        <w:rPr>
          <w:rFonts w:hint="eastAsia" w:ascii="宋体" w:hAnsi="宋体" w:cs="宋体"/>
          <w:color w:val="auto"/>
          <w:szCs w:val="21"/>
          <w:highlight w:val="none"/>
          <w:lang w:val="en-US" w:eastAsia="zh-CN"/>
        </w:rPr>
        <w:t>供货期</w:t>
      </w:r>
      <w:r>
        <w:rPr>
          <w:rFonts w:hint="eastAsia" w:ascii="宋体" w:hAnsi="宋体" w:eastAsia="宋体" w:cs="宋体"/>
          <w:color w:val="auto"/>
          <w:szCs w:val="21"/>
          <w:highlight w:val="none"/>
        </w:rPr>
        <w:t>及其他内容；</w:t>
      </w:r>
    </w:p>
    <w:p w14:paraId="2EA2791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（5）开标结束。</w:t>
      </w:r>
    </w:p>
    <w:p w14:paraId="69C791EF">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5.3 </w:t>
      </w:r>
      <w:r>
        <w:rPr>
          <w:rFonts w:hint="eastAsia" w:ascii="宋体" w:hAnsi="宋体" w:eastAsia="宋体" w:cs="宋体"/>
          <w:color w:val="auto"/>
          <w:highlight w:val="none"/>
        </w:rPr>
        <w:t>开标异议</w:t>
      </w:r>
      <w:bookmarkEnd w:id="457"/>
      <w:bookmarkEnd w:id="458"/>
      <w:bookmarkEnd w:id="459"/>
      <w:bookmarkEnd w:id="460"/>
      <w:bookmarkEnd w:id="461"/>
      <w:bookmarkEnd w:id="462"/>
      <w:bookmarkEnd w:id="463"/>
    </w:p>
    <w:p w14:paraId="0B14C8B5">
      <w:pPr>
        <w:spacing w:line="500" w:lineRule="exact"/>
        <w:ind w:firstLine="420" w:firstLineChars="200"/>
        <w:jc w:val="left"/>
        <w:rPr>
          <w:rFonts w:ascii="宋体" w:cs="宋体"/>
          <w:color w:val="auto"/>
          <w:szCs w:val="21"/>
          <w:highlight w:val="none"/>
        </w:rPr>
      </w:pPr>
      <w:r>
        <w:rPr>
          <w:rFonts w:hint="eastAsia" w:ascii="宋体" w:hAnsi="宋体" w:eastAsia="宋体" w:cs="宋体"/>
          <w:color w:val="auto"/>
          <w:szCs w:val="21"/>
          <w:highlight w:val="none"/>
          <w:lang w:val="en-US" w:eastAsia="zh-CN"/>
        </w:rPr>
        <w:t>投标人对开标有异议的，应当在开标过程中提出，招标人在开标过程中作出答复，并制作记录。异议与</w:t>
      </w:r>
      <w:r>
        <w:rPr>
          <w:rFonts w:hint="eastAsia" w:ascii="宋体" w:hAnsi="宋体" w:eastAsia="宋体" w:cs="宋体"/>
          <w:color w:val="auto"/>
          <w:szCs w:val="21"/>
          <w:highlight w:val="none"/>
        </w:rPr>
        <w:t>答复应通过电子交易系统进行。</w:t>
      </w:r>
    </w:p>
    <w:p w14:paraId="2F933883">
      <w:pPr>
        <w:pStyle w:val="4"/>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464" w:name="_Toc152045562"/>
      <w:bookmarkStart w:id="465" w:name="_Toc152042338"/>
      <w:bookmarkStart w:id="466" w:name="_Toc179632580"/>
      <w:bookmarkStart w:id="467" w:name="_Toc246996949"/>
      <w:bookmarkStart w:id="468" w:name="_Toc15058884"/>
      <w:bookmarkStart w:id="469" w:name="_Toc144974530"/>
      <w:bookmarkStart w:id="470" w:name="_Toc246996206"/>
      <w:bookmarkStart w:id="471" w:name="_Toc247085720"/>
      <w:bookmarkStart w:id="472" w:name="_Toc324404846"/>
      <w:bookmarkStart w:id="473" w:name="_Toc35424919"/>
      <w:bookmarkStart w:id="474" w:name="_Toc35425085"/>
      <w:bookmarkStart w:id="475" w:name="_Toc20689"/>
      <w:bookmarkStart w:id="476" w:name="_Toc506107299"/>
      <w:r>
        <w:rPr>
          <w:rFonts w:ascii="宋体" w:hAnsi="宋体" w:eastAsia="宋体" w:cs="宋体"/>
          <w:color w:val="auto"/>
          <w:sz w:val="24"/>
          <w:szCs w:val="24"/>
          <w:highlight w:val="none"/>
        </w:rPr>
        <w:t xml:space="preserve">6. </w:t>
      </w:r>
      <w:r>
        <w:rPr>
          <w:rFonts w:hint="eastAsia" w:ascii="宋体" w:hAnsi="宋体" w:eastAsia="宋体" w:cs="宋体"/>
          <w:color w:val="auto"/>
          <w:sz w:val="24"/>
          <w:szCs w:val="24"/>
          <w:highlight w:val="none"/>
        </w:rPr>
        <w:t>评标</w:t>
      </w:r>
      <w:bookmarkEnd w:id="464"/>
      <w:bookmarkEnd w:id="465"/>
      <w:bookmarkEnd w:id="466"/>
      <w:bookmarkEnd w:id="467"/>
      <w:bookmarkEnd w:id="468"/>
      <w:bookmarkEnd w:id="469"/>
      <w:bookmarkEnd w:id="470"/>
      <w:bookmarkEnd w:id="471"/>
      <w:bookmarkEnd w:id="472"/>
      <w:bookmarkEnd w:id="473"/>
      <w:bookmarkEnd w:id="474"/>
      <w:bookmarkEnd w:id="475"/>
      <w:bookmarkEnd w:id="476"/>
    </w:p>
    <w:p w14:paraId="18AD1499">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77" w:name="_Toc144974531"/>
      <w:bookmarkStart w:id="478" w:name="_Toc324404847"/>
      <w:bookmarkStart w:id="479" w:name="_Toc246996950"/>
      <w:bookmarkStart w:id="480" w:name="_Toc296602452"/>
      <w:bookmarkStart w:id="481" w:name="_Toc506107300"/>
      <w:bookmarkStart w:id="482" w:name="_Toc152042339"/>
      <w:bookmarkStart w:id="483" w:name="_Toc35425086"/>
      <w:bookmarkStart w:id="484" w:name="_Toc179632581"/>
      <w:bookmarkStart w:id="485" w:name="_Toc15058885"/>
      <w:bookmarkStart w:id="486" w:name="_Toc14249"/>
      <w:bookmarkStart w:id="487" w:name="_Toc35424920"/>
      <w:bookmarkStart w:id="488" w:name="_Toc247085721"/>
      <w:bookmarkStart w:id="489" w:name="_Toc246996207"/>
      <w:bookmarkStart w:id="490" w:name="_Toc152045563"/>
      <w:r>
        <w:rPr>
          <w:rFonts w:ascii="宋体" w:hAnsi="宋体" w:eastAsia="宋体" w:cs="宋体"/>
          <w:color w:val="auto"/>
          <w:highlight w:val="none"/>
        </w:rPr>
        <w:t xml:space="preserve">6.1 </w:t>
      </w:r>
      <w:r>
        <w:rPr>
          <w:rFonts w:hint="eastAsia" w:ascii="宋体" w:hAnsi="宋体" w:eastAsia="宋体" w:cs="宋体"/>
          <w:color w:val="auto"/>
          <w:highlight w:val="none"/>
        </w:rPr>
        <w:t>评标委员会</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14:paraId="377065D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6.1.1 </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6D899D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6.1.2 </w:t>
      </w:r>
      <w:r>
        <w:rPr>
          <w:rFonts w:hint="eastAsia" w:ascii="宋体" w:hAnsi="宋体" w:cs="宋体"/>
          <w:color w:val="auto"/>
          <w:szCs w:val="21"/>
          <w:highlight w:val="none"/>
        </w:rPr>
        <w:t>评标委员会成员有下列情形之一的，应当回避：</w:t>
      </w:r>
    </w:p>
    <w:p w14:paraId="4EF7C6E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14FABAFB">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748ECFF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37A1B20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55A382B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3D68649D">
      <w:pPr>
        <w:pStyle w:val="44"/>
        <w:pageBreakBefore w:val="0"/>
        <w:widowControl w:val="0"/>
        <w:kinsoku/>
        <w:wordWrap/>
        <w:overflowPunct/>
        <w:topLinePunct w:val="0"/>
        <w:autoSpaceDE/>
        <w:autoSpaceDN/>
        <w:bidi w:val="0"/>
        <w:adjustRightInd w:val="0"/>
        <w:snapToGrid w:val="0"/>
        <w:spacing w:after="0" w:line="500" w:lineRule="exact"/>
        <w:ind w:left="0" w:leftChars="0"/>
        <w:textAlignment w:val="auto"/>
        <w:rPr>
          <w:rFonts w:hint="eastAsia"/>
          <w:color w:val="auto"/>
          <w:highlight w:val="none"/>
        </w:rPr>
      </w:pPr>
      <w:bookmarkStart w:id="491" w:name="_Toc152045564"/>
      <w:bookmarkStart w:id="492" w:name="_Toc506107301"/>
      <w:bookmarkStart w:id="493" w:name="_Toc247085722"/>
      <w:bookmarkStart w:id="494" w:name="_Toc144974532"/>
      <w:bookmarkStart w:id="495" w:name="_Toc35424921"/>
      <w:bookmarkStart w:id="496" w:name="_Toc12948"/>
      <w:bookmarkStart w:id="497" w:name="_Toc246996208"/>
      <w:bookmarkStart w:id="498" w:name="_Toc152042340"/>
      <w:bookmarkStart w:id="499" w:name="_Toc246996951"/>
      <w:bookmarkStart w:id="500" w:name="_Toc15058886"/>
      <w:bookmarkStart w:id="501" w:name="_Toc179632582"/>
      <w:bookmarkStart w:id="502" w:name="_Toc35425087"/>
      <w:bookmarkStart w:id="503" w:name="_Toc324404848"/>
      <w:bookmarkStart w:id="504" w:name="_Toc296602453"/>
      <w:r>
        <w:rPr>
          <w:rFonts w:hint="eastAsia" w:ascii="宋体" w:hAnsi="宋体" w:cs="宋体"/>
          <w:color w:val="auto"/>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6C095CC2">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6.2 </w:t>
      </w:r>
      <w:r>
        <w:rPr>
          <w:rFonts w:hint="eastAsia" w:ascii="宋体" w:hAnsi="宋体" w:eastAsia="宋体" w:cs="宋体"/>
          <w:color w:val="auto"/>
          <w:highlight w:val="none"/>
        </w:rPr>
        <w:t>评标原则</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14:paraId="18EA652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评标活动遵循公平、公正、科学和择优的原则。</w:t>
      </w:r>
    </w:p>
    <w:p w14:paraId="6849A3A3">
      <w:pPr>
        <w:pStyle w:val="4"/>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505" w:name="_Toc296602454"/>
      <w:bookmarkStart w:id="506" w:name="_Toc15058887"/>
      <w:bookmarkStart w:id="507" w:name="_Toc35425088"/>
      <w:bookmarkStart w:id="508" w:name="_Toc246996209"/>
      <w:bookmarkStart w:id="509" w:name="_Toc246996952"/>
      <w:bookmarkStart w:id="510" w:name="_Toc144974533"/>
      <w:bookmarkStart w:id="511" w:name="_Toc179632583"/>
      <w:bookmarkStart w:id="512" w:name="_Toc506107302"/>
      <w:bookmarkStart w:id="513" w:name="_Toc152045565"/>
      <w:bookmarkStart w:id="514" w:name="_Toc247085723"/>
      <w:bookmarkStart w:id="515" w:name="_Toc152042341"/>
      <w:bookmarkStart w:id="516" w:name="_Toc35424922"/>
      <w:bookmarkStart w:id="517" w:name="_Toc324404849"/>
      <w:bookmarkStart w:id="518" w:name="_Toc14892"/>
      <w:r>
        <w:rPr>
          <w:rFonts w:ascii="宋体" w:hAnsi="宋体" w:eastAsia="宋体" w:cs="宋体"/>
          <w:color w:val="auto"/>
          <w:highlight w:val="none"/>
        </w:rPr>
        <w:t xml:space="preserve">6.3 </w:t>
      </w:r>
      <w:r>
        <w:rPr>
          <w:rFonts w:hint="eastAsia" w:ascii="宋体" w:hAnsi="宋体" w:eastAsia="宋体" w:cs="宋体"/>
          <w:color w:val="auto"/>
          <w:highlight w:val="none"/>
        </w:rPr>
        <w:t>评标</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2000E577">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bookmarkStart w:id="519" w:name="_Toc247085724"/>
      <w:bookmarkStart w:id="520" w:name="_Toc246996210"/>
      <w:bookmarkStart w:id="521" w:name="_Toc152042342"/>
      <w:bookmarkStart w:id="522" w:name="_Toc246996953"/>
      <w:bookmarkStart w:id="523" w:name="_Toc152045566"/>
      <w:bookmarkStart w:id="524" w:name="_Toc179632584"/>
      <w:bookmarkStart w:id="525" w:name="_Toc144974534"/>
      <w:bookmarkStart w:id="526" w:name="_Toc324404850"/>
      <w:r>
        <w:rPr>
          <w:rFonts w:hint="eastAsia" w:ascii="宋体" w:hAnsi="宋体" w:cs="宋体"/>
          <w:color w:val="auto"/>
          <w:szCs w:val="21"/>
          <w:highlight w:val="none"/>
        </w:rPr>
        <w:t>6.3.1评标委员会按照第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章“评标办法”规定的方法、评审因素、标准和程序对投标文件进行评审。第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章“评标办法”没有规定的方法、评审因素和标准，不作为评标依据。</w:t>
      </w:r>
    </w:p>
    <w:p w14:paraId="4B3DA14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cs="宋体"/>
          <w:color w:val="auto"/>
          <w:szCs w:val="21"/>
          <w:highlight w:val="none"/>
        </w:rPr>
      </w:pPr>
      <w:r>
        <w:rPr>
          <w:rFonts w:hint="eastAsia" w:ascii="宋体" w:hAnsi="宋体" w:cs="宋体"/>
          <w:color w:val="auto"/>
          <w:szCs w:val="21"/>
          <w:highlight w:val="none"/>
        </w:rPr>
        <w:t>6.3.2评标完成后，评标委员会应向招标人提交书面评标报告和中标候选人名单。评标委员会推荐中标候选人的人数见投标人须知前附表。</w:t>
      </w:r>
    </w:p>
    <w:p w14:paraId="000C1321">
      <w:pPr>
        <w:pStyle w:val="4"/>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527" w:name="_Toc26182"/>
      <w:bookmarkStart w:id="528" w:name="_Toc15058888"/>
      <w:bookmarkStart w:id="529" w:name="_Toc506107303"/>
      <w:bookmarkStart w:id="530" w:name="_Toc35425089"/>
      <w:bookmarkStart w:id="531" w:name="_Toc35424923"/>
      <w:r>
        <w:rPr>
          <w:rFonts w:ascii="宋体" w:hAnsi="宋体" w:eastAsia="宋体" w:cs="宋体"/>
          <w:color w:val="auto"/>
          <w:sz w:val="24"/>
          <w:szCs w:val="24"/>
          <w:highlight w:val="none"/>
        </w:rPr>
        <w:t xml:space="preserve">7. </w:t>
      </w:r>
      <w:r>
        <w:rPr>
          <w:rFonts w:hint="eastAsia" w:ascii="宋体" w:hAnsi="宋体" w:eastAsia="宋体" w:cs="宋体"/>
          <w:color w:val="auto"/>
          <w:sz w:val="24"/>
          <w:szCs w:val="24"/>
          <w:highlight w:val="none"/>
        </w:rPr>
        <w:t>合同授予</w:t>
      </w:r>
      <w:bookmarkEnd w:id="519"/>
      <w:bookmarkEnd w:id="520"/>
      <w:bookmarkEnd w:id="521"/>
      <w:bookmarkEnd w:id="522"/>
      <w:bookmarkEnd w:id="523"/>
      <w:bookmarkEnd w:id="524"/>
      <w:bookmarkEnd w:id="525"/>
      <w:bookmarkEnd w:id="526"/>
      <w:bookmarkEnd w:id="527"/>
      <w:bookmarkEnd w:id="528"/>
      <w:bookmarkEnd w:id="529"/>
      <w:bookmarkEnd w:id="530"/>
      <w:bookmarkEnd w:id="531"/>
    </w:p>
    <w:p w14:paraId="62F1A6D1">
      <w:pPr>
        <w:pStyle w:val="4"/>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32" w:name="_Toc15058890"/>
      <w:bookmarkStart w:id="533" w:name="_Toc95223374"/>
      <w:bookmarkStart w:id="534" w:name="_Toc60061472"/>
      <w:bookmarkStart w:id="535" w:name="_Toc324404852"/>
      <w:bookmarkStart w:id="536" w:name="_Toc83301726"/>
      <w:bookmarkStart w:id="537" w:name="_Toc506107305"/>
      <w:bookmarkStart w:id="538" w:name="_Toc296602457"/>
      <w:bookmarkStart w:id="539" w:name="_Toc6833"/>
      <w:bookmarkStart w:id="540" w:name="_Toc35424926"/>
      <w:bookmarkStart w:id="541" w:name="_Toc324404853"/>
      <w:bookmarkStart w:id="542" w:name="_Toc246996212"/>
      <w:bookmarkStart w:id="543" w:name="_Toc35425092"/>
      <w:bookmarkStart w:id="544" w:name="_Toc144974536"/>
      <w:bookmarkStart w:id="545" w:name="_Toc296602458"/>
      <w:bookmarkStart w:id="546" w:name="_Toc152045568"/>
      <w:bookmarkStart w:id="547" w:name="_Toc247085726"/>
      <w:bookmarkStart w:id="548" w:name="_Toc246996955"/>
      <w:bookmarkStart w:id="549" w:name="_Toc152042344"/>
      <w:bookmarkStart w:id="550" w:name="_Toc179632586"/>
      <w:r>
        <w:rPr>
          <w:rFonts w:hint="eastAsia" w:ascii="宋体" w:hAnsi="宋体" w:eastAsia="宋体" w:cs="宋体"/>
          <w:color w:val="auto"/>
          <w:highlight w:val="none"/>
        </w:rPr>
        <w:t>7.1 中标候选人公示</w:t>
      </w:r>
      <w:bookmarkEnd w:id="532"/>
      <w:bookmarkEnd w:id="533"/>
      <w:bookmarkEnd w:id="534"/>
      <w:bookmarkEnd w:id="535"/>
      <w:bookmarkEnd w:id="536"/>
      <w:bookmarkEnd w:id="537"/>
      <w:bookmarkEnd w:id="538"/>
    </w:p>
    <w:p w14:paraId="300AD97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bookmarkStart w:id="551" w:name="_Toc60061473"/>
      <w:r>
        <w:rPr>
          <w:rFonts w:hint="eastAsia" w:ascii="宋体" w:hAnsi="宋体" w:cs="宋体"/>
          <w:color w:val="auto"/>
          <w:szCs w:val="21"/>
          <w:highlight w:val="none"/>
        </w:rPr>
        <w:t>招标人在收到评标报告之日起3日内，按照投标人须知前附表规定的公示媒介和期限依法公示。中标候选人，公示期不得少于</w:t>
      </w:r>
      <w:r>
        <w:rPr>
          <w:rFonts w:hint="eastAsia" w:ascii="宋体" w:hAnsi="宋体" w:cs="宋体"/>
          <w:color w:val="auto"/>
          <w:szCs w:val="21"/>
          <w:highlight w:val="none"/>
          <w:lang w:val="en-US" w:eastAsia="zh-CN"/>
        </w:rPr>
        <w:t>3个日历天</w:t>
      </w:r>
      <w:r>
        <w:rPr>
          <w:rFonts w:hint="eastAsia" w:ascii="宋体" w:hAnsi="宋体" w:cs="宋体"/>
          <w:color w:val="auto"/>
          <w:szCs w:val="21"/>
          <w:highlight w:val="none"/>
        </w:rPr>
        <w:t>。</w:t>
      </w:r>
    </w:p>
    <w:p w14:paraId="61AB6E1B">
      <w:pPr>
        <w:pStyle w:val="4"/>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7.2 评标结果异议</w:t>
      </w:r>
    </w:p>
    <w:p w14:paraId="4457868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投标人或其他利害关系人对评标结果有异议的，应在中标候选人公示期间提出。招标人将在收到异议之日起3日内作出答复；作出答复前，将暂停招标投标活动。</w:t>
      </w:r>
    </w:p>
    <w:p w14:paraId="3FBCF8A1">
      <w:pPr>
        <w:pStyle w:val="4"/>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7.3 中标候选人履约能力审查</w:t>
      </w:r>
    </w:p>
    <w:p w14:paraId="4F20E0E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中标候选人的经营、财务状况发生较大变化或者存在违法行为，招标人认为可能影响其履约能力的，应当在发出中标通知书前由原评标委员会按照招标文件规定的标准和方法审查确认。</w:t>
      </w:r>
    </w:p>
    <w:bookmarkEnd w:id="551"/>
    <w:p w14:paraId="6ED3CF3B">
      <w:pPr>
        <w:pStyle w:val="4"/>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52" w:name="_Toc95223375"/>
      <w:bookmarkStart w:id="553" w:name="_Toc83301727"/>
      <w:bookmarkStart w:id="554" w:name="_Toc506107306"/>
      <w:bookmarkStart w:id="555" w:name="_Toc60061474"/>
      <w:bookmarkStart w:id="556" w:name="_Toc15058891"/>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定标</w:t>
      </w:r>
      <w:bookmarkEnd w:id="552"/>
      <w:bookmarkEnd w:id="553"/>
    </w:p>
    <w:p w14:paraId="082805E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招标人确定</w:t>
      </w:r>
      <w:r>
        <w:rPr>
          <w:rFonts w:hint="eastAsia" w:ascii="宋体" w:hAnsi="宋体" w:cs="宋体"/>
          <w:color w:val="auto"/>
          <w:szCs w:val="21"/>
          <w:highlight w:val="none"/>
          <w:lang w:val="en-US" w:eastAsia="zh-CN"/>
        </w:rPr>
        <w:t>排名第一的中标候选人为</w:t>
      </w:r>
      <w:r>
        <w:rPr>
          <w:rFonts w:hint="eastAsia" w:ascii="宋体" w:hAnsi="宋体" w:cs="宋体"/>
          <w:color w:val="auto"/>
          <w:szCs w:val="21"/>
          <w:highlight w:val="none"/>
        </w:rPr>
        <w:t>中标人。排名第一的中标候选人放弃中标、因不可抗力不能履行合同、不按照招标文件要求提交履约保证金，或者被查实存在影响中标结果的违法行为等情形，</w:t>
      </w:r>
      <w:r>
        <w:rPr>
          <w:rFonts w:hint="eastAsia" w:ascii="宋体" w:hAnsi="宋体" w:eastAsia="宋体" w:cs="宋体"/>
          <w:color w:val="auto"/>
          <w:szCs w:val="21"/>
          <w:highlight w:val="none"/>
        </w:rPr>
        <w:t>不符合中标条件的，招标人可以按照评标委员</w:t>
      </w:r>
      <w:r>
        <w:rPr>
          <w:rFonts w:hint="eastAsia" w:ascii="宋体" w:hAnsi="宋体" w:cs="宋体"/>
          <w:color w:val="auto"/>
          <w:szCs w:val="21"/>
          <w:highlight w:val="none"/>
        </w:rPr>
        <w:t>会提出的中标候选人名单排序依次确定其他中标候选人为中标人，也可以重新招标。</w:t>
      </w:r>
    </w:p>
    <w:p w14:paraId="0455288F">
      <w:pPr>
        <w:pStyle w:val="4"/>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57" w:name="_Toc83301728"/>
      <w:bookmarkStart w:id="558" w:name="_Toc95223376"/>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中标通知</w:t>
      </w:r>
      <w:bookmarkEnd w:id="554"/>
      <w:bookmarkEnd w:id="555"/>
      <w:bookmarkEnd w:id="556"/>
      <w:bookmarkEnd w:id="557"/>
      <w:bookmarkEnd w:id="558"/>
    </w:p>
    <w:p w14:paraId="54D62EF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在本招标文件规定的投标有效期内，招标人以</w:t>
      </w:r>
      <w:r>
        <w:rPr>
          <w:rFonts w:hint="eastAsia" w:ascii="宋体" w:hAnsi="宋体" w:cs="宋体"/>
          <w:color w:val="auto"/>
          <w:szCs w:val="21"/>
          <w:highlight w:val="none"/>
          <w:lang w:val="en-US" w:eastAsia="zh-CN"/>
        </w:rPr>
        <w:t>纸质</w:t>
      </w:r>
      <w:r>
        <w:rPr>
          <w:rFonts w:hint="eastAsia" w:ascii="宋体" w:hAnsi="宋体" w:cs="宋体"/>
          <w:color w:val="auto"/>
          <w:szCs w:val="21"/>
          <w:highlight w:val="none"/>
        </w:rPr>
        <w:t>形式向中标人发出中标通知书，同时将中标结果通知未中标的投标人。</w:t>
      </w:r>
    </w:p>
    <w:p w14:paraId="62B25E2B">
      <w:pPr>
        <w:pStyle w:val="4"/>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59" w:name="_Toc152042345"/>
      <w:bookmarkStart w:id="560" w:name="_Toc296602459"/>
      <w:bookmarkStart w:id="561" w:name="_Toc179632587"/>
      <w:bookmarkStart w:id="562" w:name="_Toc246996213"/>
      <w:bookmarkStart w:id="563" w:name="_Toc506107307"/>
      <w:bookmarkStart w:id="564" w:name="_Toc15058892"/>
      <w:bookmarkStart w:id="565" w:name="_Toc144974537"/>
      <w:bookmarkStart w:id="566" w:name="_Toc60061476"/>
      <w:bookmarkStart w:id="567" w:name="_Toc83301730"/>
      <w:bookmarkStart w:id="568" w:name="_Toc152045569"/>
      <w:bookmarkStart w:id="569" w:name="_Toc95223378"/>
      <w:bookmarkStart w:id="570" w:name="_Toc246996956"/>
      <w:bookmarkStart w:id="571" w:name="_Toc247085727"/>
      <w:bookmarkStart w:id="572" w:name="_Toc324404854"/>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履约担保</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6FA35E5E">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.1在签订合同前，中标人应按投标人须知前附表规定的担保形式和招标文件第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章“合同条款及格式”规定的或者事先经过招标人书面认可的履约担保格式向招标人提交履约担保。</w:t>
      </w:r>
      <w:r>
        <w:rPr>
          <w:rFonts w:hint="eastAsia"/>
          <w:color w:val="auto"/>
          <w:highlight w:val="none"/>
        </w:rPr>
        <w:t>联合体中标的，其履约担保应符合投标人须知前附表规定的金额、担保形式和招标文件第</w:t>
      </w:r>
      <w:r>
        <w:rPr>
          <w:rFonts w:hint="eastAsia"/>
          <w:color w:val="auto"/>
          <w:highlight w:val="none"/>
          <w:lang w:val="en-US" w:eastAsia="zh-CN"/>
        </w:rPr>
        <w:t>五</w:t>
      </w:r>
      <w:r>
        <w:rPr>
          <w:rFonts w:hint="eastAsia"/>
          <w:color w:val="auto"/>
          <w:highlight w:val="none"/>
        </w:rPr>
        <w:t>章“合同条款及格式”规定的履约担保格式要求。</w:t>
      </w:r>
    </w:p>
    <w:p w14:paraId="32961B0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.2中标人不能按本章第7.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.1项要求提交履约担保的，视为放弃中标，其投标保证金不予退还，给招标人造成的损失超过投标保证金数额的，中标人还应当对超过部分予以赔偿。</w:t>
      </w:r>
    </w:p>
    <w:p w14:paraId="668E7E2A">
      <w:pPr>
        <w:pStyle w:val="4"/>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73" w:name="_Toc144974538"/>
      <w:bookmarkStart w:id="574" w:name="_Toc506107308"/>
      <w:bookmarkStart w:id="575" w:name="_Toc296602460"/>
      <w:bookmarkStart w:id="576" w:name="_Toc60061477"/>
      <w:bookmarkStart w:id="577" w:name="_Toc246996214"/>
      <w:bookmarkStart w:id="578" w:name="_Toc179632588"/>
      <w:bookmarkStart w:id="579" w:name="_Toc152045570"/>
      <w:bookmarkStart w:id="580" w:name="_Toc83301731"/>
      <w:bookmarkStart w:id="581" w:name="_Toc247085728"/>
      <w:bookmarkStart w:id="582" w:name="_Toc152042346"/>
      <w:bookmarkStart w:id="583" w:name="_Toc324404855"/>
      <w:bookmarkStart w:id="584" w:name="_Toc95223379"/>
      <w:bookmarkStart w:id="585" w:name="_Toc15058893"/>
      <w:bookmarkStart w:id="586" w:name="_Toc246996957"/>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签订合同</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14:paraId="0541A8B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.1本招标工程的施工合同将授予按本须知第7.</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款规定所确定的中标人。</w:t>
      </w:r>
    </w:p>
    <w:bookmarkEnd w:id="539"/>
    <w:bookmarkEnd w:id="540"/>
    <w:bookmarkEnd w:id="541"/>
    <w:bookmarkEnd w:id="542"/>
    <w:bookmarkEnd w:id="543"/>
    <w:bookmarkEnd w:id="544"/>
    <w:bookmarkEnd w:id="545"/>
    <w:bookmarkEnd w:id="546"/>
    <w:bookmarkEnd w:id="547"/>
    <w:bookmarkEnd w:id="548"/>
    <w:bookmarkEnd w:id="549"/>
    <w:bookmarkEnd w:id="550"/>
    <w:p w14:paraId="5A3DC32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bookmarkStart w:id="587" w:name="_Toc324404856"/>
      <w:bookmarkStart w:id="588" w:name="_Toc506107309"/>
      <w:bookmarkStart w:id="589" w:name="_Toc15058894"/>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.2中标通知书发出之日起，</w:t>
      </w:r>
      <w:r>
        <w:rPr>
          <w:rFonts w:hint="eastAsia" w:ascii="宋体" w:hAnsi="宋体" w:cs="宋体"/>
          <w:bCs/>
          <w:color w:val="auto"/>
          <w:szCs w:val="21"/>
          <w:highlight w:val="none"/>
          <w:lang w:val="en-US" w:eastAsia="zh-CN"/>
        </w:rPr>
        <w:t>30</w:t>
      </w:r>
      <w:r>
        <w:rPr>
          <w:rFonts w:hint="eastAsia" w:ascii="宋体" w:hAnsi="宋体" w:cs="宋体"/>
          <w:bCs/>
          <w:color w:val="auto"/>
          <w:szCs w:val="21"/>
          <w:highlight w:val="none"/>
        </w:rPr>
        <w:t>个日历天内根据招标文件和中标人的投标文件订立书面合同。招标人和中标人不得再行订立背离合同实质性内容的其他协议。</w:t>
      </w:r>
    </w:p>
    <w:p w14:paraId="05B19D43">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.3发出中标通知书后，招标人无正当理由拒签合同的，招标人向中标人退还投标保证金；给中标人造成损失的，还应当赔偿损失。</w:t>
      </w:r>
    </w:p>
    <w:p w14:paraId="6285A0D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.4除法定情形外，建设工程合同履行期间项目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不得更换。项目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确需变更的，应根据招标文件要求，变更后的项目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不低于投标文件中拟派项目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的资格条件。</w:t>
      </w:r>
    </w:p>
    <w:p w14:paraId="4C15190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snapToGrid w:val="0"/>
          <w:color w:val="auto"/>
          <w:kern w:val="0"/>
          <w:szCs w:val="21"/>
          <w:highlight w:val="none"/>
        </w:rPr>
      </w:pPr>
      <w:r>
        <w:rPr>
          <w:rFonts w:hint="eastAsia" w:ascii="宋体" w:hAnsi="宋体" w:cs="宋体"/>
          <w:color w:val="auto"/>
          <w:highlight w:val="none"/>
        </w:rPr>
        <w:t>7.</w:t>
      </w:r>
      <w:r>
        <w:rPr>
          <w:rFonts w:hint="eastAsia" w:ascii="宋体" w:hAnsi="宋体" w:cs="宋体"/>
          <w:color w:val="auto"/>
          <w:highlight w:val="none"/>
          <w:lang w:val="en-US" w:eastAsia="zh-CN"/>
        </w:rPr>
        <w:t>7</w:t>
      </w:r>
      <w:r>
        <w:rPr>
          <w:rFonts w:hint="eastAsia" w:ascii="宋体" w:hAnsi="宋体" w:cs="宋体"/>
          <w:color w:val="auto"/>
          <w:highlight w:val="none"/>
        </w:rPr>
        <w:t>.5</w:t>
      </w:r>
      <w:r>
        <w:rPr>
          <w:rFonts w:hint="eastAsia" w:ascii="宋体" w:hAnsi="宋体" w:cs="宋体"/>
          <w:bCs/>
          <w:snapToGrid w:val="0"/>
          <w:color w:val="auto"/>
          <w:kern w:val="0"/>
          <w:szCs w:val="21"/>
          <w:highlight w:val="none"/>
        </w:rPr>
        <w:t>联合体中标的，联合体各方应当共同与招标人签订合同，就中标项目向招标人承担连带责任。</w:t>
      </w:r>
    </w:p>
    <w:p w14:paraId="4FFC44E5">
      <w:pPr>
        <w:pStyle w:val="4"/>
        <w:pageBreakBefore w:val="0"/>
        <w:widowControl w:val="0"/>
        <w:kinsoku/>
        <w:wordWrap/>
        <w:overflowPunct/>
        <w:topLinePunct w:val="0"/>
        <w:autoSpaceDE/>
        <w:autoSpaceDN/>
        <w:bidi w:val="0"/>
        <w:spacing w:beforeLines="50" w:afterLines="50" w:line="500" w:lineRule="exact"/>
        <w:ind w:firstLine="482" w:firstLineChars="200"/>
        <w:textAlignment w:val="auto"/>
        <w:rPr>
          <w:rFonts w:hint="default" w:ascii="宋体" w:hAnsi="宋体" w:eastAsia="宋体" w:cs="宋体"/>
          <w:color w:val="auto"/>
          <w:sz w:val="24"/>
          <w:szCs w:val="24"/>
          <w:highlight w:val="none"/>
          <w:lang w:val="en-US" w:eastAsia="zh-CN"/>
        </w:rPr>
      </w:pPr>
      <w:bookmarkStart w:id="590" w:name="_Toc179632589"/>
      <w:bookmarkStart w:id="591" w:name="_Toc152042347"/>
      <w:bookmarkStart w:id="592" w:name="_Toc83301732"/>
      <w:bookmarkStart w:id="593" w:name="_Toc60061478"/>
      <w:bookmarkStart w:id="594" w:name="_Toc144974539"/>
      <w:bookmarkStart w:id="595" w:name="_Toc95223381"/>
      <w:bookmarkStart w:id="596" w:name="_Toc152045571"/>
      <w:bookmarkStart w:id="597" w:name="_Toc60061481"/>
      <w:bookmarkStart w:id="598" w:name="_Toc95223384"/>
      <w:bookmarkStart w:id="599" w:name="_Toc83301735"/>
      <w:bookmarkStart w:id="600" w:name="_Toc35425097"/>
      <w:bookmarkStart w:id="601" w:name="_Toc35424931"/>
      <w:bookmarkStart w:id="602" w:name="_Toc29809"/>
      <w:r>
        <w:rPr>
          <w:rFonts w:hint="eastAsia" w:ascii="宋体" w:hAnsi="宋体" w:eastAsia="宋体" w:cs="宋体"/>
          <w:color w:val="auto"/>
          <w:sz w:val="24"/>
          <w:szCs w:val="24"/>
          <w:highlight w:val="none"/>
        </w:rPr>
        <w:t xml:space="preserve">8. </w:t>
      </w:r>
      <w:bookmarkEnd w:id="590"/>
      <w:bookmarkEnd w:id="591"/>
      <w:bookmarkEnd w:id="592"/>
      <w:bookmarkEnd w:id="593"/>
      <w:bookmarkEnd w:id="594"/>
      <w:bookmarkEnd w:id="595"/>
      <w:bookmarkEnd w:id="596"/>
      <w:r>
        <w:rPr>
          <w:rFonts w:hint="eastAsia" w:ascii="宋体" w:hAnsi="宋体" w:eastAsia="宋体" w:cs="宋体"/>
          <w:color w:val="auto"/>
          <w:sz w:val="24"/>
          <w:szCs w:val="24"/>
          <w:highlight w:val="none"/>
          <w:lang w:val="en-US" w:eastAsia="zh-CN"/>
        </w:rPr>
        <w:t>重新招标和变更采购方式</w:t>
      </w:r>
    </w:p>
    <w:p w14:paraId="1DA49EF0">
      <w:pPr>
        <w:pStyle w:val="5"/>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3" w:name="_Toc152045572"/>
      <w:bookmarkStart w:id="604" w:name="_Toc152042348"/>
      <w:bookmarkStart w:id="605" w:name="_Toc144974540"/>
      <w:bookmarkStart w:id="606" w:name="_Toc83301733"/>
      <w:bookmarkStart w:id="607" w:name="_Toc60061479"/>
      <w:bookmarkStart w:id="608" w:name="_Toc95223382"/>
      <w:bookmarkStart w:id="609" w:name="_Toc179632590"/>
      <w:r>
        <w:rPr>
          <w:rFonts w:hint="eastAsia" w:ascii="宋体" w:hAnsi="宋体" w:eastAsia="宋体" w:cs="宋体"/>
          <w:b/>
          <w:bCs/>
          <w:color w:val="auto"/>
          <w:kern w:val="2"/>
          <w:sz w:val="21"/>
          <w:szCs w:val="32"/>
          <w:highlight w:val="none"/>
          <w:lang w:val="en-US" w:eastAsia="zh-CN" w:bidi="ar-SA"/>
        </w:rPr>
        <w:t>8.1 重新招标</w:t>
      </w:r>
      <w:bookmarkEnd w:id="603"/>
      <w:bookmarkEnd w:id="604"/>
      <w:bookmarkEnd w:id="605"/>
      <w:bookmarkEnd w:id="606"/>
      <w:bookmarkEnd w:id="607"/>
      <w:bookmarkEnd w:id="608"/>
      <w:bookmarkEnd w:id="609"/>
    </w:p>
    <w:p w14:paraId="2B3C658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依法必须招标的项目有下列情形之一的，招标人将重新招标：</w:t>
      </w:r>
    </w:p>
    <w:p w14:paraId="2A32C06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（1）投标截止时间止，投标人少于3个的；</w:t>
      </w:r>
    </w:p>
    <w:p w14:paraId="0199F4D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（2）经评标委员会评审后否决所有投标的；</w:t>
      </w:r>
    </w:p>
    <w:p w14:paraId="4DF6E6A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（3）中标候选人均未与招标人签订合同的；</w:t>
      </w:r>
    </w:p>
    <w:p w14:paraId="0E81BB8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（4）法律法规规定的其他情形。</w:t>
      </w:r>
    </w:p>
    <w:p w14:paraId="4A4CE7D3">
      <w:pPr>
        <w:pStyle w:val="4"/>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 纪律和监督</w:t>
      </w:r>
      <w:bookmarkEnd w:id="597"/>
      <w:bookmarkEnd w:id="598"/>
      <w:bookmarkEnd w:id="599"/>
    </w:p>
    <w:p w14:paraId="65CEEB0D">
      <w:pPr>
        <w:pStyle w:val="5"/>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10" w:name="_Toc95223385"/>
      <w:bookmarkStart w:id="611" w:name="_Toc60061482"/>
      <w:bookmarkStart w:id="612" w:name="_Toc83301736"/>
      <w:r>
        <w:rPr>
          <w:rFonts w:hint="eastAsia" w:ascii="宋体" w:hAnsi="宋体" w:eastAsia="宋体" w:cs="宋体"/>
          <w:b/>
          <w:bCs/>
          <w:color w:val="auto"/>
          <w:kern w:val="2"/>
          <w:sz w:val="21"/>
          <w:szCs w:val="32"/>
          <w:highlight w:val="none"/>
          <w:lang w:val="en-US" w:eastAsia="zh-CN" w:bidi="ar-SA"/>
        </w:rPr>
        <w:t>9.1 对招标人的纪律要求</w:t>
      </w:r>
      <w:bookmarkEnd w:id="610"/>
      <w:bookmarkEnd w:id="611"/>
      <w:bookmarkEnd w:id="612"/>
    </w:p>
    <w:p w14:paraId="31B9A2D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招标人</w:t>
      </w:r>
      <w:r>
        <w:rPr>
          <w:rFonts w:hint="eastAsia" w:ascii="宋体" w:hAnsi="宋体" w:cs="宋体"/>
          <w:color w:val="auto"/>
          <w:szCs w:val="21"/>
          <w:highlight w:val="none"/>
          <w:lang w:eastAsia="zh-CN"/>
        </w:rPr>
        <w:t>不得泄露</w:t>
      </w:r>
      <w:r>
        <w:rPr>
          <w:rFonts w:hint="eastAsia" w:ascii="宋体" w:hAnsi="宋体" w:cs="宋体"/>
          <w:color w:val="auto"/>
          <w:szCs w:val="21"/>
          <w:highlight w:val="none"/>
        </w:rPr>
        <w:t>招标投标活动中应当保密的情况和资料，不得与投标人串通损害国家利益、社会公共利益或者他人合法权益。</w:t>
      </w:r>
    </w:p>
    <w:p w14:paraId="178EDC33">
      <w:pPr>
        <w:pStyle w:val="5"/>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13" w:name="_Toc60061483"/>
      <w:bookmarkStart w:id="614" w:name="_Toc95223386"/>
      <w:bookmarkStart w:id="615" w:name="_Toc83301737"/>
      <w:r>
        <w:rPr>
          <w:rFonts w:hint="eastAsia" w:ascii="宋体" w:hAnsi="宋体" w:eastAsia="宋体" w:cs="宋体"/>
          <w:b/>
          <w:bCs/>
          <w:color w:val="auto"/>
          <w:kern w:val="2"/>
          <w:sz w:val="21"/>
          <w:szCs w:val="32"/>
          <w:highlight w:val="none"/>
          <w:lang w:val="en-US" w:eastAsia="zh-CN" w:bidi="ar-SA"/>
        </w:rPr>
        <w:t>9.2 对投标人的纪律要求</w:t>
      </w:r>
      <w:bookmarkEnd w:id="613"/>
      <w:bookmarkEnd w:id="614"/>
      <w:bookmarkEnd w:id="615"/>
    </w:p>
    <w:p w14:paraId="28555611">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9A08F28">
      <w:pPr>
        <w:pStyle w:val="5"/>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16" w:name="_Toc83301738"/>
      <w:bookmarkStart w:id="617" w:name="_Toc60061484"/>
      <w:bookmarkStart w:id="618" w:name="_Toc95223387"/>
      <w:r>
        <w:rPr>
          <w:rFonts w:hint="eastAsia" w:ascii="宋体" w:hAnsi="宋体" w:eastAsia="宋体" w:cs="宋体"/>
          <w:b/>
          <w:bCs/>
          <w:color w:val="auto"/>
          <w:kern w:val="2"/>
          <w:sz w:val="21"/>
          <w:szCs w:val="32"/>
          <w:highlight w:val="none"/>
          <w:lang w:val="en-US" w:eastAsia="zh-CN" w:bidi="ar-SA"/>
        </w:rPr>
        <w:t>9.3 对评标委员会成员的纪律要求</w:t>
      </w:r>
      <w:bookmarkEnd w:id="616"/>
      <w:bookmarkEnd w:id="617"/>
      <w:bookmarkEnd w:id="618"/>
    </w:p>
    <w:p w14:paraId="4E85E05E">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评标委员会成员不得收受他人的财物或者其他好处，不得向他人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对投标文件的评审和比较、中标候选人的推荐情况以及评标有关的其他情况。在评标活动中，评标委员会成员应当客观、公正地履行职责，遵守职业道德，不得擅离职守，影响评标程序正常进行，不得使用第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章“评标办法”没有规定的评审因素和标准进行评标。</w:t>
      </w:r>
    </w:p>
    <w:p w14:paraId="7FE78436">
      <w:pPr>
        <w:pStyle w:val="5"/>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19" w:name="_Toc83301739"/>
      <w:bookmarkStart w:id="620" w:name="_Toc95223388"/>
      <w:bookmarkStart w:id="621" w:name="_Toc60061485"/>
      <w:r>
        <w:rPr>
          <w:rFonts w:hint="eastAsia" w:ascii="宋体" w:hAnsi="宋体" w:eastAsia="宋体" w:cs="宋体"/>
          <w:b/>
          <w:bCs/>
          <w:color w:val="auto"/>
          <w:kern w:val="2"/>
          <w:sz w:val="21"/>
          <w:szCs w:val="32"/>
          <w:highlight w:val="none"/>
          <w:lang w:val="en-US" w:eastAsia="zh-CN" w:bidi="ar-SA"/>
        </w:rPr>
        <w:t>9.4 对与评标活动有关的工作人员的纪律要求</w:t>
      </w:r>
      <w:bookmarkEnd w:id="619"/>
      <w:bookmarkEnd w:id="620"/>
      <w:bookmarkEnd w:id="621"/>
    </w:p>
    <w:p w14:paraId="7EFBA9AD">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与评标活动有关的工作人员不得收受他人的财物或者其他好处，不得向他人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对投标文件的评审和比较、中标候选人的推荐情况以及评标有关的其他情况。在评标活动中，与评标活动有关的工作人员不得擅离职守，影响评标程序正常进行。</w:t>
      </w:r>
    </w:p>
    <w:p w14:paraId="2A8EF355">
      <w:pPr>
        <w:pStyle w:val="5"/>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22" w:name="_Toc60061486"/>
      <w:bookmarkStart w:id="623" w:name="_Toc83301740"/>
      <w:bookmarkStart w:id="624" w:name="_Toc95223389"/>
      <w:r>
        <w:rPr>
          <w:rFonts w:hint="eastAsia" w:ascii="宋体" w:hAnsi="宋体" w:eastAsia="宋体" w:cs="宋体"/>
          <w:b/>
          <w:bCs/>
          <w:color w:val="auto"/>
          <w:kern w:val="2"/>
          <w:sz w:val="21"/>
          <w:szCs w:val="32"/>
          <w:highlight w:val="none"/>
          <w:lang w:val="en-US" w:eastAsia="zh-CN" w:bidi="ar-SA"/>
        </w:rPr>
        <w:t>9.5 投诉</w:t>
      </w:r>
      <w:bookmarkEnd w:id="622"/>
      <w:bookmarkEnd w:id="623"/>
      <w:bookmarkEnd w:id="624"/>
    </w:p>
    <w:p w14:paraId="64B973F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9.5.1投标人或者其他利害关系人认为招标投标活动违反</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和规章规定的，有权向相关行政监督部门投诉。投诉应当有明确的请求和必要的证明材料。</w:t>
      </w:r>
    </w:p>
    <w:p w14:paraId="6601436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9.5.2投标人和其他利害关系人对招标文件、开标和评标结果事项投诉的，应当按照投标人须知的规定先向招标人提出异议。异议答复期间不计算在第9.5.1</w:t>
      </w:r>
      <w:r>
        <w:rPr>
          <w:rFonts w:hint="eastAsia"/>
          <w:color w:val="auto"/>
          <w:highlight w:val="none"/>
        </w:rPr>
        <w:t>项</w:t>
      </w:r>
      <w:r>
        <w:rPr>
          <w:rFonts w:hint="eastAsia" w:ascii="宋体" w:hAnsi="宋体" w:cs="宋体"/>
          <w:color w:val="auto"/>
          <w:szCs w:val="21"/>
          <w:highlight w:val="none"/>
        </w:rPr>
        <w:t>规定的期限内。</w:t>
      </w:r>
    </w:p>
    <w:p w14:paraId="002A2E75">
      <w:pPr>
        <w:pStyle w:val="4"/>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bookmarkStart w:id="625" w:name="_Toc95223390"/>
      <w:bookmarkStart w:id="626" w:name="_Toc83301741"/>
      <w:bookmarkStart w:id="627" w:name="_Toc60061487"/>
      <w:r>
        <w:rPr>
          <w:rFonts w:hint="eastAsia" w:ascii="宋体" w:hAnsi="宋体" w:eastAsia="宋体" w:cs="宋体"/>
          <w:color w:val="auto"/>
          <w:sz w:val="24"/>
          <w:szCs w:val="24"/>
          <w:highlight w:val="none"/>
        </w:rPr>
        <w:t>10.需要补充的其他内容</w:t>
      </w:r>
      <w:bookmarkEnd w:id="625"/>
      <w:bookmarkEnd w:id="626"/>
      <w:bookmarkEnd w:id="627"/>
      <w:bookmarkStart w:id="628" w:name="_Toc60061488"/>
    </w:p>
    <w:p w14:paraId="1D36B3A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需要补充的其他内容：见投标人须知前附表。</w:t>
      </w:r>
      <w:bookmarkEnd w:id="628"/>
    </w:p>
    <w:p w14:paraId="65B212F5">
      <w:pPr>
        <w:pStyle w:val="4"/>
        <w:spacing w:beforeLines="50" w:afterLines="50"/>
        <w:ind w:firstLine="482" w:firstLineChars="200"/>
        <w:rPr>
          <w:rFonts w:ascii="宋体" w:hAnsi="宋体" w:eastAsia="宋体" w:cs="宋体"/>
          <w:color w:val="auto"/>
          <w:sz w:val="24"/>
          <w:szCs w:val="24"/>
          <w:highlight w:val="none"/>
        </w:rPr>
      </w:pPr>
    </w:p>
    <w:bookmarkEnd w:id="587"/>
    <w:bookmarkEnd w:id="588"/>
    <w:bookmarkEnd w:id="589"/>
    <w:bookmarkEnd w:id="600"/>
    <w:bookmarkEnd w:id="601"/>
    <w:bookmarkEnd w:id="602"/>
    <w:p w14:paraId="41998900">
      <w:pPr>
        <w:pStyle w:val="3"/>
        <w:rPr>
          <w:color w:val="auto"/>
          <w:highlight w:val="none"/>
        </w:rPr>
      </w:pPr>
      <w:bookmarkStart w:id="629" w:name="_Toc324404864"/>
      <w:bookmarkStart w:id="630" w:name="_Toc35425105"/>
      <w:bookmarkStart w:id="631" w:name="_Toc35424939"/>
      <w:bookmarkStart w:id="632" w:name="_Toc506107317"/>
      <w:bookmarkStart w:id="633" w:name="_Toc15058902"/>
      <w:bookmarkStart w:id="634" w:name="_Toc296602475"/>
      <w:r>
        <w:rPr>
          <w:color w:val="auto"/>
          <w:highlight w:val="none"/>
        </w:rPr>
        <w:br w:type="page"/>
      </w:r>
      <w:bookmarkStart w:id="635" w:name="_Toc18840"/>
      <w:r>
        <w:rPr>
          <w:rFonts w:hint="eastAsia" w:ascii="Arial" w:hAnsi="Arial"/>
          <w:color w:val="auto"/>
          <w:kern w:val="0"/>
          <w:sz w:val="32"/>
          <w:szCs w:val="32"/>
          <w:highlight w:val="none"/>
        </w:rPr>
        <w:t>第二章</w:t>
      </w:r>
      <w:r>
        <w:rPr>
          <w:rFonts w:ascii="Arial" w:hAnsi="Arial"/>
          <w:color w:val="auto"/>
          <w:kern w:val="0"/>
          <w:sz w:val="32"/>
          <w:szCs w:val="32"/>
          <w:highlight w:val="none"/>
        </w:rPr>
        <w:t xml:space="preserve"> </w:t>
      </w:r>
      <w:r>
        <w:rPr>
          <w:rFonts w:hint="eastAsia" w:ascii="Arial" w:hAnsi="Arial"/>
          <w:color w:val="auto"/>
          <w:kern w:val="0"/>
          <w:sz w:val="32"/>
          <w:szCs w:val="32"/>
          <w:highlight w:val="none"/>
        </w:rPr>
        <w:t>资格审查</w:t>
      </w:r>
      <w:bookmarkEnd w:id="629"/>
      <w:r>
        <w:rPr>
          <w:rFonts w:hint="eastAsia" w:ascii="Arial" w:hAnsi="Arial"/>
          <w:color w:val="auto"/>
          <w:kern w:val="0"/>
          <w:sz w:val="32"/>
          <w:szCs w:val="32"/>
          <w:highlight w:val="none"/>
        </w:rPr>
        <w:t>办法</w:t>
      </w:r>
      <w:bookmarkEnd w:id="630"/>
      <w:bookmarkEnd w:id="631"/>
      <w:bookmarkEnd w:id="632"/>
      <w:bookmarkEnd w:id="633"/>
      <w:bookmarkEnd w:id="635"/>
    </w:p>
    <w:p w14:paraId="10E01D96">
      <w:pPr>
        <w:spacing w:beforeLines="50" w:afterLines="50" w:line="440" w:lineRule="exact"/>
        <w:jc w:val="center"/>
        <w:rPr>
          <w:rFonts w:ascii="宋体" w:cs="宋体"/>
          <w:b/>
          <w:bCs/>
          <w:color w:val="auto"/>
          <w:sz w:val="28"/>
          <w:szCs w:val="22"/>
          <w:highlight w:val="none"/>
        </w:rPr>
      </w:pPr>
      <w:bookmarkStart w:id="636" w:name="_Toc35424940"/>
      <w:bookmarkStart w:id="637" w:name="_Toc506107318"/>
      <w:bookmarkStart w:id="638" w:name="_Toc35425106"/>
      <w:bookmarkStart w:id="639" w:name="_Toc324404865"/>
      <w:bookmarkStart w:id="640" w:name="_Toc15058903"/>
      <w:r>
        <w:rPr>
          <w:rFonts w:hint="eastAsia" w:ascii="宋体" w:hAnsi="宋体" w:cs="宋体"/>
          <w:b/>
          <w:bCs/>
          <w:color w:val="auto"/>
          <w:sz w:val="28"/>
          <w:szCs w:val="22"/>
          <w:highlight w:val="none"/>
        </w:rPr>
        <w:t>资格审查办法前附表</w:t>
      </w:r>
      <w:bookmarkEnd w:id="636"/>
      <w:bookmarkEnd w:id="637"/>
      <w:bookmarkEnd w:id="638"/>
      <w:bookmarkEnd w:id="639"/>
      <w:bookmarkEnd w:id="640"/>
    </w:p>
    <w:p w14:paraId="144A5F71">
      <w:pPr>
        <w:spacing w:beforeLines="50" w:afterLines="50" w:line="440" w:lineRule="exact"/>
        <w:jc w:val="center"/>
        <w:rPr>
          <w:b/>
          <w:bCs/>
          <w:color w:val="auto"/>
          <w:sz w:val="24"/>
          <w:highlight w:val="none"/>
        </w:rPr>
      </w:pPr>
      <w:r>
        <w:rPr>
          <w:rFonts w:hint="eastAsia"/>
          <w:b/>
          <w:bCs/>
          <w:color w:val="auto"/>
          <w:sz w:val="24"/>
          <w:highlight w:val="none"/>
        </w:rPr>
        <w:t>资信证明文件评审</w:t>
      </w:r>
    </w:p>
    <w:tbl>
      <w:tblPr>
        <w:tblStyle w:val="45"/>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78DF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vAlign w:val="center"/>
          </w:tcPr>
          <w:p w14:paraId="155E30EC">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序号</w:t>
            </w:r>
          </w:p>
        </w:tc>
        <w:tc>
          <w:tcPr>
            <w:tcW w:w="6183" w:type="dxa"/>
            <w:vAlign w:val="center"/>
          </w:tcPr>
          <w:p w14:paraId="24443FED">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审查内容</w:t>
            </w:r>
          </w:p>
        </w:tc>
        <w:tc>
          <w:tcPr>
            <w:tcW w:w="1860" w:type="dxa"/>
            <w:vAlign w:val="center"/>
          </w:tcPr>
          <w:p w14:paraId="4B19CD20">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评审标准</w:t>
            </w:r>
          </w:p>
        </w:tc>
      </w:tr>
      <w:tr w14:paraId="0833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vAlign w:val="center"/>
          </w:tcPr>
          <w:p w14:paraId="6B7C1876">
            <w:pPr>
              <w:spacing w:line="440" w:lineRule="exact"/>
              <w:jc w:val="center"/>
              <w:rPr>
                <w:rFonts w:ascii="宋体" w:cs="宋体"/>
                <w:color w:val="auto"/>
                <w:szCs w:val="21"/>
                <w:highlight w:val="none"/>
              </w:rPr>
            </w:pPr>
            <w:r>
              <w:rPr>
                <w:rFonts w:ascii="宋体" w:hAnsi="宋体" w:cs="宋体"/>
                <w:color w:val="auto"/>
                <w:szCs w:val="21"/>
                <w:highlight w:val="none"/>
              </w:rPr>
              <w:t>1</w:t>
            </w:r>
          </w:p>
        </w:tc>
        <w:tc>
          <w:tcPr>
            <w:tcW w:w="1258" w:type="dxa"/>
            <w:vMerge w:val="restart"/>
            <w:vAlign w:val="center"/>
          </w:tcPr>
          <w:p w14:paraId="1BD5DD9C">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审查资料</w:t>
            </w:r>
          </w:p>
        </w:tc>
        <w:tc>
          <w:tcPr>
            <w:tcW w:w="6183" w:type="dxa"/>
            <w:vAlign w:val="center"/>
          </w:tcPr>
          <w:p w14:paraId="329C4C9F">
            <w:pPr>
              <w:spacing w:line="440" w:lineRule="exact"/>
              <w:rPr>
                <w:rFonts w:ascii="宋体" w:cs="宋体"/>
                <w:color w:val="auto"/>
                <w:szCs w:val="21"/>
                <w:highlight w:val="none"/>
              </w:rPr>
            </w:pP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p>
        </w:tc>
        <w:tc>
          <w:tcPr>
            <w:tcW w:w="1860" w:type="dxa"/>
            <w:vMerge w:val="restart"/>
            <w:vAlign w:val="center"/>
          </w:tcPr>
          <w:p w14:paraId="398FB42D">
            <w:pPr>
              <w:spacing w:line="440" w:lineRule="exact"/>
              <w:jc w:val="center"/>
              <w:rPr>
                <w:rFonts w:ascii="宋体" w:cs="宋体"/>
                <w:b/>
                <w:color w:val="auto"/>
                <w:szCs w:val="21"/>
                <w:highlight w:val="none"/>
              </w:rPr>
            </w:pPr>
            <w:r>
              <w:rPr>
                <w:rFonts w:hint="eastAsia" w:ascii="宋体" w:hAnsi="宋体" w:cs="宋体"/>
                <w:b/>
                <w:color w:val="auto"/>
                <w:szCs w:val="21"/>
                <w:highlight w:val="none"/>
              </w:rPr>
              <w:t>检验电子标书</w:t>
            </w:r>
          </w:p>
        </w:tc>
      </w:tr>
      <w:tr w14:paraId="5FFE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D015E03">
            <w:pPr>
              <w:spacing w:line="440" w:lineRule="exact"/>
              <w:jc w:val="center"/>
              <w:rPr>
                <w:rFonts w:ascii="宋体" w:cs="宋体"/>
                <w:color w:val="auto"/>
                <w:szCs w:val="21"/>
                <w:highlight w:val="none"/>
              </w:rPr>
            </w:pPr>
          </w:p>
        </w:tc>
        <w:tc>
          <w:tcPr>
            <w:tcW w:w="1258" w:type="dxa"/>
            <w:vMerge w:val="continue"/>
            <w:vAlign w:val="center"/>
          </w:tcPr>
          <w:p w14:paraId="5242BDCE">
            <w:pPr>
              <w:spacing w:line="440" w:lineRule="exact"/>
              <w:jc w:val="center"/>
              <w:rPr>
                <w:rFonts w:ascii="宋体" w:cs="宋体"/>
                <w:b/>
                <w:bCs/>
                <w:color w:val="auto"/>
                <w:szCs w:val="21"/>
                <w:highlight w:val="none"/>
              </w:rPr>
            </w:pPr>
          </w:p>
        </w:tc>
        <w:tc>
          <w:tcPr>
            <w:tcW w:w="6183" w:type="dxa"/>
            <w:vAlign w:val="center"/>
          </w:tcPr>
          <w:p w14:paraId="31C1374C">
            <w:pPr>
              <w:spacing w:line="440" w:lineRule="exact"/>
              <w:rPr>
                <w:rFonts w:ascii="宋体" w:cs="宋体"/>
                <w:color w:val="auto"/>
                <w:szCs w:val="21"/>
                <w:highlight w:val="none"/>
              </w:rPr>
            </w:pPr>
            <w:r>
              <w:rPr>
                <w:rFonts w:hint="eastAsia" w:ascii="宋体" w:cs="宋体"/>
                <w:color w:val="auto"/>
                <w:szCs w:val="21"/>
                <w:highlight w:val="none"/>
              </w:rPr>
              <w:t>诚信投标承诺书</w:t>
            </w:r>
          </w:p>
        </w:tc>
        <w:tc>
          <w:tcPr>
            <w:tcW w:w="1860" w:type="dxa"/>
            <w:vMerge w:val="continue"/>
            <w:vAlign w:val="center"/>
          </w:tcPr>
          <w:p w14:paraId="776B0DE3">
            <w:pPr>
              <w:spacing w:line="440" w:lineRule="exact"/>
              <w:jc w:val="center"/>
              <w:rPr>
                <w:rFonts w:ascii="宋体" w:cs="宋体"/>
                <w:b/>
                <w:color w:val="auto"/>
                <w:szCs w:val="21"/>
                <w:highlight w:val="none"/>
              </w:rPr>
            </w:pPr>
          </w:p>
        </w:tc>
      </w:tr>
      <w:tr w14:paraId="37E5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329FA58">
            <w:pPr>
              <w:spacing w:line="440" w:lineRule="exact"/>
              <w:jc w:val="center"/>
              <w:rPr>
                <w:rFonts w:ascii="宋体" w:cs="宋体"/>
                <w:color w:val="auto"/>
                <w:szCs w:val="21"/>
                <w:highlight w:val="none"/>
              </w:rPr>
            </w:pPr>
          </w:p>
        </w:tc>
        <w:tc>
          <w:tcPr>
            <w:tcW w:w="1258" w:type="dxa"/>
            <w:vMerge w:val="continue"/>
            <w:vAlign w:val="center"/>
          </w:tcPr>
          <w:p w14:paraId="00177B02">
            <w:pPr>
              <w:spacing w:line="440" w:lineRule="exact"/>
              <w:jc w:val="center"/>
              <w:rPr>
                <w:rFonts w:ascii="宋体" w:cs="宋体"/>
                <w:b/>
                <w:bCs/>
                <w:color w:val="auto"/>
                <w:szCs w:val="21"/>
                <w:highlight w:val="none"/>
              </w:rPr>
            </w:pPr>
          </w:p>
        </w:tc>
        <w:tc>
          <w:tcPr>
            <w:tcW w:w="6183" w:type="dxa"/>
            <w:vAlign w:val="center"/>
          </w:tcPr>
          <w:p w14:paraId="135AD29D">
            <w:pPr>
              <w:spacing w:line="440" w:lineRule="exact"/>
              <w:rPr>
                <w:rFonts w:ascii="宋体" w:cs="宋体"/>
                <w:color w:val="auto"/>
                <w:szCs w:val="21"/>
                <w:highlight w:val="none"/>
              </w:rPr>
            </w:pPr>
            <w:r>
              <w:rPr>
                <w:rFonts w:hint="eastAsia" w:ascii="宋体" w:hAnsi="宋体" w:cs="宋体"/>
                <w:color w:val="auto"/>
                <w:szCs w:val="21"/>
                <w:highlight w:val="none"/>
              </w:rPr>
              <w:t>企业营业执照</w:t>
            </w:r>
          </w:p>
        </w:tc>
        <w:tc>
          <w:tcPr>
            <w:tcW w:w="1860" w:type="dxa"/>
            <w:vMerge w:val="continue"/>
            <w:vAlign w:val="center"/>
          </w:tcPr>
          <w:p w14:paraId="2B224867">
            <w:pPr>
              <w:spacing w:line="440" w:lineRule="exact"/>
              <w:rPr>
                <w:rFonts w:ascii="宋体" w:cs="宋体"/>
                <w:b/>
                <w:color w:val="auto"/>
                <w:szCs w:val="21"/>
                <w:highlight w:val="none"/>
              </w:rPr>
            </w:pPr>
          </w:p>
        </w:tc>
      </w:tr>
      <w:tr w14:paraId="411EF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58B9C935">
            <w:pPr>
              <w:spacing w:line="440" w:lineRule="exact"/>
              <w:jc w:val="center"/>
              <w:rPr>
                <w:rFonts w:ascii="宋体" w:cs="宋体"/>
                <w:color w:val="auto"/>
                <w:szCs w:val="21"/>
                <w:highlight w:val="none"/>
              </w:rPr>
            </w:pPr>
            <w:bookmarkStart w:id="641" w:name="_Toc15058904"/>
            <w:bookmarkStart w:id="642" w:name="_Toc27127"/>
            <w:bookmarkStart w:id="643" w:name="_Toc35425107"/>
            <w:bookmarkStart w:id="644" w:name="_Toc506107319"/>
            <w:bookmarkStart w:id="645" w:name="_Toc35424941"/>
            <w:bookmarkStart w:id="646" w:name="_Toc324404866"/>
          </w:p>
        </w:tc>
        <w:tc>
          <w:tcPr>
            <w:tcW w:w="1258" w:type="dxa"/>
            <w:vMerge w:val="continue"/>
            <w:vAlign w:val="center"/>
          </w:tcPr>
          <w:p w14:paraId="64336832">
            <w:pPr>
              <w:spacing w:line="440" w:lineRule="exact"/>
              <w:jc w:val="center"/>
              <w:rPr>
                <w:rFonts w:ascii="宋体" w:cs="宋体"/>
                <w:b/>
                <w:bCs/>
                <w:color w:val="auto"/>
                <w:szCs w:val="21"/>
                <w:highlight w:val="none"/>
              </w:rPr>
            </w:pPr>
          </w:p>
        </w:tc>
        <w:tc>
          <w:tcPr>
            <w:tcW w:w="6183" w:type="dxa"/>
            <w:vAlign w:val="center"/>
          </w:tcPr>
          <w:p w14:paraId="59A828FF">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企业资质证书</w:t>
            </w:r>
          </w:p>
        </w:tc>
        <w:tc>
          <w:tcPr>
            <w:tcW w:w="1860" w:type="dxa"/>
            <w:vMerge w:val="continue"/>
            <w:vAlign w:val="center"/>
          </w:tcPr>
          <w:p w14:paraId="514AB044">
            <w:pPr>
              <w:spacing w:line="440" w:lineRule="exact"/>
              <w:rPr>
                <w:rFonts w:ascii="宋体" w:cs="宋体"/>
                <w:b/>
                <w:color w:val="auto"/>
                <w:szCs w:val="21"/>
                <w:highlight w:val="none"/>
              </w:rPr>
            </w:pPr>
          </w:p>
        </w:tc>
      </w:tr>
      <w:tr w14:paraId="4453A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0BA2A6A6">
            <w:pPr>
              <w:spacing w:line="440" w:lineRule="exact"/>
              <w:jc w:val="center"/>
              <w:rPr>
                <w:rFonts w:ascii="宋体" w:cs="宋体"/>
                <w:color w:val="auto"/>
                <w:szCs w:val="21"/>
                <w:highlight w:val="none"/>
              </w:rPr>
            </w:pPr>
          </w:p>
        </w:tc>
        <w:tc>
          <w:tcPr>
            <w:tcW w:w="1258" w:type="dxa"/>
            <w:vMerge w:val="continue"/>
            <w:vAlign w:val="center"/>
          </w:tcPr>
          <w:p w14:paraId="2F3673CE">
            <w:pPr>
              <w:spacing w:line="440" w:lineRule="exact"/>
              <w:jc w:val="center"/>
              <w:rPr>
                <w:rFonts w:ascii="宋体" w:cs="宋体"/>
                <w:b/>
                <w:bCs/>
                <w:color w:val="auto"/>
                <w:szCs w:val="21"/>
                <w:highlight w:val="none"/>
              </w:rPr>
            </w:pPr>
          </w:p>
        </w:tc>
        <w:tc>
          <w:tcPr>
            <w:tcW w:w="6183" w:type="dxa"/>
            <w:vAlign w:val="center"/>
          </w:tcPr>
          <w:p w14:paraId="016A803E">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企业安全生产许可证</w:t>
            </w:r>
          </w:p>
        </w:tc>
        <w:tc>
          <w:tcPr>
            <w:tcW w:w="1860" w:type="dxa"/>
            <w:vMerge w:val="continue"/>
            <w:vAlign w:val="center"/>
          </w:tcPr>
          <w:p w14:paraId="54751BC5">
            <w:pPr>
              <w:spacing w:line="440" w:lineRule="exact"/>
              <w:rPr>
                <w:rFonts w:ascii="宋体" w:cs="宋体"/>
                <w:b/>
                <w:color w:val="auto"/>
                <w:szCs w:val="21"/>
                <w:highlight w:val="none"/>
              </w:rPr>
            </w:pPr>
          </w:p>
        </w:tc>
      </w:tr>
    </w:tbl>
    <w:p w14:paraId="4808679C">
      <w:pPr>
        <w:pStyle w:val="4"/>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1.</w:t>
      </w:r>
      <w:r>
        <w:rPr>
          <w:rFonts w:hint="eastAsia" w:ascii="宋体" w:hAnsi="宋体" w:eastAsia="宋体" w:cs="宋体"/>
          <w:color w:val="auto"/>
          <w:highlight w:val="none"/>
        </w:rPr>
        <w:t>审查资料</w:t>
      </w:r>
      <w:bookmarkEnd w:id="641"/>
      <w:bookmarkEnd w:id="642"/>
      <w:bookmarkEnd w:id="643"/>
      <w:bookmarkEnd w:id="644"/>
      <w:bookmarkEnd w:id="645"/>
      <w:bookmarkEnd w:id="646"/>
    </w:p>
    <w:p w14:paraId="74C5196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bookmarkStart w:id="647" w:name="_Toc15058905"/>
      <w:bookmarkStart w:id="648" w:name="_Toc324404867"/>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4A5C3092">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w:t>
      </w:r>
      <w:r>
        <w:rPr>
          <w:rFonts w:hint="eastAsia" w:ascii="宋体" w:cs="宋体"/>
          <w:color w:val="auto"/>
          <w:szCs w:val="21"/>
          <w:highlight w:val="none"/>
        </w:rPr>
        <w:t>诚信投标承诺书</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格式见附件）</w:t>
      </w:r>
      <w:r>
        <w:rPr>
          <w:rFonts w:hint="eastAsia" w:ascii="宋体" w:hAnsi="宋体" w:cs="宋体"/>
          <w:color w:val="auto"/>
          <w:szCs w:val="21"/>
          <w:highlight w:val="none"/>
        </w:rPr>
        <w:t>；</w:t>
      </w:r>
    </w:p>
    <w:p w14:paraId="053EFC0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企业营业执照</w:t>
      </w:r>
      <w:r>
        <w:rPr>
          <w:rFonts w:hint="eastAsia" w:ascii="宋体" w:hAnsi="宋体" w:cs="宋体"/>
          <w:color w:val="auto"/>
          <w:szCs w:val="21"/>
          <w:highlight w:val="none"/>
          <w:lang w:eastAsia="zh-CN"/>
        </w:rPr>
        <w:t>；</w:t>
      </w:r>
    </w:p>
    <w:p w14:paraId="3F3A125B">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4）企业资质证书；</w:t>
      </w:r>
    </w:p>
    <w:p w14:paraId="18027280">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5）企业安全生产许可证。</w:t>
      </w:r>
    </w:p>
    <w:p w14:paraId="416D67BB">
      <w:pPr>
        <w:pageBreakBefore w:val="0"/>
        <w:widowControl w:val="0"/>
        <w:kinsoku/>
        <w:wordWrap/>
        <w:overflowPunct/>
        <w:topLinePunct w:val="0"/>
        <w:autoSpaceDE/>
        <w:autoSpaceDN/>
        <w:bidi w:val="0"/>
        <w:spacing w:line="500" w:lineRule="exact"/>
        <w:ind w:firstLine="422" w:firstLineChars="200"/>
        <w:jc w:val="left"/>
        <w:textAlignment w:val="auto"/>
        <w:rPr>
          <w:rFonts w:ascii="宋体" w:cs="宋体"/>
          <w:b w:val="0"/>
          <w:bCs w:val="0"/>
          <w:color w:val="auto"/>
          <w:highlight w:val="none"/>
        </w:rPr>
      </w:pPr>
      <w:r>
        <w:rPr>
          <w:rFonts w:hint="eastAsia" w:ascii="宋体" w:hAnsi="宋体" w:cs="宋体"/>
          <w:b/>
          <w:bCs/>
          <w:color w:val="auto"/>
          <w:highlight w:val="none"/>
        </w:rPr>
        <w:t>温馨提示：</w:t>
      </w:r>
      <w:bookmarkEnd w:id="647"/>
      <w:bookmarkStart w:id="649" w:name="_Toc15058907"/>
      <w:bookmarkStart w:id="650" w:name="_Toc58229032"/>
      <w:r>
        <w:rPr>
          <w:rFonts w:hint="eastAsia" w:ascii="宋体" w:cs="宋体"/>
          <w:b w:val="0"/>
          <w:bCs w:val="0"/>
          <w:color w:val="auto"/>
          <w:highlight w:val="none"/>
        </w:rPr>
        <w:t>请投标人认真准备投标文件资格审查资料</w:t>
      </w:r>
      <w:r>
        <w:rPr>
          <w:rFonts w:hint="eastAsia" w:ascii="宋体" w:cs="宋体"/>
          <w:b w:val="0"/>
          <w:bCs w:val="0"/>
          <w:color w:val="auto"/>
          <w:highlight w:val="none"/>
          <w:lang w:eastAsia="zh-CN"/>
        </w:rPr>
        <w:t>，</w:t>
      </w:r>
      <w:r>
        <w:rPr>
          <w:rFonts w:hint="eastAsia" w:ascii="宋体" w:cs="宋体"/>
          <w:b w:val="0"/>
          <w:bCs w:val="0"/>
          <w:color w:val="auto"/>
          <w:highlight w:val="none"/>
        </w:rPr>
        <w:t>如评标专家在</w:t>
      </w:r>
      <w:r>
        <w:rPr>
          <w:rFonts w:hint="eastAsia" w:ascii="宋体" w:cs="宋体"/>
          <w:b w:val="0"/>
          <w:bCs w:val="0"/>
          <w:color w:val="auto"/>
          <w:highlight w:val="none"/>
          <w:lang w:val="en-US" w:eastAsia="zh-CN"/>
        </w:rPr>
        <w:t>评审过程</w:t>
      </w:r>
      <w:r>
        <w:rPr>
          <w:rFonts w:hint="eastAsia" w:ascii="宋体" w:cs="宋体"/>
          <w:b w:val="0"/>
          <w:bCs w:val="0"/>
          <w:color w:val="auto"/>
          <w:highlight w:val="none"/>
        </w:rPr>
        <w:t>中，如果由于投标人自身原因导致评标专家无法查看并检验</w:t>
      </w:r>
      <w:r>
        <w:rPr>
          <w:rFonts w:hint="eastAsia" w:ascii="宋体" w:cs="宋体"/>
          <w:b w:val="0"/>
          <w:bCs w:val="0"/>
          <w:color w:val="auto"/>
          <w:highlight w:val="none"/>
          <w:lang w:val="en-US" w:eastAsia="zh-CN"/>
        </w:rPr>
        <w:t>投标文件</w:t>
      </w:r>
      <w:r>
        <w:rPr>
          <w:rFonts w:hint="eastAsia" w:ascii="宋体" w:cs="宋体"/>
          <w:b w:val="0"/>
          <w:bCs w:val="0"/>
          <w:color w:val="auto"/>
          <w:highlight w:val="none"/>
        </w:rPr>
        <w:t>中相关资料的，视为无效标处理。即使投标人将原件携带至现场的，同样按无效标处理。</w:t>
      </w:r>
      <w:bookmarkEnd w:id="649"/>
      <w:bookmarkEnd w:id="650"/>
    </w:p>
    <w:p w14:paraId="7DA5DCEE">
      <w:pPr>
        <w:pStyle w:val="4"/>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bookmarkStart w:id="651" w:name="_Toc35425108"/>
      <w:bookmarkStart w:id="652" w:name="_Toc15058909"/>
      <w:bookmarkStart w:id="653" w:name="_Toc12549"/>
      <w:bookmarkStart w:id="654" w:name="_Toc35424942"/>
      <w:bookmarkStart w:id="655" w:name="_Toc506107320"/>
      <w:r>
        <w:rPr>
          <w:rFonts w:ascii="宋体" w:hAnsi="宋体" w:eastAsia="宋体" w:cs="宋体"/>
          <w:color w:val="auto"/>
          <w:highlight w:val="none"/>
        </w:rPr>
        <w:t>2.</w:t>
      </w:r>
      <w:r>
        <w:rPr>
          <w:rFonts w:hint="eastAsia" w:ascii="宋体" w:hAnsi="宋体" w:eastAsia="宋体" w:cs="宋体"/>
          <w:color w:val="auto"/>
          <w:highlight w:val="none"/>
        </w:rPr>
        <w:t>审查办法</w:t>
      </w:r>
      <w:bookmarkEnd w:id="648"/>
      <w:bookmarkEnd w:id="651"/>
      <w:bookmarkEnd w:id="652"/>
      <w:bookmarkEnd w:id="653"/>
      <w:bookmarkEnd w:id="654"/>
      <w:bookmarkEnd w:id="655"/>
    </w:p>
    <w:p w14:paraId="247136B1">
      <w:pPr>
        <w:pStyle w:val="4"/>
        <w:pageBreakBefore w:val="0"/>
        <w:widowControl w:val="0"/>
        <w:kinsoku/>
        <w:wordWrap/>
        <w:overflowPunct/>
        <w:topLinePunct w:val="0"/>
        <w:autoSpaceDE/>
        <w:autoSpaceDN/>
        <w:bidi w:val="0"/>
        <w:spacing w:beforeLines="50" w:afterLines="50" w:line="500" w:lineRule="exact"/>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bookmarkStart w:id="656" w:name="_Toc35425109"/>
      <w:bookmarkStart w:id="657" w:name="_Toc15626"/>
      <w:bookmarkStart w:id="658" w:name="_Toc15058910"/>
      <w:bookmarkStart w:id="659" w:name="_Toc35424943"/>
      <w:bookmarkStart w:id="660" w:name="_Toc506107321"/>
      <w:bookmarkStart w:id="661" w:name="_Toc324404868"/>
      <w:r>
        <w:rPr>
          <w:rFonts w:hint="eastAsia" w:ascii="宋体" w:hAnsi="宋体" w:eastAsia="宋体" w:cs="宋体"/>
          <w:b w:val="0"/>
          <w:bCs w:val="0"/>
          <w:color w:val="auto"/>
          <w:kern w:val="2"/>
          <w:sz w:val="21"/>
          <w:szCs w:val="21"/>
          <w:highlight w:val="none"/>
          <w:lang w:val="en-US" w:eastAsia="zh-CN" w:bidi="ar-SA"/>
        </w:rPr>
        <w:t>由资格审查委员会（评标委员会）按资格审查办法前附表中资格审查必要合格条件评审表要求对投标人审查资料进行核验。</w:t>
      </w:r>
    </w:p>
    <w:p w14:paraId="2D27C604">
      <w:pPr>
        <w:pStyle w:val="4"/>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3.</w:t>
      </w:r>
      <w:r>
        <w:rPr>
          <w:rFonts w:hint="eastAsia" w:ascii="宋体" w:hAnsi="宋体" w:eastAsia="宋体" w:cs="宋体"/>
          <w:color w:val="auto"/>
          <w:highlight w:val="none"/>
        </w:rPr>
        <w:t>资格审查委员会和审查标准</w:t>
      </w:r>
      <w:bookmarkEnd w:id="656"/>
      <w:bookmarkEnd w:id="657"/>
      <w:bookmarkEnd w:id="658"/>
      <w:bookmarkEnd w:id="659"/>
      <w:bookmarkEnd w:id="660"/>
      <w:bookmarkEnd w:id="661"/>
    </w:p>
    <w:p w14:paraId="2EDA42C7">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bookmarkStart w:id="662" w:name="_Toc324404869"/>
      <w:bookmarkStart w:id="663" w:name="_Toc15058911"/>
      <w:bookmarkStart w:id="664" w:name="_Toc35424944"/>
      <w:bookmarkStart w:id="665" w:name="_Toc506107322"/>
      <w:bookmarkStart w:id="666" w:name="_Toc35425110"/>
      <w:bookmarkStart w:id="667" w:name="_Toc10330"/>
      <w:r>
        <w:rPr>
          <w:rFonts w:hint="eastAsia" w:ascii="宋体" w:hAnsi="宋体" w:eastAsia="宋体" w:cs="宋体"/>
          <w:b w:val="0"/>
          <w:bCs w:val="0"/>
          <w:color w:val="auto"/>
          <w:kern w:val="2"/>
          <w:sz w:val="21"/>
          <w:szCs w:val="21"/>
          <w:highlight w:val="none"/>
          <w:lang w:val="en-US" w:eastAsia="zh-CN" w:bidi="ar-SA"/>
        </w:rPr>
        <w:t>3.1资格审查由招标人依法组建的资格审查委员会（或评标委员会）负责。审查标准见资格审查办法前附表。</w:t>
      </w:r>
    </w:p>
    <w:p w14:paraId="109A781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 xml:space="preserve">3.2由资格审查委员会（评标委员会）按资格审查办法前附表要求对投标人的审查资料进行核验。投标申请人有下列情形之一的，其资格审查为不合格： </w:t>
      </w:r>
    </w:p>
    <w:p w14:paraId="32F8102F">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（1）未上传电子标书或电子标书经审查不合格；</w:t>
      </w:r>
    </w:p>
    <w:p w14:paraId="52FFFD14">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（2）联合体投标人没有提交联合体协议书；</w:t>
      </w:r>
    </w:p>
    <w:p w14:paraId="7105B729">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（3）保证金不按第</w:t>
      </w:r>
      <w:r>
        <w:rPr>
          <w:rFonts w:hint="eastAsia" w:ascii="宋体" w:hAnsi="宋体" w:cs="宋体"/>
          <w:b w:val="0"/>
          <w:bCs w:val="0"/>
          <w:color w:val="auto"/>
          <w:kern w:val="2"/>
          <w:sz w:val="21"/>
          <w:szCs w:val="21"/>
          <w:highlight w:val="none"/>
          <w:lang w:val="en-US" w:eastAsia="zh-CN" w:bidi="ar-SA"/>
        </w:rPr>
        <w:t>一</w:t>
      </w:r>
      <w:r>
        <w:rPr>
          <w:rFonts w:hint="eastAsia" w:ascii="宋体" w:hAnsi="宋体" w:eastAsia="宋体" w:cs="宋体"/>
          <w:b w:val="0"/>
          <w:bCs w:val="0"/>
          <w:color w:val="auto"/>
          <w:kern w:val="2"/>
          <w:sz w:val="21"/>
          <w:szCs w:val="21"/>
          <w:highlight w:val="none"/>
          <w:lang w:val="en-US" w:eastAsia="zh-CN" w:bidi="ar-SA"/>
        </w:rPr>
        <w:t xml:space="preserve">章“投标人须知”及其前附表要求提交投标保证金的； </w:t>
      </w:r>
    </w:p>
    <w:p w14:paraId="60292C28">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（4）投标人投标 MAC 地址一致的；</w:t>
      </w:r>
    </w:p>
    <w:p w14:paraId="4072AA4D">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（5）投标人申请开具电子保函MAC地址一致的；</w:t>
      </w:r>
    </w:p>
    <w:p w14:paraId="027F34FE">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（6）投标人投标文件制作机器码、文件创建标识码及造价软件加密锁号信息雷同的；</w:t>
      </w:r>
    </w:p>
    <w:p w14:paraId="68FB3BD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（7）法律法规规定的其他情形。</w:t>
      </w:r>
    </w:p>
    <w:p w14:paraId="3FCB405F">
      <w:pPr>
        <w:pStyle w:val="4"/>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4.</w:t>
      </w:r>
      <w:r>
        <w:rPr>
          <w:rFonts w:hint="eastAsia" w:ascii="宋体" w:hAnsi="宋体" w:eastAsia="宋体" w:cs="宋体"/>
          <w:color w:val="auto"/>
          <w:highlight w:val="none"/>
        </w:rPr>
        <w:t>审查结果</w:t>
      </w:r>
      <w:bookmarkEnd w:id="662"/>
      <w:bookmarkEnd w:id="663"/>
      <w:bookmarkEnd w:id="664"/>
      <w:bookmarkEnd w:id="665"/>
      <w:bookmarkEnd w:id="666"/>
      <w:bookmarkEnd w:id="667"/>
    </w:p>
    <w:p w14:paraId="30D9DCD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highlight w:val="none"/>
        </w:rPr>
        <w:t>只有通过资格审查的投标人才能进入下一步的评标程序。</w:t>
      </w:r>
      <w:bookmarkStart w:id="668" w:name="_Toc506107323"/>
    </w:p>
    <w:p w14:paraId="033D312E">
      <w:pPr>
        <w:pStyle w:val="3"/>
        <w:spacing w:beforeLines="50" w:afterLines="50"/>
        <w:rPr>
          <w:rFonts w:hint="eastAsia" w:ascii="宋体" w:hAnsi="宋体"/>
          <w:color w:val="auto"/>
          <w:sz w:val="21"/>
          <w:szCs w:val="21"/>
          <w:highlight w:val="none"/>
        </w:rPr>
      </w:pPr>
      <w:bookmarkStart w:id="669" w:name="_Toc15058912"/>
      <w:bookmarkStart w:id="670" w:name="_Toc35425111"/>
      <w:bookmarkStart w:id="671" w:name="_Toc35424945"/>
      <w:r>
        <w:rPr>
          <w:color w:val="auto"/>
          <w:highlight w:val="none"/>
        </w:rPr>
        <w:br w:type="page"/>
      </w:r>
      <w:bookmarkStart w:id="672" w:name="_Toc24443"/>
      <w:r>
        <w:rPr>
          <w:rFonts w:hint="eastAsia" w:ascii="Arial" w:hAnsi="Arial"/>
          <w:color w:val="auto"/>
          <w:kern w:val="0"/>
          <w:sz w:val="32"/>
          <w:szCs w:val="32"/>
          <w:highlight w:val="none"/>
        </w:rPr>
        <w:t>第三章</w:t>
      </w:r>
      <w:r>
        <w:rPr>
          <w:rFonts w:ascii="Arial" w:hAnsi="Arial"/>
          <w:color w:val="auto"/>
          <w:kern w:val="0"/>
          <w:sz w:val="32"/>
          <w:szCs w:val="32"/>
          <w:highlight w:val="none"/>
        </w:rPr>
        <w:t xml:space="preserve"> </w:t>
      </w:r>
      <w:r>
        <w:rPr>
          <w:rFonts w:hint="eastAsia" w:ascii="Arial" w:hAnsi="Arial"/>
          <w:color w:val="auto"/>
          <w:kern w:val="0"/>
          <w:sz w:val="32"/>
          <w:szCs w:val="32"/>
          <w:highlight w:val="none"/>
        </w:rPr>
        <w:t>评标办法</w:t>
      </w:r>
      <w:bookmarkEnd w:id="634"/>
      <w:bookmarkEnd w:id="668"/>
      <w:bookmarkEnd w:id="669"/>
      <w:bookmarkEnd w:id="670"/>
      <w:bookmarkEnd w:id="671"/>
      <w:bookmarkEnd w:id="672"/>
    </w:p>
    <w:p w14:paraId="5D353D34">
      <w:pPr>
        <w:spacing w:beforeLines="80" w:afterLines="80" w:line="440" w:lineRule="exact"/>
        <w:jc w:val="center"/>
        <w:rPr>
          <w:rFonts w:ascii="宋体" w:cs="宋体"/>
          <w:b/>
          <w:bCs/>
          <w:color w:val="auto"/>
          <w:sz w:val="24"/>
          <w:highlight w:val="none"/>
        </w:rPr>
      </w:pPr>
      <w:r>
        <w:rPr>
          <w:rFonts w:hint="eastAsia" w:ascii="宋体" w:hAnsi="宋体" w:cs="宋体"/>
          <w:b/>
          <w:bCs/>
          <w:color w:val="auto"/>
          <w:sz w:val="24"/>
          <w:highlight w:val="none"/>
          <w:lang w:val="en-US" w:eastAsia="zh-CN"/>
        </w:rPr>
        <w:t>投标文件</w:t>
      </w:r>
      <w:r>
        <w:rPr>
          <w:rFonts w:hint="eastAsia" w:ascii="宋体" w:hAnsi="宋体" w:cs="宋体"/>
          <w:b/>
          <w:bCs/>
          <w:color w:val="auto"/>
          <w:sz w:val="24"/>
          <w:highlight w:val="none"/>
        </w:rPr>
        <w:t>评审</w:t>
      </w:r>
    </w:p>
    <w:tbl>
      <w:tblPr>
        <w:tblStyle w:val="45"/>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137"/>
        <w:gridCol w:w="2881"/>
        <w:gridCol w:w="4727"/>
      </w:tblGrid>
      <w:tr w14:paraId="154E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948" w:type="dxa"/>
            <w:gridSpan w:val="2"/>
            <w:vAlign w:val="center"/>
          </w:tcPr>
          <w:p w14:paraId="7234506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条款号</w:t>
            </w:r>
          </w:p>
        </w:tc>
        <w:tc>
          <w:tcPr>
            <w:tcW w:w="2881" w:type="dxa"/>
            <w:vAlign w:val="center"/>
          </w:tcPr>
          <w:p w14:paraId="5574C8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评审因素</w:t>
            </w:r>
          </w:p>
        </w:tc>
        <w:tc>
          <w:tcPr>
            <w:tcW w:w="4727" w:type="dxa"/>
            <w:vAlign w:val="center"/>
          </w:tcPr>
          <w:p w14:paraId="6BF881F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评审标准</w:t>
            </w:r>
          </w:p>
        </w:tc>
      </w:tr>
      <w:tr w14:paraId="4B43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1" w:type="dxa"/>
            <w:vMerge w:val="restart"/>
            <w:vAlign w:val="center"/>
          </w:tcPr>
          <w:p w14:paraId="3BEB30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w:t>
            </w:r>
          </w:p>
        </w:tc>
        <w:tc>
          <w:tcPr>
            <w:tcW w:w="1137" w:type="dxa"/>
            <w:vMerge w:val="restart"/>
            <w:vAlign w:val="center"/>
          </w:tcPr>
          <w:p w14:paraId="5251448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2881" w:type="dxa"/>
            <w:vAlign w:val="center"/>
          </w:tcPr>
          <w:p w14:paraId="10FCE0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投标函签字盖章</w:t>
            </w:r>
          </w:p>
        </w:tc>
        <w:tc>
          <w:tcPr>
            <w:tcW w:w="4727" w:type="dxa"/>
          </w:tcPr>
          <w:p w14:paraId="38D37FF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有投标人及其法定代表人签章</w:t>
            </w:r>
          </w:p>
        </w:tc>
      </w:tr>
      <w:tr w14:paraId="0D96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811" w:type="dxa"/>
            <w:vMerge w:val="continue"/>
          </w:tcPr>
          <w:p w14:paraId="7B8D3C7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4C3A109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10591F2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4727" w:type="dxa"/>
          </w:tcPr>
          <w:p w14:paraId="794C58E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rPr>
              <w:t>章“投标文件格式”的要求</w:t>
            </w:r>
          </w:p>
        </w:tc>
      </w:tr>
      <w:tr w14:paraId="341C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11" w:type="dxa"/>
            <w:vMerge w:val="continue"/>
          </w:tcPr>
          <w:p w14:paraId="154F543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7500EB4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3D3AC80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报价唯一</w:t>
            </w:r>
          </w:p>
        </w:tc>
        <w:tc>
          <w:tcPr>
            <w:tcW w:w="4727" w:type="dxa"/>
          </w:tcPr>
          <w:p w14:paraId="1F479A9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只能有一个报价</w:t>
            </w:r>
          </w:p>
        </w:tc>
      </w:tr>
      <w:tr w14:paraId="716C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11" w:type="dxa"/>
            <w:vMerge w:val="restart"/>
            <w:vAlign w:val="center"/>
          </w:tcPr>
          <w:p w14:paraId="7F89D2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4.2.2</w:t>
            </w:r>
          </w:p>
        </w:tc>
        <w:tc>
          <w:tcPr>
            <w:tcW w:w="1137" w:type="dxa"/>
            <w:vMerge w:val="restart"/>
            <w:vAlign w:val="center"/>
          </w:tcPr>
          <w:p w14:paraId="745AAED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p w14:paraId="6F44E6F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p>
        </w:tc>
        <w:tc>
          <w:tcPr>
            <w:tcW w:w="2881" w:type="dxa"/>
            <w:vAlign w:val="center"/>
          </w:tcPr>
          <w:p w14:paraId="1655AEC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供货</w:t>
            </w:r>
            <w:r>
              <w:rPr>
                <w:rFonts w:hint="eastAsia" w:ascii="宋体" w:hAnsi="宋体" w:eastAsia="宋体" w:cs="宋体"/>
                <w:color w:val="auto"/>
                <w:sz w:val="21"/>
                <w:szCs w:val="21"/>
                <w:highlight w:val="none"/>
              </w:rPr>
              <w:t>期限</w:t>
            </w:r>
          </w:p>
        </w:tc>
        <w:tc>
          <w:tcPr>
            <w:tcW w:w="4727" w:type="dxa"/>
            <w:vAlign w:val="center"/>
          </w:tcPr>
          <w:p w14:paraId="2E2A442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10DA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tcPr>
          <w:p w14:paraId="1EDF104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26FF68E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036DC96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4727" w:type="dxa"/>
            <w:vAlign w:val="center"/>
          </w:tcPr>
          <w:p w14:paraId="1ED10E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17C2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11" w:type="dxa"/>
            <w:vMerge w:val="continue"/>
          </w:tcPr>
          <w:p w14:paraId="24F73FD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58FA454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2072F1E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w:t>
            </w:r>
          </w:p>
        </w:tc>
        <w:tc>
          <w:tcPr>
            <w:tcW w:w="4727" w:type="dxa"/>
            <w:vAlign w:val="center"/>
          </w:tcPr>
          <w:p w14:paraId="5477B44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4520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11" w:type="dxa"/>
            <w:vMerge w:val="continue"/>
          </w:tcPr>
          <w:p w14:paraId="54F6FA4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3D928D8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66887F1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投标文件内容</w:t>
            </w:r>
          </w:p>
        </w:tc>
        <w:tc>
          <w:tcPr>
            <w:tcW w:w="4727" w:type="dxa"/>
            <w:vAlign w:val="center"/>
          </w:tcPr>
          <w:p w14:paraId="673B485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2EE1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Merge w:val="continue"/>
          </w:tcPr>
          <w:p w14:paraId="7F041C4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1AA2E38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7E2979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4727" w:type="dxa"/>
            <w:vAlign w:val="center"/>
          </w:tcPr>
          <w:p w14:paraId="4CB392D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t>投标报价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含对应综合单价）</w:t>
            </w:r>
            <w:r>
              <w:rPr>
                <w:rFonts w:hint="eastAsia" w:ascii="宋体" w:hAnsi="宋体" w:eastAsia="宋体" w:cs="宋体"/>
                <w:color w:val="auto"/>
                <w:szCs w:val="21"/>
                <w:highlight w:val="none"/>
              </w:rPr>
              <w:t>不得超过最高投标限价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含对应最高综合单价）</w:t>
            </w:r>
          </w:p>
        </w:tc>
      </w:tr>
      <w:tr w14:paraId="60A7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Align w:val="center"/>
          </w:tcPr>
          <w:p w14:paraId="06D2DE5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bookmarkStart w:id="673" w:name="_Toc144974556"/>
            <w:bookmarkStart w:id="674" w:name="_Toc506107324"/>
            <w:bookmarkStart w:id="675" w:name="_Toc246996232"/>
            <w:bookmarkStart w:id="676" w:name="_Toc35425113"/>
            <w:bookmarkStart w:id="677" w:name="_Toc35424947"/>
            <w:bookmarkStart w:id="678" w:name="_Toc179632607"/>
            <w:bookmarkStart w:id="679" w:name="_Toc152042366"/>
            <w:bookmarkStart w:id="680" w:name="_Toc6491"/>
            <w:bookmarkStart w:id="681" w:name="_Toc15058913"/>
            <w:bookmarkStart w:id="682" w:name="_Toc246996975"/>
            <w:bookmarkStart w:id="683" w:name="_Toc152045589"/>
            <w:bookmarkStart w:id="684" w:name="_Toc324404872"/>
            <w:bookmarkStart w:id="685" w:name="_Toc247085747"/>
            <w:r>
              <w:rPr>
                <w:rFonts w:hint="eastAsia" w:ascii="宋体" w:hAnsi="宋体" w:cs="宋体"/>
                <w:color w:val="auto"/>
                <w:sz w:val="21"/>
                <w:szCs w:val="21"/>
                <w:highlight w:val="none"/>
                <w:lang w:val="en-US" w:eastAsia="zh-CN"/>
              </w:rPr>
              <w:t>报价评审</w:t>
            </w:r>
          </w:p>
        </w:tc>
        <w:tc>
          <w:tcPr>
            <w:tcW w:w="8745" w:type="dxa"/>
            <w:gridSpan w:val="3"/>
            <w:vAlign w:val="center"/>
          </w:tcPr>
          <w:p w14:paraId="40EF1C86">
            <w:pPr>
              <w:keepNext w:val="0"/>
              <w:keepLines w:val="0"/>
              <w:pageBreakBefore w:val="0"/>
              <w:kinsoku/>
              <w:wordWrap/>
              <w:overflowPunct/>
              <w:topLinePunct w:val="0"/>
              <w:autoSpaceDE/>
              <w:autoSpaceDN/>
              <w:bidi w:val="0"/>
              <w:spacing w:line="500" w:lineRule="exact"/>
              <w:ind w:firstLine="422" w:firstLineChars="200"/>
              <w:textAlignment w:val="auto"/>
              <w:rPr>
                <w:rFonts w:hint="default"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本项目采用总价中位值法。即对经评审的有效投标单位报价按计算如下标准进行排名，按投标单位的有效报价</w:t>
            </w:r>
            <w:r>
              <w:rPr>
                <w:rFonts w:hint="eastAsia" w:ascii="宋体" w:hAnsi="宋体" w:eastAsia="宋体" w:cs="宋体"/>
                <w:b/>
                <w:bCs/>
                <w:color w:val="auto"/>
                <w:szCs w:val="21"/>
                <w:highlight w:val="none"/>
              </w:rPr>
              <w:t>与中位值（中位值计算方法如下）差值的绝对值最小的原则选择承接主体。</w:t>
            </w:r>
          </w:p>
          <w:p w14:paraId="513B238D">
            <w:pPr>
              <w:keepNext w:val="0"/>
              <w:keepLines w:val="0"/>
              <w:pageBreakBefore w:val="0"/>
              <w:widowControl/>
              <w:kinsoku/>
              <w:wordWrap/>
              <w:overflowPunct/>
              <w:topLinePunct w:val="0"/>
              <w:autoSpaceDE/>
              <w:autoSpaceDN/>
              <w:bidi w:val="0"/>
              <w:adjustRightInd w:val="0"/>
              <w:snapToGrid w:val="0"/>
              <w:spacing w:line="500" w:lineRule="exact"/>
              <w:ind w:firstLine="422" w:firstLineChars="200"/>
              <w:jc w:val="left"/>
              <w:textAlignment w:val="auto"/>
              <w:rPr>
                <w:rFonts w:hint="default"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中位值计算方法：</w:t>
            </w:r>
            <w:r>
              <w:rPr>
                <w:rFonts w:hint="eastAsia" w:ascii="宋体" w:hAnsi="宋体" w:eastAsia="宋体" w:cs="宋体"/>
                <w:b/>
                <w:bCs/>
                <w:color w:val="auto"/>
                <w:szCs w:val="21"/>
                <w:highlight w:val="none"/>
                <w:lang w:val="en-US" w:eastAsia="zh-CN"/>
              </w:rPr>
              <w:t>经评审的有效</w:t>
            </w:r>
            <w:r>
              <w:rPr>
                <w:rFonts w:hint="eastAsia" w:ascii="宋体" w:hAnsi="宋体" w:eastAsia="宋体" w:cs="宋体"/>
                <w:b/>
                <w:color w:val="auto"/>
                <w:szCs w:val="21"/>
                <w:highlight w:val="none"/>
                <w:lang w:val="en-US" w:eastAsia="zh-CN"/>
              </w:rPr>
              <w:t>投标单位</w:t>
            </w:r>
            <w:r>
              <w:rPr>
                <w:rFonts w:hint="eastAsia" w:ascii="宋体" w:hAnsi="宋体" w:eastAsia="宋体" w:cs="宋体"/>
                <w:b/>
                <w:color w:val="auto"/>
                <w:szCs w:val="21"/>
                <w:highlight w:val="none"/>
              </w:rPr>
              <w:t>报价的平均值*（1-随机抽取系数）</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平均值</w:t>
            </w:r>
            <w:r>
              <w:rPr>
                <w:rFonts w:hint="eastAsia" w:ascii="宋体" w:hAnsi="宋体" w:eastAsia="宋体" w:cs="宋体"/>
                <w:b/>
                <w:color w:val="auto"/>
                <w:szCs w:val="21"/>
                <w:highlight w:val="none"/>
                <w:lang w:val="en-US" w:eastAsia="zh-CN"/>
              </w:rPr>
              <w:t>及</w:t>
            </w:r>
            <w:r>
              <w:rPr>
                <w:rFonts w:hint="eastAsia" w:ascii="宋体" w:hAnsi="宋体" w:eastAsia="宋体" w:cs="宋体"/>
                <w:b/>
                <w:color w:val="auto"/>
                <w:szCs w:val="21"/>
                <w:highlight w:val="none"/>
              </w:rPr>
              <w:t>中位值均保留两位小数</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第三位四舍五入。</w:t>
            </w:r>
          </w:p>
          <w:p w14:paraId="015ED328">
            <w:pPr>
              <w:keepNext w:val="0"/>
              <w:keepLines w:val="0"/>
              <w:pageBreakBefore w:val="0"/>
              <w:kinsoku/>
              <w:wordWrap/>
              <w:overflowPunct/>
              <w:topLinePunct w:val="0"/>
              <w:autoSpaceDE/>
              <w:autoSpaceDN/>
              <w:bidi w:val="0"/>
              <w:spacing w:line="500" w:lineRule="exact"/>
              <w:ind w:firstLine="422"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注：</w:t>
            </w:r>
            <w:r>
              <w:rPr>
                <w:rFonts w:hint="eastAsia" w:ascii="宋体" w:hAnsi="宋体" w:cs="宋体"/>
                <w:b/>
                <w:bCs/>
                <w:color w:val="auto"/>
                <w:szCs w:val="21"/>
                <w:highlight w:val="none"/>
                <w:lang w:val="en-US" w:eastAsia="zh-CN"/>
              </w:rPr>
              <w:t>1.</w:t>
            </w:r>
            <w:r>
              <w:rPr>
                <w:rFonts w:hint="eastAsia" w:ascii="宋体" w:hAnsi="宋体" w:eastAsia="宋体" w:cs="宋体"/>
                <w:b/>
                <w:bCs/>
                <w:color w:val="auto"/>
                <w:szCs w:val="21"/>
                <w:highlight w:val="none"/>
                <w:lang w:val="en-US" w:eastAsia="zh-CN"/>
              </w:rPr>
              <w:t>随机抽取系数取值范围为-0.5%（1号），0%（2号），0.5%（3号），1.0%（4号），1.5%（5号）。开标现场随机抽取。</w:t>
            </w:r>
          </w:p>
          <w:p w14:paraId="65157B79">
            <w:pPr>
              <w:pStyle w:val="2"/>
              <w:rPr>
                <w:rFonts w:hint="default"/>
                <w:color w:val="auto"/>
                <w:highlight w:val="none"/>
                <w:lang w:val="en-US"/>
              </w:rPr>
            </w:pPr>
            <w:r>
              <w:rPr>
                <w:rFonts w:hint="eastAsia" w:ascii="宋体" w:hAnsi="宋体" w:eastAsia="宋体" w:cs="宋体"/>
                <w:b/>
                <w:bCs/>
                <w:color w:val="auto"/>
                <w:kern w:val="2"/>
                <w:sz w:val="21"/>
                <w:szCs w:val="21"/>
                <w:highlight w:val="none"/>
                <w:lang w:val="en-US" w:eastAsia="zh-CN" w:bidi="ar-SA"/>
              </w:rPr>
              <w:t>2.上述计算过程中的投标报价</w:t>
            </w:r>
            <w:r>
              <w:rPr>
                <w:rFonts w:hint="eastAsia" w:ascii="宋体" w:hAnsi="宋体" w:cs="宋体"/>
                <w:b/>
                <w:bCs/>
                <w:color w:val="auto"/>
                <w:kern w:val="2"/>
                <w:sz w:val="21"/>
                <w:szCs w:val="21"/>
                <w:highlight w:val="none"/>
                <w:lang w:val="en-US" w:eastAsia="zh-CN" w:bidi="ar-SA"/>
              </w:rPr>
              <w:t>指扣除</w:t>
            </w:r>
            <w:r>
              <w:rPr>
                <w:rFonts w:hint="eastAsia" w:ascii="宋体" w:hAnsi="宋体" w:eastAsia="宋体" w:cs="宋体"/>
                <w:b/>
                <w:bCs/>
                <w:color w:val="auto"/>
                <w:kern w:val="2"/>
                <w:sz w:val="21"/>
                <w:szCs w:val="21"/>
                <w:highlight w:val="none"/>
                <w:lang w:val="en-US" w:eastAsia="zh-CN" w:bidi="ar-SA"/>
              </w:rPr>
              <w:t>可抵扣进项税后的</w:t>
            </w:r>
            <w:r>
              <w:rPr>
                <w:rFonts w:hint="eastAsia" w:ascii="宋体" w:hAnsi="宋体" w:cs="宋体"/>
                <w:b/>
                <w:bCs/>
                <w:color w:val="auto"/>
                <w:kern w:val="2"/>
                <w:sz w:val="21"/>
                <w:szCs w:val="21"/>
                <w:highlight w:val="none"/>
                <w:lang w:val="en-US" w:eastAsia="zh-CN" w:bidi="ar-SA"/>
              </w:rPr>
              <w:t>报价</w:t>
            </w:r>
            <w:r>
              <w:rPr>
                <w:rFonts w:hint="eastAsia" w:ascii="宋体" w:hAnsi="宋体" w:eastAsia="宋体" w:cs="宋体"/>
                <w:b/>
                <w:bCs/>
                <w:color w:val="auto"/>
                <w:kern w:val="2"/>
                <w:sz w:val="21"/>
                <w:szCs w:val="21"/>
                <w:highlight w:val="none"/>
                <w:lang w:val="en-US" w:eastAsia="zh-CN" w:bidi="ar-SA"/>
              </w:rPr>
              <w:t>。</w:t>
            </w:r>
          </w:p>
        </w:tc>
      </w:tr>
    </w:tbl>
    <w:p w14:paraId="046E8BC2">
      <w:pPr>
        <w:pStyle w:val="4"/>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 xml:space="preserve">1. </w:t>
      </w:r>
      <w:r>
        <w:rPr>
          <w:rFonts w:hint="eastAsia" w:ascii="宋体" w:hAnsi="宋体" w:eastAsia="宋体" w:cs="宋体"/>
          <w:color w:val="auto"/>
          <w:highlight w:val="none"/>
        </w:rPr>
        <w:t>评标方法</w:t>
      </w:r>
      <w:bookmarkEnd w:id="673"/>
      <w:bookmarkEnd w:id="674"/>
      <w:bookmarkEnd w:id="675"/>
      <w:bookmarkEnd w:id="676"/>
      <w:bookmarkEnd w:id="677"/>
      <w:bookmarkEnd w:id="678"/>
      <w:bookmarkEnd w:id="679"/>
      <w:bookmarkEnd w:id="680"/>
      <w:bookmarkEnd w:id="681"/>
      <w:bookmarkEnd w:id="682"/>
      <w:bookmarkEnd w:id="683"/>
      <w:bookmarkEnd w:id="684"/>
      <w:bookmarkEnd w:id="685"/>
    </w:p>
    <w:p w14:paraId="4249B254">
      <w:pPr>
        <w:snapToGrid w:val="0"/>
        <w:spacing w:line="440" w:lineRule="exact"/>
        <w:ind w:right="252" w:rightChars="120" w:firstLine="420" w:firstLineChars="200"/>
        <w:jc w:val="left"/>
        <w:rPr>
          <w:rFonts w:hint="eastAsia" w:ascii="宋体" w:hAnsi="宋体" w:eastAsia="宋体" w:cs="宋体"/>
          <w:color w:val="auto"/>
          <w:szCs w:val="21"/>
          <w:highlight w:val="none"/>
        </w:rPr>
      </w:pPr>
      <w:bookmarkStart w:id="686" w:name="_Toc11945"/>
      <w:bookmarkStart w:id="687" w:name="_Toc324404873"/>
      <w:bookmarkStart w:id="688" w:name="_Toc35425114"/>
      <w:bookmarkStart w:id="689" w:name="_Toc506107325"/>
      <w:bookmarkStart w:id="690" w:name="_Toc35424948"/>
      <w:bookmarkStart w:id="691" w:name="_Toc15058914"/>
      <w:bookmarkStart w:id="692" w:name="_Toc246996976"/>
      <w:bookmarkStart w:id="693" w:name="_Toc296602478"/>
      <w:bookmarkStart w:id="694" w:name="_Toc152042367"/>
      <w:bookmarkStart w:id="695" w:name="_Toc247085748"/>
      <w:bookmarkStart w:id="696" w:name="_Toc179632608"/>
      <w:bookmarkStart w:id="697" w:name="_Toc152045590"/>
      <w:bookmarkStart w:id="698" w:name="_Toc144974557"/>
      <w:bookmarkStart w:id="699" w:name="_Toc246996233"/>
      <w:r>
        <w:rPr>
          <w:rFonts w:hint="eastAsia" w:ascii="宋体" w:hAnsi="宋体" w:eastAsia="宋体" w:cs="宋体"/>
          <w:color w:val="auto"/>
          <w:szCs w:val="21"/>
          <w:highlight w:val="none"/>
        </w:rPr>
        <w:t>本次评标采用</w:t>
      </w:r>
      <w:r>
        <w:rPr>
          <w:rFonts w:hint="eastAsia" w:ascii="宋体" w:hAnsi="宋体" w:cs="宋体"/>
          <w:color w:val="auto"/>
          <w:szCs w:val="21"/>
          <w:highlight w:val="none"/>
          <w:lang w:val="en-US" w:eastAsia="zh-CN"/>
        </w:rPr>
        <w:t>总价中位值</w:t>
      </w:r>
      <w:r>
        <w:rPr>
          <w:rFonts w:hint="eastAsia" w:ascii="宋体" w:hAnsi="宋体" w:eastAsia="宋体" w:cs="宋体"/>
          <w:color w:val="auto"/>
          <w:szCs w:val="21"/>
          <w:highlight w:val="none"/>
        </w:rPr>
        <w:t>。标委员会对满足招标文件实质性要求的</w:t>
      </w:r>
      <w:bookmarkStart w:id="700" w:name="_Toc60061511"/>
      <w:r>
        <w:rPr>
          <w:rFonts w:hint="eastAsia" w:ascii="宋体" w:hAnsi="宋体" w:eastAsia="宋体" w:cs="宋体"/>
          <w:color w:val="auto"/>
          <w:szCs w:val="21"/>
          <w:highlight w:val="none"/>
        </w:rPr>
        <w:t>投标文件，按照</w:t>
      </w:r>
      <w:bookmarkEnd w:id="700"/>
      <w:r>
        <w:rPr>
          <w:rFonts w:hint="eastAsia" w:ascii="宋体" w:hAnsi="宋体" w:eastAsia="宋体" w:cs="宋体"/>
          <w:color w:val="auto"/>
          <w:szCs w:val="21"/>
          <w:highlight w:val="none"/>
        </w:rPr>
        <w:t>本章规定的评</w:t>
      </w:r>
      <w:r>
        <w:rPr>
          <w:rFonts w:hint="eastAsia" w:ascii="宋体" w:hAnsi="宋体" w:cs="宋体"/>
          <w:color w:val="auto"/>
          <w:szCs w:val="21"/>
          <w:highlight w:val="none"/>
          <w:lang w:val="en-US" w:eastAsia="zh-CN"/>
        </w:rPr>
        <w:t>审</w:t>
      </w:r>
      <w:r>
        <w:rPr>
          <w:rFonts w:hint="eastAsia" w:ascii="宋体" w:hAnsi="宋体" w:eastAsia="宋体" w:cs="宋体"/>
          <w:color w:val="auto"/>
          <w:szCs w:val="21"/>
          <w:highlight w:val="none"/>
        </w:rPr>
        <w:t>标准进行</w:t>
      </w:r>
      <w:r>
        <w:rPr>
          <w:rFonts w:hint="eastAsia" w:ascii="宋体" w:hAnsi="宋体" w:cs="宋体"/>
          <w:color w:val="auto"/>
          <w:szCs w:val="21"/>
          <w:highlight w:val="none"/>
          <w:lang w:val="en-US" w:eastAsia="zh-CN"/>
        </w:rPr>
        <w:t>评审</w:t>
      </w:r>
      <w:r>
        <w:rPr>
          <w:rFonts w:hint="eastAsia" w:ascii="宋体" w:hAnsi="宋体" w:eastAsia="宋体" w:cs="宋体"/>
          <w:color w:val="auto"/>
          <w:szCs w:val="21"/>
          <w:highlight w:val="none"/>
        </w:rPr>
        <w:t>，并按</w:t>
      </w:r>
      <w:r>
        <w:rPr>
          <w:rFonts w:hint="eastAsia" w:ascii="宋体" w:hAnsi="宋体" w:cs="宋体"/>
          <w:color w:val="auto"/>
          <w:szCs w:val="21"/>
          <w:highlight w:val="none"/>
          <w:lang w:val="en-US" w:eastAsia="zh-CN"/>
        </w:rPr>
        <w:t>规则</w:t>
      </w:r>
      <w:r>
        <w:rPr>
          <w:rFonts w:hint="eastAsia" w:ascii="宋体" w:hAnsi="宋体" w:eastAsia="宋体" w:cs="宋体"/>
          <w:color w:val="auto"/>
          <w:szCs w:val="21"/>
          <w:highlight w:val="none"/>
        </w:rPr>
        <w:t>推荐</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名</w:t>
      </w:r>
      <w:r>
        <w:rPr>
          <w:rFonts w:hint="eastAsia" w:ascii="宋体" w:hAnsi="宋体" w:eastAsia="宋体" w:cs="宋体"/>
          <w:color w:val="auto"/>
          <w:szCs w:val="21"/>
          <w:highlight w:val="none"/>
        </w:rPr>
        <w:t>中标候选人，并标明排序，但投标报价</w:t>
      </w:r>
      <w:r>
        <w:rPr>
          <w:rFonts w:hint="eastAsia" w:ascii="宋体" w:hAnsi="宋体" w:cs="宋体"/>
          <w:color w:val="auto"/>
          <w:szCs w:val="21"/>
          <w:highlight w:val="none"/>
          <w:lang w:eastAsia="zh-CN"/>
        </w:rPr>
        <w:t>（指扣除可抵扣进项税后的报价）</w:t>
      </w:r>
      <w:r>
        <w:rPr>
          <w:rFonts w:hint="eastAsia" w:ascii="宋体" w:hAnsi="宋体" w:eastAsia="宋体" w:cs="宋体"/>
          <w:color w:val="auto"/>
          <w:szCs w:val="21"/>
          <w:highlight w:val="none"/>
        </w:rPr>
        <w:t>低于其成本的除外。差值的绝对值相同时，以投标报价</w:t>
      </w:r>
      <w:r>
        <w:rPr>
          <w:rFonts w:hint="eastAsia" w:ascii="宋体" w:hAnsi="宋体" w:cs="宋体"/>
          <w:color w:val="auto"/>
          <w:szCs w:val="21"/>
          <w:highlight w:val="none"/>
          <w:lang w:eastAsia="zh-CN"/>
        </w:rPr>
        <w:t>（指扣除可抵扣进项税后的报价）</w:t>
      </w:r>
      <w:r>
        <w:rPr>
          <w:rFonts w:hint="eastAsia" w:ascii="宋体" w:hAnsi="宋体" w:eastAsia="宋体" w:cs="宋体"/>
          <w:color w:val="auto"/>
          <w:szCs w:val="21"/>
          <w:highlight w:val="none"/>
        </w:rPr>
        <w:t>低的优先，投标报价</w:t>
      </w:r>
      <w:r>
        <w:rPr>
          <w:rFonts w:hint="eastAsia" w:ascii="宋体" w:hAnsi="宋体" w:cs="宋体"/>
          <w:color w:val="auto"/>
          <w:szCs w:val="21"/>
          <w:highlight w:val="none"/>
          <w:lang w:eastAsia="zh-CN"/>
        </w:rPr>
        <w:t>（指扣除可抵扣进项税后的报价）</w:t>
      </w:r>
      <w:r>
        <w:rPr>
          <w:rFonts w:hint="eastAsia" w:ascii="宋体" w:hAnsi="宋体" w:eastAsia="宋体" w:cs="宋体"/>
          <w:color w:val="auto"/>
          <w:szCs w:val="21"/>
          <w:highlight w:val="none"/>
        </w:rPr>
        <w:t>仍相等，由评标委员会或招标人随机抽取确定排名。</w:t>
      </w:r>
    </w:p>
    <w:p w14:paraId="5CF80E1D">
      <w:pPr>
        <w:pStyle w:val="4"/>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2.</w:t>
      </w:r>
      <w:r>
        <w:rPr>
          <w:rFonts w:hint="eastAsia" w:ascii="宋体" w:hAnsi="宋体" w:eastAsia="宋体" w:cs="宋体"/>
          <w:color w:val="auto"/>
          <w:highlight w:val="none"/>
        </w:rPr>
        <w:t>评标委员会的职责</w:t>
      </w:r>
      <w:bookmarkEnd w:id="686"/>
      <w:bookmarkEnd w:id="687"/>
      <w:bookmarkEnd w:id="688"/>
      <w:bookmarkEnd w:id="689"/>
      <w:bookmarkEnd w:id="690"/>
      <w:bookmarkEnd w:id="691"/>
    </w:p>
    <w:p w14:paraId="5E4CBF09">
      <w:pPr>
        <w:snapToGrid w:val="0"/>
        <w:spacing w:line="440" w:lineRule="exact"/>
        <w:ind w:right="252" w:rightChars="120"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50BC0EF9">
      <w:pPr>
        <w:snapToGrid w:val="0"/>
        <w:spacing w:line="440" w:lineRule="exact"/>
        <w:ind w:right="252" w:rightChars="120"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评标委员会应加强对报价合理性审查。评标评审委员会认为投标人的报价明显低于其他通过符合性审查投标人的报价，有可能影响项目质量或者不能诚信履约的，应当要求其线上远程在开标大厅合理的时间内提供书面说明，必要时提交相关证明材料；投标人不能证明其报价合理性的，评标评审委员会应当将其作为无效投标处理。</w:t>
      </w:r>
    </w:p>
    <w:p w14:paraId="62C2C7BD">
      <w:pPr>
        <w:pStyle w:val="4"/>
        <w:spacing w:beforeLines="50" w:afterLines="50"/>
        <w:ind w:firstLine="422" w:firstLineChars="200"/>
        <w:rPr>
          <w:rFonts w:ascii="宋体" w:hAnsi="宋体" w:eastAsia="宋体" w:cs="宋体"/>
          <w:color w:val="auto"/>
          <w:highlight w:val="none"/>
        </w:rPr>
      </w:pPr>
      <w:bookmarkStart w:id="701" w:name="_Toc35424949"/>
      <w:bookmarkStart w:id="702" w:name="_Toc506107326"/>
      <w:bookmarkStart w:id="703" w:name="_Toc15058915"/>
      <w:bookmarkStart w:id="704" w:name="_Toc324404874"/>
      <w:bookmarkStart w:id="705" w:name="_Toc35425115"/>
      <w:bookmarkStart w:id="706" w:name="_Toc17377"/>
      <w:r>
        <w:rPr>
          <w:rFonts w:ascii="宋体" w:hAnsi="宋体" w:eastAsia="宋体" w:cs="宋体"/>
          <w:color w:val="auto"/>
          <w:highlight w:val="none"/>
        </w:rPr>
        <w:t>3.</w:t>
      </w:r>
      <w:r>
        <w:rPr>
          <w:rFonts w:hint="eastAsia" w:ascii="宋体" w:hAnsi="宋体" w:eastAsia="宋体" w:cs="宋体"/>
          <w:color w:val="auto"/>
          <w:highlight w:val="none"/>
        </w:rPr>
        <w:t>评标程序</w:t>
      </w:r>
      <w:bookmarkEnd w:id="701"/>
      <w:bookmarkEnd w:id="702"/>
      <w:bookmarkEnd w:id="703"/>
      <w:bookmarkEnd w:id="704"/>
      <w:bookmarkEnd w:id="705"/>
      <w:bookmarkEnd w:id="706"/>
    </w:p>
    <w:p w14:paraId="3D39CDC8">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评标先做准备工作，先进行评审。</w:t>
      </w:r>
    </w:p>
    <w:p w14:paraId="49F00585">
      <w:pPr>
        <w:pStyle w:val="4"/>
        <w:ind w:firstLine="422" w:firstLineChars="200"/>
        <w:rPr>
          <w:rFonts w:ascii="宋体" w:hAnsi="宋体" w:eastAsia="宋体" w:cs="宋体"/>
          <w:color w:val="auto"/>
          <w:highlight w:val="none"/>
        </w:rPr>
      </w:pPr>
      <w:bookmarkStart w:id="707" w:name="_Toc35425116"/>
      <w:bookmarkStart w:id="708" w:name="_Toc27389"/>
      <w:bookmarkStart w:id="709" w:name="_Toc35424950"/>
      <w:bookmarkStart w:id="710" w:name="_Toc15058916"/>
      <w:r>
        <w:rPr>
          <w:rFonts w:ascii="宋体" w:hAnsi="宋体" w:eastAsia="宋体" w:cs="宋体"/>
          <w:color w:val="auto"/>
          <w:highlight w:val="none"/>
        </w:rPr>
        <w:t>3.1</w:t>
      </w:r>
      <w:r>
        <w:rPr>
          <w:rFonts w:hint="eastAsia" w:ascii="宋体" w:hAnsi="宋体" w:eastAsia="宋体" w:cs="宋体"/>
          <w:color w:val="auto"/>
          <w:highlight w:val="none"/>
        </w:rPr>
        <w:t>评标准备工作</w:t>
      </w:r>
      <w:bookmarkEnd w:id="707"/>
      <w:bookmarkEnd w:id="708"/>
      <w:bookmarkEnd w:id="709"/>
      <w:bookmarkEnd w:id="710"/>
    </w:p>
    <w:p w14:paraId="36F6E39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评标委员会熟悉评标工作情况：</w:t>
      </w:r>
    </w:p>
    <w:p w14:paraId="225D500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）阅读由招标人或者其委托的工程代理机构编制的招标项目情况材料。</w:t>
      </w:r>
    </w:p>
    <w:p w14:paraId="4B91886C">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）阅读、研究招标文件和相关评标资料，获取评标所需要的重要信息和数据，至少应了解和熟悉以下内容：招标项目的范围和性质，招标文件规定的主要技术要求、标准和商务条款。</w:t>
      </w:r>
    </w:p>
    <w:p w14:paraId="3CBA062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）熟悉招标文件规定的评标标准和评标方法及在评标过程中需要考虑的相关因素。</w:t>
      </w:r>
    </w:p>
    <w:p w14:paraId="134B14B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）核对评标工作用表。</w:t>
      </w:r>
    </w:p>
    <w:p w14:paraId="4B00F4B7">
      <w:pPr>
        <w:pStyle w:val="4"/>
        <w:ind w:firstLine="422" w:firstLineChars="200"/>
        <w:rPr>
          <w:rFonts w:ascii="宋体" w:hAnsi="宋体" w:eastAsia="宋体" w:cs="宋体"/>
          <w:color w:val="auto"/>
          <w:highlight w:val="none"/>
        </w:rPr>
      </w:pPr>
      <w:bookmarkStart w:id="711" w:name="_Toc35425118"/>
      <w:bookmarkStart w:id="712" w:name="_Toc17468"/>
      <w:bookmarkStart w:id="713" w:name="_Toc15058918"/>
      <w:bookmarkStart w:id="714" w:name="_Toc35424952"/>
      <w:bookmarkStart w:id="715" w:name="_Toc11990"/>
      <w:bookmarkStart w:id="716" w:name="_Toc35425120"/>
      <w:bookmarkStart w:id="717" w:name="_Toc506107327"/>
      <w:bookmarkStart w:id="718" w:name="_Toc324404875"/>
      <w:bookmarkStart w:id="719" w:name="_Toc15058919"/>
      <w:bookmarkStart w:id="720" w:name="_Toc35424954"/>
      <w:bookmarkStart w:id="721" w:name="_Toc12200"/>
      <w:r>
        <w:rPr>
          <w:rFonts w:ascii="宋体" w:hAnsi="宋体" w:eastAsia="宋体" w:cs="宋体"/>
          <w:color w:val="auto"/>
          <w:highlight w:val="none"/>
        </w:rPr>
        <w:t>3.</w:t>
      </w:r>
      <w:r>
        <w:rPr>
          <w:rFonts w:hint="eastAsia" w:ascii="宋体" w:hAnsi="宋体" w:eastAsia="宋体" w:cs="宋体"/>
          <w:color w:val="auto"/>
          <w:highlight w:val="none"/>
          <w:lang w:val="en-US" w:eastAsia="zh-CN"/>
        </w:rPr>
        <w:t>2投标文件</w:t>
      </w:r>
      <w:r>
        <w:rPr>
          <w:rFonts w:hint="eastAsia" w:ascii="宋体" w:hAnsi="宋体" w:eastAsia="宋体" w:cs="宋体"/>
          <w:color w:val="auto"/>
          <w:highlight w:val="none"/>
        </w:rPr>
        <w:t>评审</w:t>
      </w:r>
      <w:bookmarkEnd w:id="711"/>
      <w:bookmarkEnd w:id="712"/>
      <w:bookmarkEnd w:id="713"/>
      <w:bookmarkEnd w:id="714"/>
      <w:bookmarkEnd w:id="715"/>
    </w:p>
    <w:p w14:paraId="080ED7BD">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详见评审表。</w:t>
      </w:r>
    </w:p>
    <w:p w14:paraId="2B429E12">
      <w:pPr>
        <w:spacing w:line="440" w:lineRule="exact"/>
        <w:ind w:firstLine="422" w:firstLineChars="200"/>
        <w:rPr>
          <w:rFonts w:ascii="宋体" w:cs="宋体"/>
          <w:color w:val="auto"/>
          <w:szCs w:val="21"/>
          <w:highlight w:val="none"/>
        </w:rPr>
      </w:pPr>
      <w:bookmarkStart w:id="722" w:name="_Toc35424953"/>
      <w:bookmarkStart w:id="723" w:name="_Toc35425119"/>
      <w:bookmarkStart w:id="724" w:name="_Toc18087"/>
      <w:bookmarkStart w:id="725" w:name="_Toc26895"/>
      <w:r>
        <w:rPr>
          <w:rStyle w:val="66"/>
          <w:rFonts w:ascii="宋体" w:hAnsi="宋体" w:eastAsia="宋体" w:cs="宋体"/>
          <w:bCs/>
          <w:color w:val="auto"/>
          <w:sz w:val="21"/>
          <w:szCs w:val="32"/>
          <w:highlight w:val="none"/>
        </w:rPr>
        <w:t>3.4</w:t>
      </w:r>
      <w:r>
        <w:rPr>
          <w:rStyle w:val="66"/>
          <w:rFonts w:hint="eastAsia" w:ascii="宋体" w:hAnsi="宋体" w:eastAsia="宋体" w:cs="宋体"/>
          <w:bCs/>
          <w:color w:val="auto"/>
          <w:sz w:val="21"/>
          <w:szCs w:val="32"/>
          <w:highlight w:val="none"/>
        </w:rPr>
        <w:t>推荐中标候选人</w:t>
      </w:r>
      <w:bookmarkEnd w:id="722"/>
      <w:bookmarkEnd w:id="723"/>
      <w:bookmarkEnd w:id="724"/>
      <w:bookmarkEnd w:id="725"/>
      <w:r>
        <w:rPr>
          <w:rFonts w:hint="eastAsia" w:ascii="宋体" w:hAnsi="宋体" w:cs="宋体"/>
          <w:b/>
          <w:bCs/>
          <w:color w:val="auto"/>
          <w:highlight w:val="none"/>
        </w:rPr>
        <w:t>：</w:t>
      </w:r>
      <w:r>
        <w:rPr>
          <w:rFonts w:hint="eastAsia" w:ascii="宋体" w:hAnsi="宋体" w:cs="宋体"/>
          <w:color w:val="auto"/>
          <w:highlight w:val="none"/>
        </w:rPr>
        <w:t>评审后，推荐</w:t>
      </w:r>
      <w:r>
        <w:rPr>
          <w:rFonts w:hint="eastAsia" w:ascii="宋体" w:hAnsi="宋体" w:cs="宋体"/>
          <w:color w:val="auto"/>
          <w:highlight w:val="none"/>
          <w:u w:val="single"/>
          <w:lang w:val="en-US" w:eastAsia="zh-CN"/>
        </w:rPr>
        <w:t>2</w:t>
      </w:r>
      <w:r>
        <w:rPr>
          <w:rFonts w:ascii="宋体" w:hAnsi="宋体" w:cs="宋体"/>
          <w:color w:val="auto"/>
          <w:highlight w:val="none"/>
          <w:u w:val="single"/>
        </w:rPr>
        <w:t xml:space="preserve"> </w:t>
      </w:r>
      <w:r>
        <w:rPr>
          <w:rFonts w:hint="eastAsia" w:ascii="宋体" w:hAnsi="宋体" w:cs="宋体"/>
          <w:color w:val="auto"/>
          <w:highlight w:val="none"/>
        </w:rPr>
        <w:t>名中标候选人，并标明排序。</w:t>
      </w:r>
    </w:p>
    <w:p w14:paraId="605D21C5">
      <w:pPr>
        <w:pStyle w:val="4"/>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4.</w:t>
      </w:r>
      <w:r>
        <w:rPr>
          <w:rFonts w:hint="eastAsia" w:ascii="宋体" w:hAnsi="宋体" w:eastAsia="宋体" w:cs="宋体"/>
          <w:color w:val="auto"/>
          <w:highlight w:val="none"/>
        </w:rPr>
        <w:t>评审内容</w:t>
      </w:r>
      <w:bookmarkEnd w:id="716"/>
      <w:bookmarkEnd w:id="717"/>
      <w:bookmarkEnd w:id="718"/>
      <w:bookmarkEnd w:id="719"/>
      <w:bookmarkEnd w:id="720"/>
      <w:bookmarkEnd w:id="721"/>
    </w:p>
    <w:p w14:paraId="59D2BB87">
      <w:pPr>
        <w:pStyle w:val="4"/>
        <w:ind w:firstLine="422" w:firstLineChars="200"/>
        <w:rPr>
          <w:rFonts w:ascii="宋体" w:hAnsi="宋体" w:eastAsia="宋体" w:cs="宋体"/>
          <w:color w:val="auto"/>
          <w:highlight w:val="none"/>
        </w:rPr>
      </w:pPr>
      <w:bookmarkStart w:id="726" w:name="_Toc3531"/>
      <w:bookmarkStart w:id="727" w:name="_Toc35424956"/>
      <w:bookmarkStart w:id="728" w:name="_Toc15058921"/>
      <w:bookmarkStart w:id="729" w:name="_Toc35425122"/>
      <w:bookmarkStart w:id="730" w:name="_Toc324404876"/>
      <w:r>
        <w:rPr>
          <w:rFonts w:ascii="宋体" w:hAnsi="宋体" w:eastAsia="宋体" w:cs="宋体"/>
          <w:color w:val="auto"/>
          <w:highlight w:val="none"/>
        </w:rPr>
        <w:t>4.</w:t>
      </w:r>
      <w:r>
        <w:rPr>
          <w:rFonts w:hint="eastAsia" w:ascii="宋体" w:hAnsi="宋体" w:eastAsia="宋体" w:cs="宋体"/>
          <w:color w:val="auto"/>
          <w:highlight w:val="none"/>
          <w:lang w:val="en-US" w:eastAsia="zh-CN"/>
        </w:rPr>
        <w:t>1投标文件</w:t>
      </w:r>
      <w:r>
        <w:rPr>
          <w:rFonts w:hint="eastAsia" w:ascii="宋体" w:hAnsi="宋体" w:eastAsia="宋体" w:cs="宋体"/>
          <w:color w:val="auto"/>
          <w:highlight w:val="none"/>
        </w:rPr>
        <w:t>评审</w:t>
      </w:r>
      <w:bookmarkEnd w:id="726"/>
      <w:bookmarkEnd w:id="727"/>
      <w:bookmarkEnd w:id="728"/>
      <w:bookmarkEnd w:id="729"/>
    </w:p>
    <w:p w14:paraId="6ACF3787">
      <w:pPr>
        <w:spacing w:line="440" w:lineRule="exact"/>
        <w:ind w:firstLine="420" w:firstLineChars="200"/>
        <w:jc w:val="left"/>
        <w:rPr>
          <w:rFonts w:ascii="宋体" w:cs="宋体"/>
          <w:color w:val="auto"/>
          <w:highlight w:val="none"/>
        </w:rPr>
      </w:pPr>
      <w:r>
        <w:rPr>
          <w:rFonts w:hint="eastAsia" w:ascii="宋体" w:hAnsi="宋体" w:cs="宋体"/>
          <w:color w:val="auto"/>
          <w:highlight w:val="none"/>
        </w:rPr>
        <w:t>只有通过</w:t>
      </w:r>
      <w:r>
        <w:rPr>
          <w:rFonts w:hint="eastAsia" w:ascii="宋体" w:hAnsi="宋体" w:cs="宋体"/>
          <w:color w:val="auto"/>
          <w:highlight w:val="none"/>
          <w:lang w:val="en-US" w:eastAsia="zh-CN"/>
        </w:rPr>
        <w:t>资格</w:t>
      </w:r>
      <w:r>
        <w:rPr>
          <w:rFonts w:hint="eastAsia" w:ascii="宋体" w:hAnsi="宋体" w:cs="宋体"/>
          <w:color w:val="auto"/>
          <w:highlight w:val="none"/>
        </w:rPr>
        <w:t>评审的投标才能够进入本阶段评审。</w:t>
      </w:r>
    </w:p>
    <w:p w14:paraId="7D11176E">
      <w:pPr>
        <w:spacing w:line="440" w:lineRule="exact"/>
        <w:ind w:firstLine="420" w:firstLineChars="200"/>
        <w:jc w:val="left"/>
        <w:rPr>
          <w:rFonts w:ascii="宋体" w:cs="宋体"/>
          <w:color w:val="auto"/>
          <w:highlight w:val="none"/>
        </w:rPr>
      </w:pPr>
      <w:r>
        <w:rPr>
          <w:rFonts w:ascii="宋体" w:hAnsi="宋体" w:cs="宋体"/>
          <w:color w:val="auto"/>
          <w:highlight w:val="none"/>
        </w:rPr>
        <w:t>4.</w:t>
      </w:r>
      <w:r>
        <w:rPr>
          <w:rFonts w:hint="eastAsia" w:ascii="宋体" w:hAnsi="宋体" w:cs="宋体"/>
          <w:color w:val="auto"/>
          <w:highlight w:val="none"/>
          <w:lang w:val="en-US" w:eastAsia="zh-CN"/>
        </w:rPr>
        <w:t>1</w:t>
      </w:r>
      <w:r>
        <w:rPr>
          <w:rFonts w:ascii="宋体" w:hAnsi="宋体" w:cs="宋体"/>
          <w:color w:val="auto"/>
          <w:highlight w:val="none"/>
        </w:rPr>
        <w:t>.1</w:t>
      </w:r>
      <w:r>
        <w:rPr>
          <w:rFonts w:hint="eastAsia" w:ascii="宋体" w:hAnsi="宋体" w:cs="宋体"/>
          <w:color w:val="auto"/>
          <w:highlight w:val="none"/>
        </w:rPr>
        <w:t>形式性评审标准：见</w:t>
      </w:r>
      <w:r>
        <w:rPr>
          <w:rFonts w:hint="eastAsia" w:ascii="宋体" w:hAnsi="宋体" w:cs="宋体"/>
          <w:color w:val="auto"/>
          <w:highlight w:val="none"/>
          <w:lang w:val="en-US" w:eastAsia="zh-CN"/>
        </w:rPr>
        <w:t>投标文件</w:t>
      </w:r>
      <w:r>
        <w:rPr>
          <w:rFonts w:hint="eastAsia" w:ascii="宋体" w:hAnsi="宋体" w:cs="宋体"/>
          <w:color w:val="auto"/>
          <w:highlight w:val="none"/>
        </w:rPr>
        <w:t>评审表。</w:t>
      </w:r>
    </w:p>
    <w:p w14:paraId="5717920E">
      <w:pPr>
        <w:spacing w:line="440" w:lineRule="exact"/>
        <w:ind w:firstLine="420" w:firstLineChars="200"/>
        <w:jc w:val="left"/>
        <w:rPr>
          <w:rFonts w:ascii="宋体" w:cs="宋体"/>
          <w:color w:val="auto"/>
          <w:highlight w:val="none"/>
        </w:rPr>
      </w:pPr>
      <w:r>
        <w:rPr>
          <w:rFonts w:ascii="宋体" w:hAnsi="宋体" w:cs="宋体"/>
          <w:color w:val="auto"/>
          <w:highlight w:val="none"/>
        </w:rPr>
        <w:t>4.</w:t>
      </w:r>
      <w:r>
        <w:rPr>
          <w:rFonts w:hint="eastAsia" w:ascii="宋体" w:hAnsi="宋体" w:cs="宋体"/>
          <w:color w:val="auto"/>
          <w:highlight w:val="none"/>
          <w:lang w:val="en-US" w:eastAsia="zh-CN"/>
        </w:rPr>
        <w:t>1</w:t>
      </w:r>
      <w:r>
        <w:rPr>
          <w:rFonts w:ascii="宋体" w:hAnsi="宋体" w:cs="宋体"/>
          <w:color w:val="auto"/>
          <w:highlight w:val="none"/>
        </w:rPr>
        <w:t>.2</w:t>
      </w:r>
      <w:r>
        <w:rPr>
          <w:rFonts w:hint="eastAsia" w:ascii="宋体" w:hAnsi="宋体" w:cs="宋体"/>
          <w:color w:val="auto"/>
          <w:highlight w:val="none"/>
        </w:rPr>
        <w:t>响应性评审标准：见</w:t>
      </w:r>
      <w:r>
        <w:rPr>
          <w:rFonts w:hint="eastAsia" w:ascii="宋体" w:hAnsi="宋体" w:cs="宋体"/>
          <w:color w:val="auto"/>
          <w:highlight w:val="none"/>
          <w:lang w:val="en-US" w:eastAsia="zh-CN"/>
        </w:rPr>
        <w:t>投标文件</w:t>
      </w:r>
      <w:r>
        <w:rPr>
          <w:rFonts w:hint="eastAsia" w:ascii="宋体" w:hAnsi="宋体" w:cs="宋体"/>
          <w:color w:val="auto"/>
          <w:highlight w:val="none"/>
        </w:rPr>
        <w:t>评审表。</w:t>
      </w:r>
    </w:p>
    <w:p w14:paraId="02B0947A">
      <w:pPr>
        <w:spacing w:line="440" w:lineRule="exact"/>
        <w:ind w:firstLine="420" w:firstLineChars="200"/>
        <w:jc w:val="left"/>
        <w:rPr>
          <w:rFonts w:ascii="宋体" w:cs="宋体"/>
          <w:color w:val="auto"/>
          <w:highlight w:val="none"/>
        </w:rPr>
      </w:pPr>
      <w:r>
        <w:rPr>
          <w:rFonts w:hint="eastAsia" w:ascii="宋体" w:hAnsi="宋体" w:cs="宋体"/>
          <w:color w:val="auto"/>
          <w:highlight w:val="none"/>
        </w:rPr>
        <w:t>评标委员会依据上述标准对投标文件进行初步评审。有一项不符合评审标准的，作无效投标处理。</w:t>
      </w:r>
    </w:p>
    <w:p w14:paraId="49CE7AAC">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.3投标报价评审</w:t>
      </w:r>
    </w:p>
    <w:p w14:paraId="6B922447">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3DFF9DD3">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.4评标委员会审查投标文件，投标报价有错误的，评标委员会按以下原则对投标报价进行修正。</w:t>
      </w:r>
    </w:p>
    <w:p w14:paraId="1423B7B4">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（1）投标文件中的大写金额与小写金额不一致的，以大写金额为准。</w:t>
      </w:r>
    </w:p>
    <w:p w14:paraId="5ED296E6">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（2）总价金额与依据单价计算出的结果不一致的，以单价金额为准修正总价，但单价金额小数点有明显错误的除外。</w:t>
      </w:r>
    </w:p>
    <w:p w14:paraId="7B0D22D8">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7188614E">
      <w:pPr>
        <w:pStyle w:val="4"/>
        <w:spacing w:beforeLines="50" w:afterLines="50"/>
        <w:ind w:firstLine="422" w:firstLineChars="200"/>
        <w:rPr>
          <w:rFonts w:ascii="宋体" w:hAnsi="宋体" w:eastAsia="宋体" w:cs="宋体"/>
          <w:color w:val="auto"/>
          <w:highlight w:val="none"/>
        </w:rPr>
      </w:pPr>
      <w:bookmarkStart w:id="731" w:name="_Toc15058922"/>
      <w:bookmarkStart w:id="732" w:name="_Toc13125"/>
      <w:bookmarkStart w:id="733" w:name="_Toc506107328"/>
      <w:bookmarkStart w:id="734" w:name="_Toc35424957"/>
      <w:bookmarkStart w:id="735" w:name="_Toc35425123"/>
      <w:r>
        <w:rPr>
          <w:rFonts w:ascii="宋体" w:hAnsi="宋体" w:eastAsia="宋体" w:cs="宋体"/>
          <w:color w:val="auto"/>
          <w:highlight w:val="none"/>
        </w:rPr>
        <w:t>5.</w:t>
      </w:r>
      <w:r>
        <w:rPr>
          <w:rFonts w:hint="eastAsia" w:ascii="宋体" w:hAnsi="宋体" w:eastAsia="宋体" w:cs="宋体"/>
          <w:color w:val="auto"/>
          <w:highlight w:val="none"/>
        </w:rPr>
        <w:t>无效投标条款</w:t>
      </w:r>
      <w:bookmarkEnd w:id="730"/>
      <w:bookmarkEnd w:id="731"/>
      <w:bookmarkEnd w:id="732"/>
      <w:bookmarkEnd w:id="733"/>
      <w:bookmarkEnd w:id="734"/>
      <w:bookmarkEnd w:id="735"/>
    </w:p>
    <w:p w14:paraId="034D439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投标人存在下列情形</w:t>
      </w:r>
      <w:r>
        <w:rPr>
          <w:rFonts w:hint="eastAsia" w:ascii="宋体" w:hAnsi="宋体" w:cs="宋体"/>
          <w:color w:val="auto"/>
          <w:szCs w:val="21"/>
          <w:highlight w:val="none"/>
          <w:lang w:eastAsia="zh-CN"/>
        </w:rPr>
        <w:t>的</w:t>
      </w:r>
      <w:r>
        <w:rPr>
          <w:rFonts w:hint="eastAsia" w:ascii="宋体" w:hAnsi="宋体" w:cs="宋体"/>
          <w:color w:val="auto"/>
          <w:szCs w:val="21"/>
          <w:highlight w:val="none"/>
        </w:rPr>
        <w:t>招标人将拒收投标文件：</w:t>
      </w:r>
    </w:p>
    <w:p w14:paraId="46B3B4C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未在投标截止时间前通过网上招标投标系统递交有效电子投标文件的，开标系统不予接收，投标将被拒绝。</w:t>
      </w:r>
    </w:p>
    <w:p w14:paraId="5CA32BF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（2）所有投标人未在规定时间</w:t>
      </w:r>
      <w:r>
        <w:rPr>
          <w:rFonts w:hint="eastAsia" w:ascii="宋体" w:hAnsi="宋体" w:cs="宋体"/>
          <w:color w:val="auto"/>
          <w:szCs w:val="21"/>
          <w:highlight w:val="none"/>
          <w:lang w:eastAsia="zh-CN"/>
        </w:rPr>
        <w:t>内</w:t>
      </w:r>
      <w:r>
        <w:rPr>
          <w:rFonts w:hint="eastAsia" w:ascii="宋体" w:hAnsi="宋体" w:cs="宋体"/>
          <w:color w:val="auto"/>
          <w:szCs w:val="21"/>
          <w:highlight w:val="none"/>
        </w:rPr>
        <w:t>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0F97D46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投标人有下列情形的，经评审后其投标作无效投标处理无效投标：</w:t>
      </w:r>
    </w:p>
    <w:p w14:paraId="4534EA2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2</w:t>
      </w:r>
      <w:r>
        <w:rPr>
          <w:rFonts w:ascii="宋体" w:hAnsi="宋体" w:cs="宋体"/>
          <w:color w:val="auto"/>
          <w:szCs w:val="21"/>
          <w:highlight w:val="none"/>
        </w:rPr>
        <w:t>.</w:t>
      </w:r>
      <w:r>
        <w:rPr>
          <w:rFonts w:hint="eastAsia" w:ascii="宋体" w:hAnsi="宋体" w:cs="宋体"/>
          <w:color w:val="auto"/>
          <w:szCs w:val="21"/>
          <w:highlight w:val="none"/>
          <w:lang w:val="en-US" w:eastAsia="zh-CN"/>
        </w:rPr>
        <w:t>1投标文件</w:t>
      </w:r>
      <w:r>
        <w:rPr>
          <w:rFonts w:hint="eastAsia" w:ascii="宋体" w:hAnsi="宋体" w:cs="宋体"/>
          <w:color w:val="auto"/>
          <w:szCs w:val="21"/>
          <w:highlight w:val="none"/>
        </w:rPr>
        <w:t>评审</w:t>
      </w:r>
    </w:p>
    <w:p w14:paraId="68717A10">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评标委员会依据《评审表》进行形式性评审和响应性评审。有一项不符合评审标准的，</w:t>
      </w:r>
      <w:r>
        <w:rPr>
          <w:rFonts w:hint="eastAsia" w:ascii="宋体" w:hAnsi="宋体" w:cs="宋体"/>
          <w:color w:val="auto"/>
          <w:szCs w:val="21"/>
          <w:highlight w:val="none"/>
          <w:lang w:eastAsia="zh-CN"/>
        </w:rPr>
        <w:t>作</w:t>
      </w:r>
      <w:r>
        <w:rPr>
          <w:rFonts w:hint="eastAsia" w:ascii="宋体" w:hAnsi="宋体" w:cs="宋体"/>
          <w:color w:val="auto"/>
          <w:szCs w:val="21"/>
          <w:highlight w:val="none"/>
        </w:rPr>
        <w:t>无效投标处理；</w:t>
      </w:r>
    </w:p>
    <w:p w14:paraId="4CA3251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）评审标准中有任何一项不能通过评审的，作无效投标处理。</w:t>
      </w:r>
    </w:p>
    <w:p w14:paraId="4B2EBD7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其他无效投标情况：</w:t>
      </w:r>
    </w:p>
    <w:p w14:paraId="69D86E1B">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7E984A1E">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）按第三章《评标方法</w:t>
      </w:r>
      <w:r>
        <w:rPr>
          <w:rFonts w:hint="eastAsia" w:ascii="宋体" w:hAnsi="宋体" w:cs="宋体"/>
          <w:color w:val="auto"/>
          <w:szCs w:val="21"/>
          <w:highlight w:val="none"/>
          <w:lang w:eastAsia="zh-CN"/>
        </w:rPr>
        <w:t>》第</w:t>
      </w:r>
      <w:r>
        <w:rPr>
          <w:rFonts w:ascii="宋体" w:hAnsi="宋体" w:cs="宋体"/>
          <w:color w:val="auto"/>
          <w:szCs w:val="21"/>
          <w:highlight w:val="none"/>
        </w:rPr>
        <w:t>4.2.4</w:t>
      </w:r>
      <w:r>
        <w:rPr>
          <w:rFonts w:hint="eastAsia" w:ascii="宋体" w:hAnsi="宋体" w:cs="宋体"/>
          <w:color w:val="auto"/>
          <w:szCs w:val="21"/>
          <w:highlight w:val="none"/>
        </w:rPr>
        <w:t>条款修正错误的原则及方法调整或修正投标文件的投标报价，调整或修正的价格经投标人书面确认后具有约束力。投标人不接修正价格的，其投标将被拒绝。</w:t>
      </w:r>
    </w:p>
    <w:p w14:paraId="2F14874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章“投标人须知”第</w:t>
      </w:r>
      <w:r>
        <w:rPr>
          <w:rFonts w:ascii="宋体" w:hAnsi="宋体" w:cs="宋体"/>
          <w:color w:val="auto"/>
          <w:szCs w:val="21"/>
          <w:highlight w:val="none"/>
        </w:rPr>
        <w:t>1.4.2,1.4.3</w:t>
      </w:r>
      <w:r>
        <w:rPr>
          <w:rFonts w:hint="eastAsia" w:ascii="宋体" w:hAnsi="宋体" w:cs="宋体"/>
          <w:color w:val="auto"/>
          <w:szCs w:val="21"/>
          <w:highlight w:val="none"/>
        </w:rPr>
        <w:t>条规定的任何一种情形的。</w:t>
      </w:r>
    </w:p>
    <w:p w14:paraId="25F3E3B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）投标人有串通投标、弄虚作假、行贿等违法行为。</w:t>
      </w:r>
    </w:p>
    <w:p w14:paraId="7F882D30">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）投标文件没有对招标文件的实质性要求和条件作出响应。</w:t>
      </w:r>
    </w:p>
    <w:p w14:paraId="0F06094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w:t>
      </w:r>
      <w:r>
        <w:rPr>
          <w:rFonts w:hint="eastAsia" w:ascii="宋体" w:hAnsi="宋体" w:eastAsia="宋体" w:cs="宋体"/>
          <w:color w:val="auto"/>
          <w:szCs w:val="21"/>
          <w:highlight w:val="none"/>
        </w:rPr>
        <w:t>未按规定的格式填写导致实质性内容不全以及实质上不响应，或者关键字迹模糊、无法辨认的。</w:t>
      </w:r>
    </w:p>
    <w:p w14:paraId="6973AE72">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7</w:t>
      </w:r>
      <w:r>
        <w:rPr>
          <w:rFonts w:hint="eastAsia" w:ascii="宋体" w:hAnsi="宋体" w:cs="宋体"/>
          <w:color w:val="auto"/>
          <w:szCs w:val="21"/>
          <w:highlight w:val="none"/>
        </w:rPr>
        <w:t>）同一投标人提交两个以上不同的投标文件或者投标报价，但招标文件规定提交备选投标的除外。</w:t>
      </w:r>
    </w:p>
    <w:p w14:paraId="1519539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8</w:t>
      </w:r>
      <w:r>
        <w:rPr>
          <w:rFonts w:hint="eastAsia" w:ascii="宋体" w:hAnsi="宋体" w:cs="宋体"/>
          <w:color w:val="auto"/>
          <w:szCs w:val="21"/>
          <w:highlight w:val="none"/>
        </w:rPr>
        <w:t>）投标文件中存在招标人不能接受的其他实质性条件。</w:t>
      </w:r>
    </w:p>
    <w:p w14:paraId="5BB7FBEC">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9</w:t>
      </w:r>
      <w:r>
        <w:rPr>
          <w:rFonts w:hint="eastAsia" w:ascii="宋体" w:hAnsi="宋体" w:cs="宋体"/>
          <w:color w:val="auto"/>
          <w:szCs w:val="21"/>
          <w:highlight w:val="none"/>
        </w:rPr>
        <w:t>）投标文件中填报的拟任项目负责人与资格审查通过的项目负责人前后不一致的。</w:t>
      </w:r>
    </w:p>
    <w:p w14:paraId="314B696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10</w:t>
      </w:r>
      <w:r>
        <w:rPr>
          <w:rFonts w:hint="eastAsia" w:ascii="宋体" w:hAnsi="宋体" w:cs="宋体"/>
          <w:color w:val="auto"/>
          <w:szCs w:val="21"/>
          <w:highlight w:val="none"/>
        </w:rPr>
        <w:t>）投标人拒不按照要求对投标文件进行澄清、说明、补正的，或评标委员会根据招标文件的规定对招标文件的计算错误进行修正后，投标人不接受修正的投标报价的。</w:t>
      </w:r>
    </w:p>
    <w:p w14:paraId="6E8EC881">
      <w:pPr>
        <w:spacing w:line="440" w:lineRule="exact"/>
        <w:ind w:firstLine="420" w:firstLineChars="200"/>
        <w:jc w:val="left"/>
        <w:rPr>
          <w:rFonts w:ascii="宋体" w:hAnsi="宋体" w:cs="宋体"/>
          <w:color w:val="auto"/>
          <w:szCs w:val="21"/>
          <w:highlight w:val="none"/>
        </w:rPr>
      </w:pPr>
      <w:bookmarkStart w:id="736" w:name="_Toc324404877"/>
      <w:bookmarkStart w:id="737" w:name="_Toc27846"/>
      <w:bookmarkStart w:id="738" w:name="_Toc506107329"/>
      <w:bookmarkStart w:id="739" w:name="_Toc35425124"/>
      <w:bookmarkStart w:id="740" w:name="_Toc15058923"/>
      <w:bookmarkStart w:id="741" w:name="_Toc35424958"/>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）投标人单方面出现其他投标人材料。</w:t>
      </w:r>
    </w:p>
    <w:p w14:paraId="6E379B2B">
      <w:pPr>
        <w:spacing w:line="44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12）</w:t>
      </w:r>
      <w:r>
        <w:rPr>
          <w:rFonts w:hint="eastAsia"/>
          <w:bCs/>
          <w:color w:val="auto"/>
          <w:sz w:val="21"/>
          <w:szCs w:val="21"/>
          <w:highlight w:val="none"/>
          <w:shd w:val="clear" w:color="auto" w:fill="FFFFFF"/>
        </w:rPr>
        <w:t>投标人联系人或联系电话相同的</w:t>
      </w:r>
      <w:r>
        <w:rPr>
          <w:rFonts w:hint="eastAsia"/>
          <w:bCs/>
          <w:color w:val="auto"/>
          <w:sz w:val="21"/>
          <w:szCs w:val="21"/>
          <w:highlight w:val="none"/>
          <w:shd w:val="clear" w:color="auto" w:fill="FFFFFF"/>
          <w:lang w:eastAsia="zh-CN"/>
        </w:rPr>
        <w:t>。</w:t>
      </w:r>
    </w:p>
    <w:p w14:paraId="5C859A03">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规定的其他情形。</w:t>
      </w:r>
    </w:p>
    <w:p w14:paraId="18438550">
      <w:pPr>
        <w:pStyle w:val="4"/>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6.</w:t>
      </w:r>
      <w:r>
        <w:rPr>
          <w:rFonts w:hint="eastAsia" w:ascii="宋体" w:hAnsi="宋体" w:eastAsia="宋体" w:cs="宋体"/>
          <w:color w:val="auto"/>
          <w:highlight w:val="none"/>
        </w:rPr>
        <w:t>投标文件的澄清和补正</w:t>
      </w:r>
      <w:bookmarkEnd w:id="736"/>
      <w:bookmarkEnd w:id="737"/>
      <w:bookmarkEnd w:id="738"/>
      <w:bookmarkEnd w:id="739"/>
      <w:bookmarkEnd w:id="740"/>
      <w:bookmarkEnd w:id="741"/>
    </w:p>
    <w:p w14:paraId="08C27A69">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6.1在评标过程中，评标委员会可以书面形式要求投标人对所提交的投标文件中含义不明确、对同类问题表述不一致或者有明显文字和计算错误”，其他评标办法请一并修改的内容进行书面澄清或说明，或者对细微偏差进行补正。评标委员会不接受投标人主动提出的澄清、说明或补正。</w:t>
      </w:r>
    </w:p>
    <w:p w14:paraId="34CF0CEC">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6.2澄清、说明和补正不得改变投标文件的实质性内容（算术性错误修正的除外）。投标人的书面澄清、说明和补正属于投标文件的组成部分。</w:t>
      </w:r>
    </w:p>
    <w:p w14:paraId="79E5D04C">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6.3评标委员会对投标人提交的澄清、说明和补正有疑问的，可以要求投标人进一步澄清、说明或补正</w:t>
      </w:r>
      <w:r>
        <w:rPr>
          <w:rFonts w:hint="eastAsia" w:ascii="宋体" w:hAnsi="宋体" w:cs="宋体"/>
          <w:color w:val="auto"/>
          <w:szCs w:val="21"/>
          <w:highlight w:val="none"/>
          <w:lang w:eastAsia="zh-CN"/>
        </w:rPr>
        <w:t>直至</w:t>
      </w:r>
      <w:r>
        <w:rPr>
          <w:rFonts w:hint="eastAsia" w:ascii="宋体" w:hAnsi="宋体" w:eastAsia="宋体" w:cs="宋体"/>
          <w:color w:val="auto"/>
          <w:szCs w:val="21"/>
          <w:highlight w:val="none"/>
        </w:rPr>
        <w:t>满足评标委员会的要求。</w:t>
      </w:r>
    </w:p>
    <w:p w14:paraId="73299377">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按照投标文件规定进行澄清、补正后的投标报价经投标人的法定代表人或其委托代理人确认后即为该投标人的最终投标报价。投标人一旦中标，此报价即为中标价。</w:t>
      </w:r>
    </w:p>
    <w:p w14:paraId="3D1201AD">
      <w:pPr>
        <w:pStyle w:val="4"/>
        <w:spacing w:beforeLines="50" w:afterLines="50"/>
        <w:ind w:firstLine="422" w:firstLineChars="200"/>
        <w:rPr>
          <w:rFonts w:ascii="宋体" w:hAnsi="宋体" w:eastAsia="宋体" w:cs="宋体"/>
          <w:color w:val="auto"/>
          <w:highlight w:val="none"/>
        </w:rPr>
      </w:pPr>
      <w:bookmarkStart w:id="742" w:name="_Toc506107330"/>
      <w:bookmarkStart w:id="743" w:name="_Toc35425125"/>
      <w:bookmarkStart w:id="744" w:name="_Toc35424959"/>
      <w:bookmarkStart w:id="745" w:name="_Toc13990"/>
      <w:bookmarkStart w:id="746" w:name="_Toc15058924"/>
      <w:bookmarkStart w:id="747" w:name="_Toc324404878"/>
      <w:r>
        <w:rPr>
          <w:rFonts w:ascii="宋体" w:hAnsi="宋体" w:eastAsia="宋体" w:cs="宋体"/>
          <w:color w:val="auto"/>
          <w:highlight w:val="none"/>
        </w:rPr>
        <w:t>7.</w:t>
      </w:r>
      <w:r>
        <w:rPr>
          <w:rFonts w:hint="eastAsia" w:ascii="宋体" w:hAnsi="宋体" w:eastAsia="宋体" w:cs="宋体"/>
          <w:color w:val="auto"/>
          <w:highlight w:val="none"/>
        </w:rPr>
        <w:t>评分标准</w:t>
      </w:r>
      <w:bookmarkEnd w:id="742"/>
      <w:bookmarkEnd w:id="743"/>
      <w:bookmarkEnd w:id="744"/>
      <w:bookmarkEnd w:id="745"/>
      <w:bookmarkEnd w:id="746"/>
      <w:bookmarkEnd w:id="747"/>
    </w:p>
    <w:p w14:paraId="0F0282F8">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评分标准：见评审表。</w:t>
      </w:r>
    </w:p>
    <w:p w14:paraId="4773B319">
      <w:pPr>
        <w:pStyle w:val="4"/>
        <w:spacing w:beforeLines="50" w:afterLines="50"/>
        <w:ind w:firstLine="422" w:firstLineChars="200"/>
        <w:rPr>
          <w:rFonts w:ascii="宋体" w:hAnsi="宋体" w:eastAsia="宋体" w:cs="宋体"/>
          <w:color w:val="auto"/>
          <w:highlight w:val="none"/>
        </w:rPr>
      </w:pPr>
      <w:bookmarkStart w:id="748" w:name="_Toc324404879"/>
      <w:bookmarkStart w:id="749" w:name="_Toc22863"/>
      <w:bookmarkStart w:id="750" w:name="_Toc35425126"/>
      <w:bookmarkStart w:id="751" w:name="_Toc15058925"/>
      <w:bookmarkStart w:id="752" w:name="_Toc35424960"/>
      <w:bookmarkStart w:id="753" w:name="_Toc506107331"/>
      <w:r>
        <w:rPr>
          <w:rFonts w:ascii="宋体" w:hAnsi="宋体" w:eastAsia="宋体" w:cs="宋体"/>
          <w:color w:val="auto"/>
          <w:highlight w:val="none"/>
        </w:rPr>
        <w:t>8.</w:t>
      </w:r>
      <w:r>
        <w:rPr>
          <w:rFonts w:hint="eastAsia" w:ascii="宋体" w:hAnsi="宋体" w:eastAsia="宋体" w:cs="宋体"/>
          <w:color w:val="auto"/>
          <w:highlight w:val="none"/>
        </w:rPr>
        <w:t>评审结果</w:t>
      </w:r>
      <w:bookmarkEnd w:id="748"/>
      <w:bookmarkEnd w:id="749"/>
      <w:bookmarkEnd w:id="750"/>
      <w:bookmarkEnd w:id="751"/>
      <w:bookmarkEnd w:id="752"/>
      <w:bookmarkEnd w:id="753"/>
    </w:p>
    <w:p w14:paraId="7FC5407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8.1</w:t>
      </w:r>
      <w:r>
        <w:rPr>
          <w:rFonts w:hint="eastAsia" w:ascii="宋体" w:hAnsi="宋体" w:cs="宋体"/>
          <w:color w:val="auto"/>
          <w:szCs w:val="21"/>
          <w:highlight w:val="none"/>
        </w:rPr>
        <w:t>除投标人须知前附表授权直接确定中标人外，评标委员会按照总得分由高到低顺序推荐中标候选人。</w:t>
      </w:r>
    </w:p>
    <w:p w14:paraId="333AC544">
      <w:pPr>
        <w:spacing w:line="440" w:lineRule="exact"/>
        <w:ind w:right="-168" w:rightChars="-80" w:firstLine="420" w:firstLineChars="200"/>
        <w:jc w:val="left"/>
        <w:rPr>
          <w:rFonts w:ascii="宋体" w:cs="宋体"/>
          <w:color w:val="auto"/>
          <w:szCs w:val="21"/>
          <w:highlight w:val="none"/>
        </w:rPr>
      </w:pPr>
      <w:r>
        <w:rPr>
          <w:rFonts w:ascii="宋体" w:hAnsi="宋体" w:cs="宋体"/>
          <w:color w:val="auto"/>
          <w:szCs w:val="21"/>
          <w:highlight w:val="none"/>
        </w:rPr>
        <w:t>8.2</w:t>
      </w:r>
      <w:r>
        <w:rPr>
          <w:rFonts w:hint="eastAsia" w:ascii="宋体" w:hAnsi="宋体" w:cs="宋体"/>
          <w:color w:val="auto"/>
          <w:szCs w:val="21"/>
          <w:highlight w:val="none"/>
        </w:rPr>
        <w:t>评标委员会完成评标后，应当向招标人提交书面评标报告。评标报告应当如实记载以下内容：</w:t>
      </w:r>
    </w:p>
    <w:p w14:paraId="0419D70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）基本情况和数据表。</w:t>
      </w:r>
    </w:p>
    <w:p w14:paraId="69D57DE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）评标委员会成员名单。</w:t>
      </w:r>
    </w:p>
    <w:p w14:paraId="3B0D9FC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）开标记录。</w:t>
      </w:r>
    </w:p>
    <w:p w14:paraId="503B4F0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）符合要求的投标人一览表。</w:t>
      </w:r>
    </w:p>
    <w:p w14:paraId="6838360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）废标情况说明。</w:t>
      </w:r>
    </w:p>
    <w:p w14:paraId="0CBCB9EA">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）评标标准、评标方法或者评标因素。</w:t>
      </w:r>
    </w:p>
    <w:p w14:paraId="3136189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7</w:t>
      </w:r>
      <w:r>
        <w:rPr>
          <w:rFonts w:hint="eastAsia" w:ascii="宋体" w:hAnsi="宋体" w:cs="宋体"/>
          <w:color w:val="auto"/>
          <w:szCs w:val="21"/>
          <w:highlight w:val="none"/>
        </w:rPr>
        <w:t>）经评审的价格一览表。</w:t>
      </w:r>
    </w:p>
    <w:p w14:paraId="5010FE9A">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8</w:t>
      </w:r>
      <w:r>
        <w:rPr>
          <w:rFonts w:hint="eastAsia" w:ascii="宋体" w:hAnsi="宋体" w:cs="宋体"/>
          <w:color w:val="auto"/>
          <w:szCs w:val="21"/>
          <w:highlight w:val="none"/>
        </w:rPr>
        <w:t>）经评审的投标人排序。</w:t>
      </w:r>
    </w:p>
    <w:p w14:paraId="59C2D43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9</w:t>
      </w:r>
      <w:r>
        <w:rPr>
          <w:rFonts w:hint="eastAsia" w:ascii="宋体" w:hAnsi="宋体" w:cs="宋体"/>
          <w:color w:val="auto"/>
          <w:szCs w:val="21"/>
          <w:highlight w:val="none"/>
        </w:rPr>
        <w:t>）推荐的中标候选人名单与签订合同前要处理的事宜。</w:t>
      </w:r>
    </w:p>
    <w:p w14:paraId="2BB45F9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10</w:t>
      </w:r>
      <w:r>
        <w:rPr>
          <w:rFonts w:hint="eastAsia" w:ascii="宋体" w:hAnsi="宋体" w:cs="宋体"/>
          <w:color w:val="auto"/>
          <w:szCs w:val="21"/>
          <w:highlight w:val="none"/>
        </w:rPr>
        <w:t>）澄清、说明、补正事项纪要。</w:t>
      </w:r>
    </w:p>
    <w:p w14:paraId="3813797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8.3</w:t>
      </w:r>
      <w:r>
        <w:rPr>
          <w:rFonts w:hint="eastAsia" w:ascii="宋体" w:hAnsi="宋体" w:cs="宋体"/>
          <w:color w:val="auto"/>
          <w:szCs w:val="21"/>
          <w:highlight w:val="none"/>
        </w:rPr>
        <w:t>评标委员会推荐的中标候选人应当限定在</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rPr>
        <w:t>名。</w:t>
      </w:r>
    </w:p>
    <w:p w14:paraId="7BFE80B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8.4</w:t>
      </w:r>
      <w:r>
        <w:rPr>
          <w:rFonts w:hint="eastAsia" w:ascii="宋体" w:hAnsi="宋体" w:cs="宋体"/>
          <w:color w:val="auto"/>
          <w:szCs w:val="21"/>
          <w:highlight w:val="none"/>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34C7ED4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除第一中标候选人或者中标人以外的其他投标人存在串通投标、弄虚作假、行贿情形且在评标过程中未被发现的，视为对中标结果没有造成实质性影响，招标人可以依法继续开展招标活动。</w:t>
      </w:r>
    </w:p>
    <w:p w14:paraId="74E90935">
      <w:pPr>
        <w:pStyle w:val="4"/>
        <w:spacing w:beforeLines="50" w:afterLines="50"/>
        <w:ind w:firstLine="422" w:firstLineChars="200"/>
        <w:rPr>
          <w:rFonts w:ascii="宋体" w:hAnsi="宋体" w:eastAsia="宋体" w:cs="宋体"/>
          <w:color w:val="auto"/>
          <w:highlight w:val="none"/>
        </w:rPr>
      </w:pPr>
      <w:bookmarkStart w:id="754" w:name="_Toc1576"/>
      <w:bookmarkStart w:id="755" w:name="_Toc15058926"/>
      <w:bookmarkStart w:id="756" w:name="_Toc324404880"/>
      <w:bookmarkStart w:id="757" w:name="_Toc35425127"/>
      <w:bookmarkStart w:id="758" w:name="_Toc35424961"/>
      <w:bookmarkStart w:id="759" w:name="_Toc506107332"/>
      <w:r>
        <w:rPr>
          <w:rFonts w:ascii="宋体" w:hAnsi="宋体" w:eastAsia="宋体" w:cs="宋体"/>
          <w:color w:val="auto"/>
          <w:highlight w:val="none"/>
        </w:rPr>
        <w:t>9.</w:t>
      </w:r>
      <w:r>
        <w:rPr>
          <w:rFonts w:hint="eastAsia" w:ascii="宋体" w:hAnsi="宋体" w:eastAsia="宋体" w:cs="宋体"/>
          <w:color w:val="auto"/>
          <w:highlight w:val="none"/>
        </w:rPr>
        <w:t>其他</w:t>
      </w:r>
      <w:bookmarkEnd w:id="754"/>
      <w:bookmarkEnd w:id="755"/>
      <w:bookmarkEnd w:id="756"/>
      <w:bookmarkEnd w:id="757"/>
      <w:bookmarkEnd w:id="758"/>
      <w:bookmarkEnd w:id="759"/>
    </w:p>
    <w:p w14:paraId="4F5FDA89">
      <w:pPr>
        <w:spacing w:line="440" w:lineRule="exact"/>
        <w:ind w:firstLine="420" w:firstLineChars="200"/>
        <w:jc w:val="left"/>
        <w:rPr>
          <w:color w:val="auto"/>
          <w:highlight w:val="none"/>
        </w:rPr>
      </w:pPr>
      <w:r>
        <w:rPr>
          <w:rFonts w:hint="eastAsia" w:ascii="宋体" w:hAnsi="宋体" w:cs="宋体"/>
          <w:color w:val="auto"/>
          <w:szCs w:val="21"/>
          <w:highlight w:val="none"/>
        </w:rPr>
        <w:t>投标人提供的与投标文件有关的各类证书、证明、文件、资料等的真实性、合法性由投标人负全责。</w:t>
      </w:r>
      <w:bookmarkEnd w:id="692"/>
      <w:bookmarkEnd w:id="693"/>
      <w:bookmarkEnd w:id="694"/>
      <w:bookmarkEnd w:id="695"/>
      <w:bookmarkEnd w:id="696"/>
      <w:bookmarkEnd w:id="697"/>
      <w:bookmarkEnd w:id="698"/>
      <w:bookmarkEnd w:id="699"/>
      <w:bookmarkStart w:id="760" w:name="_Toc15058927"/>
      <w:bookmarkStart w:id="761" w:name="_Toc35424962"/>
      <w:bookmarkStart w:id="762" w:name="_Toc35425128"/>
      <w:bookmarkStart w:id="763" w:name="_Toc506107333"/>
      <w:bookmarkStart w:id="764" w:name="_Toc152042546"/>
      <w:bookmarkStart w:id="765" w:name="_Toc144974826"/>
      <w:bookmarkStart w:id="766" w:name="_Toc179632785"/>
      <w:bookmarkStart w:id="767" w:name="_Toc152045767"/>
    </w:p>
    <w:p w14:paraId="095014A7">
      <w:pPr>
        <w:pStyle w:val="3"/>
        <w:keepNext/>
        <w:keepLines/>
        <w:pageBreakBefore w:val="0"/>
        <w:widowControl w:val="0"/>
        <w:kinsoku/>
        <w:wordWrap/>
        <w:overflowPunct/>
        <w:topLinePunct w:val="0"/>
        <w:autoSpaceDE/>
        <w:autoSpaceDN/>
        <w:bidi w:val="0"/>
        <w:adjustRightInd/>
        <w:snapToGrid/>
        <w:spacing w:before="157" w:beforeLines="50" w:after="157" w:afterLines="50"/>
        <w:textAlignment w:val="auto"/>
        <w:rPr>
          <w:rFonts w:hint="default" w:ascii="仿宋_GB2312" w:eastAsia="宋体"/>
          <w:b/>
          <w:color w:val="auto"/>
          <w:sz w:val="28"/>
          <w:szCs w:val="28"/>
          <w:highlight w:val="none"/>
          <w:lang w:val="en-US" w:eastAsia="zh-CN"/>
        </w:rPr>
      </w:pPr>
      <w:r>
        <w:rPr>
          <w:color w:val="auto"/>
          <w:highlight w:val="none"/>
        </w:rPr>
        <w:br w:type="page"/>
      </w:r>
      <w:bookmarkStart w:id="768" w:name="_Toc16404"/>
      <w:r>
        <w:rPr>
          <w:rFonts w:hint="eastAsia" w:ascii="Arial" w:hAnsi="Arial"/>
          <w:color w:val="auto"/>
          <w:kern w:val="0"/>
          <w:sz w:val="32"/>
          <w:szCs w:val="32"/>
          <w:highlight w:val="none"/>
        </w:rPr>
        <w:t>第四章</w:t>
      </w:r>
      <w:r>
        <w:rPr>
          <w:rFonts w:ascii="Arial" w:hAnsi="Arial"/>
          <w:color w:val="auto"/>
          <w:kern w:val="0"/>
          <w:sz w:val="32"/>
          <w:szCs w:val="32"/>
          <w:highlight w:val="none"/>
        </w:rPr>
        <w:t xml:space="preserve"> </w:t>
      </w:r>
      <w:bookmarkEnd w:id="760"/>
      <w:bookmarkEnd w:id="761"/>
      <w:bookmarkEnd w:id="762"/>
      <w:bookmarkEnd w:id="763"/>
      <w:bookmarkEnd w:id="768"/>
      <w:r>
        <w:rPr>
          <w:rFonts w:hint="eastAsia" w:ascii="Arial" w:hAnsi="Arial"/>
          <w:color w:val="auto"/>
          <w:kern w:val="0"/>
          <w:sz w:val="32"/>
          <w:szCs w:val="32"/>
          <w:highlight w:val="none"/>
          <w:lang w:val="en-US" w:eastAsia="zh-CN"/>
        </w:rPr>
        <w:t>采购需求</w:t>
      </w:r>
    </w:p>
    <w:bookmarkEnd w:id="764"/>
    <w:bookmarkEnd w:id="765"/>
    <w:bookmarkEnd w:id="766"/>
    <w:bookmarkEnd w:id="767"/>
    <w:tbl>
      <w:tblPr>
        <w:tblStyle w:val="45"/>
        <w:tblW w:w="104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6"/>
        <w:gridCol w:w="1287"/>
        <w:gridCol w:w="805"/>
        <w:gridCol w:w="641"/>
        <w:gridCol w:w="2250"/>
        <w:gridCol w:w="1023"/>
        <w:gridCol w:w="956"/>
        <w:gridCol w:w="2821"/>
      </w:tblGrid>
      <w:tr w14:paraId="6E4E7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740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F56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采购需求</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1BA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648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17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规格型号</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EE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最高综合单价（元）</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DAE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小计（元）</w:t>
            </w:r>
          </w:p>
        </w:tc>
        <w:tc>
          <w:tcPr>
            <w:tcW w:w="2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84A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14:paraId="004C5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42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8C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灭火器</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E1A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506</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755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具</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364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ABC4</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0CA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174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23782</w:t>
            </w:r>
          </w:p>
        </w:tc>
        <w:tc>
          <w:tcPr>
            <w:tcW w:w="2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E0F06">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r>
      <w:tr w14:paraId="644BE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3"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B40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DDA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消防水带</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1FF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116</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267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FC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65型（2.5寸）/25m</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DB3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62C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9744</w:t>
            </w:r>
          </w:p>
        </w:tc>
        <w:tc>
          <w:tcPr>
            <w:tcW w:w="2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E8B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包含插接头</w:t>
            </w:r>
          </w:p>
        </w:tc>
      </w:tr>
      <w:tr w14:paraId="17FC3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6D2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BC1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水枪喷头</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27C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025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E10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65型（2.5寸）</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C2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30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2200</w:t>
            </w:r>
          </w:p>
        </w:tc>
        <w:tc>
          <w:tcPr>
            <w:tcW w:w="2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4017">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1"/>
                <w:szCs w:val="21"/>
                <w:u w:val="none"/>
              </w:rPr>
            </w:pPr>
          </w:p>
        </w:tc>
      </w:tr>
      <w:tr w14:paraId="37D4E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8DA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40C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消火栓门</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911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8C7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F88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高80cm*宽65cm</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2CB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A7C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6205</w:t>
            </w:r>
          </w:p>
        </w:tc>
        <w:tc>
          <w:tcPr>
            <w:tcW w:w="2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75B0">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1"/>
                <w:szCs w:val="21"/>
                <w:u w:val="none"/>
              </w:rPr>
            </w:pPr>
          </w:p>
        </w:tc>
      </w:tr>
      <w:tr w14:paraId="7E0B6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649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65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灭火器箱</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360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179</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DF8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205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36*20*55cm</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FC5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88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5728</w:t>
            </w:r>
          </w:p>
        </w:tc>
        <w:tc>
          <w:tcPr>
            <w:tcW w:w="2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99AD1">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i w:val="0"/>
                <w:iCs w:val="0"/>
                <w:color w:val="000000"/>
                <w:sz w:val="21"/>
                <w:szCs w:val="21"/>
                <w:u w:val="none"/>
              </w:rPr>
            </w:pPr>
          </w:p>
        </w:tc>
      </w:tr>
      <w:tr w14:paraId="2CC9F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29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0AF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消火栓阀门</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1B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87</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017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25D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SN65</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EBD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49D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4524</w:t>
            </w:r>
          </w:p>
        </w:tc>
        <w:tc>
          <w:tcPr>
            <w:tcW w:w="2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C1E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含安装、调试</w:t>
            </w:r>
          </w:p>
        </w:tc>
      </w:tr>
      <w:tr w14:paraId="7254B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008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F97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消火栓接口</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344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F68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4D4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2.5寸</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7F5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206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w:t>
            </w:r>
          </w:p>
        </w:tc>
        <w:tc>
          <w:tcPr>
            <w:tcW w:w="2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7AF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含安装、调试</w:t>
            </w:r>
          </w:p>
        </w:tc>
      </w:tr>
      <w:tr w14:paraId="4E683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C97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22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向左指示灯</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01A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159</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D6E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004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330mm*145mm</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0EB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443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3180</w:t>
            </w:r>
          </w:p>
        </w:tc>
        <w:tc>
          <w:tcPr>
            <w:tcW w:w="2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9A3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有消防应急照明和疏散指示系统，根据现场品牌（泰和安）需求适配安装</w:t>
            </w:r>
          </w:p>
        </w:tc>
      </w:tr>
      <w:tr w14:paraId="1CDDA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D09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BEF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向右指示灯</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A1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159</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F08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518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330mm*145mm</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C5D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17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3180</w:t>
            </w:r>
          </w:p>
        </w:tc>
        <w:tc>
          <w:tcPr>
            <w:tcW w:w="2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7BC7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有消防应急照明和疏散指示系统，根据现场品牌（泰和安）需求适配安装</w:t>
            </w:r>
          </w:p>
        </w:tc>
      </w:tr>
      <w:tr w14:paraId="761CB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CDD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1B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左右指示灯</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A0D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8E7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8A5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330mm*145mm</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13D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7E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w:t>
            </w:r>
          </w:p>
        </w:tc>
        <w:tc>
          <w:tcPr>
            <w:tcW w:w="2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9E3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有消防应急照明和疏散指示系统，根据现场品牌（泰和安）需求适配安装</w:t>
            </w:r>
          </w:p>
        </w:tc>
      </w:tr>
      <w:tr w14:paraId="13DA3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A13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DBB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安全出口</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0BD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C76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FC6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330mm*145mm</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570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48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2600</w:t>
            </w:r>
          </w:p>
        </w:tc>
        <w:tc>
          <w:tcPr>
            <w:tcW w:w="2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A6B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有消防应急照明和疏散指示系统，根据现场品牌（泰和安）需求适配安装</w:t>
            </w:r>
          </w:p>
        </w:tc>
      </w:tr>
      <w:tr w14:paraId="25825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88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09E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楼层标志灯</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AFF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117</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B59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DC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33cm*14cm</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67E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014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2574</w:t>
            </w:r>
          </w:p>
        </w:tc>
        <w:tc>
          <w:tcPr>
            <w:tcW w:w="2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DA3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有消防应急照明和疏散指示系统，根据现场品牌（泰和安）需求适配安装</w:t>
            </w:r>
          </w:p>
        </w:tc>
      </w:tr>
      <w:tr w14:paraId="541B7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F74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CF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手报</w:t>
            </w: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C81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E1C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B14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90mm*90mm</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A4D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16.7</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68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434.2</w:t>
            </w:r>
          </w:p>
        </w:tc>
        <w:tc>
          <w:tcPr>
            <w:tcW w:w="2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799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根据现场品牌（泰和安）需求适配安装</w:t>
            </w:r>
          </w:p>
        </w:tc>
      </w:tr>
      <w:tr w14:paraId="3C5D5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9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637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最高限价</w:t>
            </w:r>
          </w:p>
        </w:tc>
        <w:tc>
          <w:tcPr>
            <w:tcW w:w="849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70FF">
            <w:pPr>
              <w:keepNext w:val="0"/>
              <w:keepLines w:val="0"/>
              <w:pageBreakBefore w:val="0"/>
              <w:widowControl/>
              <w:kinsoku/>
              <w:wordWrap/>
              <w:overflowPunct/>
              <w:topLinePunct w:val="0"/>
              <w:autoSpaceDE/>
              <w:autoSpaceDN/>
              <w:bidi w:val="0"/>
              <w:adjustRightInd/>
              <w:snapToGrid/>
              <w:spacing w:line="400" w:lineRule="exact"/>
              <w:jc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陆万伍仟肆佰壹拾壹元贰角整（65411.20元）</w:t>
            </w:r>
          </w:p>
        </w:tc>
      </w:tr>
    </w:tbl>
    <w:p w14:paraId="46D1449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Arial" w:hAnsi="Arial" w:eastAsia="宋体" w:cs="Times New Roman"/>
          <w:b/>
          <w:bCs/>
          <w:color w:val="auto"/>
          <w:kern w:val="0"/>
          <w:sz w:val="32"/>
          <w:szCs w:val="32"/>
          <w:highlight w:val="none"/>
          <w:lang w:val="en-US" w:eastAsia="zh-CN" w:bidi="ar-SA"/>
        </w:rPr>
      </w:pPr>
      <w:r>
        <w:rPr>
          <w:rFonts w:hint="eastAsia" w:ascii="Arial" w:hAnsi="Arial" w:cs="Times New Roman"/>
          <w:b/>
          <w:bCs/>
          <w:color w:val="auto"/>
          <w:kern w:val="0"/>
          <w:sz w:val="21"/>
          <w:szCs w:val="21"/>
          <w:highlight w:val="none"/>
          <w:lang w:val="en-US" w:eastAsia="zh-CN" w:bidi="ar-SA"/>
        </w:rPr>
        <w:t>注：综合单价包含但不限于材料费（主材和辅材）、设备费、施工安装费、运输费、装卸费、</w:t>
      </w:r>
      <w:r>
        <w:rPr>
          <w:rFonts w:hint="eastAsia" w:ascii="宋体" w:hAnsi="宋体" w:cs="宋体"/>
          <w:b/>
          <w:bCs/>
          <w:color w:val="auto"/>
          <w:sz w:val="21"/>
          <w:szCs w:val="21"/>
          <w:highlight w:val="none"/>
        </w:rPr>
        <w:t>管理费、利润、风险费用、检测费、调试、验收、培训及后期服务及国家对中标单位征收的各种税费等所有一切费用，综合单价今后将不作任何调整。</w:t>
      </w:r>
      <w:r>
        <w:rPr>
          <w:rFonts w:hint="eastAsia" w:ascii="宋体" w:hAnsi="宋体" w:cs="宋体"/>
          <w:b/>
          <w:bCs/>
          <w:color w:val="auto"/>
          <w:sz w:val="21"/>
          <w:szCs w:val="21"/>
          <w:highlight w:val="none"/>
          <w:lang w:val="en-US" w:eastAsia="zh-CN"/>
        </w:rPr>
        <w:t>具体数量以实际验收通过数量为准。</w:t>
      </w:r>
      <w:r>
        <w:rPr>
          <w:rFonts w:hint="eastAsia" w:ascii="Arial" w:hAnsi="Arial" w:eastAsia="宋体" w:cs="Times New Roman"/>
          <w:b/>
          <w:bCs/>
          <w:color w:val="auto"/>
          <w:kern w:val="0"/>
          <w:sz w:val="32"/>
          <w:szCs w:val="32"/>
          <w:highlight w:val="none"/>
          <w:lang w:val="en-US" w:eastAsia="zh-CN" w:bidi="ar-SA"/>
        </w:rPr>
        <w:br w:type="page"/>
      </w:r>
    </w:p>
    <w:p w14:paraId="776A5B35">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jc w:val="center"/>
        <w:textAlignment w:val="auto"/>
        <w:rPr>
          <w:rFonts w:hint="default" w:eastAsia="宋体"/>
          <w:color w:val="auto"/>
          <w:highlight w:val="none"/>
          <w:lang w:val="en-US" w:eastAsia="zh-CN"/>
        </w:rPr>
      </w:pPr>
      <w:r>
        <w:rPr>
          <w:rFonts w:hint="eastAsia" w:ascii="Arial" w:hAnsi="Arial" w:eastAsia="宋体" w:cs="Times New Roman"/>
          <w:b/>
          <w:bCs/>
          <w:color w:val="auto"/>
          <w:kern w:val="0"/>
          <w:sz w:val="32"/>
          <w:szCs w:val="32"/>
          <w:highlight w:val="none"/>
          <w:lang w:val="en-US" w:eastAsia="zh-CN" w:bidi="ar-SA"/>
        </w:rPr>
        <w:t xml:space="preserve">第五章 </w:t>
      </w:r>
      <w:r>
        <w:rPr>
          <w:rFonts w:hint="eastAsia" w:ascii="Arial" w:hAnsi="Arial" w:cs="Times New Roman"/>
          <w:b/>
          <w:bCs/>
          <w:color w:val="auto"/>
          <w:kern w:val="0"/>
          <w:sz w:val="32"/>
          <w:szCs w:val="32"/>
          <w:highlight w:val="none"/>
          <w:lang w:val="en-US" w:eastAsia="zh-CN" w:bidi="ar-SA"/>
        </w:rPr>
        <w:t>合同协议书</w:t>
      </w:r>
    </w:p>
    <w:p w14:paraId="1A18AFBE">
      <w:pPr>
        <w:pStyle w:val="17"/>
        <w:spacing w:line="360" w:lineRule="auto"/>
        <w:ind w:firstLine="420"/>
        <w:jc w:val="center"/>
        <w:rPr>
          <w:rFonts w:hint="default"/>
          <w:color w:val="auto"/>
          <w:highlight w:val="none"/>
          <w:lang w:val="en-US" w:eastAsia="zh-CN"/>
        </w:rPr>
      </w:pPr>
      <w:bookmarkStart w:id="769" w:name="_Toc246997097"/>
      <w:bookmarkStart w:id="770" w:name="_Toc247085872"/>
      <w:bookmarkStart w:id="771" w:name="_Toc144974855"/>
      <w:bookmarkStart w:id="772" w:name="_Toc35425136"/>
      <w:bookmarkStart w:id="773" w:name="_Toc506107340"/>
      <w:bookmarkStart w:id="774" w:name="_Toc179632806"/>
      <w:bookmarkStart w:id="775" w:name="_Toc35424970"/>
      <w:bookmarkStart w:id="776" w:name="_Toc15058934"/>
      <w:bookmarkStart w:id="777" w:name="_Toc16786"/>
      <w:bookmarkStart w:id="778" w:name="_Toc246996354"/>
      <w:bookmarkStart w:id="779" w:name="_Toc324404888"/>
      <w:bookmarkStart w:id="780" w:name="_Toc152045786"/>
      <w:bookmarkStart w:id="781" w:name="_Toc152042575"/>
      <w:r>
        <w:rPr>
          <w:rFonts w:hint="eastAsia"/>
          <w:b w:val="0"/>
          <w:bCs w:val="0"/>
          <w:color w:val="auto"/>
          <w:sz w:val="21"/>
          <w:szCs w:val="21"/>
          <w:highlight w:val="none"/>
        </w:rPr>
        <w:t>（本合同格式仅作参考，具体内</w:t>
      </w:r>
      <w:r>
        <w:rPr>
          <w:rFonts w:hint="eastAsia"/>
          <w:b w:val="0"/>
          <w:bCs w:val="0"/>
          <w:color w:val="auto"/>
          <w:sz w:val="21"/>
          <w:szCs w:val="21"/>
          <w:highlight w:val="none"/>
          <w:lang w:eastAsia="zh-CN"/>
        </w:rPr>
        <w:t>容由</w:t>
      </w:r>
      <w:r>
        <w:rPr>
          <w:rFonts w:hint="eastAsia"/>
          <w:b w:val="0"/>
          <w:bCs w:val="0"/>
          <w:color w:val="auto"/>
          <w:sz w:val="21"/>
          <w:szCs w:val="21"/>
          <w:highlight w:val="none"/>
        </w:rPr>
        <w:t>双方协商制定）</w:t>
      </w:r>
    </w:p>
    <w:tbl>
      <w:tblPr>
        <w:tblStyle w:val="45"/>
        <w:tblW w:w="0" w:type="auto"/>
        <w:tblInd w:w="108" w:type="dxa"/>
        <w:tblLayout w:type="fixed"/>
        <w:tblCellMar>
          <w:top w:w="0" w:type="dxa"/>
          <w:left w:w="108" w:type="dxa"/>
          <w:bottom w:w="0" w:type="dxa"/>
          <w:right w:w="108" w:type="dxa"/>
        </w:tblCellMar>
      </w:tblPr>
      <w:tblGrid>
        <w:gridCol w:w="1080"/>
        <w:gridCol w:w="2260"/>
        <w:gridCol w:w="980"/>
        <w:gridCol w:w="1980"/>
        <w:gridCol w:w="1620"/>
        <w:gridCol w:w="1799"/>
      </w:tblGrid>
      <w:tr w14:paraId="2C266A90">
        <w:tblPrEx>
          <w:tblCellMar>
            <w:top w:w="0" w:type="dxa"/>
            <w:left w:w="108" w:type="dxa"/>
            <w:bottom w:w="0" w:type="dxa"/>
            <w:right w:w="108" w:type="dxa"/>
          </w:tblCellMar>
        </w:tblPrEx>
        <w:trPr>
          <w:trHeight w:val="510" w:hRule="exact"/>
        </w:trPr>
        <w:tc>
          <w:tcPr>
            <w:tcW w:w="9719" w:type="dxa"/>
            <w:gridSpan w:val="6"/>
            <w:tcBorders>
              <w:top w:val="nil"/>
              <w:left w:val="nil"/>
              <w:bottom w:val="nil"/>
              <w:right w:val="nil"/>
            </w:tcBorders>
            <w:noWrap w:val="0"/>
            <w:vAlign w:val="center"/>
          </w:tcPr>
          <w:p w14:paraId="38AD811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招标人：（下称买方</w:t>
            </w:r>
            <w:r>
              <w:rPr>
                <w:rFonts w:hint="eastAsia" w:ascii="宋体" w:hAnsi="宋体" w:cs="宋体"/>
                <w:color w:val="auto"/>
                <w:kern w:val="0"/>
                <w:szCs w:val="21"/>
                <w:highlight w:val="none"/>
                <w:lang w:val="en-US" w:eastAsia="zh-CN"/>
              </w:rPr>
              <w:t>/甲方</w:t>
            </w:r>
            <w:r>
              <w:rPr>
                <w:rFonts w:hint="eastAsia" w:ascii="宋体" w:hAnsi="宋体" w:cs="宋体"/>
                <w:color w:val="auto"/>
                <w:kern w:val="0"/>
                <w:szCs w:val="21"/>
                <w:highlight w:val="none"/>
              </w:rPr>
              <w:t>）</w:t>
            </w:r>
          </w:p>
        </w:tc>
      </w:tr>
      <w:tr w14:paraId="1716CC16">
        <w:tblPrEx>
          <w:tblCellMar>
            <w:top w:w="0" w:type="dxa"/>
            <w:left w:w="108" w:type="dxa"/>
            <w:bottom w:w="0" w:type="dxa"/>
            <w:right w:w="108" w:type="dxa"/>
          </w:tblCellMar>
        </w:tblPrEx>
        <w:trPr>
          <w:trHeight w:val="510" w:hRule="exact"/>
        </w:trPr>
        <w:tc>
          <w:tcPr>
            <w:tcW w:w="1080" w:type="dxa"/>
            <w:tcBorders>
              <w:top w:val="single" w:color="auto" w:sz="4" w:space="0"/>
              <w:left w:val="single" w:color="auto" w:sz="4" w:space="0"/>
              <w:bottom w:val="single" w:color="auto" w:sz="4" w:space="0"/>
              <w:right w:val="single" w:color="auto" w:sz="4" w:space="0"/>
            </w:tcBorders>
            <w:noWrap w:val="0"/>
            <w:vAlign w:val="center"/>
          </w:tcPr>
          <w:p w14:paraId="66D1254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名称 </w:t>
            </w:r>
          </w:p>
        </w:tc>
        <w:tc>
          <w:tcPr>
            <w:tcW w:w="8639" w:type="dxa"/>
            <w:gridSpan w:val="5"/>
            <w:tcBorders>
              <w:top w:val="single" w:color="auto" w:sz="4" w:space="0"/>
              <w:left w:val="nil"/>
              <w:bottom w:val="single" w:color="auto" w:sz="4" w:space="0"/>
              <w:right w:val="single" w:color="000000" w:sz="4" w:space="0"/>
            </w:tcBorders>
            <w:noWrap w:val="0"/>
            <w:vAlign w:val="center"/>
          </w:tcPr>
          <w:p w14:paraId="13618C3A">
            <w:pPr>
              <w:widowControl/>
              <w:shd w:val="clear" w:color="auto" w:fill="auto"/>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　</w:t>
            </w:r>
            <w:r>
              <w:rPr>
                <w:rFonts w:hint="eastAsia" w:ascii="宋体" w:hAnsi="宋体" w:cs="宋体"/>
                <w:color w:val="auto"/>
                <w:kern w:val="0"/>
                <w:szCs w:val="21"/>
                <w:highlight w:val="none"/>
                <w:lang w:val="en-US" w:eastAsia="zh-CN"/>
              </w:rPr>
              <w:t xml:space="preserve"> </w:t>
            </w:r>
          </w:p>
        </w:tc>
      </w:tr>
      <w:tr w14:paraId="64B44EE5">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69362F4C">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p>
        </w:tc>
        <w:tc>
          <w:tcPr>
            <w:tcW w:w="5220" w:type="dxa"/>
            <w:gridSpan w:val="3"/>
            <w:tcBorders>
              <w:top w:val="single" w:color="auto" w:sz="4" w:space="0"/>
              <w:left w:val="nil"/>
              <w:bottom w:val="single" w:color="auto" w:sz="4" w:space="0"/>
              <w:right w:val="single" w:color="000000" w:sz="4" w:space="0"/>
            </w:tcBorders>
            <w:noWrap w:val="0"/>
            <w:vAlign w:val="center"/>
          </w:tcPr>
          <w:p w14:paraId="4F20C14E">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620" w:type="dxa"/>
            <w:tcBorders>
              <w:top w:val="nil"/>
              <w:left w:val="nil"/>
              <w:bottom w:val="single" w:color="auto" w:sz="4" w:space="0"/>
              <w:right w:val="single" w:color="auto" w:sz="4" w:space="0"/>
            </w:tcBorders>
            <w:noWrap w:val="0"/>
            <w:vAlign w:val="center"/>
          </w:tcPr>
          <w:p w14:paraId="5A6F19C4">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邮政编码 </w:t>
            </w:r>
          </w:p>
        </w:tc>
        <w:tc>
          <w:tcPr>
            <w:tcW w:w="1799" w:type="dxa"/>
            <w:tcBorders>
              <w:top w:val="nil"/>
              <w:left w:val="nil"/>
              <w:bottom w:val="single" w:color="auto" w:sz="4" w:space="0"/>
              <w:right w:val="single" w:color="auto" w:sz="4" w:space="0"/>
            </w:tcBorders>
            <w:noWrap w:val="0"/>
            <w:vAlign w:val="center"/>
          </w:tcPr>
          <w:p w14:paraId="0B326F39">
            <w:pPr>
              <w:widowControl/>
              <w:shd w:val="clear" w:color="auto" w:fill="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 xml:space="preserve"> </w:t>
            </w:r>
          </w:p>
        </w:tc>
      </w:tr>
      <w:tr w14:paraId="7B1B136C">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27E4FC7D">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p>
        </w:tc>
        <w:tc>
          <w:tcPr>
            <w:tcW w:w="2260" w:type="dxa"/>
            <w:tcBorders>
              <w:top w:val="nil"/>
              <w:left w:val="nil"/>
              <w:bottom w:val="single" w:color="auto" w:sz="4" w:space="0"/>
              <w:right w:val="single" w:color="auto" w:sz="4" w:space="0"/>
            </w:tcBorders>
            <w:noWrap w:val="0"/>
            <w:vAlign w:val="center"/>
          </w:tcPr>
          <w:p w14:paraId="5870AAED">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980" w:type="dxa"/>
            <w:tcBorders>
              <w:top w:val="nil"/>
              <w:left w:val="nil"/>
              <w:bottom w:val="single" w:color="auto" w:sz="4" w:space="0"/>
              <w:right w:val="single" w:color="auto" w:sz="4" w:space="0"/>
            </w:tcBorders>
            <w:noWrap w:val="0"/>
            <w:vAlign w:val="center"/>
          </w:tcPr>
          <w:p w14:paraId="0E0E4F56">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p>
        </w:tc>
        <w:tc>
          <w:tcPr>
            <w:tcW w:w="1980" w:type="dxa"/>
            <w:tcBorders>
              <w:top w:val="nil"/>
              <w:left w:val="nil"/>
              <w:bottom w:val="single" w:color="auto" w:sz="4" w:space="0"/>
              <w:right w:val="single" w:color="auto" w:sz="4" w:space="0"/>
            </w:tcBorders>
            <w:noWrap w:val="0"/>
            <w:vAlign w:val="center"/>
          </w:tcPr>
          <w:p w14:paraId="31017DA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1620" w:type="dxa"/>
            <w:tcBorders>
              <w:top w:val="nil"/>
              <w:left w:val="nil"/>
              <w:bottom w:val="single" w:color="auto" w:sz="4" w:space="0"/>
              <w:right w:val="single" w:color="auto" w:sz="4" w:space="0"/>
            </w:tcBorders>
            <w:noWrap w:val="0"/>
            <w:vAlign w:val="center"/>
          </w:tcPr>
          <w:p w14:paraId="6BE688C1">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总联系人</w:t>
            </w:r>
          </w:p>
        </w:tc>
        <w:tc>
          <w:tcPr>
            <w:tcW w:w="1799" w:type="dxa"/>
            <w:tcBorders>
              <w:top w:val="nil"/>
              <w:left w:val="nil"/>
              <w:bottom w:val="single" w:color="auto" w:sz="4" w:space="0"/>
              <w:right w:val="single" w:color="auto" w:sz="4" w:space="0"/>
            </w:tcBorders>
            <w:noWrap w:val="0"/>
            <w:vAlign w:val="center"/>
          </w:tcPr>
          <w:p w14:paraId="719292A7">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r>
      <w:tr w14:paraId="2A8BDCA9">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6AD5C092">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开户行</w:t>
            </w:r>
          </w:p>
        </w:tc>
        <w:tc>
          <w:tcPr>
            <w:tcW w:w="2260" w:type="dxa"/>
            <w:tcBorders>
              <w:top w:val="nil"/>
              <w:left w:val="nil"/>
              <w:bottom w:val="single" w:color="auto" w:sz="4" w:space="0"/>
              <w:right w:val="single" w:color="auto" w:sz="4" w:space="0"/>
            </w:tcBorders>
            <w:noWrap w:val="0"/>
            <w:vAlign w:val="center"/>
          </w:tcPr>
          <w:p w14:paraId="08FABE4D">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980" w:type="dxa"/>
            <w:tcBorders>
              <w:top w:val="nil"/>
              <w:left w:val="nil"/>
              <w:bottom w:val="single" w:color="auto" w:sz="4" w:space="0"/>
              <w:right w:val="single" w:color="auto" w:sz="4" w:space="0"/>
            </w:tcBorders>
            <w:noWrap w:val="0"/>
            <w:vAlign w:val="center"/>
          </w:tcPr>
          <w:p w14:paraId="499BF476">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lang w:eastAsia="zh-CN"/>
              </w:rPr>
              <w:t>账号</w:t>
            </w:r>
          </w:p>
        </w:tc>
        <w:tc>
          <w:tcPr>
            <w:tcW w:w="1980" w:type="dxa"/>
            <w:tcBorders>
              <w:top w:val="nil"/>
              <w:left w:val="nil"/>
              <w:bottom w:val="single" w:color="auto" w:sz="4" w:space="0"/>
              <w:right w:val="single" w:color="auto" w:sz="4" w:space="0"/>
            </w:tcBorders>
            <w:noWrap w:val="0"/>
            <w:vAlign w:val="center"/>
          </w:tcPr>
          <w:p w14:paraId="388E245C">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620" w:type="dxa"/>
            <w:tcBorders>
              <w:top w:val="nil"/>
              <w:left w:val="nil"/>
              <w:bottom w:val="single" w:color="auto" w:sz="4" w:space="0"/>
              <w:right w:val="single" w:color="auto" w:sz="4" w:space="0"/>
            </w:tcBorders>
            <w:noWrap w:val="0"/>
            <w:vAlign w:val="center"/>
          </w:tcPr>
          <w:p w14:paraId="6D45DF90">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税号</w:t>
            </w:r>
          </w:p>
        </w:tc>
        <w:tc>
          <w:tcPr>
            <w:tcW w:w="1799" w:type="dxa"/>
            <w:tcBorders>
              <w:top w:val="nil"/>
              <w:left w:val="nil"/>
              <w:bottom w:val="single" w:color="auto" w:sz="4" w:space="0"/>
              <w:right w:val="single" w:color="auto" w:sz="4" w:space="0"/>
            </w:tcBorders>
            <w:noWrap w:val="0"/>
            <w:vAlign w:val="center"/>
          </w:tcPr>
          <w:p w14:paraId="66FD7273">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r>
    </w:tbl>
    <w:p w14:paraId="5247C660">
      <w:pPr>
        <w:shd w:val="clear" w:color="auto" w:fill="auto"/>
        <w:rPr>
          <w:color w:val="auto"/>
          <w:szCs w:val="21"/>
          <w:highlight w:val="none"/>
        </w:rPr>
      </w:pPr>
    </w:p>
    <w:tbl>
      <w:tblPr>
        <w:tblStyle w:val="45"/>
        <w:tblW w:w="9760" w:type="dxa"/>
        <w:tblInd w:w="108" w:type="dxa"/>
        <w:tblLayout w:type="fixed"/>
        <w:tblCellMar>
          <w:top w:w="0" w:type="dxa"/>
          <w:left w:w="108" w:type="dxa"/>
          <w:bottom w:w="0" w:type="dxa"/>
          <w:right w:w="108" w:type="dxa"/>
        </w:tblCellMar>
      </w:tblPr>
      <w:tblGrid>
        <w:gridCol w:w="1080"/>
        <w:gridCol w:w="2340"/>
        <w:gridCol w:w="900"/>
        <w:gridCol w:w="2520"/>
        <w:gridCol w:w="1260"/>
        <w:gridCol w:w="1660"/>
      </w:tblGrid>
      <w:tr w14:paraId="1A0F175F">
        <w:tblPrEx>
          <w:tblCellMar>
            <w:top w:w="0" w:type="dxa"/>
            <w:left w:w="108" w:type="dxa"/>
            <w:bottom w:w="0" w:type="dxa"/>
            <w:right w:w="108" w:type="dxa"/>
          </w:tblCellMar>
        </w:tblPrEx>
        <w:trPr>
          <w:trHeight w:val="454" w:hRule="exact"/>
        </w:trPr>
        <w:tc>
          <w:tcPr>
            <w:tcW w:w="9760" w:type="dxa"/>
            <w:gridSpan w:val="6"/>
            <w:tcBorders>
              <w:top w:val="nil"/>
              <w:left w:val="nil"/>
              <w:bottom w:val="nil"/>
              <w:right w:val="nil"/>
            </w:tcBorders>
            <w:noWrap/>
            <w:vAlign w:val="center"/>
          </w:tcPr>
          <w:p w14:paraId="24E02FF8">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中标人：（下称卖方</w:t>
            </w:r>
            <w:r>
              <w:rPr>
                <w:rFonts w:hint="eastAsia" w:ascii="宋体" w:hAnsi="宋体" w:cs="宋体"/>
                <w:color w:val="auto"/>
                <w:kern w:val="0"/>
                <w:szCs w:val="21"/>
                <w:highlight w:val="none"/>
                <w:lang w:val="en-US" w:eastAsia="zh-CN"/>
              </w:rPr>
              <w:t>/乙方</w:t>
            </w:r>
            <w:r>
              <w:rPr>
                <w:rFonts w:hint="eastAsia" w:ascii="宋体" w:hAnsi="宋体" w:cs="宋体"/>
                <w:color w:val="auto"/>
                <w:kern w:val="0"/>
                <w:szCs w:val="21"/>
                <w:highlight w:val="none"/>
              </w:rPr>
              <w:t>）</w:t>
            </w:r>
          </w:p>
        </w:tc>
      </w:tr>
      <w:tr w14:paraId="6280398E">
        <w:tblPrEx>
          <w:tblCellMar>
            <w:top w:w="0" w:type="dxa"/>
            <w:left w:w="108" w:type="dxa"/>
            <w:bottom w:w="0" w:type="dxa"/>
            <w:right w:w="108" w:type="dxa"/>
          </w:tblCellMar>
        </w:tblPrEx>
        <w:trPr>
          <w:trHeight w:val="454" w:hRule="exact"/>
        </w:trPr>
        <w:tc>
          <w:tcPr>
            <w:tcW w:w="1080" w:type="dxa"/>
            <w:tcBorders>
              <w:top w:val="single" w:color="auto" w:sz="4" w:space="0"/>
              <w:left w:val="single" w:color="auto" w:sz="4" w:space="0"/>
              <w:bottom w:val="single" w:color="auto" w:sz="4" w:space="0"/>
              <w:right w:val="single" w:color="auto" w:sz="4" w:space="0"/>
            </w:tcBorders>
            <w:noWrap/>
            <w:vAlign w:val="center"/>
          </w:tcPr>
          <w:p w14:paraId="0F538DBB">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名称 </w:t>
            </w:r>
          </w:p>
        </w:tc>
        <w:tc>
          <w:tcPr>
            <w:tcW w:w="8680" w:type="dxa"/>
            <w:gridSpan w:val="5"/>
            <w:tcBorders>
              <w:top w:val="single" w:color="auto" w:sz="4" w:space="0"/>
              <w:left w:val="nil"/>
              <w:bottom w:val="single" w:color="auto" w:sz="4" w:space="0"/>
              <w:right w:val="single" w:color="000000" w:sz="4" w:space="0"/>
            </w:tcBorders>
            <w:noWrap/>
            <w:vAlign w:val="center"/>
          </w:tcPr>
          <w:p w14:paraId="4D28AAE0">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r>
      <w:tr w14:paraId="5CB75EC8">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ign w:val="center"/>
          </w:tcPr>
          <w:p w14:paraId="4E090979">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p>
        </w:tc>
        <w:tc>
          <w:tcPr>
            <w:tcW w:w="5760" w:type="dxa"/>
            <w:gridSpan w:val="3"/>
            <w:tcBorders>
              <w:top w:val="single" w:color="auto" w:sz="4" w:space="0"/>
              <w:left w:val="nil"/>
              <w:bottom w:val="single" w:color="auto" w:sz="4" w:space="0"/>
              <w:right w:val="single" w:color="000000" w:sz="4" w:space="0"/>
            </w:tcBorders>
            <w:noWrap/>
            <w:vAlign w:val="center"/>
          </w:tcPr>
          <w:p w14:paraId="28A782BB">
            <w:pPr>
              <w:widowControl/>
              <w:shd w:val="clear" w:color="auto" w:fill="auto"/>
              <w:jc w:val="left"/>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212437A">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邮政编码 </w:t>
            </w:r>
          </w:p>
        </w:tc>
        <w:tc>
          <w:tcPr>
            <w:tcW w:w="1660" w:type="dxa"/>
            <w:tcBorders>
              <w:top w:val="nil"/>
              <w:left w:val="nil"/>
              <w:bottom w:val="single" w:color="auto" w:sz="4" w:space="0"/>
              <w:right w:val="single" w:color="auto" w:sz="4" w:space="0"/>
            </w:tcBorders>
            <w:noWrap/>
            <w:vAlign w:val="center"/>
          </w:tcPr>
          <w:p w14:paraId="20B2FB65">
            <w:pPr>
              <w:widowControl/>
              <w:shd w:val="clear" w:color="auto" w:fill="auto"/>
              <w:ind w:right="120"/>
              <w:jc w:val="center"/>
              <w:rPr>
                <w:rFonts w:ascii="宋体" w:hAnsi="宋体" w:cs="宋体"/>
                <w:color w:val="auto"/>
                <w:kern w:val="0"/>
                <w:szCs w:val="21"/>
                <w:highlight w:val="none"/>
              </w:rPr>
            </w:pPr>
          </w:p>
        </w:tc>
      </w:tr>
      <w:tr w14:paraId="50067752">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ign w:val="center"/>
          </w:tcPr>
          <w:p w14:paraId="6D3FCE54">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p>
        </w:tc>
        <w:tc>
          <w:tcPr>
            <w:tcW w:w="2340" w:type="dxa"/>
            <w:tcBorders>
              <w:top w:val="nil"/>
              <w:left w:val="nil"/>
              <w:bottom w:val="single" w:color="auto" w:sz="4" w:space="0"/>
              <w:right w:val="single" w:color="auto" w:sz="4" w:space="0"/>
            </w:tcBorders>
            <w:noWrap/>
            <w:vAlign w:val="center"/>
          </w:tcPr>
          <w:p w14:paraId="3128420B">
            <w:pPr>
              <w:widowControl/>
              <w:shd w:val="clear" w:color="auto" w:fill="auto"/>
              <w:jc w:val="center"/>
              <w:rPr>
                <w:rFonts w:ascii="宋体" w:hAnsi="宋体" w:cs="宋体"/>
                <w:color w:val="auto"/>
                <w:kern w:val="0"/>
                <w:szCs w:val="21"/>
                <w:highlight w:val="none"/>
              </w:rPr>
            </w:pPr>
          </w:p>
        </w:tc>
        <w:tc>
          <w:tcPr>
            <w:tcW w:w="900" w:type="dxa"/>
            <w:tcBorders>
              <w:top w:val="nil"/>
              <w:left w:val="nil"/>
              <w:bottom w:val="single" w:color="auto" w:sz="4" w:space="0"/>
              <w:right w:val="single" w:color="auto" w:sz="4" w:space="0"/>
            </w:tcBorders>
            <w:noWrap/>
            <w:vAlign w:val="center"/>
          </w:tcPr>
          <w:p w14:paraId="3AD4E9BA">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p>
        </w:tc>
        <w:tc>
          <w:tcPr>
            <w:tcW w:w="2520" w:type="dxa"/>
            <w:tcBorders>
              <w:top w:val="nil"/>
              <w:left w:val="nil"/>
              <w:bottom w:val="single" w:color="auto" w:sz="4" w:space="0"/>
              <w:right w:val="single" w:color="auto" w:sz="4" w:space="0"/>
            </w:tcBorders>
            <w:noWrap/>
            <w:vAlign w:val="center"/>
          </w:tcPr>
          <w:p w14:paraId="342B87BB">
            <w:pPr>
              <w:widowControl/>
              <w:shd w:val="clear" w:color="auto" w:fill="auto"/>
              <w:jc w:val="center"/>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744DC4B">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联系人</w:t>
            </w:r>
          </w:p>
        </w:tc>
        <w:tc>
          <w:tcPr>
            <w:tcW w:w="1660" w:type="dxa"/>
            <w:tcBorders>
              <w:top w:val="nil"/>
              <w:left w:val="nil"/>
              <w:bottom w:val="single" w:color="auto" w:sz="4" w:space="0"/>
              <w:right w:val="single" w:color="auto" w:sz="4" w:space="0"/>
            </w:tcBorders>
            <w:noWrap/>
            <w:vAlign w:val="center"/>
          </w:tcPr>
          <w:p w14:paraId="4AACA5BA">
            <w:pPr>
              <w:widowControl/>
              <w:shd w:val="clear" w:color="auto" w:fill="auto"/>
              <w:jc w:val="center"/>
              <w:rPr>
                <w:rFonts w:ascii="宋体" w:hAnsi="宋体" w:cs="宋体"/>
                <w:color w:val="auto"/>
                <w:kern w:val="0"/>
                <w:szCs w:val="21"/>
                <w:highlight w:val="none"/>
              </w:rPr>
            </w:pPr>
          </w:p>
        </w:tc>
      </w:tr>
      <w:tr w14:paraId="2669A963">
        <w:tblPrEx>
          <w:tblCellMar>
            <w:top w:w="0" w:type="dxa"/>
            <w:left w:w="108" w:type="dxa"/>
            <w:bottom w:w="0" w:type="dxa"/>
            <w:right w:w="108" w:type="dxa"/>
          </w:tblCellMar>
        </w:tblPrEx>
        <w:trPr>
          <w:trHeight w:val="429" w:hRule="exact"/>
        </w:trPr>
        <w:tc>
          <w:tcPr>
            <w:tcW w:w="1080" w:type="dxa"/>
            <w:tcBorders>
              <w:top w:val="nil"/>
              <w:left w:val="single" w:color="auto" w:sz="4" w:space="0"/>
              <w:bottom w:val="single" w:color="auto" w:sz="4" w:space="0"/>
              <w:right w:val="single" w:color="auto" w:sz="4" w:space="0"/>
            </w:tcBorders>
            <w:noWrap/>
            <w:vAlign w:val="center"/>
          </w:tcPr>
          <w:p w14:paraId="6BB5022C">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开户行</w:t>
            </w:r>
          </w:p>
        </w:tc>
        <w:tc>
          <w:tcPr>
            <w:tcW w:w="2340" w:type="dxa"/>
            <w:tcBorders>
              <w:top w:val="nil"/>
              <w:left w:val="nil"/>
              <w:bottom w:val="single" w:color="auto" w:sz="4" w:space="0"/>
              <w:right w:val="single" w:color="auto" w:sz="4" w:space="0"/>
            </w:tcBorders>
            <w:noWrap/>
            <w:vAlign w:val="center"/>
          </w:tcPr>
          <w:p w14:paraId="32E0E8C6">
            <w:pPr>
              <w:widowControl/>
              <w:shd w:val="clear" w:color="auto" w:fill="auto"/>
              <w:jc w:val="left"/>
              <w:rPr>
                <w:rFonts w:ascii="宋体" w:hAnsi="宋体" w:cs="宋体"/>
                <w:color w:val="auto"/>
                <w:kern w:val="0"/>
                <w:szCs w:val="21"/>
                <w:highlight w:val="none"/>
              </w:rPr>
            </w:pPr>
          </w:p>
        </w:tc>
        <w:tc>
          <w:tcPr>
            <w:tcW w:w="900" w:type="dxa"/>
            <w:tcBorders>
              <w:top w:val="nil"/>
              <w:left w:val="nil"/>
              <w:bottom w:val="single" w:color="auto" w:sz="4" w:space="0"/>
              <w:right w:val="single" w:color="auto" w:sz="4" w:space="0"/>
            </w:tcBorders>
            <w:noWrap/>
            <w:vAlign w:val="center"/>
          </w:tcPr>
          <w:p w14:paraId="27790613">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lang w:eastAsia="zh-CN"/>
              </w:rPr>
              <w:t>账号</w:t>
            </w:r>
          </w:p>
        </w:tc>
        <w:tc>
          <w:tcPr>
            <w:tcW w:w="2520" w:type="dxa"/>
            <w:tcBorders>
              <w:top w:val="nil"/>
              <w:left w:val="nil"/>
              <w:bottom w:val="single" w:color="auto" w:sz="4" w:space="0"/>
              <w:right w:val="single" w:color="auto" w:sz="4" w:space="0"/>
            </w:tcBorders>
            <w:noWrap/>
            <w:vAlign w:val="center"/>
          </w:tcPr>
          <w:p w14:paraId="21E1F96E">
            <w:pPr>
              <w:widowControl/>
              <w:shd w:val="clear" w:color="auto" w:fill="auto"/>
              <w:jc w:val="left"/>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88A3413">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税号</w:t>
            </w:r>
          </w:p>
        </w:tc>
        <w:tc>
          <w:tcPr>
            <w:tcW w:w="1660" w:type="dxa"/>
            <w:tcBorders>
              <w:top w:val="nil"/>
              <w:left w:val="nil"/>
              <w:bottom w:val="single" w:color="auto" w:sz="4" w:space="0"/>
              <w:right w:val="single" w:color="auto" w:sz="4" w:space="0"/>
            </w:tcBorders>
            <w:noWrap/>
            <w:vAlign w:val="center"/>
          </w:tcPr>
          <w:p w14:paraId="55351AD9">
            <w:pPr>
              <w:widowControl/>
              <w:shd w:val="clear" w:color="auto" w:fill="auto"/>
              <w:jc w:val="left"/>
              <w:rPr>
                <w:rFonts w:ascii="宋体" w:hAnsi="宋体" w:cs="宋体"/>
                <w:color w:val="auto"/>
                <w:kern w:val="0"/>
                <w:szCs w:val="21"/>
                <w:highlight w:val="none"/>
              </w:rPr>
            </w:pPr>
          </w:p>
        </w:tc>
      </w:tr>
    </w:tbl>
    <w:p w14:paraId="282CD246">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招标人通过公开招标，经评标委员会的认真评审，决定将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lang w:val="en-US" w:eastAsia="zh-CN"/>
        </w:rPr>
        <w:t>项目名称）</w:t>
      </w:r>
      <w:r>
        <w:rPr>
          <w:rFonts w:hint="eastAsia" w:ascii="宋体" w:hAnsi="宋体" w:eastAsia="宋体" w:cs="宋体"/>
          <w:color w:val="auto"/>
          <w:szCs w:val="21"/>
          <w:highlight w:val="none"/>
        </w:rPr>
        <w:t>合同授予中标人。依据《</w:t>
      </w:r>
      <w:r>
        <w:rPr>
          <w:rFonts w:hint="eastAsia" w:ascii="宋体" w:hAnsi="宋体" w:eastAsia="宋体" w:cs="宋体"/>
          <w:color w:val="auto"/>
          <w:szCs w:val="21"/>
          <w:highlight w:val="none"/>
          <w:lang w:eastAsia="zh-CN"/>
        </w:rPr>
        <w:t>中华人民共和国民法典</w:t>
      </w:r>
      <w:r>
        <w:rPr>
          <w:rFonts w:hint="eastAsia" w:ascii="宋体" w:hAnsi="宋体" w:eastAsia="宋体" w:cs="宋体"/>
          <w:color w:val="auto"/>
          <w:szCs w:val="21"/>
          <w:highlight w:val="none"/>
        </w:rPr>
        <w:t>》，为进一步明确双方的责任，确保合同的顺利履行，双方商定同意按如下条款和条件签订合同。</w:t>
      </w:r>
    </w:p>
    <w:p w14:paraId="6C9A2C4D">
      <w:pPr>
        <w:keepNext w:val="0"/>
        <w:keepLines w:val="0"/>
        <w:pageBreakBefore w:val="0"/>
        <w:widowControl w:val="0"/>
        <w:numPr>
          <w:ilvl w:val="0"/>
          <w:numId w:val="1"/>
        </w:numPr>
        <w:shd w:val="clear" w:color="auto" w:fill="auto"/>
        <w:kinsoku/>
        <w:wordWrap/>
        <w:overflowPunct/>
        <w:topLinePunct w:val="0"/>
        <w:autoSpaceDE/>
        <w:autoSpaceDN/>
        <w:bidi w:val="0"/>
        <w:adjustRightInd/>
        <w:snapToGrid/>
        <w:spacing w:line="500" w:lineRule="exact"/>
        <w:ind w:firstLine="413" w:firstLineChars="196"/>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合同价款</w:t>
      </w:r>
    </w:p>
    <w:p w14:paraId="1BEC69FB">
      <w:pPr>
        <w:pStyle w:val="44"/>
        <w:keepNext w:val="0"/>
        <w:keepLines w:val="0"/>
        <w:pageBreakBefore w:val="0"/>
        <w:widowControl w:val="0"/>
        <w:numPr>
          <w:ilvl w:val="0"/>
          <w:numId w:val="0"/>
        </w:numPr>
        <w:kinsoku/>
        <w:wordWrap/>
        <w:overflowPunct/>
        <w:topLinePunct w:val="0"/>
        <w:autoSpaceDE/>
        <w:autoSpaceDN/>
        <w:bidi w:val="0"/>
        <w:adjustRightInd/>
        <w:snapToGrid/>
        <w:spacing w:after="0" w:line="500" w:lineRule="exact"/>
        <w:jc w:val="left"/>
        <w:textAlignment w:val="auto"/>
        <w:rPr>
          <w:rFonts w:hint="default" w:eastAsia="宋体"/>
          <w:color w:val="auto"/>
          <w:highlight w:val="none"/>
          <w:u w:val="single"/>
          <w:lang w:val="en-US" w:eastAsia="zh-CN"/>
        </w:rPr>
      </w:pPr>
      <w:r>
        <w:rPr>
          <w:rFonts w:hint="eastAsia"/>
          <w:color w:val="auto"/>
          <w:highlight w:val="none"/>
          <w:lang w:val="en-US" w:eastAsia="zh-CN"/>
        </w:rPr>
        <w:t xml:space="preserve">   </w:t>
      </w:r>
      <w:r>
        <w:rPr>
          <w:rFonts w:hint="eastAsia" w:ascii="宋体" w:hAnsi="宋体" w:eastAsia="宋体" w:cs="宋体"/>
          <w:color w:val="auto"/>
          <w:kern w:val="2"/>
          <w:sz w:val="21"/>
          <w:szCs w:val="21"/>
          <w:highlight w:val="none"/>
          <w:lang w:val="en-US" w:eastAsia="zh-CN" w:bidi="ar-SA"/>
        </w:rPr>
        <w:t xml:space="preserve"> </w:t>
      </w:r>
      <w:r>
        <w:rPr>
          <w:rFonts w:hint="eastAsia"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本项目采用单价合同，合同价为</w:t>
      </w:r>
      <w:r>
        <w:rPr>
          <w:rFonts w:hint="eastAsia" w:ascii="宋体" w:hAnsi="宋体" w:eastAsia="宋体" w:cs="宋体"/>
          <w:color w:val="auto"/>
          <w:kern w:val="2"/>
          <w:sz w:val="21"/>
          <w:szCs w:val="21"/>
          <w:highlight w:val="none"/>
          <w:u w:val="single"/>
          <w:lang w:val="en-US" w:eastAsia="zh-CN" w:bidi="ar-SA"/>
        </w:rPr>
        <w:t>（大写）           （小写）         。</w:t>
      </w:r>
    </w:p>
    <w:p w14:paraId="3C90DF1D">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0" w:firstLineChars="200"/>
        <w:jc w:val="left"/>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2.本项目中标综合单价不作任何调整，具体数量以实际验收通过数量为准。各分项报价清单另附。</w:t>
      </w:r>
    </w:p>
    <w:p w14:paraId="0678ABFC">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2"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第二条：工期</w:t>
      </w:r>
    </w:p>
    <w:p w14:paraId="1B1729AE">
      <w:pPr>
        <w:keepNext w:val="0"/>
        <w:keepLines w:val="0"/>
        <w:pageBreakBefore w:val="0"/>
        <w:kinsoku/>
        <w:overflowPunct/>
        <w:autoSpaceDE/>
        <w:autoSpaceDN/>
        <w:bidi w:val="0"/>
        <w:spacing w:line="50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1.合同签订之日起30个工作日内完成更换及调试并通过验收。</w:t>
      </w:r>
    </w:p>
    <w:p w14:paraId="41B0AA7F">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bCs w:val="0"/>
          <w:color w:val="auto"/>
          <w:szCs w:val="21"/>
          <w:highlight w:val="none"/>
        </w:rPr>
      </w:pPr>
      <w:r>
        <w:rPr>
          <w:rFonts w:hint="eastAsia" w:ascii="宋体" w:hAnsi="宋体" w:eastAsia="宋体" w:cs="宋体"/>
          <w:b/>
          <w:bCs/>
          <w:color w:val="auto"/>
          <w:sz w:val="21"/>
          <w:szCs w:val="21"/>
          <w:highlight w:val="none"/>
          <w:lang w:val="en-US" w:eastAsia="zh-CN"/>
        </w:rPr>
        <w:t>注：每延期一天将处以</w:t>
      </w:r>
      <w:r>
        <w:rPr>
          <w:rFonts w:hint="eastAsia" w:ascii="宋体" w:hAnsi="宋体" w:cs="宋体"/>
          <w:b/>
          <w:bCs/>
          <w:color w:val="auto"/>
          <w:sz w:val="21"/>
          <w:szCs w:val="21"/>
          <w:highlight w:val="none"/>
          <w:lang w:val="en-US" w:eastAsia="zh-CN"/>
        </w:rPr>
        <w:t>500</w:t>
      </w:r>
      <w:r>
        <w:rPr>
          <w:rFonts w:hint="eastAsia" w:ascii="宋体" w:hAnsi="宋体" w:eastAsia="宋体" w:cs="宋体"/>
          <w:b/>
          <w:bCs/>
          <w:color w:val="auto"/>
          <w:sz w:val="21"/>
          <w:szCs w:val="21"/>
          <w:highlight w:val="none"/>
          <w:lang w:val="en-US" w:eastAsia="zh-CN"/>
        </w:rPr>
        <w:t>元/天违约金，提前不奖励。</w:t>
      </w:r>
    </w:p>
    <w:p w14:paraId="3D805C3D">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第三条  质量</w:t>
      </w:r>
    </w:p>
    <w:p w14:paraId="46AC24A2">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工程质量达到验收合格标准并符合招标文</w:t>
      </w:r>
      <w:r>
        <w:rPr>
          <w:rFonts w:hint="eastAsia" w:ascii="宋体" w:hAnsi="宋体" w:cs="宋体"/>
          <w:color w:val="auto"/>
          <w:szCs w:val="21"/>
          <w:highlight w:val="none"/>
          <w:lang w:eastAsia="zh-CN"/>
        </w:rPr>
        <w:t>件和</w:t>
      </w:r>
      <w:r>
        <w:rPr>
          <w:rFonts w:hint="eastAsia" w:ascii="宋体" w:hAnsi="宋体" w:cs="宋体"/>
          <w:color w:val="auto"/>
          <w:szCs w:val="21"/>
          <w:highlight w:val="none"/>
        </w:rPr>
        <w:t>技术规范要求</w:t>
      </w:r>
      <w:r>
        <w:rPr>
          <w:rFonts w:hint="eastAsia" w:ascii="宋体" w:hAnsi="宋体" w:cs="宋体"/>
          <w:color w:val="auto"/>
          <w:szCs w:val="21"/>
          <w:highlight w:val="none"/>
          <w:lang w:eastAsia="zh-CN"/>
        </w:rPr>
        <w:t>，</w:t>
      </w:r>
      <w:r>
        <w:rPr>
          <w:rFonts w:hint="eastAsia" w:ascii="宋体" w:hAnsi="宋体" w:cs="宋体"/>
          <w:color w:val="auto"/>
          <w:szCs w:val="21"/>
          <w:highlight w:val="none"/>
        </w:rPr>
        <w:t>保证通过</w:t>
      </w:r>
      <w:r>
        <w:rPr>
          <w:rFonts w:hint="eastAsia" w:ascii="宋体" w:hAnsi="宋体" w:cs="宋体"/>
          <w:color w:val="auto"/>
          <w:szCs w:val="21"/>
          <w:highlight w:val="none"/>
          <w:lang w:val="en-US" w:eastAsia="zh-CN"/>
        </w:rPr>
        <w:t>验收</w:t>
      </w:r>
      <w:r>
        <w:rPr>
          <w:rFonts w:hint="eastAsia" w:ascii="宋体" w:hAnsi="宋体" w:cs="宋体"/>
          <w:color w:val="auto"/>
          <w:szCs w:val="21"/>
          <w:highlight w:val="none"/>
        </w:rPr>
        <w:t>。</w:t>
      </w:r>
    </w:p>
    <w:p w14:paraId="0B592892">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货物原材料必须为未经使用过新材料，严禁中标人使用废旧、回收材料生产制造所供货物。</w:t>
      </w:r>
    </w:p>
    <w:p w14:paraId="0BFC004F">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货物须为全新的、未使用过的原装正品。</w:t>
      </w:r>
    </w:p>
    <w:p w14:paraId="5FDE91B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eastAsia="宋体" w:cs="宋体"/>
          <w:color w:val="auto"/>
          <w:szCs w:val="21"/>
          <w:highlight w:val="none"/>
        </w:rPr>
        <w:t>供货时</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提供相关合格证，检测报告等材料。</w:t>
      </w:r>
    </w:p>
    <w:p w14:paraId="7F69143C">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所有设备质保期为两年，自调试验收合格之日起开始计算。</w:t>
      </w:r>
    </w:p>
    <w:p w14:paraId="5B56D5E9">
      <w:pPr>
        <w:pStyle w:val="44"/>
        <w:rPr>
          <w:rFonts w:hint="eastAsia"/>
          <w:color w:val="auto"/>
          <w:highlight w:val="none"/>
        </w:rPr>
      </w:pPr>
    </w:p>
    <w:p w14:paraId="1AD64724">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第四条  合同文件内容</w:t>
      </w:r>
    </w:p>
    <w:p w14:paraId="0FD0F8CB">
      <w:pPr>
        <w:keepNext w:val="0"/>
        <w:keepLines w:val="0"/>
        <w:pageBreakBefore w:val="0"/>
        <w:shd w:val="clear" w:color="auto" w:fill="auto"/>
        <w:kinsoku/>
        <w:wordWrap/>
        <w:overflowPunct/>
        <w:topLinePunct w:val="0"/>
        <w:autoSpaceDE/>
        <w:autoSpaceDN/>
        <w:bidi w:val="0"/>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以下文件是合同不可分割的部分</w:t>
      </w:r>
    </w:p>
    <w:p w14:paraId="6C6829AF">
      <w:pPr>
        <w:keepNext w:val="0"/>
        <w:keepLines w:val="0"/>
        <w:pageBreakBefore w:val="0"/>
        <w:shd w:val="clear" w:color="auto" w:fill="auto"/>
        <w:kinsoku/>
        <w:wordWrap/>
        <w:overflowPunct/>
        <w:topLinePunct w:val="0"/>
        <w:autoSpaceDE/>
        <w:autoSpaceDN/>
        <w:bidi w:val="0"/>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本项目招标文件；</w:t>
      </w:r>
    </w:p>
    <w:p w14:paraId="1927F04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中标人提交的投标书；</w:t>
      </w:r>
    </w:p>
    <w:p w14:paraId="6B1A3066">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中标通知书；</w:t>
      </w:r>
    </w:p>
    <w:p w14:paraId="64484285">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eastAsia="宋体" w:cs="宋体"/>
          <w:color w:val="auto"/>
          <w:szCs w:val="21"/>
          <w:highlight w:val="none"/>
        </w:rPr>
        <w:t>合同履行过程中，双方</w:t>
      </w:r>
      <w:r>
        <w:rPr>
          <w:rFonts w:hint="eastAsia" w:ascii="宋体" w:hAnsi="宋体" w:cs="宋体"/>
          <w:color w:val="auto"/>
          <w:szCs w:val="21"/>
          <w:highlight w:val="none"/>
          <w:lang w:eastAsia="zh-CN"/>
        </w:rPr>
        <w:t>签订</w:t>
      </w:r>
      <w:r>
        <w:rPr>
          <w:rFonts w:hint="eastAsia" w:ascii="宋体" w:hAnsi="宋体" w:eastAsia="宋体" w:cs="宋体"/>
          <w:color w:val="auto"/>
          <w:szCs w:val="21"/>
          <w:highlight w:val="none"/>
        </w:rPr>
        <w:t>的补充协议。</w:t>
      </w:r>
    </w:p>
    <w:p w14:paraId="49FA8A3F">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第五条  供货及验收</w:t>
      </w:r>
    </w:p>
    <w:p w14:paraId="1E0AEA03">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买卖双方按照招标文件约定，合同签订后按买方规定的地点、时间交货。交货后中标人应向买方提供下列单据：制造厂家出具的质量检验证书和数量证明书及与项目有关的技术资料等。货物运送至工地后，由买方在</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个工作日内负责验收，买方可聘请相关部门和技术人员履行监督责任，对产品质量、数量及规格进行认可。</w:t>
      </w:r>
    </w:p>
    <w:p w14:paraId="68B0DB78">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第六条  付款</w:t>
      </w:r>
    </w:p>
    <w:p w14:paraId="7B9F2477">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完成所供设备</w:t>
      </w:r>
      <w:r>
        <w:rPr>
          <w:rFonts w:hint="eastAsia" w:ascii="宋体" w:hAnsi="宋体" w:cs="宋体"/>
          <w:b/>
          <w:bCs/>
          <w:color w:val="auto"/>
          <w:sz w:val="21"/>
          <w:szCs w:val="21"/>
          <w:highlight w:val="none"/>
          <w:lang w:val="en-US" w:eastAsia="zh-CN"/>
        </w:rPr>
        <w:t>供货、安装、调试及验收</w:t>
      </w:r>
      <w:r>
        <w:rPr>
          <w:rFonts w:hint="eastAsia" w:ascii="宋体" w:hAnsi="宋体" w:eastAsia="宋体" w:cs="宋体"/>
          <w:b/>
          <w:bCs/>
          <w:color w:val="auto"/>
          <w:sz w:val="21"/>
          <w:szCs w:val="21"/>
          <w:highlight w:val="none"/>
          <w:lang w:val="en-US" w:eastAsia="zh-CN"/>
        </w:rPr>
        <w:t>后</w:t>
      </w:r>
      <w:r>
        <w:rPr>
          <w:rFonts w:hint="eastAsia" w:ascii="宋体" w:hAnsi="宋体" w:cs="宋体"/>
          <w:b/>
          <w:bCs/>
          <w:color w:val="auto"/>
          <w:sz w:val="21"/>
          <w:szCs w:val="21"/>
          <w:highlight w:val="none"/>
          <w:lang w:val="en-US" w:eastAsia="zh-CN"/>
        </w:rPr>
        <w:t>一次性付清合同款。</w:t>
      </w:r>
    </w:p>
    <w:p w14:paraId="2F2BFF6B">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第七条  质保</w:t>
      </w:r>
    </w:p>
    <w:p w14:paraId="593B23A1">
      <w:pPr>
        <w:keepNext w:val="0"/>
        <w:keepLines w:val="0"/>
        <w:pageBreakBefore w:val="0"/>
        <w:shd w:val="clear" w:color="auto" w:fill="auto"/>
        <w:kinsoku/>
        <w:wordWrap/>
        <w:overflowPunct/>
        <w:topLinePunct w:val="0"/>
        <w:autoSpaceDE/>
        <w:autoSpaceDN/>
        <w:bidi w:val="0"/>
        <w:spacing w:line="500" w:lineRule="exact"/>
        <w:ind w:firstLine="537" w:firstLineChars="256"/>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中标人应对由于货物的缺陷而发生的任何不足或事故负责，费用由中标人负责。</w:t>
      </w:r>
    </w:p>
    <w:p w14:paraId="07627B92">
      <w:pPr>
        <w:keepNext w:val="0"/>
        <w:keepLines w:val="0"/>
        <w:pageBreakBefore w:val="0"/>
        <w:shd w:val="clear" w:color="auto" w:fill="auto"/>
        <w:kinsoku/>
        <w:wordWrap/>
        <w:overflowPunct/>
        <w:topLinePunct w:val="0"/>
        <w:autoSpaceDE/>
        <w:autoSpaceDN/>
        <w:bidi w:val="0"/>
        <w:spacing w:line="500" w:lineRule="exact"/>
        <w:ind w:firstLine="525" w:firstLineChars="25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中标人在收到买方关于产品质量问题的通知后2天内，应免费更换有缺陷的货物。</w:t>
      </w:r>
    </w:p>
    <w:p w14:paraId="603CD0C4">
      <w:pPr>
        <w:keepNext w:val="0"/>
        <w:keepLines w:val="0"/>
        <w:pageBreakBefore w:val="0"/>
        <w:shd w:val="clear" w:color="auto" w:fill="auto"/>
        <w:kinsoku/>
        <w:wordWrap/>
        <w:overflowPunct/>
        <w:topLinePunct w:val="0"/>
        <w:autoSpaceDE/>
        <w:autoSpaceDN/>
        <w:bidi w:val="0"/>
        <w:spacing w:line="500" w:lineRule="exact"/>
        <w:ind w:firstLine="525" w:firstLineChars="25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如果中标人在收到通知2天后没有弥补缺陷，买方可采取必要的补救措施，但风险和费用将由中标人承担。</w:t>
      </w:r>
    </w:p>
    <w:p w14:paraId="46DDEFE0">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第八条  履约保证金</w:t>
      </w:r>
    </w:p>
    <w:p w14:paraId="5D3C20E0">
      <w:pPr>
        <w:keepNext w:val="0"/>
        <w:keepLines w:val="0"/>
        <w:pageBreakBefore w:val="0"/>
        <w:shd w:val="clear" w:color="auto" w:fill="auto"/>
        <w:kinsoku/>
        <w:wordWrap/>
        <w:overflowPunct/>
        <w:topLinePunct w:val="0"/>
        <w:autoSpaceDE/>
        <w:autoSpaceDN/>
        <w:bidi w:val="0"/>
        <w:spacing w:line="500" w:lineRule="exact"/>
        <w:ind w:firstLine="411" w:firstLineChars="19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w:t>
      </w:r>
      <w:r>
        <w:rPr>
          <w:rFonts w:hint="eastAsia" w:ascii="宋体" w:hAnsi="宋体" w:cs="宋体"/>
          <w:color w:val="auto"/>
          <w:szCs w:val="21"/>
          <w:highlight w:val="none"/>
          <w:lang w:val="en-US" w:eastAsia="zh-CN"/>
        </w:rPr>
        <w:t>无需</w:t>
      </w:r>
      <w:r>
        <w:rPr>
          <w:rFonts w:hint="eastAsia" w:ascii="宋体" w:hAnsi="宋体" w:eastAsia="宋体" w:cs="宋体"/>
          <w:color w:val="auto"/>
          <w:szCs w:val="21"/>
          <w:highlight w:val="none"/>
          <w:lang w:val="en-US" w:eastAsia="zh-CN"/>
        </w:rPr>
        <w:t>缴纳履约保证金。</w:t>
      </w:r>
    </w:p>
    <w:p w14:paraId="183EBD8D">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第</w:t>
      </w:r>
      <w:r>
        <w:rPr>
          <w:rFonts w:hint="eastAsia" w:ascii="宋体" w:hAnsi="宋体" w:eastAsia="宋体" w:cs="宋体"/>
          <w:b/>
          <w:color w:val="auto"/>
          <w:szCs w:val="21"/>
          <w:highlight w:val="none"/>
          <w:lang w:val="en-US" w:eastAsia="zh-CN"/>
        </w:rPr>
        <w:t>九</w:t>
      </w:r>
      <w:r>
        <w:rPr>
          <w:rFonts w:hint="eastAsia" w:ascii="宋体" w:hAnsi="宋体" w:eastAsia="宋体" w:cs="宋体"/>
          <w:b/>
          <w:color w:val="auto"/>
          <w:szCs w:val="21"/>
          <w:highlight w:val="none"/>
        </w:rPr>
        <w:t>条  违约责任</w:t>
      </w:r>
    </w:p>
    <w:p w14:paraId="4463EA58">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由于卖方原因（除不可抗力）不能按期交付合同标的，供货期每推迟一天，按</w:t>
      </w:r>
      <w:r>
        <w:rPr>
          <w:rFonts w:hint="eastAsia" w:ascii="宋体" w:hAnsi="宋体" w:cs="宋体"/>
          <w:color w:val="auto"/>
          <w:szCs w:val="21"/>
          <w:highlight w:val="none"/>
          <w:lang w:val="en-US" w:eastAsia="zh-CN"/>
        </w:rPr>
        <w:t>500</w:t>
      </w:r>
      <w:r>
        <w:rPr>
          <w:rFonts w:hint="eastAsia" w:ascii="宋体" w:hAnsi="宋体" w:eastAsia="宋体" w:cs="宋体"/>
          <w:color w:val="auto"/>
          <w:szCs w:val="21"/>
          <w:highlight w:val="none"/>
        </w:rPr>
        <w:t>元/天</w:t>
      </w:r>
      <w:r>
        <w:rPr>
          <w:rFonts w:hint="eastAsia" w:ascii="宋体" w:hAnsi="宋体" w:eastAsia="宋体" w:cs="宋体"/>
          <w:color w:val="auto"/>
          <w:highlight w:val="none"/>
          <w:lang w:val="en-US" w:eastAsia="zh-CN"/>
        </w:rPr>
        <w:t>向买</w:t>
      </w:r>
      <w:r>
        <w:rPr>
          <w:rFonts w:hint="eastAsia" w:ascii="宋体" w:hAnsi="宋体" w:eastAsia="宋体" w:cs="宋体"/>
          <w:color w:val="auto"/>
          <w:highlight w:val="none"/>
          <w:lang w:val="en-US" w:eastAsia="zh-CN"/>
        </w:rPr>
        <w:t>方支付违约金</w:t>
      </w:r>
      <w:r>
        <w:rPr>
          <w:rFonts w:hint="eastAsia" w:ascii="宋体" w:hAnsi="宋体" w:eastAsia="宋体" w:cs="宋体"/>
          <w:color w:val="auto"/>
          <w:szCs w:val="21"/>
          <w:highlight w:val="none"/>
        </w:rPr>
        <w:t>，直接从</w:t>
      </w:r>
      <w:r>
        <w:rPr>
          <w:rFonts w:hint="eastAsia" w:ascii="宋体" w:hAnsi="宋体" w:eastAsia="宋体" w:cs="宋体"/>
          <w:color w:val="auto"/>
          <w:szCs w:val="21"/>
          <w:highlight w:val="none"/>
          <w:lang w:val="en-US" w:eastAsia="zh-CN"/>
        </w:rPr>
        <w:t>合同价</w:t>
      </w:r>
      <w:r>
        <w:rPr>
          <w:rFonts w:hint="eastAsia" w:ascii="宋体" w:hAnsi="宋体" w:eastAsia="宋体" w:cs="宋体"/>
          <w:color w:val="auto"/>
          <w:szCs w:val="21"/>
          <w:highlight w:val="none"/>
        </w:rPr>
        <w:t>款中扣除。买方有权终止合同，履约保证金将予没收。</w:t>
      </w:r>
    </w:p>
    <w:p w14:paraId="110BD43F">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第十条 争议解决</w:t>
      </w:r>
    </w:p>
    <w:p w14:paraId="485649B2">
      <w:pPr>
        <w:keepNext w:val="0"/>
        <w:keepLines w:val="0"/>
        <w:pageBreakBefore w:val="0"/>
        <w:shd w:val="clear" w:color="auto" w:fill="auto"/>
        <w:kinsoku/>
        <w:wordWrap/>
        <w:overflowPunct/>
        <w:topLinePunct w:val="0"/>
        <w:autoSpaceDE/>
        <w:autoSpaceDN/>
        <w:bidi w:val="0"/>
        <w:spacing w:line="500" w:lineRule="exact"/>
        <w:ind w:firstLine="49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凡因本合同引起的或与本合同有关的任何争议，如双方不能通过友好协商解决，向</w:t>
      </w:r>
      <w:r>
        <w:rPr>
          <w:rFonts w:hint="eastAsia" w:ascii="宋体" w:hAnsi="宋体" w:cs="宋体"/>
          <w:color w:val="auto"/>
          <w:szCs w:val="21"/>
          <w:highlight w:val="none"/>
          <w:lang w:val="en-US" w:eastAsia="zh-CN"/>
        </w:rPr>
        <w:t>项目</w:t>
      </w:r>
      <w:r>
        <w:rPr>
          <w:rFonts w:hint="eastAsia" w:ascii="宋体" w:hAnsi="宋体" w:eastAsia="宋体" w:cs="宋体"/>
          <w:color w:val="auto"/>
          <w:szCs w:val="21"/>
          <w:highlight w:val="none"/>
        </w:rPr>
        <w:t>所在地人民法院提起诉讼。</w:t>
      </w:r>
    </w:p>
    <w:p w14:paraId="25ED064E">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w:t>
      </w:r>
      <w:r>
        <w:rPr>
          <w:rFonts w:hint="eastAsia" w:ascii="宋体" w:hAnsi="宋体" w:eastAsia="宋体" w:cs="宋体"/>
          <w:b/>
          <w:color w:val="auto"/>
          <w:szCs w:val="21"/>
          <w:highlight w:val="none"/>
          <w:lang w:val="en-US" w:eastAsia="zh-CN"/>
        </w:rPr>
        <w:t>一</w:t>
      </w:r>
      <w:r>
        <w:rPr>
          <w:rFonts w:hint="eastAsia" w:ascii="宋体" w:hAnsi="宋体" w:eastAsia="宋体" w:cs="宋体"/>
          <w:b/>
          <w:color w:val="auto"/>
          <w:szCs w:val="21"/>
          <w:highlight w:val="none"/>
        </w:rPr>
        <w:t>条 合同生效</w:t>
      </w:r>
    </w:p>
    <w:p w14:paraId="1FD69711">
      <w:pPr>
        <w:keepNext w:val="0"/>
        <w:keepLines w:val="0"/>
        <w:pageBreakBefore w:val="0"/>
        <w:shd w:val="clear" w:color="auto" w:fill="auto"/>
        <w:kinsoku/>
        <w:wordWrap/>
        <w:overflowPunct/>
        <w:topLinePunct w:val="0"/>
        <w:autoSpaceDE/>
        <w:autoSpaceDN/>
        <w:bidi w:val="0"/>
        <w:spacing w:line="500" w:lineRule="exact"/>
        <w:ind w:firstLine="411" w:firstLineChars="196"/>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本合同签订时间：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5FB8DB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本合</w:t>
      </w:r>
      <w:r>
        <w:rPr>
          <w:rFonts w:hint="eastAsia" w:ascii="宋体" w:hAnsi="宋体" w:cs="宋体"/>
          <w:color w:val="auto"/>
          <w:szCs w:val="21"/>
          <w:highlight w:val="none"/>
          <w:lang w:eastAsia="zh-CN"/>
        </w:rPr>
        <w:t>同在</w:t>
      </w:r>
      <w:r>
        <w:rPr>
          <w:rFonts w:hint="eastAsia" w:ascii="宋体" w:hAnsi="宋体" w:eastAsia="宋体" w:cs="宋体"/>
          <w:color w:val="auto"/>
          <w:szCs w:val="21"/>
          <w:highlight w:val="none"/>
        </w:rPr>
        <w:t>买卖双方法定代表人或者委托代理人签字并盖章后生效。合同的任何变更</w:t>
      </w:r>
      <w:r>
        <w:rPr>
          <w:rFonts w:hint="eastAsia" w:ascii="宋体" w:hAnsi="宋体" w:cs="宋体"/>
          <w:color w:val="auto"/>
          <w:szCs w:val="21"/>
          <w:highlight w:val="none"/>
          <w:lang w:eastAsia="zh-CN"/>
        </w:rPr>
        <w:t>须</w:t>
      </w:r>
      <w:r>
        <w:rPr>
          <w:rFonts w:hint="eastAsia" w:ascii="宋体" w:hAnsi="宋体" w:eastAsia="宋体" w:cs="宋体"/>
          <w:color w:val="auto"/>
          <w:szCs w:val="21"/>
          <w:highlight w:val="none"/>
        </w:rPr>
        <w:t>经双方签字、盖章确认方为生效。合同的变更部分、招标文件及卖方的投标文件共同构成合同的有效组成部分，与合同具有同等法律效力。</w:t>
      </w:r>
    </w:p>
    <w:p w14:paraId="593B7120">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本合同一式陆份，买卖双方各执叁份。</w:t>
      </w:r>
    </w:p>
    <w:p w14:paraId="1B50AC4E">
      <w:pPr>
        <w:pStyle w:val="44"/>
        <w:keepNext w:val="0"/>
        <w:keepLines w:val="0"/>
        <w:pageBreakBefore w:val="0"/>
        <w:kinsoku/>
        <w:wordWrap/>
        <w:overflowPunct/>
        <w:topLinePunct w:val="0"/>
        <w:autoSpaceDE/>
        <w:autoSpaceDN/>
        <w:bidi w:val="0"/>
        <w:spacing w:after="0" w:afterLines="0" w:line="440" w:lineRule="exact"/>
        <w:ind w:left="0" w:leftChars="0" w:firstLine="420" w:firstLineChars="200"/>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rPr>
        <w:t>执行</w:t>
      </w:r>
      <w:r>
        <w:rPr>
          <w:rFonts w:hint="eastAsia" w:ascii="宋体" w:hAnsi="宋体" w:eastAsia="宋体" w:cs="宋体"/>
          <w:color w:val="auto"/>
          <w:sz w:val="21"/>
          <w:szCs w:val="21"/>
          <w:highlight w:val="none"/>
          <w:lang w:eastAsia="zh-CN"/>
        </w:rPr>
        <w:t>招标单位</w:t>
      </w:r>
      <w:r>
        <w:rPr>
          <w:rFonts w:hint="eastAsia" w:ascii="宋体" w:hAnsi="宋体" w:eastAsia="宋体" w:cs="宋体"/>
          <w:color w:val="auto"/>
          <w:sz w:val="21"/>
          <w:szCs w:val="21"/>
          <w:highlight w:val="none"/>
        </w:rPr>
        <w:t>处相关现行文件规定并作为</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附件。</w:t>
      </w:r>
    </w:p>
    <w:p w14:paraId="14770BCD">
      <w:pPr>
        <w:keepNext w:val="0"/>
        <w:keepLines w:val="0"/>
        <w:pageBreakBefore w:val="0"/>
        <w:widowControl/>
        <w:kinsoku/>
        <w:wordWrap/>
        <w:overflowPunct/>
        <w:topLinePunct w:val="0"/>
        <w:autoSpaceDE/>
        <w:autoSpaceDN/>
        <w:bidi w:val="0"/>
        <w:snapToGrid w:val="0"/>
        <w:spacing w:line="44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本合同文本未尽事宜，由合同</w:t>
      </w:r>
      <w:r>
        <w:rPr>
          <w:rFonts w:hint="eastAsia" w:ascii="宋体" w:hAnsi="宋体" w:cs="宋体"/>
          <w:color w:val="auto"/>
          <w:sz w:val="21"/>
          <w:szCs w:val="21"/>
          <w:highlight w:val="none"/>
          <w:lang w:eastAsia="zh-CN"/>
        </w:rPr>
        <w:t>签订</w:t>
      </w:r>
      <w:r>
        <w:rPr>
          <w:rFonts w:hint="eastAsia" w:ascii="宋体" w:hAnsi="宋体" w:eastAsia="宋体" w:cs="宋体"/>
          <w:color w:val="auto"/>
          <w:sz w:val="21"/>
          <w:szCs w:val="21"/>
          <w:highlight w:val="none"/>
        </w:rPr>
        <w:t>双方在发生时具体商定。</w:t>
      </w:r>
    </w:p>
    <w:p w14:paraId="573EEEF5">
      <w:pPr>
        <w:pStyle w:val="44"/>
        <w:rPr>
          <w:rFonts w:hint="eastAsia"/>
          <w:color w:val="auto"/>
          <w:highlight w:val="none"/>
          <w:lang w:val="en-US" w:eastAsia="zh-CN"/>
        </w:rPr>
      </w:pPr>
    </w:p>
    <w:p w14:paraId="48BE0B15">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eastAsia" w:ascii="宋体" w:cs="宋体"/>
          <w:color w:val="auto"/>
          <w:szCs w:val="21"/>
          <w:highlight w:val="none"/>
          <w:lang w:val="en-US" w:eastAsia="zh-CN"/>
        </w:rPr>
      </w:pPr>
    </w:p>
    <w:p w14:paraId="32016C6D">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cs="宋体"/>
          <w:color w:val="auto"/>
          <w:szCs w:val="21"/>
          <w:highlight w:val="none"/>
          <w:lang w:val="en-US" w:eastAsia="zh-CN"/>
        </w:rPr>
        <w:t>招标人</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中标人</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p>
    <w:p w14:paraId="3CA74C7A">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法定代表人或其委托代理人：</w:t>
      </w:r>
      <w:r>
        <w:rPr>
          <w:rFonts w:hint="eastAsia" w:ascii="宋体" w:cs="宋体"/>
          <w:color w:val="auto"/>
          <w:szCs w:val="21"/>
          <w:highlight w:val="none"/>
          <w:lang w:val="en-US" w:eastAsia="zh-CN"/>
        </w:rPr>
        <w:t xml:space="preserve">                 </w:t>
      </w:r>
      <w:r>
        <w:rPr>
          <w:rFonts w:hint="eastAsia" w:ascii="宋体" w:cs="宋体"/>
          <w:color w:val="auto"/>
          <w:szCs w:val="21"/>
          <w:highlight w:val="none"/>
        </w:rPr>
        <w:t>法定代表人或其委托代理人：</w:t>
      </w:r>
    </w:p>
    <w:p w14:paraId="04970C33">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cs="宋体"/>
          <w:color w:val="auto"/>
          <w:szCs w:val="21"/>
          <w:highlight w:val="none"/>
        </w:rPr>
        <w:t xml:space="preserve">         （签字） </w:t>
      </w:r>
      <w:r>
        <w:rPr>
          <w:rFonts w:hint="eastAsia" w:ascii="宋体" w:cs="宋体"/>
          <w:color w:val="auto"/>
          <w:szCs w:val="21"/>
          <w:highlight w:val="none"/>
          <w:lang w:val="en-US" w:eastAsia="zh-CN"/>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（签字）</w:t>
      </w:r>
    </w:p>
    <w:p w14:paraId="2BDD02F8">
      <w:pPr>
        <w:keepNext w:val="0"/>
        <w:keepLines w:val="0"/>
        <w:pageBreakBefore w:val="0"/>
        <w:widowControl w:val="0"/>
        <w:shd w:val="clear" w:color="auto" w:fill="auto"/>
        <w:tabs>
          <w:tab w:val="left" w:pos="4410"/>
        </w:tabs>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组织机构代码：</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组织机构代码：</w:t>
      </w:r>
      <w:r>
        <w:rPr>
          <w:rFonts w:hint="eastAsia" w:ascii="宋体" w:cs="宋体"/>
          <w:color w:val="auto"/>
          <w:szCs w:val="21"/>
          <w:highlight w:val="none"/>
          <w:u w:val="single"/>
        </w:rPr>
        <w:t xml:space="preserve">                  </w:t>
      </w:r>
    </w:p>
    <w:p w14:paraId="7F8BC5DE">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地  址：</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地  址：</w:t>
      </w:r>
      <w:r>
        <w:rPr>
          <w:rFonts w:hint="eastAsia" w:ascii="宋体" w:cs="宋体"/>
          <w:color w:val="auto"/>
          <w:szCs w:val="21"/>
          <w:highlight w:val="none"/>
          <w:u w:val="single"/>
        </w:rPr>
        <w:t xml:space="preserve">                     </w:t>
      </w:r>
    </w:p>
    <w:p w14:paraId="6576D8D7">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邮政编码：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邮政编码：</w:t>
      </w:r>
      <w:r>
        <w:rPr>
          <w:rFonts w:hint="eastAsia" w:ascii="宋体" w:cs="宋体"/>
          <w:color w:val="auto"/>
          <w:szCs w:val="21"/>
          <w:highlight w:val="none"/>
          <w:u w:val="single"/>
        </w:rPr>
        <w:t xml:space="preserve">                        </w:t>
      </w:r>
    </w:p>
    <w:p w14:paraId="0676DA08">
      <w:pPr>
        <w:keepNext w:val="0"/>
        <w:keepLines w:val="0"/>
        <w:pageBreakBefore w:val="0"/>
        <w:widowControl w:val="0"/>
        <w:shd w:val="clear" w:color="auto" w:fill="auto"/>
        <w:tabs>
          <w:tab w:val="left" w:pos="180"/>
        </w:tabs>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法定代表人：</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法定代表人：</w:t>
      </w:r>
      <w:r>
        <w:rPr>
          <w:rFonts w:hint="eastAsia" w:ascii="宋体" w:cs="宋体"/>
          <w:color w:val="auto"/>
          <w:szCs w:val="21"/>
          <w:highlight w:val="none"/>
          <w:u w:val="single"/>
        </w:rPr>
        <w:t xml:space="preserve">       </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 xml:space="preserve">   </w:t>
      </w:r>
    </w:p>
    <w:p w14:paraId="7611BFA8">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委托代理人：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委托代理人：</w:t>
      </w:r>
      <w:r>
        <w:rPr>
          <w:rFonts w:hint="eastAsia" w:ascii="宋体" w:cs="宋体"/>
          <w:color w:val="auto"/>
          <w:szCs w:val="21"/>
          <w:highlight w:val="none"/>
          <w:u w:val="single"/>
        </w:rPr>
        <w:t xml:space="preserve">            </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 xml:space="preserve">       </w:t>
      </w:r>
    </w:p>
    <w:p w14:paraId="5F7CBE33">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电  话：</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电  话：</w:t>
      </w:r>
      <w:r>
        <w:rPr>
          <w:rFonts w:hint="eastAsia" w:ascii="宋体" w:cs="宋体"/>
          <w:color w:val="auto"/>
          <w:szCs w:val="21"/>
          <w:highlight w:val="none"/>
          <w:u w:val="single"/>
        </w:rPr>
        <w:t xml:space="preserve">                     </w:t>
      </w:r>
    </w:p>
    <w:p w14:paraId="34939848">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传  真：</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传  真：</w:t>
      </w:r>
      <w:r>
        <w:rPr>
          <w:rFonts w:hint="eastAsia" w:ascii="宋体" w:cs="宋体"/>
          <w:color w:val="auto"/>
          <w:szCs w:val="21"/>
          <w:highlight w:val="none"/>
          <w:u w:val="single"/>
        </w:rPr>
        <w:t xml:space="preserve">                      </w:t>
      </w:r>
    </w:p>
    <w:p w14:paraId="0F074B7F">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电子信箱：</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电子信箱：</w:t>
      </w:r>
      <w:r>
        <w:rPr>
          <w:rFonts w:hint="eastAsia" w:ascii="宋体" w:cs="宋体"/>
          <w:color w:val="auto"/>
          <w:szCs w:val="21"/>
          <w:highlight w:val="none"/>
          <w:u w:val="single"/>
        </w:rPr>
        <w:t xml:space="preserve">                    </w:t>
      </w:r>
    </w:p>
    <w:p w14:paraId="315D6D9D">
      <w:pPr>
        <w:ind w:firstLine="420" w:firstLineChars="200"/>
        <w:rPr>
          <w:rFonts w:hint="eastAsia" w:ascii="宋体" w:hAnsi="宋体" w:cs="宋体"/>
          <w:b/>
          <w:bCs/>
          <w:color w:val="auto"/>
          <w:highlight w:val="none"/>
          <w:lang w:val="en-US" w:eastAsia="zh-CN"/>
        </w:rPr>
      </w:pP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u w:val="none"/>
          <w:lang w:val="en-US" w:eastAsia="zh-CN"/>
        </w:rPr>
        <w:t xml:space="preserve">                </w:t>
      </w: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hAnsi="宋体" w:cs="宋体"/>
          <w:b/>
          <w:bCs/>
          <w:color w:val="auto"/>
          <w:highlight w:val="none"/>
          <w:lang w:val="en-US" w:eastAsia="zh-CN"/>
        </w:rPr>
        <w:br w:type="page"/>
      </w:r>
    </w:p>
    <w:p w14:paraId="65613AD9">
      <w:pPr>
        <w:pStyle w:val="42"/>
        <w:spacing w:beforeLines="50" w:afterLines="50" w:line="440" w:lineRule="exact"/>
        <w:rPr>
          <w:rFonts w:hint="eastAsia"/>
          <w:bCs/>
          <w:color w:val="auto"/>
          <w:szCs w:val="32"/>
          <w:highlight w:val="none"/>
        </w:rPr>
      </w:pPr>
    </w:p>
    <w:p w14:paraId="2C76DCB5">
      <w:pPr>
        <w:pStyle w:val="42"/>
        <w:spacing w:beforeLines="50" w:afterLines="50" w:line="440" w:lineRule="exact"/>
        <w:rPr>
          <w:bCs/>
          <w:color w:val="auto"/>
          <w:szCs w:val="32"/>
          <w:highlight w:val="none"/>
        </w:rPr>
      </w:pPr>
      <w:r>
        <w:rPr>
          <w:rFonts w:hint="eastAsia"/>
          <w:bCs/>
          <w:color w:val="auto"/>
          <w:szCs w:val="32"/>
          <w:highlight w:val="none"/>
        </w:rPr>
        <w:t>第</w:t>
      </w:r>
      <w:r>
        <w:rPr>
          <w:rFonts w:hint="eastAsia"/>
          <w:bCs/>
          <w:color w:val="auto"/>
          <w:szCs w:val="32"/>
          <w:highlight w:val="none"/>
          <w:lang w:val="en-US" w:eastAsia="zh-CN"/>
        </w:rPr>
        <w:t>六</w:t>
      </w:r>
      <w:r>
        <w:rPr>
          <w:rFonts w:hint="eastAsia"/>
          <w:bCs/>
          <w:color w:val="auto"/>
          <w:szCs w:val="32"/>
          <w:highlight w:val="none"/>
        </w:rPr>
        <w:t>章</w:t>
      </w:r>
      <w:r>
        <w:rPr>
          <w:bCs/>
          <w:color w:val="auto"/>
          <w:szCs w:val="32"/>
          <w:highlight w:val="none"/>
        </w:rPr>
        <w:t xml:space="preserve">   </w:t>
      </w:r>
      <w:r>
        <w:rPr>
          <w:rFonts w:hint="eastAsia"/>
          <w:bCs/>
          <w:color w:val="auto"/>
          <w:szCs w:val="32"/>
          <w:highlight w:val="none"/>
        </w:rPr>
        <w:t>投标文件格式</w:t>
      </w:r>
      <w:bookmarkEnd w:id="769"/>
      <w:bookmarkEnd w:id="770"/>
      <w:bookmarkEnd w:id="771"/>
      <w:bookmarkEnd w:id="772"/>
      <w:bookmarkEnd w:id="773"/>
      <w:bookmarkEnd w:id="774"/>
      <w:bookmarkEnd w:id="775"/>
      <w:bookmarkEnd w:id="776"/>
      <w:bookmarkEnd w:id="777"/>
      <w:bookmarkEnd w:id="778"/>
      <w:bookmarkEnd w:id="779"/>
      <w:bookmarkEnd w:id="780"/>
      <w:bookmarkEnd w:id="781"/>
    </w:p>
    <w:p w14:paraId="55C240AA">
      <w:pPr>
        <w:rPr>
          <w:color w:val="auto"/>
          <w:highlight w:val="none"/>
        </w:rPr>
      </w:pPr>
    </w:p>
    <w:p w14:paraId="35C47F57">
      <w:pPr>
        <w:rPr>
          <w:color w:val="auto"/>
          <w:highlight w:val="none"/>
        </w:rPr>
      </w:pPr>
    </w:p>
    <w:p w14:paraId="6A0D4792">
      <w:pPr>
        <w:rPr>
          <w:color w:val="auto"/>
          <w:highlight w:val="none"/>
        </w:rPr>
      </w:pPr>
    </w:p>
    <w:p w14:paraId="33092B68">
      <w:pPr>
        <w:jc w:val="center"/>
        <w:rPr>
          <w:rFonts w:eastAsia="黑体"/>
          <w:color w:val="auto"/>
          <w:sz w:val="20"/>
          <w:szCs w:val="20"/>
          <w:highlight w:val="none"/>
        </w:rPr>
      </w:pPr>
      <w:r>
        <w:rPr>
          <w:rFonts w:eastAsia="黑体"/>
          <w:color w:val="auto"/>
          <w:sz w:val="28"/>
          <w:szCs w:val="28"/>
          <w:highlight w:val="none"/>
          <w:u w:val="single"/>
        </w:rPr>
        <w:t xml:space="preserve">                </w:t>
      </w:r>
      <w:r>
        <w:rPr>
          <w:rFonts w:hint="eastAsia" w:eastAsia="黑体"/>
          <w:color w:val="auto"/>
          <w:sz w:val="28"/>
          <w:szCs w:val="28"/>
          <w:highlight w:val="none"/>
        </w:rPr>
        <w:t>（项目名称）</w:t>
      </w:r>
    </w:p>
    <w:p w14:paraId="7CDDD0AF">
      <w:pPr>
        <w:jc w:val="center"/>
        <w:rPr>
          <w:rFonts w:eastAsia="黑体"/>
          <w:color w:val="auto"/>
          <w:sz w:val="20"/>
          <w:szCs w:val="20"/>
          <w:highlight w:val="none"/>
        </w:rPr>
      </w:pPr>
    </w:p>
    <w:p w14:paraId="24C85DEF">
      <w:pPr>
        <w:jc w:val="center"/>
        <w:rPr>
          <w:rFonts w:eastAsia="黑体"/>
          <w:color w:val="auto"/>
          <w:sz w:val="20"/>
          <w:szCs w:val="20"/>
          <w:highlight w:val="none"/>
        </w:rPr>
      </w:pPr>
    </w:p>
    <w:p w14:paraId="7B059644">
      <w:pPr>
        <w:jc w:val="center"/>
        <w:rPr>
          <w:rFonts w:eastAsia="黑体"/>
          <w:color w:val="auto"/>
          <w:sz w:val="20"/>
          <w:szCs w:val="20"/>
          <w:highlight w:val="none"/>
        </w:rPr>
      </w:pPr>
    </w:p>
    <w:p w14:paraId="49739623">
      <w:pPr>
        <w:rPr>
          <w:rFonts w:eastAsia="黑体"/>
          <w:color w:val="auto"/>
          <w:sz w:val="20"/>
          <w:szCs w:val="20"/>
          <w:highlight w:val="none"/>
        </w:rPr>
      </w:pPr>
    </w:p>
    <w:p w14:paraId="52BEB6B9">
      <w:pPr>
        <w:jc w:val="center"/>
        <w:rPr>
          <w:rFonts w:hint="eastAsia" w:eastAsia="黑体"/>
          <w:color w:val="auto"/>
          <w:sz w:val="44"/>
          <w:szCs w:val="44"/>
          <w:highlight w:val="none"/>
          <w:lang w:val="en-US" w:eastAsia="zh-CN"/>
        </w:rPr>
      </w:pPr>
      <w:r>
        <w:rPr>
          <w:rFonts w:hint="eastAsia" w:eastAsia="黑体"/>
          <w:color w:val="auto"/>
          <w:sz w:val="44"/>
          <w:szCs w:val="44"/>
          <w:highlight w:val="none"/>
        </w:rPr>
        <w:t>投</w:t>
      </w:r>
      <w:r>
        <w:rPr>
          <w:rFonts w:eastAsia="黑体"/>
          <w:color w:val="auto"/>
          <w:sz w:val="44"/>
          <w:szCs w:val="44"/>
          <w:highlight w:val="none"/>
        </w:rPr>
        <w:t xml:space="preserve">  </w:t>
      </w:r>
      <w:r>
        <w:rPr>
          <w:rFonts w:hint="eastAsia" w:eastAsia="黑体"/>
          <w:color w:val="auto"/>
          <w:sz w:val="44"/>
          <w:szCs w:val="44"/>
          <w:highlight w:val="none"/>
        </w:rPr>
        <w:t>标</w:t>
      </w:r>
      <w:r>
        <w:rPr>
          <w:rFonts w:eastAsia="黑体"/>
          <w:color w:val="auto"/>
          <w:sz w:val="44"/>
          <w:szCs w:val="44"/>
          <w:highlight w:val="none"/>
        </w:rPr>
        <w:t xml:space="preserve">  </w:t>
      </w:r>
      <w:r>
        <w:rPr>
          <w:rFonts w:hint="eastAsia" w:eastAsia="黑体"/>
          <w:color w:val="auto"/>
          <w:sz w:val="44"/>
          <w:szCs w:val="44"/>
          <w:highlight w:val="none"/>
        </w:rPr>
        <w:t>文</w:t>
      </w:r>
      <w:r>
        <w:rPr>
          <w:rFonts w:eastAsia="黑体"/>
          <w:color w:val="auto"/>
          <w:sz w:val="44"/>
          <w:szCs w:val="44"/>
          <w:highlight w:val="none"/>
        </w:rPr>
        <w:t xml:space="preserve">  </w:t>
      </w:r>
      <w:r>
        <w:rPr>
          <w:rFonts w:hint="eastAsia" w:eastAsia="黑体"/>
          <w:color w:val="auto"/>
          <w:sz w:val="44"/>
          <w:szCs w:val="44"/>
          <w:highlight w:val="none"/>
        </w:rPr>
        <w:t>件</w:t>
      </w:r>
      <w:r>
        <w:rPr>
          <w:rFonts w:eastAsia="黑体"/>
          <w:color w:val="auto"/>
          <w:sz w:val="44"/>
          <w:szCs w:val="44"/>
          <w:highlight w:val="none"/>
        </w:rPr>
        <w:t xml:space="preserve"> </w:t>
      </w:r>
    </w:p>
    <w:p w14:paraId="5B31C867">
      <w:pPr>
        <w:rPr>
          <w:rFonts w:eastAsia="黑体"/>
          <w:color w:val="auto"/>
          <w:sz w:val="28"/>
          <w:szCs w:val="28"/>
          <w:highlight w:val="none"/>
        </w:rPr>
      </w:pPr>
    </w:p>
    <w:p w14:paraId="03C21170">
      <w:pPr>
        <w:rPr>
          <w:rFonts w:eastAsia="黑体"/>
          <w:color w:val="auto"/>
          <w:sz w:val="28"/>
          <w:szCs w:val="28"/>
          <w:highlight w:val="none"/>
        </w:rPr>
      </w:pPr>
    </w:p>
    <w:p w14:paraId="297450E7">
      <w:pPr>
        <w:rPr>
          <w:rFonts w:eastAsia="黑体"/>
          <w:color w:val="auto"/>
          <w:sz w:val="28"/>
          <w:szCs w:val="28"/>
          <w:highlight w:val="none"/>
        </w:rPr>
      </w:pPr>
    </w:p>
    <w:p w14:paraId="3CBD38FC">
      <w:pPr>
        <w:pStyle w:val="44"/>
        <w:ind w:left="31680" w:firstLine="31680"/>
        <w:rPr>
          <w:rFonts w:ascii="Times New Roman"/>
          <w:color w:val="auto"/>
          <w:szCs w:val="24"/>
          <w:highlight w:val="none"/>
        </w:rPr>
      </w:pPr>
    </w:p>
    <w:p w14:paraId="62FADEB1">
      <w:pPr>
        <w:rPr>
          <w:color w:val="auto"/>
          <w:highlight w:val="none"/>
        </w:rPr>
      </w:pPr>
    </w:p>
    <w:p w14:paraId="1E396A6F">
      <w:pPr>
        <w:pStyle w:val="44"/>
        <w:ind w:left="31680" w:firstLine="31680"/>
        <w:rPr>
          <w:color w:val="auto"/>
          <w:highlight w:val="none"/>
        </w:rPr>
      </w:pPr>
    </w:p>
    <w:p w14:paraId="0F52AEAD">
      <w:pPr>
        <w:rPr>
          <w:rFonts w:eastAsia="黑体"/>
          <w:color w:val="auto"/>
          <w:sz w:val="28"/>
          <w:szCs w:val="28"/>
          <w:highlight w:val="none"/>
        </w:rPr>
      </w:pPr>
    </w:p>
    <w:p w14:paraId="4299A540">
      <w:pPr>
        <w:pStyle w:val="44"/>
        <w:ind w:left="31680" w:firstLine="31680"/>
        <w:rPr>
          <w:color w:val="auto"/>
          <w:highlight w:val="none"/>
        </w:rPr>
      </w:pPr>
    </w:p>
    <w:p w14:paraId="449F61F8">
      <w:pPr>
        <w:rPr>
          <w:rFonts w:eastAsia="黑体"/>
          <w:color w:val="auto"/>
          <w:sz w:val="28"/>
          <w:szCs w:val="28"/>
          <w:highlight w:val="none"/>
        </w:rPr>
      </w:pPr>
    </w:p>
    <w:p w14:paraId="73908E42">
      <w:pPr>
        <w:rPr>
          <w:rFonts w:eastAsia="黑体"/>
          <w:color w:val="auto"/>
          <w:sz w:val="28"/>
          <w:szCs w:val="28"/>
          <w:highlight w:val="none"/>
        </w:rPr>
      </w:pPr>
    </w:p>
    <w:p w14:paraId="447EBE8C">
      <w:pPr>
        <w:rPr>
          <w:rFonts w:eastAsia="黑体"/>
          <w:color w:val="auto"/>
          <w:sz w:val="28"/>
          <w:szCs w:val="28"/>
          <w:highlight w:val="none"/>
        </w:rPr>
      </w:pPr>
    </w:p>
    <w:p w14:paraId="24A9E1F4">
      <w:pPr>
        <w:rPr>
          <w:rFonts w:eastAsia="黑体"/>
          <w:color w:val="auto"/>
          <w:sz w:val="28"/>
          <w:szCs w:val="28"/>
          <w:highlight w:val="none"/>
        </w:rPr>
      </w:pPr>
    </w:p>
    <w:p w14:paraId="15933511">
      <w:pPr>
        <w:jc w:val="center"/>
        <w:rPr>
          <w:rFonts w:eastAsia="黑体"/>
          <w:color w:val="auto"/>
          <w:sz w:val="28"/>
          <w:szCs w:val="28"/>
          <w:highlight w:val="none"/>
          <w:u w:val="single"/>
        </w:rPr>
      </w:pPr>
      <w:r>
        <w:rPr>
          <w:rFonts w:hint="eastAsia" w:eastAsia="黑体"/>
          <w:color w:val="auto"/>
          <w:sz w:val="28"/>
          <w:szCs w:val="28"/>
          <w:highlight w:val="none"/>
        </w:rPr>
        <w:t>投标人：</w:t>
      </w:r>
      <w:r>
        <w:rPr>
          <w:rFonts w:eastAsia="黑体"/>
          <w:color w:val="auto"/>
          <w:sz w:val="28"/>
          <w:szCs w:val="28"/>
          <w:highlight w:val="none"/>
          <w:u w:val="single"/>
        </w:rPr>
        <w:t xml:space="preserve">                              </w:t>
      </w:r>
      <w:r>
        <w:rPr>
          <w:rFonts w:hint="eastAsia" w:eastAsia="黑体"/>
          <w:color w:val="auto"/>
          <w:sz w:val="28"/>
          <w:szCs w:val="28"/>
          <w:highlight w:val="none"/>
        </w:rPr>
        <w:t>（</w:t>
      </w:r>
      <w:r>
        <w:rPr>
          <w:rFonts w:hint="eastAsia" w:eastAsia="黑体"/>
          <w:color w:val="auto"/>
          <w:sz w:val="28"/>
          <w:szCs w:val="28"/>
          <w:highlight w:val="none"/>
          <w:lang w:val="en-US" w:eastAsia="zh-CN"/>
        </w:rPr>
        <w:t>盖章</w:t>
      </w:r>
      <w:r>
        <w:rPr>
          <w:rFonts w:hint="eastAsia" w:eastAsia="黑体"/>
          <w:color w:val="auto"/>
          <w:sz w:val="28"/>
          <w:szCs w:val="28"/>
          <w:highlight w:val="none"/>
        </w:rPr>
        <w:t>）</w:t>
      </w:r>
    </w:p>
    <w:p w14:paraId="65C875D8">
      <w:pPr>
        <w:jc w:val="center"/>
        <w:rPr>
          <w:rFonts w:eastAsia="黑体"/>
          <w:color w:val="auto"/>
          <w:sz w:val="28"/>
          <w:szCs w:val="28"/>
          <w:highlight w:val="none"/>
        </w:rPr>
      </w:pPr>
      <w:r>
        <w:rPr>
          <w:rFonts w:hint="eastAsia" w:eastAsia="黑体"/>
          <w:color w:val="auto"/>
          <w:sz w:val="28"/>
          <w:szCs w:val="28"/>
          <w:highlight w:val="none"/>
        </w:rPr>
        <w:t>法定代表人：</w:t>
      </w:r>
      <w:r>
        <w:rPr>
          <w:rFonts w:eastAsia="黑体"/>
          <w:color w:val="auto"/>
          <w:sz w:val="28"/>
          <w:szCs w:val="28"/>
          <w:highlight w:val="none"/>
          <w:u w:val="single"/>
        </w:rPr>
        <w:t xml:space="preserve">                          </w:t>
      </w:r>
      <w:r>
        <w:rPr>
          <w:rFonts w:hint="eastAsia" w:eastAsia="黑体"/>
          <w:color w:val="auto"/>
          <w:sz w:val="28"/>
          <w:szCs w:val="28"/>
          <w:highlight w:val="none"/>
        </w:rPr>
        <w:t>（</w:t>
      </w:r>
      <w:r>
        <w:rPr>
          <w:rFonts w:hint="eastAsia" w:eastAsia="黑体"/>
          <w:color w:val="auto"/>
          <w:sz w:val="28"/>
          <w:szCs w:val="28"/>
          <w:highlight w:val="none"/>
          <w:lang w:val="en-US" w:eastAsia="zh-CN"/>
        </w:rPr>
        <w:t>签字或盖章</w:t>
      </w:r>
      <w:r>
        <w:rPr>
          <w:rFonts w:hint="eastAsia" w:eastAsia="黑体"/>
          <w:color w:val="auto"/>
          <w:sz w:val="28"/>
          <w:szCs w:val="28"/>
          <w:highlight w:val="none"/>
        </w:rPr>
        <w:t>）</w:t>
      </w:r>
    </w:p>
    <w:p w14:paraId="1D2F60D8">
      <w:pPr>
        <w:jc w:val="center"/>
        <w:rPr>
          <w:rStyle w:val="65"/>
          <w:rFonts w:ascii="宋体" w:cs="宋体"/>
          <w:bCs/>
          <w:color w:val="auto"/>
          <w:sz w:val="32"/>
          <w:szCs w:val="44"/>
          <w:highlight w:val="none"/>
        </w:rPr>
      </w:pPr>
      <w:r>
        <w:rPr>
          <w:rFonts w:eastAsia="黑体"/>
          <w:color w:val="auto"/>
          <w:sz w:val="28"/>
          <w:szCs w:val="28"/>
          <w:highlight w:val="none"/>
          <w:u w:val="single"/>
        </w:rPr>
        <w:t xml:space="preserve">        </w:t>
      </w:r>
      <w:r>
        <w:rPr>
          <w:rFonts w:hint="eastAsia" w:eastAsia="黑体"/>
          <w:color w:val="auto"/>
          <w:sz w:val="28"/>
          <w:szCs w:val="28"/>
          <w:highlight w:val="none"/>
        </w:rPr>
        <w:t>年</w:t>
      </w:r>
      <w:r>
        <w:rPr>
          <w:rFonts w:eastAsia="黑体"/>
          <w:color w:val="auto"/>
          <w:sz w:val="28"/>
          <w:szCs w:val="28"/>
          <w:highlight w:val="none"/>
          <w:u w:val="single"/>
        </w:rPr>
        <w:t xml:space="preserve">        </w:t>
      </w:r>
      <w:r>
        <w:rPr>
          <w:rFonts w:hint="eastAsia" w:eastAsia="黑体"/>
          <w:color w:val="auto"/>
          <w:sz w:val="28"/>
          <w:szCs w:val="28"/>
          <w:highlight w:val="none"/>
        </w:rPr>
        <w:t>月</w:t>
      </w:r>
      <w:r>
        <w:rPr>
          <w:rFonts w:eastAsia="黑体"/>
          <w:color w:val="auto"/>
          <w:sz w:val="28"/>
          <w:szCs w:val="28"/>
          <w:highlight w:val="none"/>
          <w:u w:val="single"/>
        </w:rPr>
        <w:t xml:space="preserve">        </w:t>
      </w:r>
      <w:r>
        <w:rPr>
          <w:rFonts w:hint="eastAsia" w:eastAsia="黑体"/>
          <w:color w:val="auto"/>
          <w:sz w:val="28"/>
          <w:szCs w:val="28"/>
          <w:highlight w:val="none"/>
        </w:rPr>
        <w:t>日</w:t>
      </w:r>
      <w:bookmarkStart w:id="782" w:name="_Toc35425137"/>
      <w:bookmarkStart w:id="783" w:name="_Toc35424971"/>
      <w:bookmarkStart w:id="784" w:name="_Toc12683"/>
    </w:p>
    <w:bookmarkEnd w:id="782"/>
    <w:bookmarkEnd w:id="783"/>
    <w:bookmarkEnd w:id="784"/>
    <w:p w14:paraId="04288AEE">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74EFE140">
      <w:pPr>
        <w:keepNext w:val="0"/>
        <w:keepLines w:val="0"/>
        <w:pageBreakBefore w:val="0"/>
        <w:widowControl w:val="0"/>
        <w:kinsoku/>
        <w:wordWrap/>
        <w:overflowPunct/>
        <w:topLinePunct w:val="0"/>
        <w:autoSpaceDE/>
        <w:autoSpaceDN/>
        <w:bidi w:val="0"/>
        <w:adjustRightInd/>
        <w:snapToGrid/>
        <w:spacing w:beforeLines="50" w:afterLines="50" w:line="560" w:lineRule="exact"/>
        <w:ind w:firstLine="643" w:firstLineChars="200"/>
        <w:jc w:val="center"/>
        <w:textAlignment w:val="auto"/>
        <w:rPr>
          <w:rFonts w:ascii="宋体" w:cs="宋体"/>
          <w:b/>
          <w:color w:val="auto"/>
          <w:sz w:val="32"/>
          <w:szCs w:val="32"/>
          <w:highlight w:val="none"/>
        </w:rPr>
      </w:pPr>
      <w:r>
        <w:rPr>
          <w:rFonts w:hint="eastAsia" w:ascii="宋体" w:hAnsi="宋体" w:cs="宋体"/>
          <w:b/>
          <w:color w:val="auto"/>
          <w:sz w:val="32"/>
          <w:szCs w:val="32"/>
          <w:highlight w:val="none"/>
        </w:rPr>
        <w:t>目</w:t>
      </w:r>
      <w:r>
        <w:rPr>
          <w:rFonts w:hint="eastAsia" w:ascii="宋体" w:hAnsi="宋体" w:cs="宋体"/>
          <w:b/>
          <w:color w:val="auto"/>
          <w:sz w:val="32"/>
          <w:szCs w:val="32"/>
          <w:highlight w:val="none"/>
          <w:lang w:val="en-US" w:eastAsia="zh-CN"/>
        </w:rPr>
        <w:t xml:space="preserve">  </w:t>
      </w:r>
      <w:r>
        <w:rPr>
          <w:rFonts w:hint="eastAsia" w:ascii="宋体" w:hAnsi="宋体" w:cs="宋体"/>
          <w:b/>
          <w:color w:val="auto"/>
          <w:sz w:val="32"/>
          <w:szCs w:val="32"/>
          <w:highlight w:val="none"/>
        </w:rPr>
        <w:t>录</w:t>
      </w:r>
    </w:p>
    <w:p w14:paraId="16993E8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6FDEC10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w:t>
      </w:r>
      <w:r>
        <w:rPr>
          <w:rFonts w:hint="eastAsia" w:ascii="宋体" w:cs="宋体"/>
          <w:color w:val="auto"/>
          <w:szCs w:val="21"/>
          <w:highlight w:val="none"/>
        </w:rPr>
        <w:t>诚信投标承诺书</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格式见附件）</w:t>
      </w:r>
      <w:r>
        <w:rPr>
          <w:rFonts w:hint="eastAsia" w:ascii="宋体" w:hAnsi="宋体" w:cs="宋体"/>
          <w:color w:val="auto"/>
          <w:szCs w:val="21"/>
          <w:highlight w:val="none"/>
        </w:rPr>
        <w:t>；</w:t>
      </w:r>
    </w:p>
    <w:p w14:paraId="7C28496D">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）企业营业执照；</w:t>
      </w:r>
    </w:p>
    <w:p w14:paraId="0FA3322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4）企业有效的资质证书；</w:t>
      </w:r>
    </w:p>
    <w:p w14:paraId="3BBD8802">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cs="宋体"/>
          <w:color w:val="auto"/>
          <w:highlight w:val="none"/>
          <w:lang w:val="en-US" w:eastAsia="zh-CN"/>
        </w:rPr>
      </w:pPr>
      <w:r>
        <w:rPr>
          <w:rFonts w:hint="eastAsia" w:ascii="宋体" w:hAnsi="宋体" w:cs="宋体"/>
          <w:color w:val="auto"/>
          <w:highlight w:val="none"/>
          <w:lang w:val="en-US" w:eastAsia="zh-CN"/>
        </w:rPr>
        <w:t>（5）企业有效的安全生产许可证；</w:t>
      </w:r>
    </w:p>
    <w:p w14:paraId="38EC530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rPr>
        <w:t>（</w:t>
      </w:r>
      <w:r>
        <w:rPr>
          <w:rFonts w:hint="eastAsia" w:ascii="宋体" w:hAnsi="宋体" w:cs="宋体"/>
          <w:color w:val="auto"/>
          <w:highlight w:val="none"/>
          <w:lang w:val="en-US" w:eastAsia="zh-CN"/>
        </w:rPr>
        <w:t>6</w:t>
      </w:r>
      <w:r>
        <w:rPr>
          <w:rFonts w:hint="eastAsia" w:ascii="宋体" w:hAnsi="宋体" w:cs="宋体"/>
          <w:color w:val="auto"/>
          <w:highlight w:val="none"/>
        </w:rPr>
        <w:t>）</w:t>
      </w:r>
      <w:r>
        <w:rPr>
          <w:rFonts w:hint="eastAsia" w:ascii="宋体" w:hAnsi="宋体" w:cs="宋体"/>
          <w:color w:val="auto"/>
          <w:highlight w:val="none"/>
          <w:lang w:val="en-US" w:eastAsia="zh-CN"/>
        </w:rPr>
        <w:t>投标函（格式见附件）；</w:t>
      </w:r>
    </w:p>
    <w:p w14:paraId="5DDF70F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（7）分项报价清单（格式见附件）；</w:t>
      </w:r>
    </w:p>
    <w:p w14:paraId="2E7D255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8）</w:t>
      </w:r>
      <w:r>
        <w:rPr>
          <w:rFonts w:hint="eastAsia" w:ascii="宋体"/>
          <w:color w:val="auto"/>
          <w:szCs w:val="21"/>
          <w:highlight w:val="none"/>
          <w:lang w:val="en-US" w:eastAsia="zh-CN"/>
        </w:rPr>
        <w:t>评审过程中所需提供的证明材料</w:t>
      </w:r>
      <w:r>
        <w:rPr>
          <w:rFonts w:hint="eastAsia" w:ascii="宋体" w:hAnsi="宋体" w:eastAsia="宋体" w:cs="宋体"/>
          <w:color w:val="auto"/>
          <w:highlight w:val="none"/>
        </w:rPr>
        <w:t>。</w:t>
      </w:r>
    </w:p>
    <w:p w14:paraId="5377E5FD">
      <w:pPr>
        <w:spacing w:line="440" w:lineRule="exact"/>
        <w:ind w:firstLine="420" w:firstLineChars="200"/>
        <w:jc w:val="left"/>
        <w:rPr>
          <w:rFonts w:ascii="宋体" w:cs="宋体"/>
          <w:color w:val="auto"/>
          <w:highlight w:val="none"/>
        </w:rPr>
      </w:pPr>
    </w:p>
    <w:p w14:paraId="1177897C">
      <w:pPr>
        <w:spacing w:line="440" w:lineRule="exact"/>
        <w:ind w:left="420" w:leftChars="200" w:firstLine="0" w:firstLineChars="0"/>
        <w:jc w:val="left"/>
        <w:rPr>
          <w:rFonts w:hint="eastAsia" w:ascii="宋体" w:eastAsia="宋体" w:cs="宋体"/>
          <w:color w:val="auto"/>
          <w:highlight w:val="none"/>
          <w:lang w:val="en-US" w:eastAsia="zh-CN"/>
        </w:rPr>
      </w:pPr>
    </w:p>
    <w:p w14:paraId="2E6ABB41">
      <w:pPr>
        <w:spacing w:line="440" w:lineRule="exact"/>
        <w:ind w:left="420" w:leftChars="200" w:firstLine="0" w:firstLineChars="0"/>
        <w:jc w:val="left"/>
        <w:rPr>
          <w:rFonts w:hint="eastAsia" w:ascii="宋体" w:eastAsia="宋体" w:cs="宋体"/>
          <w:color w:val="auto"/>
          <w:highlight w:val="none"/>
          <w:lang w:val="en-US" w:eastAsia="zh-CN"/>
        </w:rPr>
      </w:pPr>
    </w:p>
    <w:p w14:paraId="3F5276DC">
      <w:pPr>
        <w:rPr>
          <w:b/>
          <w:color w:val="auto"/>
          <w:sz w:val="28"/>
          <w:szCs w:val="28"/>
          <w:highlight w:val="none"/>
        </w:rPr>
      </w:pPr>
    </w:p>
    <w:p w14:paraId="2DA3BB57">
      <w:pPr>
        <w:pStyle w:val="44"/>
        <w:ind w:left="31680" w:firstLine="31680"/>
        <w:rPr>
          <w:b/>
          <w:color w:val="auto"/>
          <w:sz w:val="28"/>
          <w:szCs w:val="28"/>
          <w:highlight w:val="none"/>
        </w:rPr>
      </w:pPr>
    </w:p>
    <w:p w14:paraId="66BA01AC">
      <w:pPr>
        <w:pStyle w:val="31"/>
        <w:rPr>
          <w:b/>
          <w:color w:val="auto"/>
          <w:sz w:val="28"/>
          <w:szCs w:val="28"/>
          <w:highlight w:val="none"/>
        </w:rPr>
      </w:pPr>
    </w:p>
    <w:p w14:paraId="0C75BB4D">
      <w:pPr>
        <w:pStyle w:val="31"/>
        <w:rPr>
          <w:b/>
          <w:color w:val="auto"/>
          <w:sz w:val="28"/>
          <w:szCs w:val="28"/>
          <w:highlight w:val="none"/>
        </w:rPr>
      </w:pPr>
    </w:p>
    <w:p w14:paraId="56F8D800">
      <w:pPr>
        <w:pStyle w:val="31"/>
        <w:rPr>
          <w:b/>
          <w:color w:val="auto"/>
          <w:sz w:val="28"/>
          <w:szCs w:val="28"/>
          <w:highlight w:val="none"/>
        </w:rPr>
      </w:pPr>
    </w:p>
    <w:p w14:paraId="43D9C47F">
      <w:pPr>
        <w:pStyle w:val="31"/>
        <w:ind w:left="0" w:firstLine="0"/>
        <w:rPr>
          <w:b/>
          <w:color w:val="auto"/>
          <w:sz w:val="28"/>
          <w:szCs w:val="28"/>
          <w:highlight w:val="none"/>
        </w:rPr>
      </w:pPr>
    </w:p>
    <w:p w14:paraId="2FD34A78">
      <w:pPr>
        <w:pStyle w:val="31"/>
        <w:ind w:left="0" w:firstLine="0"/>
        <w:jc w:val="center"/>
        <w:rPr>
          <w:rFonts w:ascii="宋体"/>
          <w:b/>
          <w:color w:val="auto"/>
          <w:sz w:val="28"/>
          <w:szCs w:val="28"/>
          <w:highlight w:val="none"/>
        </w:rPr>
      </w:pPr>
      <w:r>
        <w:rPr>
          <w:b/>
          <w:color w:val="auto"/>
          <w:sz w:val="28"/>
          <w:szCs w:val="28"/>
          <w:highlight w:val="none"/>
        </w:rPr>
        <w:br w:type="page"/>
      </w:r>
      <w:r>
        <w:rPr>
          <w:rFonts w:hint="eastAsia"/>
          <w:b/>
          <w:color w:val="auto"/>
          <w:sz w:val="28"/>
          <w:szCs w:val="28"/>
          <w:highlight w:val="none"/>
        </w:rPr>
        <w:t>（</w:t>
      </w:r>
      <w:r>
        <w:rPr>
          <w:b/>
          <w:color w:val="auto"/>
          <w:sz w:val="28"/>
          <w:szCs w:val="28"/>
          <w:highlight w:val="none"/>
        </w:rPr>
        <w:t>1</w:t>
      </w:r>
      <w:r>
        <w:rPr>
          <w:rFonts w:hint="eastAsia"/>
          <w:b/>
          <w:color w:val="auto"/>
          <w:sz w:val="28"/>
          <w:szCs w:val="28"/>
          <w:highlight w:val="none"/>
        </w:rPr>
        <w:t>）法定代表人身份证明或授权委托书</w:t>
      </w:r>
    </w:p>
    <w:p w14:paraId="6D1A5299">
      <w:pPr>
        <w:pStyle w:val="101"/>
        <w:spacing w:beforeLines="100" w:afterLines="100" w:line="360" w:lineRule="auto"/>
        <w:rPr>
          <w:rFonts w:ascii="宋体"/>
          <w:b/>
          <w:color w:val="auto"/>
          <w:sz w:val="24"/>
          <w:szCs w:val="24"/>
          <w:highlight w:val="none"/>
        </w:rPr>
      </w:pPr>
      <w:bookmarkStart w:id="785" w:name="_Toc503196197"/>
      <w:bookmarkStart w:id="786" w:name="_Toc506107356"/>
      <w:bookmarkStart w:id="787" w:name="_Toc26598"/>
      <w:r>
        <w:rPr>
          <w:rFonts w:hint="eastAsia" w:ascii="宋体"/>
          <w:color w:val="auto"/>
          <w:sz w:val="24"/>
          <w:szCs w:val="24"/>
          <w:highlight w:val="none"/>
          <w:lang w:eastAsia="zh-CN"/>
        </w:rPr>
        <w:t>1.</w:t>
      </w:r>
      <w:r>
        <w:rPr>
          <w:rFonts w:hint="eastAsia" w:ascii="宋体"/>
          <w:color w:val="auto"/>
          <w:sz w:val="24"/>
          <w:szCs w:val="24"/>
          <w:highlight w:val="none"/>
        </w:rPr>
        <w:t>法定代表人身份证明</w:t>
      </w:r>
    </w:p>
    <w:p w14:paraId="45334114">
      <w:pPr>
        <w:spacing w:line="360" w:lineRule="auto"/>
        <w:rPr>
          <w:rFonts w:ascii="宋体"/>
          <w:color w:val="auto"/>
          <w:sz w:val="24"/>
          <w:highlight w:val="none"/>
        </w:rPr>
      </w:pPr>
      <w:r>
        <w:rPr>
          <w:rFonts w:hint="eastAsia" w:ascii="宋体"/>
          <w:color w:val="auto"/>
          <w:sz w:val="24"/>
          <w:highlight w:val="none"/>
        </w:rPr>
        <w:t>投标人名称：</w:t>
      </w:r>
      <w:r>
        <w:rPr>
          <w:rFonts w:ascii="宋体"/>
          <w:color w:val="auto"/>
          <w:sz w:val="24"/>
          <w:highlight w:val="none"/>
          <w:u w:val="single"/>
        </w:rPr>
        <w:t xml:space="preserve">                                </w:t>
      </w:r>
      <w:r>
        <w:rPr>
          <w:rFonts w:ascii="宋体"/>
          <w:color w:val="auto"/>
          <w:sz w:val="24"/>
          <w:highlight w:val="none"/>
        </w:rPr>
        <w:t xml:space="preserve"> </w:t>
      </w:r>
    </w:p>
    <w:p w14:paraId="2F52BF14">
      <w:pPr>
        <w:spacing w:line="360" w:lineRule="auto"/>
        <w:rPr>
          <w:rFonts w:ascii="宋体"/>
          <w:color w:val="auto"/>
          <w:sz w:val="24"/>
          <w:highlight w:val="none"/>
        </w:rPr>
      </w:pPr>
      <w:r>
        <w:rPr>
          <w:rFonts w:hint="eastAsia" w:ascii="宋体"/>
          <w:color w:val="auto"/>
          <w:sz w:val="24"/>
          <w:highlight w:val="none"/>
        </w:rPr>
        <w:t>单位性质：</w:t>
      </w:r>
      <w:r>
        <w:rPr>
          <w:rFonts w:ascii="宋体"/>
          <w:color w:val="auto"/>
          <w:sz w:val="24"/>
          <w:highlight w:val="none"/>
        </w:rPr>
        <w:t xml:space="preserve"> </w:t>
      </w:r>
      <w:r>
        <w:rPr>
          <w:rFonts w:ascii="宋体"/>
          <w:color w:val="auto"/>
          <w:sz w:val="24"/>
          <w:highlight w:val="none"/>
          <w:u w:val="single"/>
        </w:rPr>
        <w:t xml:space="preserve">                                  </w:t>
      </w:r>
      <w:r>
        <w:rPr>
          <w:rFonts w:ascii="宋体"/>
          <w:color w:val="auto"/>
          <w:sz w:val="24"/>
          <w:highlight w:val="none"/>
        </w:rPr>
        <w:t xml:space="preserve"> </w:t>
      </w:r>
    </w:p>
    <w:p w14:paraId="6ABF1032">
      <w:pPr>
        <w:spacing w:line="360" w:lineRule="auto"/>
        <w:rPr>
          <w:rFonts w:ascii="宋体"/>
          <w:color w:val="auto"/>
          <w:sz w:val="24"/>
          <w:highlight w:val="none"/>
        </w:rPr>
      </w:pPr>
      <w:r>
        <w:rPr>
          <w:rFonts w:hint="eastAsia" w:ascii="宋体"/>
          <w:color w:val="auto"/>
          <w:sz w:val="24"/>
          <w:highlight w:val="none"/>
        </w:rPr>
        <w:t>地</w:t>
      </w:r>
      <w:r>
        <w:rPr>
          <w:rFonts w:ascii="宋体"/>
          <w:color w:val="auto"/>
          <w:sz w:val="24"/>
          <w:highlight w:val="none"/>
        </w:rPr>
        <w:t xml:space="preserve">    </w:t>
      </w:r>
      <w:r>
        <w:rPr>
          <w:rFonts w:hint="eastAsia" w:ascii="宋体"/>
          <w:color w:val="auto"/>
          <w:sz w:val="24"/>
          <w:highlight w:val="none"/>
        </w:rPr>
        <w:t>址：</w:t>
      </w:r>
      <w:r>
        <w:rPr>
          <w:rFonts w:ascii="宋体"/>
          <w:color w:val="auto"/>
          <w:sz w:val="24"/>
          <w:highlight w:val="none"/>
          <w:u w:val="single"/>
        </w:rPr>
        <w:t xml:space="preserve">                                   </w:t>
      </w:r>
      <w:r>
        <w:rPr>
          <w:rFonts w:ascii="宋体"/>
          <w:color w:val="auto"/>
          <w:sz w:val="24"/>
          <w:highlight w:val="none"/>
        </w:rPr>
        <w:t xml:space="preserve"> </w:t>
      </w:r>
    </w:p>
    <w:p w14:paraId="594EB25B">
      <w:pPr>
        <w:spacing w:line="360" w:lineRule="auto"/>
        <w:rPr>
          <w:rFonts w:ascii="宋体"/>
          <w:color w:val="auto"/>
          <w:sz w:val="24"/>
          <w:highlight w:val="none"/>
        </w:rPr>
      </w:pPr>
      <w:r>
        <w:rPr>
          <w:rFonts w:hint="eastAsia" w:ascii="宋体"/>
          <w:color w:val="auto"/>
          <w:sz w:val="24"/>
          <w:highlight w:val="none"/>
        </w:rPr>
        <w:t>成立时间：</w:t>
      </w:r>
      <w:r>
        <w:rPr>
          <w:rFonts w:ascii="宋体"/>
          <w:color w:val="auto"/>
          <w:sz w:val="24"/>
          <w:highlight w:val="none"/>
          <w:u w:val="single"/>
        </w:rPr>
        <w:t xml:space="preserve">        </w:t>
      </w:r>
      <w:r>
        <w:rPr>
          <w:rFonts w:hint="eastAsia" w:ascii="宋体"/>
          <w:color w:val="auto"/>
          <w:sz w:val="24"/>
          <w:highlight w:val="none"/>
        </w:rPr>
        <w:t>年</w:t>
      </w:r>
      <w:r>
        <w:rPr>
          <w:rFonts w:ascii="宋体"/>
          <w:color w:val="auto"/>
          <w:sz w:val="24"/>
          <w:highlight w:val="none"/>
          <w:u w:val="single"/>
        </w:rPr>
        <w:t xml:space="preserve">    </w:t>
      </w:r>
      <w:r>
        <w:rPr>
          <w:rFonts w:hint="eastAsia" w:ascii="宋体"/>
          <w:color w:val="auto"/>
          <w:sz w:val="24"/>
          <w:highlight w:val="none"/>
        </w:rPr>
        <w:t>月</w:t>
      </w:r>
      <w:r>
        <w:rPr>
          <w:rFonts w:ascii="宋体"/>
          <w:color w:val="auto"/>
          <w:sz w:val="24"/>
          <w:highlight w:val="none"/>
          <w:u w:val="single"/>
        </w:rPr>
        <w:t xml:space="preserve">  </w:t>
      </w:r>
      <w:r>
        <w:rPr>
          <w:rFonts w:hint="eastAsia" w:ascii="宋体"/>
          <w:color w:val="auto"/>
          <w:sz w:val="24"/>
          <w:highlight w:val="none"/>
        </w:rPr>
        <w:t>＿日</w:t>
      </w:r>
    </w:p>
    <w:p w14:paraId="35FB2D96">
      <w:pPr>
        <w:spacing w:line="360" w:lineRule="auto"/>
        <w:rPr>
          <w:rFonts w:ascii="宋体"/>
          <w:color w:val="auto"/>
          <w:sz w:val="24"/>
          <w:highlight w:val="none"/>
        </w:rPr>
      </w:pPr>
      <w:r>
        <w:rPr>
          <w:rFonts w:hint="eastAsia" w:ascii="宋体"/>
          <w:color w:val="auto"/>
          <w:sz w:val="24"/>
          <w:highlight w:val="none"/>
        </w:rPr>
        <w:t>经营期限：</w:t>
      </w:r>
      <w:r>
        <w:rPr>
          <w:rFonts w:ascii="宋体"/>
          <w:color w:val="auto"/>
          <w:sz w:val="24"/>
          <w:highlight w:val="none"/>
          <w:u w:val="single"/>
        </w:rPr>
        <w:t xml:space="preserve">                                </w:t>
      </w:r>
      <w:r>
        <w:rPr>
          <w:rFonts w:ascii="宋体"/>
          <w:color w:val="auto"/>
          <w:sz w:val="24"/>
          <w:highlight w:val="none"/>
        </w:rPr>
        <w:t xml:space="preserve"> </w:t>
      </w:r>
    </w:p>
    <w:p w14:paraId="37279B6F">
      <w:pPr>
        <w:spacing w:line="360" w:lineRule="auto"/>
        <w:jc w:val="left"/>
        <w:rPr>
          <w:rFonts w:ascii="宋体"/>
          <w:color w:val="auto"/>
          <w:sz w:val="24"/>
          <w:highlight w:val="none"/>
          <w:u w:val="single"/>
        </w:rPr>
      </w:pPr>
      <w:r>
        <w:rPr>
          <w:rFonts w:hint="eastAsia" w:ascii="宋体"/>
          <w:color w:val="auto"/>
          <w:spacing w:val="240"/>
          <w:sz w:val="24"/>
          <w:highlight w:val="none"/>
        </w:rPr>
        <w:t>姓</w:t>
      </w:r>
      <w:r>
        <w:rPr>
          <w:rFonts w:hint="eastAsia" w:ascii="宋体"/>
          <w:color w:val="auto"/>
          <w:sz w:val="24"/>
          <w:highlight w:val="none"/>
        </w:rPr>
        <w:t>名：</w:t>
      </w:r>
      <w:r>
        <w:rPr>
          <w:rFonts w:ascii="宋体"/>
          <w:color w:val="auto"/>
          <w:sz w:val="24"/>
          <w:highlight w:val="none"/>
          <w:u w:val="single"/>
        </w:rPr>
        <w:t xml:space="preserve">           </w:t>
      </w:r>
      <w:r>
        <w:rPr>
          <w:rFonts w:hint="eastAsia" w:ascii="宋体"/>
          <w:color w:val="auto"/>
          <w:sz w:val="24"/>
          <w:highlight w:val="none"/>
        </w:rPr>
        <w:t>身份证号码：</w:t>
      </w:r>
      <w:r>
        <w:rPr>
          <w:rFonts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w:t>
      </w:r>
      <w:r>
        <w:rPr>
          <w:rFonts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w:t>
      </w:r>
      <w:r>
        <w:rPr>
          <w:rFonts w:ascii="宋体"/>
          <w:color w:val="auto"/>
          <w:sz w:val="24"/>
          <w:highlight w:val="none"/>
          <w:u w:val="single"/>
        </w:rPr>
        <w:t xml:space="preserve">  </w:t>
      </w:r>
      <w:r>
        <w:rPr>
          <w:rFonts w:hint="eastAsia" w:ascii="宋体"/>
          <w:color w:val="auto"/>
          <w:sz w:val="24"/>
          <w:highlight w:val="none"/>
        </w:rPr>
        <w:t>职务：</w:t>
      </w:r>
      <w:r>
        <w:rPr>
          <w:rFonts w:ascii="宋体"/>
          <w:color w:val="auto"/>
          <w:sz w:val="24"/>
          <w:highlight w:val="none"/>
          <w:u w:val="single"/>
        </w:rPr>
        <w:t xml:space="preserve">       </w:t>
      </w:r>
      <w:r>
        <w:rPr>
          <w:rFonts w:ascii="宋体"/>
          <w:color w:val="auto"/>
          <w:sz w:val="24"/>
          <w:highlight w:val="none"/>
        </w:rPr>
        <w:t>_</w:t>
      </w:r>
      <w:r>
        <w:rPr>
          <w:rFonts w:hint="eastAsia" w:ascii="宋体"/>
          <w:color w:val="auto"/>
          <w:sz w:val="24"/>
          <w:highlight w:val="none"/>
        </w:rPr>
        <w:t>，系</w:t>
      </w:r>
      <w:r>
        <w:rPr>
          <w:rFonts w:ascii="宋体"/>
          <w:color w:val="auto"/>
          <w:sz w:val="24"/>
          <w:highlight w:val="none"/>
          <w:u w:val="single"/>
        </w:rPr>
        <w:t xml:space="preserve">                                </w:t>
      </w:r>
      <w:r>
        <w:rPr>
          <w:rFonts w:hint="eastAsia" w:ascii="宋体"/>
          <w:color w:val="auto"/>
          <w:sz w:val="24"/>
          <w:highlight w:val="none"/>
        </w:rPr>
        <w:t>（投标人名称）的法定代表人。</w:t>
      </w:r>
    </w:p>
    <w:p w14:paraId="6D40EA8E">
      <w:pPr>
        <w:spacing w:line="360" w:lineRule="auto"/>
        <w:rPr>
          <w:color w:val="auto"/>
          <w:highlight w:val="none"/>
        </w:rPr>
      </w:pPr>
      <w:r>
        <w:rPr>
          <w:rFonts w:hint="eastAsia" w:ascii="宋体"/>
          <w:color w:val="auto"/>
          <w:sz w:val="24"/>
          <w:highlight w:val="none"/>
        </w:rPr>
        <w:t>特此证明。</w:t>
      </w:r>
    </w:p>
    <w:p w14:paraId="1D56305B">
      <w:pPr>
        <w:spacing w:line="360" w:lineRule="auto"/>
        <w:ind w:firstLine="3720" w:firstLineChars="1550"/>
        <w:rPr>
          <w:rFonts w:ascii="宋体"/>
          <w:color w:val="auto"/>
          <w:sz w:val="24"/>
          <w:highlight w:val="none"/>
        </w:rPr>
      </w:pPr>
      <w:r>
        <w:rPr>
          <w:rFonts w:hint="eastAsia" w:ascii="宋体"/>
          <w:color w:val="auto"/>
          <w:sz w:val="24"/>
          <w:highlight w:val="none"/>
        </w:rPr>
        <w:t>投标人：</w:t>
      </w:r>
      <w:r>
        <w:rPr>
          <w:rFonts w:ascii="宋体"/>
          <w:color w:val="auto"/>
          <w:sz w:val="24"/>
          <w:highlight w:val="none"/>
          <w:u w:val="single"/>
        </w:rPr>
        <w:t xml:space="preserve">                 </w:t>
      </w:r>
      <w:r>
        <w:rPr>
          <w:rFonts w:hint="eastAsia" w:ascii="宋体"/>
          <w:color w:val="auto"/>
          <w:sz w:val="24"/>
          <w:highlight w:val="none"/>
        </w:rPr>
        <w:t>（签章）</w:t>
      </w:r>
    </w:p>
    <w:p w14:paraId="64B24D8B">
      <w:pPr>
        <w:spacing w:line="360" w:lineRule="auto"/>
        <w:rPr>
          <w:rFonts w:ascii="宋体"/>
          <w:color w:val="auto"/>
          <w:sz w:val="30"/>
          <w:szCs w:val="30"/>
          <w:highlight w:val="none"/>
        </w:rPr>
      </w:pPr>
      <w:r>
        <w:rPr>
          <w:rFonts w:ascii="宋体"/>
          <w:color w:val="auto"/>
          <w:sz w:val="24"/>
          <w:highlight w:val="none"/>
        </w:rPr>
        <w:t xml:space="preserve">                                        </w:t>
      </w:r>
      <w:r>
        <w:rPr>
          <w:rFonts w:hint="eastAsia" w:ascii="宋体"/>
          <w:color w:val="auto"/>
          <w:sz w:val="24"/>
          <w:highlight w:val="none"/>
        </w:rPr>
        <w:t>年</w:t>
      </w:r>
      <w:r>
        <w:rPr>
          <w:rFonts w:ascii="宋体"/>
          <w:color w:val="auto"/>
          <w:sz w:val="24"/>
          <w:highlight w:val="none"/>
        </w:rPr>
        <w:t xml:space="preserve">    </w:t>
      </w:r>
      <w:r>
        <w:rPr>
          <w:rFonts w:hint="eastAsia" w:ascii="宋体"/>
          <w:color w:val="auto"/>
          <w:sz w:val="24"/>
          <w:highlight w:val="none"/>
        </w:rPr>
        <w:t>月</w:t>
      </w:r>
      <w:r>
        <w:rPr>
          <w:rFonts w:ascii="宋体"/>
          <w:color w:val="auto"/>
          <w:sz w:val="24"/>
          <w:highlight w:val="none"/>
        </w:rPr>
        <w:t xml:space="preserve">     </w:t>
      </w:r>
      <w:r>
        <w:rPr>
          <w:rFonts w:hint="eastAsia" w:ascii="宋体"/>
          <w:color w:val="auto"/>
          <w:sz w:val="24"/>
          <w:highlight w:val="none"/>
        </w:rPr>
        <w:t>日</w:t>
      </w:r>
    </w:p>
    <w:p w14:paraId="65CAA36A">
      <w:pPr>
        <w:pStyle w:val="101"/>
        <w:spacing w:beforeLines="100" w:afterLines="100" w:line="360" w:lineRule="auto"/>
        <w:rPr>
          <w:rFonts w:ascii="宋体"/>
          <w:color w:val="auto"/>
          <w:sz w:val="24"/>
          <w:szCs w:val="24"/>
          <w:highlight w:val="none"/>
        </w:rPr>
      </w:pPr>
      <w:r>
        <w:rPr>
          <w:rFonts w:hint="eastAsia" w:ascii="宋体"/>
          <w:color w:val="auto"/>
          <w:sz w:val="24"/>
          <w:szCs w:val="24"/>
          <w:highlight w:val="none"/>
        </w:rPr>
        <w:t>或</w:t>
      </w:r>
      <w:r>
        <w:rPr>
          <w:rFonts w:ascii="宋体"/>
          <w:color w:val="auto"/>
          <w:sz w:val="24"/>
          <w:szCs w:val="24"/>
          <w:highlight w:val="none"/>
        </w:rPr>
        <w:t>1</w:t>
      </w:r>
      <w:r>
        <w:rPr>
          <w:rFonts w:hint="eastAsia" w:ascii="宋体"/>
          <w:color w:val="auto"/>
          <w:sz w:val="24"/>
          <w:szCs w:val="24"/>
          <w:highlight w:val="none"/>
        </w:rPr>
        <w:t>、授权委托书</w:t>
      </w:r>
    </w:p>
    <w:p w14:paraId="4C32ECFB">
      <w:pPr>
        <w:spacing w:line="500" w:lineRule="exact"/>
        <w:ind w:firstLine="480" w:firstLineChars="200"/>
        <w:jc w:val="left"/>
        <w:rPr>
          <w:rFonts w:ascii="宋体"/>
          <w:color w:val="auto"/>
          <w:sz w:val="24"/>
          <w:highlight w:val="none"/>
        </w:rPr>
      </w:pPr>
      <w:r>
        <w:rPr>
          <w:rFonts w:hint="eastAsia" w:ascii="宋体"/>
          <w:color w:val="auto"/>
          <w:sz w:val="24"/>
          <w:highlight w:val="none"/>
        </w:rPr>
        <w:t>本人</w:t>
      </w:r>
      <w:r>
        <w:rPr>
          <w:rFonts w:ascii="宋体"/>
          <w:color w:val="auto"/>
          <w:sz w:val="24"/>
          <w:highlight w:val="none"/>
        </w:rPr>
        <w:t xml:space="preserve"> </w:t>
      </w:r>
      <w:r>
        <w:rPr>
          <w:rFonts w:ascii="宋体"/>
          <w:color w:val="auto"/>
          <w:sz w:val="24"/>
          <w:highlight w:val="none"/>
          <w:u w:val="single"/>
        </w:rPr>
        <w:t xml:space="preserve">    </w:t>
      </w:r>
      <w:r>
        <w:rPr>
          <w:rFonts w:hint="eastAsia" w:ascii="宋体"/>
          <w:color w:val="auto"/>
          <w:sz w:val="24"/>
          <w:highlight w:val="none"/>
        </w:rPr>
        <w:t>（姓名）系</w:t>
      </w:r>
      <w:r>
        <w:rPr>
          <w:rFonts w:ascii="宋体"/>
          <w:color w:val="auto"/>
          <w:sz w:val="24"/>
          <w:highlight w:val="none"/>
          <w:u w:val="single"/>
        </w:rPr>
        <w:t xml:space="preserve">       </w:t>
      </w:r>
      <w:r>
        <w:rPr>
          <w:rFonts w:hint="eastAsia" w:ascii="宋体"/>
          <w:color w:val="auto"/>
          <w:sz w:val="24"/>
          <w:highlight w:val="none"/>
        </w:rPr>
        <w:t>（投标人）的法定代表人，现委托</w:t>
      </w:r>
      <w:r>
        <w:rPr>
          <w:rFonts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w:t>
      </w:r>
      <w:r>
        <w:rPr>
          <w:rFonts w:ascii="宋体"/>
          <w:color w:val="auto"/>
          <w:sz w:val="24"/>
          <w:highlight w:val="none"/>
        </w:rPr>
        <w:t xml:space="preserve"> </w:t>
      </w:r>
      <w:r>
        <w:rPr>
          <w:rFonts w:hint="eastAsia" w:ascii="宋体"/>
          <w:color w:val="auto"/>
          <w:sz w:val="24"/>
          <w:highlight w:val="none"/>
        </w:rPr>
        <w:t>“</w:t>
      </w:r>
      <w:r>
        <w:rPr>
          <w:rFonts w:ascii="宋体"/>
          <w:color w:val="auto"/>
          <w:sz w:val="24"/>
          <w:highlight w:val="none"/>
          <w:u w:val="single"/>
        </w:rPr>
        <w:t xml:space="preserve">      </w:t>
      </w:r>
      <w:r>
        <w:rPr>
          <w:rFonts w:ascii="宋体"/>
          <w:color w:val="auto"/>
          <w:sz w:val="24"/>
          <w:highlight w:val="none"/>
        </w:rPr>
        <w:t xml:space="preserve"> </w:t>
      </w:r>
      <w:r>
        <w:rPr>
          <w:rFonts w:hint="eastAsia" w:ascii="宋体"/>
          <w:color w:val="auto"/>
          <w:sz w:val="24"/>
          <w:highlight w:val="none"/>
        </w:rPr>
        <w:t>”</w:t>
      </w:r>
      <w:r>
        <w:rPr>
          <w:rFonts w:hint="eastAsia" w:ascii="宋体"/>
          <w:color w:val="auto"/>
          <w:sz w:val="24"/>
          <w:highlight w:val="none"/>
          <w:lang w:eastAsia="zh-CN"/>
        </w:rPr>
        <w:t>（</w:t>
      </w:r>
      <w:r>
        <w:rPr>
          <w:rFonts w:hint="eastAsia" w:ascii="宋体"/>
          <w:color w:val="auto"/>
          <w:sz w:val="24"/>
          <w:highlight w:val="none"/>
        </w:rPr>
        <w:t>项目名称、编号）投标文件，全权处理与该项目投标、评审答疑、签订合同以及与合同执行有关的一切事务，其法律后果由我方承担。</w:t>
      </w:r>
    </w:p>
    <w:p w14:paraId="0219911F">
      <w:pPr>
        <w:spacing w:line="500" w:lineRule="exact"/>
        <w:ind w:firstLine="480" w:firstLineChars="200"/>
        <w:rPr>
          <w:rFonts w:ascii="宋体"/>
          <w:color w:val="auto"/>
          <w:sz w:val="24"/>
          <w:highlight w:val="none"/>
        </w:rPr>
      </w:pPr>
      <w:r>
        <w:rPr>
          <w:rFonts w:hint="eastAsia" w:ascii="宋体"/>
          <w:color w:val="auto"/>
          <w:sz w:val="24"/>
          <w:highlight w:val="none"/>
        </w:rPr>
        <w:t>委托期限：</w:t>
      </w:r>
      <w:r>
        <w:rPr>
          <w:rFonts w:ascii="宋体"/>
          <w:color w:val="auto"/>
          <w:sz w:val="24"/>
          <w:highlight w:val="none"/>
        </w:rPr>
        <w:t xml:space="preserve"> </w:t>
      </w:r>
      <w:r>
        <w:rPr>
          <w:rFonts w:ascii="宋体" w:cs="宋体"/>
          <w:color w:val="auto"/>
          <w:sz w:val="24"/>
          <w:highlight w:val="none"/>
          <w:u w:val="single"/>
        </w:rPr>
        <w:t xml:space="preserve">          </w:t>
      </w:r>
      <w:r>
        <w:rPr>
          <w:rFonts w:hint="eastAsia" w:ascii="宋体" w:cs="宋体"/>
          <w:color w:val="auto"/>
          <w:sz w:val="24"/>
          <w:highlight w:val="none"/>
        </w:rPr>
        <w:t>。</w:t>
      </w:r>
      <w:r>
        <w:rPr>
          <w:rFonts w:ascii="宋体"/>
          <w:color w:val="auto"/>
          <w:sz w:val="24"/>
          <w:highlight w:val="none"/>
        </w:rPr>
        <w:t xml:space="preserve">                     </w:t>
      </w:r>
    </w:p>
    <w:p w14:paraId="02078BFB">
      <w:pPr>
        <w:spacing w:line="500" w:lineRule="exact"/>
        <w:ind w:firstLine="480" w:firstLineChars="200"/>
        <w:rPr>
          <w:rFonts w:ascii="宋体"/>
          <w:color w:val="auto"/>
          <w:sz w:val="24"/>
          <w:highlight w:val="none"/>
        </w:rPr>
      </w:pPr>
      <w:r>
        <w:rPr>
          <w:rFonts w:hint="eastAsia" w:ascii="宋体"/>
          <w:color w:val="auto"/>
          <w:sz w:val="24"/>
          <w:highlight w:val="none"/>
        </w:rPr>
        <w:t>代理人无转委托权。</w:t>
      </w:r>
    </w:p>
    <w:p w14:paraId="68290069">
      <w:pPr>
        <w:spacing w:line="500" w:lineRule="exact"/>
        <w:ind w:firstLine="480" w:firstLineChars="200"/>
        <w:rPr>
          <w:rFonts w:ascii="宋体"/>
          <w:b/>
          <w:color w:val="auto"/>
          <w:sz w:val="24"/>
          <w:highlight w:val="none"/>
        </w:rPr>
      </w:pPr>
      <w:r>
        <w:rPr>
          <w:rFonts w:hint="eastAsia" w:ascii="宋体"/>
          <w:color w:val="auto"/>
          <w:sz w:val="24"/>
          <w:highlight w:val="none"/>
        </w:rPr>
        <w:t>附：</w:t>
      </w:r>
      <w:r>
        <w:rPr>
          <w:rFonts w:hint="eastAsia" w:ascii="宋体"/>
          <w:b/>
          <w:color w:val="auto"/>
          <w:sz w:val="24"/>
          <w:highlight w:val="none"/>
        </w:rPr>
        <w:t>委托代理人有效身份证</w:t>
      </w:r>
    </w:p>
    <w:p w14:paraId="688690EC">
      <w:pPr>
        <w:spacing w:line="500" w:lineRule="exact"/>
        <w:ind w:firstLine="957" w:firstLineChars="397"/>
        <w:rPr>
          <w:color w:val="auto"/>
          <w:highlight w:val="none"/>
        </w:rPr>
      </w:pPr>
      <w:r>
        <w:rPr>
          <w:rFonts w:hint="eastAsia" w:ascii="宋体"/>
          <w:b/>
          <w:color w:val="auto"/>
          <w:sz w:val="24"/>
          <w:highlight w:val="none"/>
        </w:rPr>
        <w:t>法定代表人有效身份证</w:t>
      </w:r>
    </w:p>
    <w:p w14:paraId="1075F943">
      <w:pPr>
        <w:spacing w:line="500" w:lineRule="exact"/>
        <w:ind w:firstLine="200"/>
        <w:rPr>
          <w:rFonts w:ascii="宋体"/>
          <w:color w:val="auto"/>
          <w:sz w:val="24"/>
          <w:highlight w:val="none"/>
        </w:rPr>
      </w:pPr>
      <w:r>
        <w:rPr>
          <w:rFonts w:ascii="宋体"/>
          <w:color w:val="auto"/>
          <w:sz w:val="24"/>
          <w:highlight w:val="none"/>
        </w:rPr>
        <w:t xml:space="preserve">                                        </w:t>
      </w:r>
      <w:r>
        <w:rPr>
          <w:rFonts w:hint="eastAsia" w:ascii="宋体"/>
          <w:color w:val="auto"/>
          <w:sz w:val="24"/>
          <w:highlight w:val="none"/>
        </w:rPr>
        <w:t>投标人（签章）：</w:t>
      </w:r>
    </w:p>
    <w:p w14:paraId="1AE08E78">
      <w:pPr>
        <w:spacing w:line="500" w:lineRule="exact"/>
        <w:ind w:firstLine="5040" w:firstLineChars="2100"/>
        <w:rPr>
          <w:rFonts w:ascii="宋体"/>
          <w:color w:val="auto"/>
          <w:sz w:val="24"/>
          <w:highlight w:val="none"/>
        </w:rPr>
      </w:pPr>
      <w:r>
        <w:rPr>
          <w:rFonts w:hint="eastAsia" w:ascii="宋体"/>
          <w:color w:val="auto"/>
          <w:sz w:val="24"/>
          <w:highlight w:val="none"/>
        </w:rPr>
        <w:t>法定代表人（身份证号码）：</w:t>
      </w:r>
      <w:r>
        <w:rPr>
          <w:rFonts w:ascii="宋体"/>
          <w:color w:val="auto"/>
          <w:sz w:val="24"/>
          <w:highlight w:val="none"/>
        </w:rPr>
        <w:t xml:space="preserve"> </w:t>
      </w:r>
      <w:r>
        <w:rPr>
          <w:rFonts w:hint="eastAsia" w:ascii="宋体"/>
          <w:color w:val="auto"/>
          <w:sz w:val="24"/>
          <w:highlight w:val="none"/>
        </w:rPr>
        <w:t>（签章）</w:t>
      </w:r>
    </w:p>
    <w:p w14:paraId="68355D18">
      <w:pPr>
        <w:spacing w:line="500" w:lineRule="exact"/>
        <w:ind w:firstLine="5040" w:firstLineChars="2100"/>
        <w:rPr>
          <w:rFonts w:ascii="宋体"/>
          <w:color w:val="auto"/>
          <w:sz w:val="24"/>
          <w:highlight w:val="none"/>
        </w:rPr>
      </w:pPr>
      <w:r>
        <w:rPr>
          <w:rFonts w:hint="eastAsia" w:ascii="宋体"/>
          <w:color w:val="auto"/>
          <w:sz w:val="24"/>
          <w:highlight w:val="none"/>
        </w:rPr>
        <w:t>委托代理人（身份证号码）：</w:t>
      </w:r>
      <w:r>
        <w:rPr>
          <w:rFonts w:ascii="宋体"/>
          <w:color w:val="auto"/>
          <w:sz w:val="24"/>
          <w:highlight w:val="none"/>
        </w:rPr>
        <w:t xml:space="preserve">      </w:t>
      </w:r>
    </w:p>
    <w:p w14:paraId="33F25D61">
      <w:pPr>
        <w:spacing w:line="500" w:lineRule="exact"/>
        <w:ind w:firstLine="2820" w:firstLineChars="1175"/>
        <w:rPr>
          <w:color w:val="auto"/>
          <w:highlight w:val="none"/>
        </w:rPr>
      </w:pPr>
      <w:r>
        <w:rPr>
          <w:rFonts w:ascii="宋体"/>
          <w:color w:val="auto"/>
          <w:sz w:val="24"/>
          <w:highlight w:val="none"/>
        </w:rPr>
        <w:t xml:space="preserve">                  </w:t>
      </w:r>
      <w:r>
        <w:rPr>
          <w:rFonts w:hint="eastAsia" w:ascii="宋体"/>
          <w:color w:val="auto"/>
          <w:sz w:val="24"/>
          <w:highlight w:val="none"/>
        </w:rPr>
        <w:t>年</w:t>
      </w:r>
      <w:r>
        <w:rPr>
          <w:rFonts w:ascii="宋体"/>
          <w:color w:val="auto"/>
          <w:sz w:val="24"/>
          <w:highlight w:val="none"/>
        </w:rPr>
        <w:t xml:space="preserve">    </w:t>
      </w:r>
      <w:r>
        <w:rPr>
          <w:rFonts w:hint="eastAsia" w:ascii="宋体"/>
          <w:color w:val="auto"/>
          <w:sz w:val="24"/>
          <w:highlight w:val="none"/>
        </w:rPr>
        <w:t>月</w:t>
      </w:r>
      <w:r>
        <w:rPr>
          <w:rFonts w:ascii="宋体"/>
          <w:color w:val="auto"/>
          <w:sz w:val="24"/>
          <w:highlight w:val="none"/>
        </w:rPr>
        <w:t xml:space="preserve">    </w:t>
      </w:r>
      <w:r>
        <w:rPr>
          <w:rFonts w:hint="eastAsia" w:ascii="宋体"/>
          <w:color w:val="auto"/>
          <w:sz w:val="24"/>
          <w:highlight w:val="none"/>
        </w:rPr>
        <w:t>日</w:t>
      </w:r>
    </w:p>
    <w:p w14:paraId="1DF25BCD">
      <w:pPr>
        <w:spacing w:line="360" w:lineRule="auto"/>
        <w:jc w:val="center"/>
        <w:rPr>
          <w:b/>
          <w:color w:val="auto"/>
          <w:sz w:val="28"/>
          <w:szCs w:val="28"/>
          <w:highlight w:val="none"/>
        </w:rPr>
      </w:pPr>
      <w:r>
        <w:rPr>
          <w:rFonts w:hint="eastAsia"/>
          <w:b/>
          <w:color w:val="auto"/>
          <w:sz w:val="28"/>
          <w:szCs w:val="28"/>
          <w:highlight w:val="none"/>
        </w:rPr>
        <w:br w:type="page"/>
      </w:r>
      <w:r>
        <w:rPr>
          <w:rFonts w:hint="eastAsia"/>
          <w:b/>
          <w:color w:val="auto"/>
          <w:sz w:val="28"/>
          <w:szCs w:val="28"/>
          <w:highlight w:val="none"/>
        </w:rPr>
        <w:t>（</w:t>
      </w:r>
      <w:r>
        <w:rPr>
          <w:b/>
          <w:color w:val="auto"/>
          <w:sz w:val="28"/>
          <w:szCs w:val="28"/>
          <w:highlight w:val="none"/>
        </w:rPr>
        <w:t>2</w:t>
      </w:r>
      <w:r>
        <w:rPr>
          <w:rFonts w:hint="eastAsia"/>
          <w:b/>
          <w:color w:val="auto"/>
          <w:sz w:val="28"/>
          <w:szCs w:val="28"/>
          <w:highlight w:val="none"/>
        </w:rPr>
        <w:t>）诚信投标承诺书</w:t>
      </w:r>
      <w:bookmarkEnd w:id="785"/>
      <w:bookmarkEnd w:id="786"/>
      <w:r>
        <w:rPr>
          <w:b/>
          <w:color w:val="auto"/>
          <w:sz w:val="28"/>
          <w:szCs w:val="28"/>
          <w:highlight w:val="none"/>
        </w:rPr>
        <w:t> </w:t>
      </w:r>
      <w:bookmarkEnd w:id="787"/>
    </w:p>
    <w:p w14:paraId="54756A4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本人以企业法定代表人的身份郑重承诺：</w:t>
      </w:r>
    </w:p>
    <w:p w14:paraId="7ED2793D">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项目的投标；</w:t>
      </w:r>
    </w:p>
    <w:p w14:paraId="7BCAC41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二、所提供的一切材料都是真实、合法的；</w:t>
      </w:r>
    </w:p>
    <w:p w14:paraId="05C3BDD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2E8210B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4D66333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0F52484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六、我公司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w:t>
      </w:r>
    </w:p>
    <w:p w14:paraId="5F5CDD2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七、严格遵守开标现场纪律，服从监管人员管理；</w:t>
      </w:r>
    </w:p>
    <w:p w14:paraId="263A59A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八、保证中标后不转包及使用挂靠施工队伍，若有分包征得</w:t>
      </w:r>
      <w:r>
        <w:rPr>
          <w:rFonts w:hint="eastAsia" w:ascii="宋体" w:hAnsi="宋体"/>
          <w:color w:val="auto"/>
          <w:szCs w:val="21"/>
          <w:highlight w:val="none"/>
          <w:lang w:val="en-US" w:eastAsia="zh-CN"/>
        </w:rPr>
        <w:t>招标单位</w:t>
      </w:r>
      <w:r>
        <w:rPr>
          <w:rFonts w:hint="eastAsia" w:ascii="宋体" w:hAnsi="宋体"/>
          <w:color w:val="auto"/>
          <w:szCs w:val="21"/>
          <w:highlight w:val="none"/>
        </w:rPr>
        <w:t>同意；</w:t>
      </w:r>
    </w:p>
    <w:p w14:paraId="47C3D2E4">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九、保证中标之后，按照投标文件承诺派驻管理人员及投入机械设备，如有违反，同意接受建设单位违约处罚；</w:t>
      </w:r>
    </w:p>
    <w:p w14:paraId="29934C9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56D47E7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1600B13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 以上内容我已仔细阅读，本公司若有违反承诺内容的行为，自愿接受取消投标或者中标资格、记入不良行为记录等有关处理，愿意承担法律责任，给招标人造成损失的，承担赔偿责任。</w:t>
      </w:r>
    </w:p>
    <w:p w14:paraId="7029E05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开户银行：                   基本账户：</w:t>
      </w:r>
    </w:p>
    <w:p w14:paraId="2F224A2A">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投标人（签章）：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法定代表人（签章）：</w:t>
      </w:r>
    </w:p>
    <w:p w14:paraId="348FE35A">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5AB2BA3A">
      <w:pPr>
        <w:rPr>
          <w:rFonts w:ascii="宋体"/>
          <w:b/>
          <w:color w:val="auto"/>
          <w:sz w:val="32"/>
          <w:szCs w:val="32"/>
          <w:highlight w:val="none"/>
        </w:rPr>
      </w:pPr>
    </w:p>
    <w:p w14:paraId="7F104225">
      <w:pPr>
        <w:rPr>
          <w:color w:val="auto"/>
          <w:highlight w:val="none"/>
        </w:rPr>
      </w:pPr>
    </w:p>
    <w:p w14:paraId="3330595A">
      <w:pPr>
        <w:rPr>
          <w:rFonts w:hint="eastAsia" w:ascii="宋体" w:hAnsi="宋体"/>
          <w:b/>
          <w:color w:val="auto"/>
          <w:sz w:val="32"/>
          <w:szCs w:val="32"/>
          <w:highlight w:val="none"/>
        </w:rPr>
      </w:pPr>
      <w:r>
        <w:rPr>
          <w:rFonts w:hint="eastAsia" w:ascii="宋体" w:hAnsi="宋体"/>
          <w:b/>
          <w:color w:val="auto"/>
          <w:sz w:val="32"/>
          <w:szCs w:val="32"/>
          <w:highlight w:val="none"/>
        </w:rPr>
        <w:br w:type="page"/>
      </w:r>
    </w:p>
    <w:p w14:paraId="6415005E">
      <w:pPr>
        <w:spacing w:line="360" w:lineRule="auto"/>
        <w:jc w:val="center"/>
        <w:rPr>
          <w:rFonts w:hint="eastAsia" w:ascii="Times New Roman" w:hAnsi="Times New Roman" w:eastAsia="宋体" w:cs="Times New Roman"/>
          <w:b/>
          <w:color w:val="auto"/>
          <w:sz w:val="28"/>
          <w:szCs w:val="28"/>
          <w:highlight w:val="none"/>
          <w:lang w:val="en-US" w:eastAsia="zh-CN"/>
        </w:rPr>
      </w:pPr>
      <w:r>
        <w:rPr>
          <w:rFonts w:hint="eastAsia"/>
          <w:b/>
          <w:color w:val="auto"/>
          <w:sz w:val="28"/>
          <w:szCs w:val="28"/>
          <w:highlight w:val="none"/>
        </w:rPr>
        <w:t>（</w:t>
      </w:r>
      <w:r>
        <w:rPr>
          <w:rFonts w:hint="eastAsia"/>
          <w:b/>
          <w:color w:val="auto"/>
          <w:sz w:val="28"/>
          <w:szCs w:val="28"/>
          <w:highlight w:val="none"/>
          <w:lang w:val="en-US" w:eastAsia="zh-CN"/>
        </w:rPr>
        <w:t>3</w:t>
      </w:r>
      <w:r>
        <w:rPr>
          <w:rFonts w:hint="eastAsia"/>
          <w:b/>
          <w:color w:val="auto"/>
          <w:sz w:val="28"/>
          <w:szCs w:val="28"/>
          <w:highlight w:val="none"/>
        </w:rPr>
        <w:t>）</w:t>
      </w:r>
      <w:r>
        <w:rPr>
          <w:rFonts w:hint="eastAsia" w:ascii="Times New Roman" w:hAnsi="Times New Roman" w:eastAsia="宋体" w:cs="Times New Roman"/>
          <w:b/>
          <w:color w:val="auto"/>
          <w:sz w:val="28"/>
          <w:szCs w:val="28"/>
          <w:highlight w:val="none"/>
          <w:lang w:val="en-US" w:eastAsia="zh-CN"/>
        </w:rPr>
        <w:t>投标函</w:t>
      </w:r>
    </w:p>
    <w:p w14:paraId="06EFE557">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（招标人）      </w:t>
      </w:r>
    </w:p>
    <w:p w14:paraId="7A92C83D">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rPr>
        <w:t>根据你方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招标文件，遵照《中华人民共和国招标投标法》等有关规定，经踏勘项目现场和研究上述招标文件的投标须知、合同条件、技术规范</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其他有关文件后，我方愿以</w:t>
      </w:r>
      <w:r>
        <w:rPr>
          <w:rFonts w:hint="eastAsia" w:ascii="宋体" w:hAnsi="宋体" w:eastAsia="宋体" w:cs="宋体"/>
          <w:color w:val="auto"/>
          <w:sz w:val="24"/>
          <w:szCs w:val="24"/>
          <w:highlight w:val="none"/>
          <w:lang w:eastAsia="zh-CN"/>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（小写）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u w:val="single"/>
          <w:lang w:eastAsia="zh-CN"/>
        </w:rPr>
        <w:t>（</w:t>
      </w:r>
      <w:r>
        <w:rPr>
          <w:rFonts w:hint="eastAsia" w:ascii="宋体" w:hAnsi="宋体" w:eastAsia="宋体" w:cs="宋体"/>
          <w:b/>
          <w:bCs/>
          <w:color w:val="auto"/>
          <w:kern w:val="0"/>
          <w:sz w:val="24"/>
          <w:szCs w:val="24"/>
          <w:highlight w:val="none"/>
          <w:u w:val="single"/>
          <w:lang w:val="en-US" w:eastAsia="zh-CN"/>
        </w:rPr>
        <w:t>开具增值税（专用/普通</w:t>
      </w:r>
      <w:r>
        <w:rPr>
          <w:rFonts w:hint="eastAsia" w:ascii="宋体" w:hAnsi="宋体" w:cs="宋体"/>
          <w:b/>
          <w:bCs/>
          <w:color w:val="auto"/>
          <w:kern w:val="0"/>
          <w:sz w:val="24"/>
          <w:szCs w:val="24"/>
          <w:highlight w:val="none"/>
          <w:u w:val="single"/>
          <w:lang w:val="en-US" w:eastAsia="zh-CN"/>
        </w:rPr>
        <w:t>。此处由投标人根据自身情况选择专用或普通</w:t>
      </w:r>
      <w:r>
        <w:rPr>
          <w:rFonts w:hint="eastAsia" w:ascii="宋体" w:hAnsi="宋体" w:eastAsia="宋体" w:cs="宋体"/>
          <w:b/>
          <w:bCs/>
          <w:color w:val="auto"/>
          <w:kern w:val="0"/>
          <w:sz w:val="24"/>
          <w:szCs w:val="24"/>
          <w:highlight w:val="none"/>
          <w:u w:val="single"/>
          <w:lang w:val="en-US" w:eastAsia="zh-CN"/>
        </w:rPr>
        <w:t>）发票，税率为    %。</w:t>
      </w:r>
      <w:r>
        <w:rPr>
          <w:rFonts w:hint="eastAsia" w:ascii="宋体" w:hAnsi="宋体" w:eastAsia="宋体" w:cs="宋体"/>
          <w:b/>
          <w:bCs/>
          <w:color w:val="auto"/>
          <w:sz w:val="24"/>
          <w:szCs w:val="24"/>
          <w:highlight w:val="none"/>
          <w:u w:val="single"/>
          <w:lang w:val="en-US" w:eastAsia="zh-CN"/>
        </w:rPr>
        <w:t>（</w:t>
      </w:r>
      <w:r>
        <w:rPr>
          <w:rFonts w:hint="eastAsia" w:ascii="宋体" w:hAnsi="宋体" w:eastAsia="宋体" w:cs="宋体"/>
          <w:b/>
          <w:bCs/>
          <w:color w:val="auto"/>
          <w:kern w:val="0"/>
          <w:sz w:val="24"/>
          <w:szCs w:val="24"/>
          <w:highlight w:val="none"/>
          <w:u w:val="single"/>
          <w:lang w:val="en-US" w:eastAsia="zh-CN"/>
        </w:rPr>
        <w:t>注：投标人须明确开具增值税发票的类型及税率，否则按无效标处理））</w:t>
      </w:r>
      <w:r>
        <w:rPr>
          <w:rFonts w:hint="eastAsia" w:ascii="宋体" w:hAnsi="宋体" w:eastAsia="宋体" w:cs="宋体"/>
          <w:color w:val="auto"/>
          <w:sz w:val="24"/>
          <w:szCs w:val="24"/>
          <w:highlight w:val="none"/>
          <w:u w:val="none"/>
          <w:lang w:val="en-US" w:eastAsia="zh-CN"/>
        </w:rPr>
        <w:t>的投标总报价</w:t>
      </w:r>
      <w:r>
        <w:rPr>
          <w:rFonts w:hint="eastAsia" w:ascii="宋体" w:hAnsi="宋体" w:eastAsia="宋体" w:cs="宋体"/>
          <w:color w:val="auto"/>
          <w:sz w:val="24"/>
          <w:szCs w:val="24"/>
          <w:highlight w:val="none"/>
        </w:rPr>
        <w:t>承包</w:t>
      </w:r>
      <w:r>
        <w:rPr>
          <w:rFonts w:hint="eastAsia" w:ascii="宋体" w:hAnsi="宋体" w:cs="宋体"/>
          <w:color w:val="auto"/>
          <w:sz w:val="24"/>
          <w:szCs w:val="24"/>
          <w:highlight w:val="none"/>
          <w:lang w:val="en-US" w:eastAsia="zh-CN"/>
        </w:rPr>
        <w:t>本项目所有内容</w:t>
      </w:r>
      <w:r>
        <w:rPr>
          <w:rFonts w:hint="eastAsia" w:ascii="宋体" w:hAnsi="宋体" w:eastAsia="宋体" w:cs="宋体"/>
          <w:color w:val="auto"/>
          <w:sz w:val="24"/>
          <w:szCs w:val="24"/>
          <w:highlight w:val="none"/>
        </w:rPr>
        <w:t>。</w:t>
      </w:r>
    </w:p>
    <w:p w14:paraId="0EEEE644">
      <w:pPr>
        <w:keepNext w:val="0"/>
        <w:keepLines w:val="0"/>
        <w:pageBreakBefore w:val="0"/>
        <w:widowControl w:val="0"/>
        <w:numPr>
          <w:ilvl w:val="0"/>
          <w:numId w:val="2"/>
        </w:numPr>
        <w:kinsoku/>
        <w:overflowPunct/>
        <w:topLinePunct w:val="0"/>
        <w:autoSpaceDE/>
        <w:autoSpaceDN/>
        <w:bidi w:val="0"/>
        <w:adjustRightInd/>
        <w:snapToGrid/>
        <w:spacing w:line="560" w:lineRule="exact"/>
        <w:ind w:left="840" w:hanging="36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我方已详细审核全部招标文件及有关附件，承诺招标文件及有关附件中所有条款。</w:t>
      </w:r>
    </w:p>
    <w:p w14:paraId="3559473F">
      <w:pPr>
        <w:keepNext w:val="0"/>
        <w:keepLines w:val="0"/>
        <w:pageBreakBefore w:val="0"/>
        <w:widowControl w:val="0"/>
        <w:kinsoku/>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3.</w:t>
      </w:r>
      <w:r>
        <w:rPr>
          <w:rFonts w:hint="eastAsia" w:ascii="宋体" w:hAnsi="宋体" w:eastAsia="宋体" w:cs="宋体"/>
          <w:color w:val="auto"/>
          <w:sz w:val="24"/>
          <w:szCs w:val="24"/>
          <w:highlight w:val="none"/>
        </w:rPr>
        <w:t>一旦我方中标，保证按照招标人要求开始本工程的施工，并在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个日历天内</w:t>
      </w:r>
      <w:r>
        <w:rPr>
          <w:rFonts w:hint="eastAsia" w:ascii="宋体" w:hAnsi="宋体" w:cs="宋体"/>
          <w:color w:val="auto"/>
          <w:sz w:val="24"/>
          <w:szCs w:val="24"/>
          <w:highlight w:val="none"/>
          <w:lang w:eastAsia="zh-CN"/>
        </w:rPr>
        <w:t>完成</w:t>
      </w:r>
      <w:r>
        <w:rPr>
          <w:rFonts w:hint="eastAsia" w:ascii="宋体" w:hAnsi="宋体" w:eastAsia="宋体" w:cs="宋体"/>
          <w:color w:val="auto"/>
          <w:sz w:val="24"/>
          <w:szCs w:val="24"/>
          <w:highlight w:val="none"/>
        </w:rPr>
        <w:t>更换及调试并通过验收。</w:t>
      </w:r>
    </w:p>
    <w:p w14:paraId="66318A7D">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4.</w:t>
      </w:r>
      <w:r>
        <w:rPr>
          <w:rFonts w:hint="eastAsia" w:ascii="宋体" w:hAnsi="宋体" w:eastAsia="宋体" w:cs="宋体"/>
          <w:color w:val="auto"/>
          <w:sz w:val="24"/>
          <w:szCs w:val="24"/>
          <w:highlight w:val="none"/>
        </w:rPr>
        <w:t>我方在此声明，所递交的投标文件及有关资料内容完整、真实和准确。</w:t>
      </w:r>
    </w:p>
    <w:p w14:paraId="4CAFB8B9">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我单位响应招标文件的权利和义务，符合实质性要求和条件。</w:t>
      </w:r>
    </w:p>
    <w:p w14:paraId="737A4726">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我单位提供如下通讯地址：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电子邮箱（地址），确认本项目相关法律文书均通过提供的以上地址送达，相关文书只要发送至以上电子邮箱（地址）即视为送达，投标人愿意承担一切法律后果。</w:t>
      </w:r>
    </w:p>
    <w:p w14:paraId="41162E56">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p>
    <w:p w14:paraId="32158C01">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p>
    <w:p w14:paraId="68B5E34F">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（盖章）   </w:t>
      </w:r>
    </w:p>
    <w:p w14:paraId="1FCD9B00">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xml:space="preserve">         （签字或盖章）</w:t>
      </w:r>
    </w:p>
    <w:p w14:paraId="49D34793">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r>
        <w:rPr>
          <w:rFonts w:hint="eastAsia" w:ascii="宋体" w:hAnsi="宋体" w:eastAsia="宋体" w:cs="宋体"/>
          <w:color w:val="auto"/>
          <w:sz w:val="24"/>
          <w:szCs w:val="24"/>
          <w:highlight w:val="none"/>
          <w:u w:val="single"/>
        </w:rPr>
        <w:t xml:space="preserve">                                       </w:t>
      </w:r>
    </w:p>
    <w:p w14:paraId="6C32FA66">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传真：</w:t>
      </w:r>
      <w:r>
        <w:rPr>
          <w:rFonts w:hint="eastAsia" w:ascii="宋体" w:hAnsi="宋体" w:eastAsia="宋体" w:cs="宋体"/>
          <w:color w:val="auto"/>
          <w:sz w:val="24"/>
          <w:szCs w:val="24"/>
          <w:highlight w:val="none"/>
          <w:u w:val="single"/>
        </w:rPr>
        <w:t xml:space="preserve">       </w:t>
      </w:r>
    </w:p>
    <w:p w14:paraId="2896EFCF">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bidi="ar-SA"/>
        </w:rPr>
        <w:t>日期：</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 xml:space="preserve">年 </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 xml:space="preserve">月 </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日</w:t>
      </w:r>
    </w:p>
    <w:p w14:paraId="4D4602EA">
      <w:pPr>
        <w:rPr>
          <w:rFonts w:hint="eastAsia" w:ascii="宋体" w:hAnsi="宋体" w:eastAsia="宋体" w:cs="宋体"/>
          <w:color w:val="auto"/>
          <w:kern w:val="0"/>
          <w:sz w:val="30"/>
          <w:szCs w:val="30"/>
          <w:highlight w:val="none"/>
          <w:u w:val="none" w:color="000000"/>
          <w:lang w:val="en-US" w:eastAsia="zh-CN" w:bidi="ar-SA"/>
        </w:rPr>
      </w:pPr>
      <w:r>
        <w:rPr>
          <w:rFonts w:hint="eastAsia" w:ascii="宋体" w:hAnsi="宋体" w:eastAsia="宋体" w:cs="宋体"/>
          <w:color w:val="auto"/>
          <w:kern w:val="0"/>
          <w:sz w:val="30"/>
          <w:szCs w:val="30"/>
          <w:highlight w:val="none"/>
          <w:u w:val="none" w:color="000000"/>
          <w:lang w:val="en-US" w:eastAsia="zh-CN" w:bidi="ar-SA"/>
        </w:rPr>
        <w:br w:type="page"/>
      </w:r>
    </w:p>
    <w:p w14:paraId="641B69E0">
      <w:pPr>
        <w:spacing w:line="360" w:lineRule="auto"/>
        <w:jc w:val="center"/>
        <w:rPr>
          <w:rFonts w:hint="eastAsia" w:ascii="Times New Roman" w:hAnsi="Times New Roman" w:eastAsia="宋体" w:cs="Times New Roman"/>
          <w:b/>
          <w:color w:val="auto"/>
          <w:sz w:val="28"/>
          <w:szCs w:val="28"/>
          <w:highlight w:val="none"/>
          <w:lang w:val="en-US" w:eastAsia="zh-CN"/>
        </w:rPr>
      </w:pPr>
      <w:r>
        <w:rPr>
          <w:rFonts w:hint="eastAsia"/>
          <w:b/>
          <w:color w:val="auto"/>
          <w:sz w:val="28"/>
          <w:szCs w:val="28"/>
          <w:highlight w:val="none"/>
        </w:rPr>
        <w:t>（</w:t>
      </w:r>
      <w:r>
        <w:rPr>
          <w:rFonts w:hint="eastAsia"/>
          <w:b/>
          <w:color w:val="auto"/>
          <w:sz w:val="28"/>
          <w:szCs w:val="28"/>
          <w:highlight w:val="none"/>
          <w:lang w:val="en-US" w:eastAsia="zh-CN"/>
        </w:rPr>
        <w:t>4</w:t>
      </w:r>
      <w:r>
        <w:rPr>
          <w:rFonts w:hint="eastAsia"/>
          <w:b/>
          <w:color w:val="auto"/>
          <w:sz w:val="28"/>
          <w:szCs w:val="28"/>
          <w:highlight w:val="none"/>
        </w:rPr>
        <w:t>）分项报价清单</w:t>
      </w:r>
    </w:p>
    <w:tbl>
      <w:tblPr>
        <w:tblStyle w:val="45"/>
        <w:tblW w:w="0" w:type="auto"/>
        <w:tblInd w:w="-25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80"/>
        <w:gridCol w:w="1801"/>
        <w:gridCol w:w="1242"/>
        <w:gridCol w:w="784"/>
        <w:gridCol w:w="782"/>
        <w:gridCol w:w="898"/>
        <w:gridCol w:w="972"/>
        <w:gridCol w:w="1494"/>
      </w:tblGrid>
      <w:tr w14:paraId="28CA0B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5" w:hRule="atLeast"/>
        </w:trPr>
        <w:tc>
          <w:tcPr>
            <w:tcW w:w="880" w:type="dxa"/>
            <w:vAlign w:val="center"/>
          </w:tcPr>
          <w:p w14:paraId="18623F07">
            <w:pPr>
              <w:spacing w:line="300" w:lineRule="exact"/>
              <w:jc w:val="center"/>
              <w:rPr>
                <w:rFonts w:hint="eastAsia" w:ascii="宋体" w:hAnsi="宋体"/>
                <w:color w:val="auto"/>
                <w:szCs w:val="21"/>
                <w:highlight w:val="none"/>
              </w:rPr>
            </w:pPr>
            <w:r>
              <w:rPr>
                <w:rFonts w:hint="eastAsia" w:ascii="宋体" w:hAnsi="宋体"/>
                <w:color w:val="auto"/>
                <w:szCs w:val="21"/>
                <w:highlight w:val="none"/>
              </w:rPr>
              <w:t>序号</w:t>
            </w:r>
          </w:p>
        </w:tc>
        <w:tc>
          <w:tcPr>
            <w:tcW w:w="1801" w:type="dxa"/>
            <w:tcBorders>
              <w:right w:val="single" w:color="auto" w:sz="4" w:space="0"/>
            </w:tcBorders>
            <w:vAlign w:val="center"/>
          </w:tcPr>
          <w:p w14:paraId="68F8F00C">
            <w:pPr>
              <w:spacing w:line="300" w:lineRule="exact"/>
              <w:jc w:val="center"/>
              <w:rPr>
                <w:rFonts w:hint="eastAsia" w:ascii="宋体" w:hAnsi="宋体"/>
                <w:color w:val="auto"/>
                <w:szCs w:val="21"/>
                <w:highlight w:val="none"/>
              </w:rPr>
            </w:pPr>
            <w:r>
              <w:rPr>
                <w:rFonts w:hint="eastAsia" w:ascii="宋体" w:hAnsi="宋体"/>
                <w:color w:val="auto"/>
                <w:szCs w:val="21"/>
                <w:highlight w:val="none"/>
              </w:rPr>
              <w:t>产品名称</w:t>
            </w:r>
          </w:p>
        </w:tc>
        <w:tc>
          <w:tcPr>
            <w:tcW w:w="1242" w:type="dxa"/>
            <w:tcBorders>
              <w:left w:val="single" w:color="auto" w:sz="4" w:space="0"/>
            </w:tcBorders>
            <w:vAlign w:val="center"/>
          </w:tcPr>
          <w:p w14:paraId="5F537E1B">
            <w:pPr>
              <w:spacing w:line="300" w:lineRule="exact"/>
              <w:jc w:val="center"/>
              <w:rPr>
                <w:rFonts w:hint="eastAsia" w:ascii="宋体" w:hAnsi="宋体"/>
                <w:color w:val="auto"/>
                <w:szCs w:val="21"/>
                <w:highlight w:val="none"/>
              </w:rPr>
            </w:pPr>
            <w:r>
              <w:rPr>
                <w:rFonts w:hint="eastAsia" w:ascii="宋体" w:hAnsi="宋体"/>
                <w:color w:val="auto"/>
                <w:szCs w:val="21"/>
                <w:highlight w:val="none"/>
              </w:rPr>
              <w:t>规格型号</w:t>
            </w:r>
          </w:p>
          <w:p w14:paraId="7040D1B0">
            <w:pPr>
              <w:spacing w:line="300" w:lineRule="exact"/>
              <w:jc w:val="center"/>
              <w:rPr>
                <w:rFonts w:hint="eastAsia" w:ascii="宋体" w:hAnsi="宋体"/>
                <w:color w:val="auto"/>
                <w:szCs w:val="21"/>
                <w:highlight w:val="none"/>
              </w:rPr>
            </w:pPr>
            <w:r>
              <w:rPr>
                <w:rFonts w:hint="eastAsia" w:ascii="宋体" w:hAnsi="宋体"/>
                <w:color w:val="auto"/>
                <w:szCs w:val="21"/>
                <w:highlight w:val="none"/>
              </w:rPr>
              <w:t>品牌</w:t>
            </w:r>
          </w:p>
        </w:tc>
        <w:tc>
          <w:tcPr>
            <w:tcW w:w="784" w:type="dxa"/>
            <w:vAlign w:val="center"/>
          </w:tcPr>
          <w:p w14:paraId="4D66E90E">
            <w:pPr>
              <w:spacing w:line="300" w:lineRule="exact"/>
              <w:jc w:val="center"/>
              <w:rPr>
                <w:rFonts w:hint="eastAsia" w:ascii="宋体" w:hAnsi="宋体"/>
                <w:color w:val="auto"/>
                <w:szCs w:val="21"/>
                <w:highlight w:val="none"/>
              </w:rPr>
            </w:pPr>
            <w:r>
              <w:rPr>
                <w:rFonts w:hint="eastAsia" w:ascii="宋体" w:hAnsi="宋体"/>
                <w:color w:val="auto"/>
                <w:szCs w:val="21"/>
                <w:highlight w:val="none"/>
              </w:rPr>
              <w:t>单位</w:t>
            </w:r>
          </w:p>
        </w:tc>
        <w:tc>
          <w:tcPr>
            <w:tcW w:w="782" w:type="dxa"/>
            <w:vAlign w:val="center"/>
          </w:tcPr>
          <w:p w14:paraId="128FF22B">
            <w:pPr>
              <w:spacing w:line="300" w:lineRule="exact"/>
              <w:jc w:val="center"/>
              <w:rPr>
                <w:rFonts w:hint="eastAsia" w:ascii="宋体" w:hAnsi="宋体"/>
                <w:color w:val="auto"/>
                <w:szCs w:val="21"/>
                <w:highlight w:val="none"/>
              </w:rPr>
            </w:pPr>
            <w:r>
              <w:rPr>
                <w:rFonts w:hint="eastAsia" w:ascii="宋体" w:hAnsi="宋体"/>
                <w:color w:val="auto"/>
                <w:szCs w:val="21"/>
                <w:highlight w:val="none"/>
              </w:rPr>
              <w:t>数量</w:t>
            </w:r>
          </w:p>
        </w:tc>
        <w:tc>
          <w:tcPr>
            <w:tcW w:w="898" w:type="dxa"/>
            <w:tcBorders>
              <w:left w:val="single" w:color="auto" w:sz="4" w:space="0"/>
            </w:tcBorders>
            <w:vAlign w:val="center"/>
          </w:tcPr>
          <w:p w14:paraId="1B39BAF8">
            <w:pPr>
              <w:spacing w:line="300" w:lineRule="exact"/>
              <w:jc w:val="center"/>
              <w:rPr>
                <w:rFonts w:hint="eastAsia" w:ascii="宋体" w:hAnsi="宋体"/>
                <w:color w:val="auto"/>
                <w:szCs w:val="21"/>
                <w:highlight w:val="none"/>
              </w:rPr>
            </w:pPr>
            <w:r>
              <w:rPr>
                <w:rFonts w:hint="eastAsia" w:ascii="宋体" w:hAnsi="宋体"/>
                <w:color w:val="auto"/>
                <w:szCs w:val="21"/>
                <w:highlight w:val="none"/>
              </w:rPr>
              <w:t>单 价（元）</w:t>
            </w:r>
          </w:p>
        </w:tc>
        <w:tc>
          <w:tcPr>
            <w:tcW w:w="972" w:type="dxa"/>
            <w:vAlign w:val="center"/>
          </w:tcPr>
          <w:p w14:paraId="14C5AE6D">
            <w:pPr>
              <w:spacing w:line="300" w:lineRule="exact"/>
              <w:jc w:val="center"/>
              <w:rPr>
                <w:rFonts w:hint="eastAsia" w:ascii="宋体" w:hAnsi="宋体"/>
                <w:color w:val="auto"/>
                <w:szCs w:val="21"/>
                <w:highlight w:val="none"/>
              </w:rPr>
            </w:pPr>
            <w:r>
              <w:rPr>
                <w:rFonts w:hint="eastAsia" w:ascii="宋体" w:hAnsi="宋体"/>
                <w:color w:val="auto"/>
                <w:szCs w:val="21"/>
                <w:highlight w:val="none"/>
              </w:rPr>
              <w:t>合 价（元）</w:t>
            </w:r>
          </w:p>
        </w:tc>
        <w:tc>
          <w:tcPr>
            <w:tcW w:w="1494" w:type="dxa"/>
            <w:vAlign w:val="center"/>
          </w:tcPr>
          <w:p w14:paraId="58B1225F">
            <w:pPr>
              <w:spacing w:line="300" w:lineRule="exact"/>
              <w:ind w:left="-80" w:leftChars="-38" w:right="-94" w:rightChars="-45"/>
              <w:jc w:val="center"/>
              <w:rPr>
                <w:rFonts w:hint="eastAsia" w:ascii="宋体" w:hAnsi="宋体"/>
                <w:color w:val="auto"/>
                <w:szCs w:val="21"/>
                <w:highlight w:val="none"/>
              </w:rPr>
            </w:pPr>
            <w:r>
              <w:rPr>
                <w:rFonts w:hint="eastAsia" w:ascii="宋体" w:hAnsi="宋体"/>
                <w:color w:val="auto"/>
                <w:szCs w:val="21"/>
                <w:highlight w:val="none"/>
              </w:rPr>
              <w:t>备注</w:t>
            </w:r>
          </w:p>
        </w:tc>
      </w:tr>
      <w:tr w14:paraId="2B14BD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880" w:type="dxa"/>
            <w:vAlign w:val="center"/>
          </w:tcPr>
          <w:p w14:paraId="44982F42">
            <w:pPr>
              <w:jc w:val="center"/>
              <w:textAlignment w:val="baseline"/>
              <w:rPr>
                <w:rFonts w:hint="eastAsia" w:ascii="宋体" w:hAnsi="宋体"/>
                <w:color w:val="auto"/>
                <w:szCs w:val="21"/>
                <w:highlight w:val="none"/>
              </w:rPr>
            </w:pPr>
            <w:r>
              <w:rPr>
                <w:rFonts w:hint="eastAsia" w:ascii="宋体" w:hAnsi="宋体"/>
                <w:color w:val="auto"/>
                <w:szCs w:val="21"/>
                <w:highlight w:val="none"/>
              </w:rPr>
              <w:t>1</w:t>
            </w:r>
          </w:p>
        </w:tc>
        <w:tc>
          <w:tcPr>
            <w:tcW w:w="1801" w:type="dxa"/>
            <w:tcBorders>
              <w:right w:val="single" w:color="auto" w:sz="4" w:space="0"/>
            </w:tcBorders>
            <w:vAlign w:val="center"/>
          </w:tcPr>
          <w:p w14:paraId="4D36376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p>
        </w:tc>
        <w:tc>
          <w:tcPr>
            <w:tcW w:w="1242" w:type="dxa"/>
            <w:tcBorders>
              <w:left w:val="single" w:color="auto" w:sz="4" w:space="0"/>
            </w:tcBorders>
            <w:vAlign w:val="center"/>
          </w:tcPr>
          <w:p w14:paraId="0254B0BB">
            <w:pPr>
              <w:spacing w:line="300" w:lineRule="exact"/>
              <w:jc w:val="center"/>
              <w:rPr>
                <w:rFonts w:hint="eastAsia" w:ascii="宋体" w:hAnsi="宋体"/>
                <w:color w:val="auto"/>
                <w:sz w:val="24"/>
                <w:highlight w:val="none"/>
              </w:rPr>
            </w:pPr>
          </w:p>
        </w:tc>
        <w:tc>
          <w:tcPr>
            <w:tcW w:w="784" w:type="dxa"/>
            <w:shd w:val="clear" w:color="auto" w:fill="FFFFFF"/>
            <w:vAlign w:val="center"/>
          </w:tcPr>
          <w:p w14:paraId="5C193DE1">
            <w:pPr>
              <w:widowControl/>
              <w:spacing w:line="360" w:lineRule="auto"/>
              <w:jc w:val="center"/>
              <w:textAlignment w:val="center"/>
              <w:rPr>
                <w:rFonts w:hint="eastAsia" w:ascii="宋体" w:hAnsi="宋体" w:eastAsia="宋体"/>
                <w:color w:val="auto"/>
                <w:sz w:val="24"/>
                <w:highlight w:val="none"/>
                <w:lang w:val="en-US" w:eastAsia="zh-CN"/>
              </w:rPr>
            </w:pPr>
          </w:p>
        </w:tc>
        <w:tc>
          <w:tcPr>
            <w:tcW w:w="782" w:type="dxa"/>
            <w:shd w:val="clear" w:color="auto" w:fill="FFFFFF"/>
            <w:vAlign w:val="center"/>
          </w:tcPr>
          <w:p w14:paraId="2CC96BAF">
            <w:pPr>
              <w:widowControl/>
              <w:spacing w:line="360" w:lineRule="auto"/>
              <w:jc w:val="center"/>
              <w:textAlignment w:val="center"/>
              <w:rPr>
                <w:rFonts w:hint="eastAsia" w:ascii="宋体" w:hAnsi="宋体" w:eastAsia="宋体"/>
                <w:color w:val="auto"/>
                <w:sz w:val="24"/>
                <w:highlight w:val="none"/>
                <w:lang w:val="en-US" w:eastAsia="zh-CN"/>
              </w:rPr>
            </w:pPr>
          </w:p>
        </w:tc>
        <w:tc>
          <w:tcPr>
            <w:tcW w:w="898" w:type="dxa"/>
            <w:tcBorders>
              <w:left w:val="single" w:color="auto" w:sz="4" w:space="0"/>
            </w:tcBorders>
            <w:vAlign w:val="center"/>
          </w:tcPr>
          <w:p w14:paraId="7613E827">
            <w:pPr>
              <w:spacing w:line="300" w:lineRule="exact"/>
              <w:rPr>
                <w:rFonts w:hint="eastAsia" w:ascii="宋体" w:hAnsi="宋体"/>
                <w:color w:val="auto"/>
                <w:sz w:val="24"/>
                <w:highlight w:val="none"/>
              </w:rPr>
            </w:pPr>
          </w:p>
        </w:tc>
        <w:tc>
          <w:tcPr>
            <w:tcW w:w="972" w:type="dxa"/>
            <w:vAlign w:val="center"/>
          </w:tcPr>
          <w:p w14:paraId="09E7DC17">
            <w:pPr>
              <w:spacing w:line="300" w:lineRule="exact"/>
              <w:rPr>
                <w:rFonts w:hint="eastAsia" w:ascii="宋体" w:hAnsi="宋体"/>
                <w:color w:val="auto"/>
                <w:sz w:val="24"/>
                <w:highlight w:val="none"/>
              </w:rPr>
            </w:pPr>
          </w:p>
        </w:tc>
        <w:tc>
          <w:tcPr>
            <w:tcW w:w="1494" w:type="dxa"/>
          </w:tcPr>
          <w:p w14:paraId="5436BC65">
            <w:pPr>
              <w:spacing w:line="300" w:lineRule="exact"/>
              <w:rPr>
                <w:rFonts w:hint="eastAsia" w:ascii="宋体" w:hAnsi="宋体"/>
                <w:color w:val="auto"/>
                <w:sz w:val="24"/>
                <w:highlight w:val="none"/>
              </w:rPr>
            </w:pPr>
          </w:p>
        </w:tc>
      </w:tr>
      <w:tr w14:paraId="325D14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880" w:type="dxa"/>
            <w:vAlign w:val="center"/>
          </w:tcPr>
          <w:p w14:paraId="16FCFD95">
            <w:pPr>
              <w:jc w:val="center"/>
              <w:textAlignment w:val="baseline"/>
              <w:rPr>
                <w:rFonts w:hint="eastAsia" w:ascii="宋体" w:hAnsi="宋体"/>
                <w:color w:val="auto"/>
                <w:szCs w:val="21"/>
                <w:highlight w:val="none"/>
              </w:rPr>
            </w:pPr>
            <w:r>
              <w:rPr>
                <w:rFonts w:hint="eastAsia" w:ascii="宋体" w:hAnsi="宋体"/>
                <w:color w:val="auto"/>
                <w:szCs w:val="21"/>
                <w:highlight w:val="none"/>
                <w:lang w:val="en-US" w:eastAsia="zh-CN"/>
              </w:rPr>
              <w:t>2</w:t>
            </w:r>
          </w:p>
        </w:tc>
        <w:tc>
          <w:tcPr>
            <w:tcW w:w="1801" w:type="dxa"/>
            <w:tcBorders>
              <w:right w:val="single" w:color="auto" w:sz="4" w:space="0"/>
            </w:tcBorders>
            <w:vAlign w:val="center"/>
          </w:tcPr>
          <w:p w14:paraId="25FA444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p>
        </w:tc>
        <w:tc>
          <w:tcPr>
            <w:tcW w:w="1242" w:type="dxa"/>
            <w:tcBorders>
              <w:left w:val="single" w:color="auto" w:sz="4" w:space="0"/>
            </w:tcBorders>
            <w:vAlign w:val="center"/>
          </w:tcPr>
          <w:p w14:paraId="5C86EB55">
            <w:pPr>
              <w:spacing w:line="300" w:lineRule="exact"/>
              <w:jc w:val="center"/>
              <w:rPr>
                <w:rFonts w:hint="eastAsia" w:ascii="宋体" w:hAnsi="宋体"/>
                <w:color w:val="auto"/>
                <w:sz w:val="24"/>
                <w:highlight w:val="none"/>
              </w:rPr>
            </w:pPr>
          </w:p>
        </w:tc>
        <w:tc>
          <w:tcPr>
            <w:tcW w:w="784" w:type="dxa"/>
            <w:shd w:val="clear" w:color="auto" w:fill="FFFFFF"/>
            <w:vAlign w:val="center"/>
          </w:tcPr>
          <w:p w14:paraId="53AA4858">
            <w:pPr>
              <w:widowControl/>
              <w:spacing w:line="360" w:lineRule="auto"/>
              <w:jc w:val="center"/>
              <w:textAlignment w:val="center"/>
              <w:rPr>
                <w:rFonts w:hint="eastAsia" w:ascii="宋体" w:hAnsi="宋体" w:eastAsia="宋体"/>
                <w:color w:val="auto"/>
                <w:sz w:val="24"/>
                <w:highlight w:val="none"/>
                <w:lang w:val="en-US" w:eastAsia="zh-CN"/>
              </w:rPr>
            </w:pPr>
          </w:p>
        </w:tc>
        <w:tc>
          <w:tcPr>
            <w:tcW w:w="782" w:type="dxa"/>
            <w:shd w:val="clear" w:color="auto" w:fill="FFFFFF"/>
            <w:vAlign w:val="center"/>
          </w:tcPr>
          <w:p w14:paraId="4A45D980">
            <w:pPr>
              <w:widowControl/>
              <w:spacing w:line="360" w:lineRule="auto"/>
              <w:jc w:val="center"/>
              <w:textAlignment w:val="center"/>
              <w:rPr>
                <w:rFonts w:hint="eastAsia" w:ascii="宋体" w:hAnsi="宋体" w:eastAsia="宋体"/>
                <w:color w:val="auto"/>
                <w:sz w:val="24"/>
                <w:highlight w:val="none"/>
                <w:lang w:val="en-US" w:eastAsia="zh-CN"/>
              </w:rPr>
            </w:pPr>
          </w:p>
        </w:tc>
        <w:tc>
          <w:tcPr>
            <w:tcW w:w="898" w:type="dxa"/>
            <w:tcBorders>
              <w:left w:val="single" w:color="auto" w:sz="4" w:space="0"/>
            </w:tcBorders>
            <w:vAlign w:val="center"/>
          </w:tcPr>
          <w:p w14:paraId="0B245142">
            <w:pPr>
              <w:spacing w:line="300" w:lineRule="exact"/>
              <w:rPr>
                <w:rFonts w:hint="eastAsia" w:ascii="宋体" w:hAnsi="宋体"/>
                <w:color w:val="auto"/>
                <w:sz w:val="24"/>
                <w:highlight w:val="none"/>
              </w:rPr>
            </w:pPr>
          </w:p>
        </w:tc>
        <w:tc>
          <w:tcPr>
            <w:tcW w:w="972" w:type="dxa"/>
            <w:vAlign w:val="center"/>
          </w:tcPr>
          <w:p w14:paraId="20D560EB">
            <w:pPr>
              <w:spacing w:line="300" w:lineRule="exact"/>
              <w:rPr>
                <w:rFonts w:hint="eastAsia" w:ascii="宋体" w:hAnsi="宋体"/>
                <w:color w:val="auto"/>
                <w:sz w:val="24"/>
                <w:highlight w:val="none"/>
              </w:rPr>
            </w:pPr>
          </w:p>
        </w:tc>
        <w:tc>
          <w:tcPr>
            <w:tcW w:w="1494" w:type="dxa"/>
          </w:tcPr>
          <w:p w14:paraId="75ADCF71">
            <w:pPr>
              <w:spacing w:line="300" w:lineRule="exact"/>
              <w:rPr>
                <w:rFonts w:hint="eastAsia" w:ascii="宋体" w:hAnsi="宋体"/>
                <w:color w:val="auto"/>
                <w:sz w:val="24"/>
                <w:highlight w:val="none"/>
              </w:rPr>
            </w:pPr>
          </w:p>
        </w:tc>
      </w:tr>
      <w:tr w14:paraId="6FC73F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880" w:type="dxa"/>
            <w:vAlign w:val="center"/>
          </w:tcPr>
          <w:p w14:paraId="081B1F5C">
            <w:pPr>
              <w:jc w:val="center"/>
              <w:textAlignment w:val="baseline"/>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3</w:t>
            </w:r>
          </w:p>
        </w:tc>
        <w:tc>
          <w:tcPr>
            <w:tcW w:w="1801" w:type="dxa"/>
            <w:tcBorders>
              <w:right w:val="single" w:color="auto" w:sz="4" w:space="0"/>
            </w:tcBorders>
            <w:vAlign w:val="center"/>
          </w:tcPr>
          <w:p w14:paraId="35284D1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p>
        </w:tc>
        <w:tc>
          <w:tcPr>
            <w:tcW w:w="1242" w:type="dxa"/>
            <w:tcBorders>
              <w:left w:val="single" w:color="auto" w:sz="4" w:space="0"/>
            </w:tcBorders>
            <w:vAlign w:val="center"/>
          </w:tcPr>
          <w:p w14:paraId="7625A474">
            <w:pPr>
              <w:spacing w:line="300" w:lineRule="exact"/>
              <w:jc w:val="center"/>
              <w:rPr>
                <w:rFonts w:hint="eastAsia" w:ascii="宋体" w:hAnsi="宋体"/>
                <w:color w:val="auto"/>
                <w:sz w:val="24"/>
                <w:highlight w:val="none"/>
              </w:rPr>
            </w:pPr>
          </w:p>
        </w:tc>
        <w:tc>
          <w:tcPr>
            <w:tcW w:w="784" w:type="dxa"/>
            <w:shd w:val="clear" w:color="auto" w:fill="FFFFFF"/>
            <w:vAlign w:val="center"/>
          </w:tcPr>
          <w:p w14:paraId="399D8266">
            <w:pPr>
              <w:widowControl/>
              <w:spacing w:line="360" w:lineRule="auto"/>
              <w:jc w:val="center"/>
              <w:textAlignment w:val="center"/>
              <w:rPr>
                <w:rFonts w:hint="eastAsia" w:ascii="宋体" w:hAnsi="宋体" w:eastAsia="宋体"/>
                <w:color w:val="auto"/>
                <w:sz w:val="24"/>
                <w:highlight w:val="none"/>
                <w:lang w:val="en-US" w:eastAsia="zh-CN"/>
              </w:rPr>
            </w:pPr>
          </w:p>
        </w:tc>
        <w:tc>
          <w:tcPr>
            <w:tcW w:w="782" w:type="dxa"/>
            <w:shd w:val="clear" w:color="auto" w:fill="FFFFFF"/>
            <w:vAlign w:val="center"/>
          </w:tcPr>
          <w:p w14:paraId="5A836AC7">
            <w:pPr>
              <w:widowControl/>
              <w:spacing w:line="360" w:lineRule="auto"/>
              <w:jc w:val="center"/>
              <w:textAlignment w:val="center"/>
              <w:rPr>
                <w:rFonts w:hint="eastAsia" w:ascii="宋体" w:hAnsi="宋体" w:eastAsia="宋体"/>
                <w:color w:val="auto"/>
                <w:sz w:val="24"/>
                <w:highlight w:val="none"/>
                <w:lang w:val="en-US" w:eastAsia="zh-CN"/>
              </w:rPr>
            </w:pPr>
          </w:p>
        </w:tc>
        <w:tc>
          <w:tcPr>
            <w:tcW w:w="898" w:type="dxa"/>
            <w:tcBorders>
              <w:left w:val="single" w:color="auto" w:sz="4" w:space="0"/>
            </w:tcBorders>
            <w:vAlign w:val="center"/>
          </w:tcPr>
          <w:p w14:paraId="66BD31C3">
            <w:pPr>
              <w:spacing w:line="300" w:lineRule="exact"/>
              <w:rPr>
                <w:rFonts w:hint="eastAsia" w:ascii="宋体" w:hAnsi="宋体"/>
                <w:color w:val="auto"/>
                <w:sz w:val="24"/>
                <w:highlight w:val="none"/>
              </w:rPr>
            </w:pPr>
          </w:p>
        </w:tc>
        <w:tc>
          <w:tcPr>
            <w:tcW w:w="972" w:type="dxa"/>
            <w:vAlign w:val="center"/>
          </w:tcPr>
          <w:p w14:paraId="0AD00164">
            <w:pPr>
              <w:spacing w:line="300" w:lineRule="exact"/>
              <w:rPr>
                <w:rFonts w:hint="eastAsia" w:ascii="宋体" w:hAnsi="宋体"/>
                <w:color w:val="auto"/>
                <w:sz w:val="24"/>
                <w:highlight w:val="none"/>
              </w:rPr>
            </w:pPr>
          </w:p>
        </w:tc>
        <w:tc>
          <w:tcPr>
            <w:tcW w:w="1494" w:type="dxa"/>
          </w:tcPr>
          <w:p w14:paraId="5A809390">
            <w:pPr>
              <w:spacing w:line="300" w:lineRule="exact"/>
              <w:rPr>
                <w:rFonts w:hint="eastAsia" w:ascii="宋体" w:hAnsi="宋体"/>
                <w:color w:val="auto"/>
                <w:sz w:val="24"/>
                <w:highlight w:val="none"/>
              </w:rPr>
            </w:pPr>
          </w:p>
        </w:tc>
      </w:tr>
      <w:tr w14:paraId="1DC77F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880" w:type="dxa"/>
            <w:vAlign w:val="center"/>
          </w:tcPr>
          <w:p w14:paraId="6806B596">
            <w:pPr>
              <w:jc w:val="center"/>
              <w:textAlignment w:val="baseline"/>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4</w:t>
            </w:r>
          </w:p>
        </w:tc>
        <w:tc>
          <w:tcPr>
            <w:tcW w:w="1801" w:type="dxa"/>
            <w:tcBorders>
              <w:right w:val="single" w:color="auto" w:sz="4" w:space="0"/>
            </w:tcBorders>
            <w:vAlign w:val="center"/>
          </w:tcPr>
          <w:p w14:paraId="7AF73C8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p>
        </w:tc>
        <w:tc>
          <w:tcPr>
            <w:tcW w:w="1242" w:type="dxa"/>
            <w:tcBorders>
              <w:left w:val="single" w:color="auto" w:sz="4" w:space="0"/>
            </w:tcBorders>
            <w:vAlign w:val="center"/>
          </w:tcPr>
          <w:p w14:paraId="638316DF">
            <w:pPr>
              <w:spacing w:line="300" w:lineRule="exact"/>
              <w:jc w:val="center"/>
              <w:rPr>
                <w:rFonts w:hint="eastAsia" w:ascii="宋体" w:hAnsi="宋体"/>
                <w:color w:val="auto"/>
                <w:sz w:val="24"/>
                <w:highlight w:val="none"/>
              </w:rPr>
            </w:pPr>
          </w:p>
        </w:tc>
        <w:tc>
          <w:tcPr>
            <w:tcW w:w="784" w:type="dxa"/>
            <w:shd w:val="clear" w:color="auto" w:fill="FFFFFF"/>
            <w:vAlign w:val="center"/>
          </w:tcPr>
          <w:p w14:paraId="296B5582">
            <w:pPr>
              <w:widowControl/>
              <w:spacing w:line="360" w:lineRule="auto"/>
              <w:jc w:val="center"/>
              <w:textAlignment w:val="center"/>
              <w:rPr>
                <w:rFonts w:hint="eastAsia" w:ascii="宋体" w:hAnsi="宋体" w:eastAsia="宋体"/>
                <w:color w:val="auto"/>
                <w:sz w:val="24"/>
                <w:highlight w:val="none"/>
                <w:lang w:val="en-US" w:eastAsia="zh-CN"/>
              </w:rPr>
            </w:pPr>
          </w:p>
        </w:tc>
        <w:tc>
          <w:tcPr>
            <w:tcW w:w="782" w:type="dxa"/>
            <w:shd w:val="clear" w:color="auto" w:fill="FFFFFF"/>
            <w:vAlign w:val="center"/>
          </w:tcPr>
          <w:p w14:paraId="3213080C">
            <w:pPr>
              <w:widowControl/>
              <w:spacing w:line="360" w:lineRule="auto"/>
              <w:jc w:val="center"/>
              <w:textAlignment w:val="center"/>
              <w:rPr>
                <w:rFonts w:hint="eastAsia" w:ascii="宋体" w:hAnsi="宋体" w:eastAsia="宋体"/>
                <w:color w:val="auto"/>
                <w:sz w:val="24"/>
                <w:highlight w:val="none"/>
                <w:lang w:val="en-US" w:eastAsia="zh-CN"/>
              </w:rPr>
            </w:pPr>
          </w:p>
        </w:tc>
        <w:tc>
          <w:tcPr>
            <w:tcW w:w="898" w:type="dxa"/>
            <w:tcBorders>
              <w:left w:val="single" w:color="auto" w:sz="4" w:space="0"/>
            </w:tcBorders>
            <w:vAlign w:val="center"/>
          </w:tcPr>
          <w:p w14:paraId="7F047B86">
            <w:pPr>
              <w:spacing w:line="300" w:lineRule="exact"/>
              <w:rPr>
                <w:rFonts w:hint="eastAsia" w:ascii="宋体" w:hAnsi="宋体"/>
                <w:color w:val="auto"/>
                <w:sz w:val="24"/>
                <w:highlight w:val="none"/>
              </w:rPr>
            </w:pPr>
          </w:p>
        </w:tc>
        <w:tc>
          <w:tcPr>
            <w:tcW w:w="972" w:type="dxa"/>
            <w:vAlign w:val="center"/>
          </w:tcPr>
          <w:p w14:paraId="540FD14B">
            <w:pPr>
              <w:spacing w:line="300" w:lineRule="exact"/>
              <w:rPr>
                <w:rFonts w:hint="eastAsia" w:ascii="宋体" w:hAnsi="宋体"/>
                <w:color w:val="auto"/>
                <w:sz w:val="24"/>
                <w:highlight w:val="none"/>
              </w:rPr>
            </w:pPr>
          </w:p>
        </w:tc>
        <w:tc>
          <w:tcPr>
            <w:tcW w:w="1494" w:type="dxa"/>
          </w:tcPr>
          <w:p w14:paraId="2CDA030D">
            <w:pPr>
              <w:spacing w:line="300" w:lineRule="exact"/>
              <w:rPr>
                <w:rFonts w:hint="eastAsia" w:ascii="宋体" w:hAnsi="宋体"/>
                <w:color w:val="auto"/>
                <w:sz w:val="24"/>
                <w:highlight w:val="none"/>
              </w:rPr>
            </w:pPr>
          </w:p>
        </w:tc>
      </w:tr>
      <w:tr w14:paraId="268D1A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880" w:type="dxa"/>
            <w:vAlign w:val="center"/>
          </w:tcPr>
          <w:p w14:paraId="5556927E">
            <w:pPr>
              <w:jc w:val="center"/>
              <w:textAlignment w:val="baseline"/>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5</w:t>
            </w:r>
          </w:p>
        </w:tc>
        <w:tc>
          <w:tcPr>
            <w:tcW w:w="1801" w:type="dxa"/>
            <w:tcBorders>
              <w:right w:val="single" w:color="auto" w:sz="4" w:space="0"/>
            </w:tcBorders>
            <w:vAlign w:val="center"/>
          </w:tcPr>
          <w:p w14:paraId="0356E73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p>
        </w:tc>
        <w:tc>
          <w:tcPr>
            <w:tcW w:w="1242" w:type="dxa"/>
            <w:tcBorders>
              <w:left w:val="single" w:color="auto" w:sz="4" w:space="0"/>
            </w:tcBorders>
            <w:vAlign w:val="center"/>
          </w:tcPr>
          <w:p w14:paraId="112F5905">
            <w:pPr>
              <w:spacing w:line="300" w:lineRule="exact"/>
              <w:jc w:val="center"/>
              <w:rPr>
                <w:rFonts w:hint="eastAsia" w:ascii="宋体" w:hAnsi="宋体"/>
                <w:color w:val="auto"/>
                <w:sz w:val="24"/>
                <w:highlight w:val="none"/>
              </w:rPr>
            </w:pPr>
          </w:p>
        </w:tc>
        <w:tc>
          <w:tcPr>
            <w:tcW w:w="784" w:type="dxa"/>
            <w:shd w:val="clear" w:color="auto" w:fill="FFFFFF"/>
            <w:vAlign w:val="center"/>
          </w:tcPr>
          <w:p w14:paraId="4AEC8188">
            <w:pPr>
              <w:widowControl/>
              <w:spacing w:line="360" w:lineRule="auto"/>
              <w:jc w:val="center"/>
              <w:textAlignment w:val="center"/>
              <w:rPr>
                <w:rFonts w:hint="eastAsia" w:ascii="宋体" w:hAnsi="宋体" w:eastAsia="宋体"/>
                <w:color w:val="auto"/>
                <w:sz w:val="24"/>
                <w:highlight w:val="none"/>
                <w:lang w:val="en-US" w:eastAsia="zh-CN"/>
              </w:rPr>
            </w:pPr>
          </w:p>
        </w:tc>
        <w:tc>
          <w:tcPr>
            <w:tcW w:w="782" w:type="dxa"/>
            <w:shd w:val="clear" w:color="auto" w:fill="FFFFFF"/>
            <w:vAlign w:val="center"/>
          </w:tcPr>
          <w:p w14:paraId="373B7391">
            <w:pPr>
              <w:widowControl/>
              <w:spacing w:line="360" w:lineRule="auto"/>
              <w:jc w:val="center"/>
              <w:textAlignment w:val="center"/>
              <w:rPr>
                <w:rFonts w:hint="eastAsia" w:ascii="宋体" w:hAnsi="宋体" w:eastAsia="宋体"/>
                <w:color w:val="auto"/>
                <w:sz w:val="24"/>
                <w:highlight w:val="none"/>
                <w:lang w:val="en-US" w:eastAsia="zh-CN"/>
              </w:rPr>
            </w:pPr>
          </w:p>
        </w:tc>
        <w:tc>
          <w:tcPr>
            <w:tcW w:w="898" w:type="dxa"/>
            <w:tcBorders>
              <w:left w:val="single" w:color="auto" w:sz="4" w:space="0"/>
            </w:tcBorders>
            <w:vAlign w:val="center"/>
          </w:tcPr>
          <w:p w14:paraId="6B769CEE">
            <w:pPr>
              <w:spacing w:line="300" w:lineRule="exact"/>
              <w:rPr>
                <w:rFonts w:hint="eastAsia" w:ascii="宋体" w:hAnsi="宋体"/>
                <w:color w:val="auto"/>
                <w:sz w:val="24"/>
                <w:highlight w:val="none"/>
              </w:rPr>
            </w:pPr>
          </w:p>
        </w:tc>
        <w:tc>
          <w:tcPr>
            <w:tcW w:w="972" w:type="dxa"/>
            <w:vAlign w:val="center"/>
          </w:tcPr>
          <w:p w14:paraId="3BC264A6">
            <w:pPr>
              <w:spacing w:line="300" w:lineRule="exact"/>
              <w:rPr>
                <w:rFonts w:hint="eastAsia" w:ascii="宋体" w:hAnsi="宋体"/>
                <w:color w:val="auto"/>
                <w:sz w:val="24"/>
                <w:highlight w:val="none"/>
              </w:rPr>
            </w:pPr>
          </w:p>
        </w:tc>
        <w:tc>
          <w:tcPr>
            <w:tcW w:w="1494" w:type="dxa"/>
          </w:tcPr>
          <w:p w14:paraId="228FC8C9">
            <w:pPr>
              <w:spacing w:line="300" w:lineRule="exact"/>
              <w:rPr>
                <w:rFonts w:hint="eastAsia" w:ascii="宋体" w:hAnsi="宋体"/>
                <w:color w:val="auto"/>
                <w:sz w:val="24"/>
                <w:highlight w:val="none"/>
              </w:rPr>
            </w:pPr>
          </w:p>
        </w:tc>
      </w:tr>
      <w:tr w14:paraId="34FF36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880" w:type="dxa"/>
            <w:vAlign w:val="center"/>
          </w:tcPr>
          <w:p w14:paraId="7EB7DF5E">
            <w:pPr>
              <w:jc w:val="center"/>
              <w:textAlignment w:val="baseline"/>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c>
          <w:tcPr>
            <w:tcW w:w="1801" w:type="dxa"/>
            <w:tcBorders>
              <w:right w:val="single" w:color="auto" w:sz="4" w:space="0"/>
            </w:tcBorders>
            <w:vAlign w:val="center"/>
          </w:tcPr>
          <w:p w14:paraId="7585F4E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p>
        </w:tc>
        <w:tc>
          <w:tcPr>
            <w:tcW w:w="1242" w:type="dxa"/>
            <w:tcBorders>
              <w:left w:val="single" w:color="auto" w:sz="4" w:space="0"/>
            </w:tcBorders>
            <w:vAlign w:val="center"/>
          </w:tcPr>
          <w:p w14:paraId="22A4A163">
            <w:pPr>
              <w:spacing w:line="300" w:lineRule="exact"/>
              <w:jc w:val="center"/>
              <w:rPr>
                <w:rFonts w:hint="eastAsia" w:ascii="宋体" w:hAnsi="宋体"/>
                <w:color w:val="auto"/>
                <w:sz w:val="24"/>
                <w:highlight w:val="none"/>
              </w:rPr>
            </w:pPr>
          </w:p>
        </w:tc>
        <w:tc>
          <w:tcPr>
            <w:tcW w:w="784" w:type="dxa"/>
            <w:shd w:val="clear" w:color="auto" w:fill="FFFFFF"/>
            <w:vAlign w:val="center"/>
          </w:tcPr>
          <w:p w14:paraId="25C98F10">
            <w:pPr>
              <w:widowControl/>
              <w:spacing w:line="360" w:lineRule="auto"/>
              <w:jc w:val="center"/>
              <w:textAlignment w:val="center"/>
              <w:rPr>
                <w:rFonts w:hint="eastAsia" w:ascii="宋体" w:hAnsi="宋体"/>
                <w:color w:val="auto"/>
                <w:sz w:val="24"/>
                <w:highlight w:val="none"/>
              </w:rPr>
            </w:pPr>
          </w:p>
        </w:tc>
        <w:tc>
          <w:tcPr>
            <w:tcW w:w="782" w:type="dxa"/>
            <w:shd w:val="clear" w:color="auto" w:fill="FFFFFF"/>
            <w:vAlign w:val="center"/>
          </w:tcPr>
          <w:p w14:paraId="1D8ACB63">
            <w:pPr>
              <w:widowControl/>
              <w:spacing w:line="360" w:lineRule="auto"/>
              <w:jc w:val="center"/>
              <w:textAlignment w:val="center"/>
              <w:rPr>
                <w:rFonts w:hint="eastAsia" w:ascii="宋体" w:hAnsi="宋体" w:eastAsia="宋体"/>
                <w:color w:val="auto"/>
                <w:sz w:val="24"/>
                <w:highlight w:val="none"/>
                <w:lang w:val="en-US" w:eastAsia="zh-CN"/>
              </w:rPr>
            </w:pPr>
          </w:p>
        </w:tc>
        <w:tc>
          <w:tcPr>
            <w:tcW w:w="898" w:type="dxa"/>
            <w:tcBorders>
              <w:left w:val="single" w:color="auto" w:sz="4" w:space="0"/>
            </w:tcBorders>
            <w:vAlign w:val="center"/>
          </w:tcPr>
          <w:p w14:paraId="1CA9EC45">
            <w:pPr>
              <w:spacing w:line="300" w:lineRule="exact"/>
              <w:rPr>
                <w:rFonts w:hint="eastAsia" w:ascii="宋体" w:hAnsi="宋体"/>
                <w:color w:val="auto"/>
                <w:sz w:val="24"/>
                <w:highlight w:val="none"/>
              </w:rPr>
            </w:pPr>
          </w:p>
        </w:tc>
        <w:tc>
          <w:tcPr>
            <w:tcW w:w="972" w:type="dxa"/>
            <w:vAlign w:val="center"/>
          </w:tcPr>
          <w:p w14:paraId="1242BE2D">
            <w:pPr>
              <w:spacing w:line="300" w:lineRule="exact"/>
              <w:rPr>
                <w:rFonts w:hint="eastAsia" w:ascii="宋体" w:hAnsi="宋体"/>
                <w:color w:val="auto"/>
                <w:sz w:val="24"/>
                <w:highlight w:val="none"/>
              </w:rPr>
            </w:pPr>
          </w:p>
        </w:tc>
        <w:tc>
          <w:tcPr>
            <w:tcW w:w="1494" w:type="dxa"/>
          </w:tcPr>
          <w:p w14:paraId="482AA913">
            <w:pPr>
              <w:spacing w:line="300" w:lineRule="exact"/>
              <w:rPr>
                <w:rFonts w:hint="eastAsia" w:ascii="宋体" w:hAnsi="宋体"/>
                <w:color w:val="auto"/>
                <w:sz w:val="24"/>
                <w:highlight w:val="none"/>
              </w:rPr>
            </w:pPr>
          </w:p>
        </w:tc>
      </w:tr>
      <w:tr w14:paraId="3954F4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8853" w:type="dxa"/>
            <w:gridSpan w:val="8"/>
          </w:tcPr>
          <w:p w14:paraId="1C6AD1CC">
            <w:pPr>
              <w:spacing w:line="300" w:lineRule="exact"/>
              <w:rPr>
                <w:rFonts w:hint="eastAsia" w:ascii="宋体" w:hAnsi="宋体"/>
                <w:color w:val="auto"/>
                <w:sz w:val="24"/>
                <w:highlight w:val="none"/>
              </w:rPr>
            </w:pPr>
            <w:r>
              <w:rPr>
                <w:rFonts w:hint="eastAsia" w:ascii="宋体" w:hAnsi="宋体"/>
                <w:b/>
                <w:color w:val="auto"/>
                <w:sz w:val="24"/>
                <w:highlight w:val="none"/>
              </w:rPr>
              <w:t>投标</w:t>
            </w:r>
            <w:r>
              <w:rPr>
                <w:rFonts w:hint="eastAsia" w:ascii="宋体" w:hAnsi="宋体"/>
                <w:b/>
                <w:color w:val="auto"/>
                <w:sz w:val="24"/>
                <w:highlight w:val="none"/>
                <w:lang w:val="en-US" w:eastAsia="zh-CN"/>
              </w:rPr>
              <w:t>总</w:t>
            </w:r>
            <w:r>
              <w:rPr>
                <w:rFonts w:hint="eastAsia" w:ascii="宋体" w:hAnsi="宋体"/>
                <w:b/>
                <w:color w:val="auto"/>
                <w:sz w:val="24"/>
                <w:highlight w:val="none"/>
              </w:rPr>
              <w:t>报价：</w:t>
            </w:r>
            <w:r>
              <w:rPr>
                <w:rFonts w:hint="eastAsia" w:ascii="宋体" w:hAnsi="宋体"/>
                <w:b/>
                <w:color w:val="auto"/>
                <w:sz w:val="24"/>
                <w:highlight w:val="none"/>
                <w:u w:val="single"/>
              </w:rPr>
              <w:t xml:space="preserve">    </w:t>
            </w:r>
            <w:r>
              <w:rPr>
                <w:rFonts w:hint="eastAsia" w:ascii="宋体" w:hAnsi="宋体"/>
                <w:b/>
                <w:color w:val="auto"/>
                <w:sz w:val="24"/>
                <w:highlight w:val="none"/>
                <w:u w:val="single"/>
                <w:lang w:val="en-US" w:eastAsia="zh-CN"/>
              </w:rPr>
              <w:t xml:space="preserve">        </w:t>
            </w:r>
            <w:r>
              <w:rPr>
                <w:rFonts w:hint="eastAsia" w:ascii="宋体" w:hAnsi="宋体"/>
                <w:b/>
                <w:color w:val="auto"/>
                <w:sz w:val="24"/>
                <w:highlight w:val="none"/>
                <w:u w:val="single"/>
              </w:rPr>
              <w:t xml:space="preserve">           </w:t>
            </w:r>
            <w:r>
              <w:rPr>
                <w:rFonts w:hint="eastAsia" w:ascii="宋体" w:hAnsi="宋体"/>
                <w:b/>
                <w:color w:val="auto"/>
                <w:sz w:val="24"/>
                <w:highlight w:val="none"/>
              </w:rPr>
              <w:t>元；小写：</w:t>
            </w:r>
            <w:r>
              <w:rPr>
                <w:rFonts w:hint="eastAsia" w:ascii="宋体" w:hAnsi="宋体"/>
                <w:b/>
                <w:color w:val="auto"/>
                <w:sz w:val="24"/>
                <w:highlight w:val="none"/>
                <w:u w:val="single"/>
              </w:rPr>
              <w:t xml:space="preserve">   </w:t>
            </w:r>
            <w:r>
              <w:rPr>
                <w:rFonts w:hint="eastAsia" w:ascii="宋体" w:hAnsi="宋体"/>
                <w:b/>
                <w:color w:val="auto"/>
                <w:sz w:val="24"/>
                <w:highlight w:val="none"/>
                <w:u w:val="single"/>
                <w:lang w:val="en-US" w:eastAsia="zh-CN"/>
              </w:rPr>
              <w:t xml:space="preserve">     </w:t>
            </w:r>
            <w:r>
              <w:rPr>
                <w:rFonts w:hint="eastAsia" w:ascii="宋体" w:hAnsi="宋体"/>
                <w:b/>
                <w:color w:val="auto"/>
                <w:sz w:val="24"/>
                <w:highlight w:val="none"/>
                <w:u w:val="single"/>
              </w:rPr>
              <w:t xml:space="preserve">      </w:t>
            </w:r>
            <w:r>
              <w:rPr>
                <w:rFonts w:hint="eastAsia" w:ascii="宋体" w:hAnsi="宋体"/>
                <w:b/>
                <w:color w:val="auto"/>
                <w:sz w:val="24"/>
                <w:highlight w:val="none"/>
              </w:rPr>
              <w:t xml:space="preserve"> 元</w:t>
            </w:r>
            <w:r>
              <w:rPr>
                <w:rFonts w:hint="eastAsia" w:ascii="宋体" w:hAnsi="宋体"/>
                <w:b/>
                <w:color w:val="auto"/>
                <w:sz w:val="24"/>
                <w:highlight w:val="none"/>
                <w:lang w:val="en-US" w:eastAsia="zh-CN"/>
              </w:rPr>
              <w:t>。</w:t>
            </w:r>
          </w:p>
        </w:tc>
      </w:tr>
    </w:tbl>
    <w:p w14:paraId="046D4559">
      <w:pPr>
        <w:spacing w:line="440" w:lineRule="exact"/>
        <w:ind w:firstLine="420" w:firstLineChars="20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注：1.所有投标只能选择一种方案，单价和合价的报价只能是唯一，且须列出详细的分项报价。（与采购清单项相一致，不得缺项，否则视同包含在其他项目。）</w:t>
      </w:r>
    </w:p>
    <w:p w14:paraId="18B101C6">
      <w:pPr>
        <w:spacing w:line="440" w:lineRule="exact"/>
        <w:jc w:val="left"/>
        <w:rPr>
          <w:rFonts w:hint="eastAsia" w:ascii="宋体" w:hAnsi="宋体" w:cs="宋体"/>
          <w:b/>
          <w:bCs/>
          <w:color w:val="auto"/>
          <w:szCs w:val="21"/>
          <w:highlight w:val="none"/>
          <w:lang w:val="zh-CN"/>
        </w:rPr>
      </w:pPr>
      <w:r>
        <w:rPr>
          <w:rFonts w:hint="eastAsia" w:ascii="宋体" w:hAnsi="宋体" w:cs="宋体"/>
          <w:color w:val="auto"/>
          <w:szCs w:val="21"/>
          <w:highlight w:val="none"/>
        </w:rPr>
        <w:t xml:space="preserve"> </w:t>
      </w:r>
      <w:r>
        <w:rPr>
          <w:rFonts w:hint="eastAsia" w:ascii="宋体" w:hAnsi="宋体" w:cs="宋体"/>
          <w:b/>
          <w:bCs/>
          <w:color w:val="auto"/>
          <w:szCs w:val="21"/>
          <w:highlight w:val="none"/>
        </w:rPr>
        <w:t xml:space="preserve">  </w:t>
      </w:r>
      <w:r>
        <w:rPr>
          <w:rFonts w:hint="eastAsia" w:ascii="宋体" w:hAnsi="宋体" w:cs="宋体"/>
          <w:b/>
          <w:bCs/>
          <w:color w:val="auto"/>
          <w:szCs w:val="21"/>
          <w:highlight w:val="none"/>
          <w:lang w:val="zh-CN"/>
        </w:rPr>
        <w:t>2.投标报价采用综合单价法，综合单价包含但不限于材料费（主材和辅材）、设备费、施工安装费、运输费、装卸费、管理费、利润、风险费用、检测费、调试、验收、培训及后期服务及国家对中标单位征收的各种税费等所有一切费用，综合单价今后将不作任何调整。具体数量以实际验收通过数量为准。</w:t>
      </w:r>
    </w:p>
    <w:p w14:paraId="50F16250">
      <w:pPr>
        <w:rPr>
          <w:rFonts w:hint="eastAsia" w:ascii="宋体" w:hAnsi="宋体" w:eastAsia="宋体" w:cs="宋体"/>
          <w:color w:val="auto"/>
          <w:kern w:val="0"/>
          <w:sz w:val="30"/>
          <w:szCs w:val="30"/>
          <w:highlight w:val="none"/>
          <w:u w:val="none" w:color="000000"/>
          <w:lang w:val="en-US" w:eastAsia="zh-CN" w:bidi="ar-SA"/>
        </w:rPr>
      </w:pPr>
      <w:r>
        <w:rPr>
          <w:rFonts w:hint="eastAsia" w:ascii="宋体" w:hAnsi="宋体" w:eastAsia="宋体" w:cs="宋体"/>
          <w:color w:val="auto"/>
          <w:kern w:val="0"/>
          <w:sz w:val="30"/>
          <w:szCs w:val="30"/>
          <w:highlight w:val="none"/>
          <w:u w:val="none" w:color="000000"/>
          <w:lang w:val="en-US" w:eastAsia="zh-CN" w:bidi="ar-SA"/>
        </w:rPr>
        <w:br w:type="page"/>
      </w:r>
    </w:p>
    <w:bookmarkEnd w:id="7"/>
    <w:bookmarkEnd w:id="8"/>
    <w:bookmarkEnd w:id="9"/>
    <w:bookmarkEnd w:id="10"/>
    <w:bookmarkEnd w:id="11"/>
    <w:p w14:paraId="30EFBD86">
      <w:pPr>
        <w:pStyle w:val="42"/>
        <w:spacing w:beforeLines="50" w:afterLines="50" w:line="440" w:lineRule="exact"/>
        <w:ind w:firstLine="643" w:firstLineChars="200"/>
        <w:jc w:val="center"/>
        <w:rPr>
          <w:bCs/>
          <w:color w:val="auto"/>
          <w:szCs w:val="32"/>
          <w:highlight w:val="none"/>
        </w:rPr>
      </w:pPr>
      <w:bookmarkStart w:id="788" w:name="_Toc25735"/>
      <w:r>
        <w:rPr>
          <w:rFonts w:hint="eastAsia"/>
          <w:bCs/>
          <w:color w:val="auto"/>
          <w:szCs w:val="32"/>
          <w:highlight w:val="none"/>
        </w:rPr>
        <w:t>第</w:t>
      </w:r>
      <w:r>
        <w:rPr>
          <w:rFonts w:hint="eastAsia"/>
          <w:bCs/>
          <w:color w:val="auto"/>
          <w:szCs w:val="32"/>
          <w:highlight w:val="none"/>
          <w:lang w:val="en-US" w:eastAsia="zh-CN"/>
        </w:rPr>
        <w:t>七</w:t>
      </w:r>
      <w:r>
        <w:rPr>
          <w:rFonts w:hint="eastAsia"/>
          <w:bCs/>
          <w:color w:val="auto"/>
          <w:szCs w:val="32"/>
          <w:highlight w:val="none"/>
        </w:rPr>
        <w:t>章</w:t>
      </w:r>
      <w:r>
        <w:rPr>
          <w:bCs/>
          <w:color w:val="auto"/>
          <w:szCs w:val="32"/>
          <w:highlight w:val="none"/>
        </w:rPr>
        <w:t xml:space="preserve">  </w:t>
      </w:r>
      <w:r>
        <w:rPr>
          <w:rFonts w:hint="eastAsia"/>
          <w:bCs/>
          <w:color w:val="auto"/>
          <w:szCs w:val="32"/>
          <w:highlight w:val="none"/>
        </w:rPr>
        <w:t>招标单位、招标代理机构对本招标文件的确认</w:t>
      </w:r>
      <w:bookmarkEnd w:id="788"/>
    </w:p>
    <w:tbl>
      <w:tblPr>
        <w:tblStyle w:val="45"/>
        <w:tblW w:w="9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8"/>
      </w:tblGrid>
      <w:tr w14:paraId="5F1B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4" w:hRule="atLeast"/>
          <w:jc w:val="center"/>
        </w:trPr>
        <w:tc>
          <w:tcPr>
            <w:tcW w:w="9808" w:type="dxa"/>
          </w:tcPr>
          <w:p w14:paraId="5A33D463">
            <w:pPr>
              <w:wordWrap w:val="0"/>
              <w:adjustRightInd w:val="0"/>
              <w:snapToGrid w:val="0"/>
              <w:spacing w:line="560" w:lineRule="exact"/>
              <w:rPr>
                <w:color w:val="auto"/>
                <w:sz w:val="30"/>
                <w:highlight w:val="none"/>
              </w:rPr>
            </w:pPr>
          </w:p>
          <w:p w14:paraId="4B90C209">
            <w:pPr>
              <w:wordWrap w:val="0"/>
              <w:ind w:left="-358" w:leftChars="-171" w:hanging="1"/>
              <w:rPr>
                <w:rFonts w:hint="eastAsia" w:eastAsia="宋体"/>
                <w:color w:val="auto"/>
                <w:sz w:val="28"/>
                <w:szCs w:val="28"/>
                <w:highlight w:val="none"/>
                <w:lang w:eastAsia="zh-CN"/>
              </w:rPr>
            </w:pPr>
            <w:r>
              <w:rPr>
                <w:rFonts w:hint="eastAsia"/>
                <w:color w:val="auto"/>
                <w:sz w:val="24"/>
                <w:highlight w:val="none"/>
              </w:rPr>
              <w:t>我</w:t>
            </w:r>
            <w:r>
              <w:rPr>
                <w:color w:val="auto"/>
                <w:sz w:val="24"/>
                <w:highlight w:val="none"/>
              </w:rPr>
              <w:t xml:space="preserve">    </w:t>
            </w:r>
            <w:r>
              <w:rPr>
                <w:rFonts w:hint="eastAsia"/>
                <w:color w:val="auto"/>
                <w:sz w:val="28"/>
                <w:szCs w:val="28"/>
                <w:highlight w:val="none"/>
              </w:rPr>
              <w:t>我单位对</w:t>
            </w:r>
            <w:r>
              <w:rPr>
                <w:color w:val="auto"/>
                <w:sz w:val="28"/>
                <w:szCs w:val="28"/>
                <w:highlight w:val="none"/>
                <w:u w:val="single"/>
              </w:rPr>
              <w:t xml:space="preserve"> </w:t>
            </w:r>
            <w:r>
              <w:rPr>
                <w:rFonts w:hint="eastAsia"/>
                <w:color w:val="auto"/>
                <w:sz w:val="28"/>
                <w:szCs w:val="28"/>
                <w:highlight w:val="none"/>
                <w:u w:val="single"/>
                <w:lang w:eastAsia="zh-CN"/>
              </w:rPr>
              <w:t>同业公司物业项目消防设施设备采购更换项目</w:t>
            </w:r>
            <w:r>
              <w:rPr>
                <w:color w:val="auto"/>
                <w:sz w:val="28"/>
                <w:szCs w:val="28"/>
                <w:highlight w:val="none"/>
                <w:u w:val="single"/>
              </w:rPr>
              <w:t xml:space="preserve"> </w:t>
            </w:r>
            <w:r>
              <w:rPr>
                <w:rFonts w:hint="eastAsia"/>
                <w:color w:val="auto"/>
                <w:sz w:val="28"/>
                <w:szCs w:val="28"/>
                <w:highlight w:val="none"/>
              </w:rPr>
              <w:t>的招标文件进行确认</w:t>
            </w:r>
            <w:r>
              <w:rPr>
                <w:rFonts w:hint="eastAsia"/>
                <w:color w:val="auto"/>
                <w:sz w:val="28"/>
                <w:szCs w:val="28"/>
                <w:highlight w:val="none"/>
                <w:lang w:eastAsia="zh-CN"/>
              </w:rPr>
              <w:t>。</w:t>
            </w:r>
          </w:p>
          <w:p w14:paraId="4109136D">
            <w:pPr>
              <w:wordWrap w:val="0"/>
              <w:spacing w:line="560" w:lineRule="exact"/>
              <w:ind w:firstLine="560" w:firstLineChars="200"/>
              <w:rPr>
                <w:rFonts w:hint="eastAsia" w:ascii="宋体" w:eastAsia="宋体"/>
                <w:color w:val="auto"/>
                <w:sz w:val="28"/>
                <w:szCs w:val="28"/>
                <w:highlight w:val="none"/>
                <w:lang w:eastAsia="zh-CN"/>
              </w:rPr>
            </w:pPr>
            <w:r>
              <w:rPr>
                <w:rFonts w:hint="eastAsia" w:ascii="宋体" w:hAnsi="宋体"/>
                <w:color w:val="auto"/>
                <w:sz w:val="28"/>
                <w:szCs w:val="28"/>
                <w:highlight w:val="none"/>
                <w:lang w:val="en-US" w:eastAsia="zh-CN"/>
              </w:rPr>
              <w:t>招标单位</w:t>
            </w:r>
            <w:r>
              <w:rPr>
                <w:rFonts w:hint="eastAsia" w:ascii="宋体" w:hAnsi="宋体"/>
                <w:color w:val="auto"/>
                <w:sz w:val="28"/>
                <w:szCs w:val="28"/>
                <w:highlight w:val="none"/>
              </w:rPr>
              <w:t>名称：</w:t>
            </w:r>
            <w:r>
              <w:rPr>
                <w:rFonts w:hint="eastAsia" w:ascii="宋体" w:hAnsi="宋体"/>
                <w:color w:val="auto"/>
                <w:sz w:val="28"/>
                <w:szCs w:val="28"/>
                <w:highlight w:val="none"/>
                <w:lang w:eastAsia="zh-CN"/>
              </w:rPr>
              <w:t>滁州同业投资发展有限公司</w:t>
            </w:r>
          </w:p>
          <w:p w14:paraId="7FA88D95">
            <w:pPr>
              <w:wordWrap w:val="0"/>
              <w:spacing w:line="560" w:lineRule="exact"/>
              <w:ind w:firstLine="560" w:firstLineChars="200"/>
              <w:rPr>
                <w:rFonts w:hint="eastAsia" w:ascii="宋体" w:hAnsi="宋体" w:eastAsia="宋体"/>
                <w:color w:val="auto"/>
                <w:sz w:val="28"/>
                <w:szCs w:val="28"/>
                <w:highlight w:val="none"/>
                <w:lang w:val="en-US" w:eastAsia="zh-CN"/>
              </w:rPr>
            </w:pPr>
            <w:r>
              <w:rPr>
                <w:rFonts w:hint="eastAsia" w:ascii="宋体" w:hAnsi="宋体"/>
                <w:color w:val="auto"/>
                <w:sz w:val="28"/>
                <w:szCs w:val="28"/>
                <w:highlight w:val="none"/>
              </w:rPr>
              <w:t>联 系 人：</w:t>
            </w:r>
            <w:r>
              <w:rPr>
                <w:rFonts w:hint="eastAsia" w:ascii="宋体" w:hAnsi="宋体"/>
                <w:color w:val="auto"/>
                <w:sz w:val="28"/>
                <w:szCs w:val="28"/>
                <w:highlight w:val="none"/>
                <w:lang w:eastAsia="zh-CN"/>
              </w:rPr>
              <w:t>陈小兵</w:t>
            </w:r>
          </w:p>
          <w:p w14:paraId="57501D25">
            <w:pPr>
              <w:wordWrap w:val="0"/>
              <w:spacing w:line="560" w:lineRule="exact"/>
              <w:ind w:firstLine="560" w:firstLineChars="200"/>
              <w:rPr>
                <w:rFonts w:hint="eastAsia" w:ascii="宋体" w:hAnsi="宋体"/>
                <w:color w:val="auto"/>
                <w:sz w:val="28"/>
                <w:szCs w:val="28"/>
                <w:highlight w:val="none"/>
                <w:lang w:val="en-US" w:eastAsia="zh-CN"/>
              </w:rPr>
            </w:pPr>
            <w:r>
              <w:rPr>
                <w:rFonts w:hint="eastAsia" w:ascii="宋体" w:hAnsi="宋体"/>
                <w:color w:val="auto"/>
                <w:sz w:val="28"/>
                <w:szCs w:val="28"/>
                <w:highlight w:val="none"/>
              </w:rPr>
              <w:t>联系电话：</w:t>
            </w:r>
            <w:r>
              <w:rPr>
                <w:rFonts w:hint="eastAsia" w:ascii="宋体" w:hAnsi="宋体"/>
                <w:color w:val="auto"/>
                <w:sz w:val="28"/>
                <w:szCs w:val="28"/>
                <w:highlight w:val="none"/>
                <w:lang w:val="en-US" w:eastAsia="zh-CN"/>
              </w:rPr>
              <w:t xml:space="preserve">18055009903 </w:t>
            </w:r>
            <w:r>
              <w:rPr>
                <w:rFonts w:ascii="宋体" w:hAnsi="宋体"/>
                <w:color w:val="auto"/>
                <w:sz w:val="28"/>
                <w:szCs w:val="28"/>
                <w:highlight w:val="none"/>
              </w:rPr>
              <w:t xml:space="preserve">    </w:t>
            </w:r>
          </w:p>
          <w:p w14:paraId="1FBEFE2E">
            <w:pPr>
              <w:wordWrap w:val="0"/>
              <w:spacing w:line="560" w:lineRule="exact"/>
              <w:ind w:firstLine="6020" w:firstLineChars="2150"/>
              <w:rPr>
                <w:rFonts w:ascii="宋体"/>
                <w:color w:val="auto"/>
                <w:sz w:val="28"/>
                <w:szCs w:val="28"/>
                <w:highlight w:val="none"/>
              </w:rPr>
            </w:pPr>
            <w:r>
              <w:rPr>
                <w:rFonts w:hint="eastAsia" w:ascii="宋体" w:hAnsi="宋体"/>
                <w:color w:val="auto"/>
                <w:sz w:val="28"/>
                <w:szCs w:val="28"/>
                <w:highlight w:val="none"/>
              </w:rPr>
              <w:t>（单位盖章）</w:t>
            </w:r>
          </w:p>
          <w:p w14:paraId="4D01EFFE">
            <w:pPr>
              <w:spacing w:line="560" w:lineRule="exact"/>
              <w:ind w:firstLine="6160" w:firstLineChars="2200"/>
              <w:rPr>
                <w:color w:val="auto"/>
                <w:sz w:val="30"/>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11</w:t>
            </w:r>
            <w:r>
              <w:rPr>
                <w:rFonts w:hint="eastAsia" w:ascii="宋体" w:hAnsi="宋体"/>
                <w:color w:val="auto"/>
                <w:sz w:val="28"/>
                <w:szCs w:val="28"/>
                <w:highlight w:val="none"/>
              </w:rPr>
              <w:t>月</w:t>
            </w:r>
          </w:p>
        </w:tc>
      </w:tr>
      <w:tr w14:paraId="6E2F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1" w:hRule="atLeast"/>
          <w:jc w:val="center"/>
        </w:trPr>
        <w:tc>
          <w:tcPr>
            <w:tcW w:w="9808" w:type="dxa"/>
          </w:tcPr>
          <w:p w14:paraId="415BAA8F">
            <w:pPr>
              <w:spacing w:line="560" w:lineRule="exact"/>
              <w:ind w:firstLine="560" w:firstLineChars="200"/>
              <w:rPr>
                <w:rFonts w:ascii="宋体" w:cs="宋体"/>
                <w:color w:val="auto"/>
                <w:sz w:val="28"/>
                <w:szCs w:val="28"/>
                <w:highlight w:val="none"/>
              </w:rPr>
            </w:pPr>
          </w:p>
          <w:p w14:paraId="65C58A13">
            <w:pPr>
              <w:spacing w:line="560" w:lineRule="exact"/>
              <w:ind w:firstLine="560" w:firstLineChars="200"/>
              <w:rPr>
                <w:rFonts w:ascii="宋体" w:cs="宋体"/>
                <w:color w:val="auto"/>
                <w:sz w:val="28"/>
                <w:szCs w:val="28"/>
                <w:highlight w:val="none"/>
                <w:u w:val="single"/>
              </w:rPr>
            </w:pPr>
            <w:r>
              <w:rPr>
                <w:rFonts w:hint="eastAsia" w:ascii="宋体" w:hAnsi="宋体" w:cs="宋体"/>
                <w:color w:val="auto"/>
                <w:sz w:val="28"/>
                <w:szCs w:val="28"/>
                <w:highlight w:val="none"/>
              </w:rPr>
              <w:t>招标代理机构：</w:t>
            </w:r>
            <w:r>
              <w:rPr>
                <w:rFonts w:hint="eastAsia"/>
                <w:color w:val="auto"/>
                <w:sz w:val="28"/>
                <w:szCs w:val="28"/>
                <w:highlight w:val="none"/>
              </w:rPr>
              <w:t>滁州市城投工程咨询管理有限公司</w:t>
            </w:r>
          </w:p>
          <w:p w14:paraId="5941A8EA">
            <w:pPr>
              <w:spacing w:line="560" w:lineRule="exact"/>
              <w:ind w:firstLine="560" w:firstLineChars="200"/>
              <w:rPr>
                <w:rFonts w:ascii="宋体" w:cs="宋体"/>
                <w:color w:val="auto"/>
                <w:sz w:val="28"/>
                <w:szCs w:val="28"/>
                <w:highlight w:val="none"/>
                <w:u w:val="single"/>
              </w:rPr>
            </w:pPr>
            <w:r>
              <w:rPr>
                <w:rFonts w:hint="eastAsia" w:ascii="宋体" w:hAnsi="宋体" w:cs="宋体"/>
                <w:color w:val="auto"/>
                <w:sz w:val="28"/>
                <w:szCs w:val="28"/>
                <w:highlight w:val="none"/>
              </w:rPr>
              <w:t>联</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系</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人：杨韦</w:t>
            </w:r>
          </w:p>
          <w:p w14:paraId="4F661E9D">
            <w:pPr>
              <w:spacing w:line="560" w:lineRule="exact"/>
              <w:ind w:firstLine="560" w:firstLineChars="200"/>
              <w:rPr>
                <w:rFonts w:ascii="宋体" w:cs="宋体"/>
                <w:color w:val="auto"/>
                <w:sz w:val="28"/>
                <w:szCs w:val="28"/>
                <w:highlight w:val="none"/>
              </w:rPr>
            </w:pPr>
            <w:r>
              <w:rPr>
                <w:rFonts w:hint="eastAsia" w:ascii="宋体" w:hAnsi="宋体" w:cs="宋体"/>
                <w:color w:val="auto"/>
                <w:sz w:val="28"/>
                <w:szCs w:val="28"/>
                <w:highlight w:val="none"/>
              </w:rPr>
              <w:t>联系电话：</w:t>
            </w:r>
            <w:r>
              <w:rPr>
                <w:rFonts w:ascii="宋体" w:hAnsi="宋体" w:cs="宋体"/>
                <w:color w:val="auto"/>
                <w:sz w:val="28"/>
                <w:szCs w:val="28"/>
                <w:highlight w:val="none"/>
              </w:rPr>
              <w:t>0550-</w:t>
            </w:r>
            <w:r>
              <w:rPr>
                <w:rFonts w:hint="eastAsia" w:ascii="宋体" w:hAnsi="宋体" w:cs="宋体"/>
                <w:color w:val="auto"/>
                <w:sz w:val="28"/>
                <w:szCs w:val="28"/>
                <w:highlight w:val="none"/>
                <w:lang w:eastAsia="zh-CN"/>
              </w:rPr>
              <w:t>3519590</w:t>
            </w:r>
            <w:r>
              <w:rPr>
                <w:rFonts w:hint="eastAsia" w:ascii="宋体" w:hAnsi="宋体" w:cs="宋体"/>
                <w:color w:val="auto"/>
                <w:sz w:val="28"/>
                <w:szCs w:val="28"/>
                <w:highlight w:val="none"/>
              </w:rPr>
              <w:t>、</w:t>
            </w:r>
            <w:r>
              <w:rPr>
                <w:rFonts w:ascii="宋体" w:hAnsi="宋体" w:cs="宋体"/>
                <w:color w:val="auto"/>
                <w:sz w:val="28"/>
                <w:szCs w:val="28"/>
                <w:highlight w:val="none"/>
              </w:rPr>
              <w:t>18005501210</w:t>
            </w:r>
          </w:p>
          <w:p w14:paraId="6260AEB0">
            <w:pPr>
              <w:spacing w:line="560" w:lineRule="exact"/>
              <w:rPr>
                <w:rFonts w:ascii="宋体" w:cs="宋体"/>
                <w:color w:val="auto"/>
                <w:sz w:val="28"/>
                <w:szCs w:val="28"/>
                <w:highlight w:val="none"/>
              </w:rPr>
            </w:pPr>
          </w:p>
          <w:p w14:paraId="0E17492F">
            <w:pPr>
              <w:spacing w:line="560" w:lineRule="exact"/>
              <w:ind w:firstLine="5460" w:firstLineChars="1950"/>
              <w:rPr>
                <w:rFonts w:ascii="宋体" w:cs="宋体"/>
                <w:color w:val="auto"/>
                <w:sz w:val="28"/>
                <w:szCs w:val="28"/>
                <w:highlight w:val="none"/>
              </w:rPr>
            </w:pPr>
          </w:p>
          <w:p w14:paraId="5CECA8C2">
            <w:pPr>
              <w:spacing w:line="560" w:lineRule="exact"/>
              <w:ind w:firstLine="5880" w:firstLineChars="2100"/>
              <w:rPr>
                <w:rFonts w:ascii="宋体" w:cs="宋体"/>
                <w:color w:val="auto"/>
                <w:sz w:val="28"/>
                <w:szCs w:val="28"/>
                <w:highlight w:val="none"/>
              </w:rPr>
            </w:pPr>
            <w:r>
              <w:rPr>
                <w:rFonts w:hint="eastAsia" w:ascii="宋体" w:hAnsi="宋体" w:cs="宋体"/>
                <w:color w:val="auto"/>
                <w:sz w:val="28"/>
                <w:szCs w:val="28"/>
                <w:highlight w:val="none"/>
              </w:rPr>
              <w:t>（单位盖章）</w:t>
            </w:r>
          </w:p>
          <w:p w14:paraId="79AA317D">
            <w:pPr>
              <w:spacing w:line="560" w:lineRule="exact"/>
              <w:ind w:firstLine="6160" w:firstLineChars="2200"/>
              <w:rPr>
                <w:color w:val="auto"/>
                <w:sz w:val="30"/>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11</w:t>
            </w:r>
            <w:r>
              <w:rPr>
                <w:rFonts w:hint="eastAsia" w:ascii="宋体" w:hAnsi="宋体"/>
                <w:color w:val="auto"/>
                <w:sz w:val="28"/>
                <w:szCs w:val="28"/>
                <w:highlight w:val="none"/>
              </w:rPr>
              <w:t>月</w:t>
            </w:r>
          </w:p>
        </w:tc>
      </w:tr>
    </w:tbl>
    <w:p w14:paraId="5C5D5909">
      <w:pPr>
        <w:pStyle w:val="44"/>
        <w:ind w:left="0" w:leftChars="0" w:firstLine="0" w:firstLineChars="0"/>
        <w:rPr>
          <w:color w:val="auto"/>
          <w:highlight w:val="none"/>
        </w:rPr>
      </w:pPr>
    </w:p>
    <w:sectPr>
      <w:footerReference r:id="rId7" w:type="default"/>
      <w:pgSz w:w="11906" w:h="16838"/>
      <w:pgMar w:top="1134" w:right="1417" w:bottom="1134" w:left="1417"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华文细黑">
    <w:altName w:val="Arial Unicode MS"/>
    <w:panose1 w:val="02010600040101010101"/>
    <w:charset w:val="86"/>
    <w:family w:val="auto"/>
    <w:pitch w:val="default"/>
    <w:sig w:usb0="00000000" w:usb1="00000000" w:usb2="00000000" w:usb3="00000000" w:csb0="0004009F" w:csb1="DFD70000"/>
  </w:font>
  <w:font w:name="Arial Unicode MS">
    <w:panose1 w:val="020B0604020202020204"/>
    <w:charset w:val="86"/>
    <w:family w:val="auto"/>
    <w:pitch w:val="default"/>
    <w:sig w:usb0="F7FFAEFF" w:usb1="F9DFFFFF" w:usb2="0000007F" w:usb3="00000000" w:csb0="203F01FF" w:csb1="D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新宋体">
    <w:panose1 w:val="02010609030101010101"/>
    <w:charset w:val="86"/>
    <w:family w:val="auto"/>
    <w:pitch w:val="default"/>
    <w:sig w:usb0="00000283" w:usb1="288F0000" w:usb2="00000006" w:usb3="00000000" w:csb0="00040001" w:csb1="00000000"/>
  </w:font>
  <w:font w:name="ModIcon">
    <w:altName w:val="FFont-Family"/>
    <w:panose1 w:val="00000000000000000000"/>
    <w:charset w:val="00"/>
    <w:family w:val="auto"/>
    <w:pitch w:val="default"/>
    <w:sig w:usb0="00000000" w:usb1="00000000" w:usb2="00000000" w:usb3="00000000" w:csb0="00000000" w:csb1="00000000"/>
  </w:font>
  <w:font w:name="ActionIcon">
    <w:altName w:val="FFont-Family"/>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DE7EA">
    <w:pPr>
      <w:pStyle w:val="27"/>
      <w:framePr w:wrap="around" w:vAnchor="text" w:hAnchor="margin" w:xAlign="center" w:y="1"/>
      <w:rPr>
        <w:rStyle w:val="49"/>
      </w:rPr>
    </w:pPr>
  </w:p>
  <w:p w14:paraId="640D6E7D">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B9750">
    <w:pPr>
      <w:pStyle w:val="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DC3C2">
    <w:pPr>
      <w:pStyle w:val="27"/>
      <w:framePr w:wrap="around" w:vAnchor="text" w:hAnchor="margin" w:xAlign="center" w:y="1"/>
      <w:rPr>
        <w:rStyle w:val="49"/>
      </w:rPr>
    </w:pPr>
  </w:p>
  <w:p w14:paraId="736C67C7">
    <w:pPr>
      <w:pStyle w:val="2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2AFD">
    <w:pPr>
      <w:pStyle w:val="27"/>
      <w:rPr>
        <w:rStyle w:val="49"/>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7A35B0A">
                          <w:pPr>
                            <w:pStyle w:val="2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7A35B0A">
                    <w:pPr>
                      <w:pStyle w:val="27"/>
                    </w:pPr>
                    <w:r>
                      <w:fldChar w:fldCharType="begin"/>
                    </w:r>
                    <w:r>
                      <w:instrText xml:space="preserve"> PAGE  \* MERGEFORMAT </w:instrText>
                    </w:r>
                    <w:r>
                      <w:fldChar w:fldCharType="separate"/>
                    </w:r>
                    <w:r>
                      <w:t>2</w:t>
                    </w:r>
                    <w:r>
                      <w:fldChar w:fldCharType="end"/>
                    </w:r>
                  </w:p>
                </w:txbxContent>
              </v:textbox>
            </v:shape>
          </w:pict>
        </mc:Fallback>
      </mc:AlternateContent>
    </w:r>
  </w:p>
  <w:p w14:paraId="5B5835C2">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28016">
    <w:pPr>
      <w:pStyle w:val="2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2"/>
      <w:numFmt w:val="decimal"/>
      <w:lvlText w:val="%1、"/>
      <w:lvlJc w:val="left"/>
      <w:pPr>
        <w:tabs>
          <w:tab w:val="left" w:pos="0"/>
        </w:tabs>
        <w:ind w:left="840" w:hanging="360"/>
      </w:pPr>
      <w:rPr>
        <w:rFonts w:hint="default"/>
      </w:rPr>
    </w:lvl>
    <w:lvl w:ilvl="1" w:tentative="0">
      <w:start w:val="1"/>
      <w:numFmt w:val="lowerLetter"/>
      <w:lvlText w:val="%2)"/>
      <w:lvlJc w:val="left"/>
      <w:pPr>
        <w:tabs>
          <w:tab w:val="left" w:pos="0"/>
        </w:tabs>
        <w:ind w:left="1320" w:hanging="420"/>
      </w:pPr>
    </w:lvl>
    <w:lvl w:ilvl="2" w:tentative="0">
      <w:start w:val="1"/>
      <w:numFmt w:val="lowerRoman"/>
      <w:lvlText w:val="%3."/>
      <w:lvlJc w:val="right"/>
      <w:pPr>
        <w:tabs>
          <w:tab w:val="left" w:pos="0"/>
        </w:tabs>
        <w:ind w:left="1740" w:hanging="420"/>
      </w:pPr>
    </w:lvl>
    <w:lvl w:ilvl="3" w:tentative="0">
      <w:start w:val="1"/>
      <w:numFmt w:val="decimal"/>
      <w:lvlText w:val="%4."/>
      <w:lvlJc w:val="left"/>
      <w:pPr>
        <w:tabs>
          <w:tab w:val="left" w:pos="0"/>
        </w:tabs>
        <w:ind w:left="2160" w:hanging="420"/>
      </w:pPr>
    </w:lvl>
    <w:lvl w:ilvl="4" w:tentative="0">
      <w:start w:val="1"/>
      <w:numFmt w:val="lowerLetter"/>
      <w:lvlText w:val="%5)"/>
      <w:lvlJc w:val="left"/>
      <w:pPr>
        <w:tabs>
          <w:tab w:val="left" w:pos="0"/>
        </w:tabs>
        <w:ind w:left="2580" w:hanging="420"/>
      </w:pPr>
    </w:lvl>
    <w:lvl w:ilvl="5" w:tentative="0">
      <w:start w:val="1"/>
      <w:numFmt w:val="lowerRoman"/>
      <w:lvlText w:val="%6."/>
      <w:lvlJc w:val="right"/>
      <w:pPr>
        <w:tabs>
          <w:tab w:val="left" w:pos="0"/>
        </w:tabs>
        <w:ind w:left="3000" w:hanging="420"/>
      </w:pPr>
    </w:lvl>
    <w:lvl w:ilvl="6" w:tentative="0">
      <w:start w:val="1"/>
      <w:numFmt w:val="decimal"/>
      <w:lvlText w:val="%7."/>
      <w:lvlJc w:val="left"/>
      <w:pPr>
        <w:tabs>
          <w:tab w:val="left" w:pos="0"/>
        </w:tabs>
        <w:ind w:left="3420" w:hanging="420"/>
      </w:pPr>
    </w:lvl>
    <w:lvl w:ilvl="7" w:tentative="0">
      <w:start w:val="1"/>
      <w:numFmt w:val="lowerLetter"/>
      <w:lvlText w:val="%8)"/>
      <w:lvlJc w:val="left"/>
      <w:pPr>
        <w:tabs>
          <w:tab w:val="left" w:pos="0"/>
        </w:tabs>
        <w:ind w:left="3840" w:hanging="420"/>
      </w:pPr>
    </w:lvl>
    <w:lvl w:ilvl="8" w:tentative="0">
      <w:start w:val="1"/>
      <w:numFmt w:val="lowerRoman"/>
      <w:lvlText w:val="%9."/>
      <w:lvlJc w:val="right"/>
      <w:pPr>
        <w:tabs>
          <w:tab w:val="left" w:pos="0"/>
        </w:tabs>
        <w:ind w:left="4260" w:hanging="420"/>
      </w:pPr>
    </w:lvl>
  </w:abstractNum>
  <w:abstractNum w:abstractNumId="1">
    <w:nsid w:val="59681816"/>
    <w:multiLevelType w:val="singleLevel"/>
    <w:tmpl w:val="59681816"/>
    <w:lvl w:ilvl="0" w:tentative="0">
      <w:start w:val="1"/>
      <w:numFmt w:val="chineseCounting"/>
      <w:suff w:val="space"/>
      <w:lvlText w:val="第%1条"/>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60"/>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5MGI3YTdkMjVkZTZjM2ZjZTQ5YjMxYTJjZjRlOWEifQ=="/>
    <w:docVar w:name="KSO_WPS_MARK_KEY" w:val="bd55d6dc-4a7e-4552-81bd-0ab792725221"/>
  </w:docVars>
  <w:rsids>
    <w:rsidRoot w:val="00172A27"/>
    <w:rsid w:val="0000197A"/>
    <w:rsid w:val="00002E1B"/>
    <w:rsid w:val="000046EA"/>
    <w:rsid w:val="00004E34"/>
    <w:rsid w:val="00005CD8"/>
    <w:rsid w:val="00006123"/>
    <w:rsid w:val="000070B7"/>
    <w:rsid w:val="0000758B"/>
    <w:rsid w:val="00010F4B"/>
    <w:rsid w:val="0001111D"/>
    <w:rsid w:val="00012D1D"/>
    <w:rsid w:val="00017114"/>
    <w:rsid w:val="00017EFA"/>
    <w:rsid w:val="00020FE0"/>
    <w:rsid w:val="00021BDB"/>
    <w:rsid w:val="000225E0"/>
    <w:rsid w:val="00022A89"/>
    <w:rsid w:val="000330C1"/>
    <w:rsid w:val="000335C0"/>
    <w:rsid w:val="00034C73"/>
    <w:rsid w:val="00037B93"/>
    <w:rsid w:val="00040224"/>
    <w:rsid w:val="0004332D"/>
    <w:rsid w:val="00046C34"/>
    <w:rsid w:val="0005256E"/>
    <w:rsid w:val="00057DBF"/>
    <w:rsid w:val="0006411D"/>
    <w:rsid w:val="000642AF"/>
    <w:rsid w:val="00066792"/>
    <w:rsid w:val="00076791"/>
    <w:rsid w:val="00076F1D"/>
    <w:rsid w:val="00077234"/>
    <w:rsid w:val="00086C18"/>
    <w:rsid w:val="00090A07"/>
    <w:rsid w:val="00090F90"/>
    <w:rsid w:val="00093100"/>
    <w:rsid w:val="000939B1"/>
    <w:rsid w:val="00094E9D"/>
    <w:rsid w:val="000A078C"/>
    <w:rsid w:val="000A11AD"/>
    <w:rsid w:val="000A5881"/>
    <w:rsid w:val="000A65EE"/>
    <w:rsid w:val="000B3A75"/>
    <w:rsid w:val="000B44D3"/>
    <w:rsid w:val="000B4B76"/>
    <w:rsid w:val="000B7A7E"/>
    <w:rsid w:val="000C26FD"/>
    <w:rsid w:val="000D203E"/>
    <w:rsid w:val="000D2C3D"/>
    <w:rsid w:val="000D2ECE"/>
    <w:rsid w:val="000E0020"/>
    <w:rsid w:val="000E1F7F"/>
    <w:rsid w:val="000E3D3D"/>
    <w:rsid w:val="000F740E"/>
    <w:rsid w:val="00104E44"/>
    <w:rsid w:val="001063CB"/>
    <w:rsid w:val="0011140E"/>
    <w:rsid w:val="00115943"/>
    <w:rsid w:val="00116988"/>
    <w:rsid w:val="00125553"/>
    <w:rsid w:val="00131494"/>
    <w:rsid w:val="00132E3D"/>
    <w:rsid w:val="00146B5E"/>
    <w:rsid w:val="0015292B"/>
    <w:rsid w:val="0015363F"/>
    <w:rsid w:val="00154C59"/>
    <w:rsid w:val="00155F6F"/>
    <w:rsid w:val="001564C3"/>
    <w:rsid w:val="001620D9"/>
    <w:rsid w:val="00165414"/>
    <w:rsid w:val="00165F97"/>
    <w:rsid w:val="00167090"/>
    <w:rsid w:val="00172A27"/>
    <w:rsid w:val="00173D37"/>
    <w:rsid w:val="00182D4C"/>
    <w:rsid w:val="001834BA"/>
    <w:rsid w:val="001843D3"/>
    <w:rsid w:val="00184866"/>
    <w:rsid w:val="00185DBC"/>
    <w:rsid w:val="00191DD8"/>
    <w:rsid w:val="001963BD"/>
    <w:rsid w:val="001A120B"/>
    <w:rsid w:val="001A184C"/>
    <w:rsid w:val="001A37E0"/>
    <w:rsid w:val="001A3EC9"/>
    <w:rsid w:val="001A6EF7"/>
    <w:rsid w:val="001B1DF0"/>
    <w:rsid w:val="001B21A5"/>
    <w:rsid w:val="001B45D5"/>
    <w:rsid w:val="001B4675"/>
    <w:rsid w:val="001B4BDE"/>
    <w:rsid w:val="001B59E9"/>
    <w:rsid w:val="001B62B0"/>
    <w:rsid w:val="001B6A78"/>
    <w:rsid w:val="001C4E01"/>
    <w:rsid w:val="001D0C94"/>
    <w:rsid w:val="001E6D31"/>
    <w:rsid w:val="001F23AB"/>
    <w:rsid w:val="001F32ED"/>
    <w:rsid w:val="001F3ADA"/>
    <w:rsid w:val="001F7E70"/>
    <w:rsid w:val="00200459"/>
    <w:rsid w:val="00202DB7"/>
    <w:rsid w:val="00207065"/>
    <w:rsid w:val="00207999"/>
    <w:rsid w:val="00213FCA"/>
    <w:rsid w:val="00214988"/>
    <w:rsid w:val="00214F76"/>
    <w:rsid w:val="002202CE"/>
    <w:rsid w:val="0022219A"/>
    <w:rsid w:val="00222521"/>
    <w:rsid w:val="00230A2B"/>
    <w:rsid w:val="00231547"/>
    <w:rsid w:val="002334EC"/>
    <w:rsid w:val="00235B32"/>
    <w:rsid w:val="00236AD7"/>
    <w:rsid w:val="00240423"/>
    <w:rsid w:val="00243B18"/>
    <w:rsid w:val="00246B91"/>
    <w:rsid w:val="00247A64"/>
    <w:rsid w:val="00250BCF"/>
    <w:rsid w:val="00253591"/>
    <w:rsid w:val="00255670"/>
    <w:rsid w:val="00262ABE"/>
    <w:rsid w:val="00276F57"/>
    <w:rsid w:val="00277D06"/>
    <w:rsid w:val="002816D4"/>
    <w:rsid w:val="00286980"/>
    <w:rsid w:val="0029757E"/>
    <w:rsid w:val="002A1A66"/>
    <w:rsid w:val="002A599F"/>
    <w:rsid w:val="002B30AF"/>
    <w:rsid w:val="002B4BA8"/>
    <w:rsid w:val="002B6923"/>
    <w:rsid w:val="002B7117"/>
    <w:rsid w:val="002B714A"/>
    <w:rsid w:val="002B7621"/>
    <w:rsid w:val="002C2E22"/>
    <w:rsid w:val="002C341B"/>
    <w:rsid w:val="002C3BAD"/>
    <w:rsid w:val="002C4A57"/>
    <w:rsid w:val="002C5643"/>
    <w:rsid w:val="002E13EC"/>
    <w:rsid w:val="002F2C99"/>
    <w:rsid w:val="002F794D"/>
    <w:rsid w:val="003029B3"/>
    <w:rsid w:val="00303019"/>
    <w:rsid w:val="00306787"/>
    <w:rsid w:val="0031113D"/>
    <w:rsid w:val="00313CA4"/>
    <w:rsid w:val="003150CE"/>
    <w:rsid w:val="00316270"/>
    <w:rsid w:val="00321598"/>
    <w:rsid w:val="00321FDB"/>
    <w:rsid w:val="00323870"/>
    <w:rsid w:val="00324847"/>
    <w:rsid w:val="00324A5E"/>
    <w:rsid w:val="00325624"/>
    <w:rsid w:val="00332891"/>
    <w:rsid w:val="00333810"/>
    <w:rsid w:val="00342D97"/>
    <w:rsid w:val="00343375"/>
    <w:rsid w:val="003448C2"/>
    <w:rsid w:val="00344CD6"/>
    <w:rsid w:val="0034662F"/>
    <w:rsid w:val="003510D2"/>
    <w:rsid w:val="00351A8E"/>
    <w:rsid w:val="0035447B"/>
    <w:rsid w:val="00356B27"/>
    <w:rsid w:val="00356B90"/>
    <w:rsid w:val="00357C8A"/>
    <w:rsid w:val="00360C29"/>
    <w:rsid w:val="00361CBA"/>
    <w:rsid w:val="0036593D"/>
    <w:rsid w:val="00366951"/>
    <w:rsid w:val="00376808"/>
    <w:rsid w:val="003817E6"/>
    <w:rsid w:val="00381E22"/>
    <w:rsid w:val="0038244A"/>
    <w:rsid w:val="00382545"/>
    <w:rsid w:val="00383221"/>
    <w:rsid w:val="00386132"/>
    <w:rsid w:val="003871B4"/>
    <w:rsid w:val="00393016"/>
    <w:rsid w:val="00393669"/>
    <w:rsid w:val="00394BA5"/>
    <w:rsid w:val="003A70F7"/>
    <w:rsid w:val="003B39C6"/>
    <w:rsid w:val="003B4CDE"/>
    <w:rsid w:val="003B5919"/>
    <w:rsid w:val="003B7075"/>
    <w:rsid w:val="003B7983"/>
    <w:rsid w:val="003C24F4"/>
    <w:rsid w:val="003C3C64"/>
    <w:rsid w:val="003C4452"/>
    <w:rsid w:val="003C7646"/>
    <w:rsid w:val="003D0BFC"/>
    <w:rsid w:val="003D34ED"/>
    <w:rsid w:val="003D60ED"/>
    <w:rsid w:val="003D7852"/>
    <w:rsid w:val="003E15AB"/>
    <w:rsid w:val="003E3274"/>
    <w:rsid w:val="003E441B"/>
    <w:rsid w:val="003E528B"/>
    <w:rsid w:val="003E62C9"/>
    <w:rsid w:val="003E64A4"/>
    <w:rsid w:val="003F1184"/>
    <w:rsid w:val="003F19CD"/>
    <w:rsid w:val="003F56BE"/>
    <w:rsid w:val="003F72A7"/>
    <w:rsid w:val="00403578"/>
    <w:rsid w:val="00404AFD"/>
    <w:rsid w:val="00411B9C"/>
    <w:rsid w:val="004139CC"/>
    <w:rsid w:val="004179E4"/>
    <w:rsid w:val="00422908"/>
    <w:rsid w:val="00423DA3"/>
    <w:rsid w:val="0042416B"/>
    <w:rsid w:val="004249BA"/>
    <w:rsid w:val="0042531B"/>
    <w:rsid w:val="004306D8"/>
    <w:rsid w:val="00430F18"/>
    <w:rsid w:val="00432BC1"/>
    <w:rsid w:val="00434AAC"/>
    <w:rsid w:val="0043512B"/>
    <w:rsid w:val="00435537"/>
    <w:rsid w:val="004355FE"/>
    <w:rsid w:val="00441E58"/>
    <w:rsid w:val="00445715"/>
    <w:rsid w:val="00445E0F"/>
    <w:rsid w:val="00446179"/>
    <w:rsid w:val="00446284"/>
    <w:rsid w:val="004506F7"/>
    <w:rsid w:val="00451F70"/>
    <w:rsid w:val="00454C0F"/>
    <w:rsid w:val="00454F95"/>
    <w:rsid w:val="00456DC1"/>
    <w:rsid w:val="00462043"/>
    <w:rsid w:val="0046380E"/>
    <w:rsid w:val="004712B0"/>
    <w:rsid w:val="00471B5C"/>
    <w:rsid w:val="00473006"/>
    <w:rsid w:val="00473BA0"/>
    <w:rsid w:val="00474B17"/>
    <w:rsid w:val="00477FF4"/>
    <w:rsid w:val="00494CD7"/>
    <w:rsid w:val="004A394F"/>
    <w:rsid w:val="004A7299"/>
    <w:rsid w:val="004C2BF2"/>
    <w:rsid w:val="004C4C36"/>
    <w:rsid w:val="004D0871"/>
    <w:rsid w:val="004D31D7"/>
    <w:rsid w:val="004D6B92"/>
    <w:rsid w:val="004E085C"/>
    <w:rsid w:val="004E0F8D"/>
    <w:rsid w:val="004F1D3D"/>
    <w:rsid w:val="004F3C9D"/>
    <w:rsid w:val="004F77A5"/>
    <w:rsid w:val="00504F99"/>
    <w:rsid w:val="00505F69"/>
    <w:rsid w:val="005078D7"/>
    <w:rsid w:val="00510F89"/>
    <w:rsid w:val="00512B81"/>
    <w:rsid w:val="00513D1E"/>
    <w:rsid w:val="00525D5C"/>
    <w:rsid w:val="00526B90"/>
    <w:rsid w:val="00527D18"/>
    <w:rsid w:val="005324F1"/>
    <w:rsid w:val="00534798"/>
    <w:rsid w:val="005362C3"/>
    <w:rsid w:val="00536BAD"/>
    <w:rsid w:val="00537141"/>
    <w:rsid w:val="005408F8"/>
    <w:rsid w:val="00543A1A"/>
    <w:rsid w:val="00543D1A"/>
    <w:rsid w:val="00545A63"/>
    <w:rsid w:val="00551ABE"/>
    <w:rsid w:val="00553C28"/>
    <w:rsid w:val="005575EF"/>
    <w:rsid w:val="00557CAA"/>
    <w:rsid w:val="005610A7"/>
    <w:rsid w:val="00562097"/>
    <w:rsid w:val="00563B31"/>
    <w:rsid w:val="00565E25"/>
    <w:rsid w:val="00566512"/>
    <w:rsid w:val="005677A2"/>
    <w:rsid w:val="00571668"/>
    <w:rsid w:val="005736B2"/>
    <w:rsid w:val="00580342"/>
    <w:rsid w:val="00582213"/>
    <w:rsid w:val="005901E1"/>
    <w:rsid w:val="005915F5"/>
    <w:rsid w:val="00591F58"/>
    <w:rsid w:val="00592834"/>
    <w:rsid w:val="00594FBF"/>
    <w:rsid w:val="00597823"/>
    <w:rsid w:val="005A5E6E"/>
    <w:rsid w:val="005A71BD"/>
    <w:rsid w:val="005A7C75"/>
    <w:rsid w:val="005B4AA4"/>
    <w:rsid w:val="005B5C42"/>
    <w:rsid w:val="005C0C25"/>
    <w:rsid w:val="005D1E1A"/>
    <w:rsid w:val="005D2808"/>
    <w:rsid w:val="005D6EDB"/>
    <w:rsid w:val="005E6D8D"/>
    <w:rsid w:val="005F2C58"/>
    <w:rsid w:val="005F4B20"/>
    <w:rsid w:val="005F548E"/>
    <w:rsid w:val="00601231"/>
    <w:rsid w:val="006015AA"/>
    <w:rsid w:val="006053A4"/>
    <w:rsid w:val="0061143B"/>
    <w:rsid w:val="00617B19"/>
    <w:rsid w:val="00620E0C"/>
    <w:rsid w:val="00626412"/>
    <w:rsid w:val="00627F07"/>
    <w:rsid w:val="00630A52"/>
    <w:rsid w:val="006314EC"/>
    <w:rsid w:val="006319A4"/>
    <w:rsid w:val="006320EC"/>
    <w:rsid w:val="00632505"/>
    <w:rsid w:val="0063261C"/>
    <w:rsid w:val="00634E49"/>
    <w:rsid w:val="00636DE4"/>
    <w:rsid w:val="006404B8"/>
    <w:rsid w:val="00640732"/>
    <w:rsid w:val="006411FA"/>
    <w:rsid w:val="006468C4"/>
    <w:rsid w:val="00646B1D"/>
    <w:rsid w:val="0065656C"/>
    <w:rsid w:val="00662C9C"/>
    <w:rsid w:val="00664CCB"/>
    <w:rsid w:val="0066501C"/>
    <w:rsid w:val="00672253"/>
    <w:rsid w:val="00680EED"/>
    <w:rsid w:val="00683A32"/>
    <w:rsid w:val="0069751D"/>
    <w:rsid w:val="00697E3A"/>
    <w:rsid w:val="006A2E04"/>
    <w:rsid w:val="006A5A61"/>
    <w:rsid w:val="006B06AF"/>
    <w:rsid w:val="006B110E"/>
    <w:rsid w:val="006B3913"/>
    <w:rsid w:val="006B5F0A"/>
    <w:rsid w:val="006C004B"/>
    <w:rsid w:val="006C09E3"/>
    <w:rsid w:val="006C12A2"/>
    <w:rsid w:val="006C3056"/>
    <w:rsid w:val="006C3E9D"/>
    <w:rsid w:val="006E29E7"/>
    <w:rsid w:val="006E4C81"/>
    <w:rsid w:val="006F3D17"/>
    <w:rsid w:val="006F75A9"/>
    <w:rsid w:val="007010A6"/>
    <w:rsid w:val="007010E6"/>
    <w:rsid w:val="00703797"/>
    <w:rsid w:val="00704877"/>
    <w:rsid w:val="007056DC"/>
    <w:rsid w:val="00707F33"/>
    <w:rsid w:val="00707FB8"/>
    <w:rsid w:val="00712094"/>
    <w:rsid w:val="00712899"/>
    <w:rsid w:val="007142EF"/>
    <w:rsid w:val="007167E3"/>
    <w:rsid w:val="00721DFF"/>
    <w:rsid w:val="007220FC"/>
    <w:rsid w:val="007224C8"/>
    <w:rsid w:val="00734057"/>
    <w:rsid w:val="00740EA7"/>
    <w:rsid w:val="00743322"/>
    <w:rsid w:val="00743A79"/>
    <w:rsid w:val="0074552F"/>
    <w:rsid w:val="00750DC6"/>
    <w:rsid w:val="00750EE0"/>
    <w:rsid w:val="00755F4B"/>
    <w:rsid w:val="00764F21"/>
    <w:rsid w:val="00771225"/>
    <w:rsid w:val="007735D0"/>
    <w:rsid w:val="0077709D"/>
    <w:rsid w:val="0077725B"/>
    <w:rsid w:val="0078232E"/>
    <w:rsid w:val="0078387C"/>
    <w:rsid w:val="007846BD"/>
    <w:rsid w:val="00785C7C"/>
    <w:rsid w:val="00791620"/>
    <w:rsid w:val="00797F29"/>
    <w:rsid w:val="00797F99"/>
    <w:rsid w:val="007A5486"/>
    <w:rsid w:val="007A59DE"/>
    <w:rsid w:val="007B10BC"/>
    <w:rsid w:val="007B6549"/>
    <w:rsid w:val="007B6736"/>
    <w:rsid w:val="007B7D18"/>
    <w:rsid w:val="007C5C10"/>
    <w:rsid w:val="007C5C4D"/>
    <w:rsid w:val="007D3552"/>
    <w:rsid w:val="007D7027"/>
    <w:rsid w:val="007E42D5"/>
    <w:rsid w:val="007E60BB"/>
    <w:rsid w:val="007E66F0"/>
    <w:rsid w:val="007E6E71"/>
    <w:rsid w:val="007F0879"/>
    <w:rsid w:val="007F7CC1"/>
    <w:rsid w:val="00802D13"/>
    <w:rsid w:val="00803277"/>
    <w:rsid w:val="00803BC6"/>
    <w:rsid w:val="008044D7"/>
    <w:rsid w:val="008056D1"/>
    <w:rsid w:val="00811BC8"/>
    <w:rsid w:val="0081385B"/>
    <w:rsid w:val="008146CD"/>
    <w:rsid w:val="00822D2E"/>
    <w:rsid w:val="00833A36"/>
    <w:rsid w:val="0084190B"/>
    <w:rsid w:val="0084411B"/>
    <w:rsid w:val="00844D6E"/>
    <w:rsid w:val="008462FB"/>
    <w:rsid w:val="008465CD"/>
    <w:rsid w:val="0084663D"/>
    <w:rsid w:val="00854873"/>
    <w:rsid w:val="00856515"/>
    <w:rsid w:val="00857737"/>
    <w:rsid w:val="00864FC6"/>
    <w:rsid w:val="00872E7D"/>
    <w:rsid w:val="0087424F"/>
    <w:rsid w:val="00874549"/>
    <w:rsid w:val="008756B7"/>
    <w:rsid w:val="00880472"/>
    <w:rsid w:val="008813F9"/>
    <w:rsid w:val="00881587"/>
    <w:rsid w:val="00884060"/>
    <w:rsid w:val="00890796"/>
    <w:rsid w:val="0089321E"/>
    <w:rsid w:val="008933DF"/>
    <w:rsid w:val="00894C08"/>
    <w:rsid w:val="00895001"/>
    <w:rsid w:val="008A0D2A"/>
    <w:rsid w:val="008A1DEE"/>
    <w:rsid w:val="008B3DFF"/>
    <w:rsid w:val="008C49D3"/>
    <w:rsid w:val="008C642B"/>
    <w:rsid w:val="008C6DA1"/>
    <w:rsid w:val="008C72A6"/>
    <w:rsid w:val="008D3D94"/>
    <w:rsid w:val="008D3E37"/>
    <w:rsid w:val="008E30BF"/>
    <w:rsid w:val="008E35A0"/>
    <w:rsid w:val="008E5038"/>
    <w:rsid w:val="008F031C"/>
    <w:rsid w:val="008F1463"/>
    <w:rsid w:val="008F1F11"/>
    <w:rsid w:val="008F31C7"/>
    <w:rsid w:val="008F4575"/>
    <w:rsid w:val="008F7394"/>
    <w:rsid w:val="008F79D7"/>
    <w:rsid w:val="009006DF"/>
    <w:rsid w:val="00903CF0"/>
    <w:rsid w:val="00910153"/>
    <w:rsid w:val="00910A19"/>
    <w:rsid w:val="00910F4E"/>
    <w:rsid w:val="00911695"/>
    <w:rsid w:val="00911E55"/>
    <w:rsid w:val="00913F05"/>
    <w:rsid w:val="0091562C"/>
    <w:rsid w:val="009177B6"/>
    <w:rsid w:val="00924202"/>
    <w:rsid w:val="00924E50"/>
    <w:rsid w:val="00926ABF"/>
    <w:rsid w:val="00927A26"/>
    <w:rsid w:val="00927D00"/>
    <w:rsid w:val="0093269F"/>
    <w:rsid w:val="009412CD"/>
    <w:rsid w:val="0095349A"/>
    <w:rsid w:val="00960CAB"/>
    <w:rsid w:val="00961359"/>
    <w:rsid w:val="00962A0B"/>
    <w:rsid w:val="00962C4D"/>
    <w:rsid w:val="0096757C"/>
    <w:rsid w:val="00967A23"/>
    <w:rsid w:val="00972946"/>
    <w:rsid w:val="00974691"/>
    <w:rsid w:val="00976022"/>
    <w:rsid w:val="00976169"/>
    <w:rsid w:val="00976580"/>
    <w:rsid w:val="00977C3F"/>
    <w:rsid w:val="00980102"/>
    <w:rsid w:val="0098316D"/>
    <w:rsid w:val="00986D16"/>
    <w:rsid w:val="009910B5"/>
    <w:rsid w:val="009920AD"/>
    <w:rsid w:val="0099244A"/>
    <w:rsid w:val="009938B8"/>
    <w:rsid w:val="009A0735"/>
    <w:rsid w:val="009A25E2"/>
    <w:rsid w:val="009A2875"/>
    <w:rsid w:val="009A4C36"/>
    <w:rsid w:val="009B1FF8"/>
    <w:rsid w:val="009B42EF"/>
    <w:rsid w:val="009B4E7E"/>
    <w:rsid w:val="009B5EED"/>
    <w:rsid w:val="009C37BF"/>
    <w:rsid w:val="009C6EE6"/>
    <w:rsid w:val="009C7333"/>
    <w:rsid w:val="009C7979"/>
    <w:rsid w:val="009D0966"/>
    <w:rsid w:val="009D22E5"/>
    <w:rsid w:val="009D4B7E"/>
    <w:rsid w:val="009D71F1"/>
    <w:rsid w:val="009E015C"/>
    <w:rsid w:val="009E0909"/>
    <w:rsid w:val="009E37B1"/>
    <w:rsid w:val="009E3E05"/>
    <w:rsid w:val="009E5780"/>
    <w:rsid w:val="009E5D72"/>
    <w:rsid w:val="009F01E1"/>
    <w:rsid w:val="009F2F5E"/>
    <w:rsid w:val="009F3B2F"/>
    <w:rsid w:val="009F51BD"/>
    <w:rsid w:val="009F60D9"/>
    <w:rsid w:val="00A01456"/>
    <w:rsid w:val="00A01B5E"/>
    <w:rsid w:val="00A02A20"/>
    <w:rsid w:val="00A03301"/>
    <w:rsid w:val="00A0769D"/>
    <w:rsid w:val="00A101E8"/>
    <w:rsid w:val="00A1132C"/>
    <w:rsid w:val="00A1168E"/>
    <w:rsid w:val="00A11EE6"/>
    <w:rsid w:val="00A14C01"/>
    <w:rsid w:val="00A1556E"/>
    <w:rsid w:val="00A169DC"/>
    <w:rsid w:val="00A20C10"/>
    <w:rsid w:val="00A22EC9"/>
    <w:rsid w:val="00A25ED3"/>
    <w:rsid w:val="00A264B5"/>
    <w:rsid w:val="00A26E1A"/>
    <w:rsid w:val="00A27D67"/>
    <w:rsid w:val="00A37208"/>
    <w:rsid w:val="00A373FE"/>
    <w:rsid w:val="00A37744"/>
    <w:rsid w:val="00A42231"/>
    <w:rsid w:val="00A431C8"/>
    <w:rsid w:val="00A47E8E"/>
    <w:rsid w:val="00A50183"/>
    <w:rsid w:val="00A508F5"/>
    <w:rsid w:val="00A52488"/>
    <w:rsid w:val="00A52EF8"/>
    <w:rsid w:val="00A55871"/>
    <w:rsid w:val="00A55F4D"/>
    <w:rsid w:val="00A60E15"/>
    <w:rsid w:val="00A65ACF"/>
    <w:rsid w:val="00A71725"/>
    <w:rsid w:val="00A730D4"/>
    <w:rsid w:val="00A75160"/>
    <w:rsid w:val="00A80107"/>
    <w:rsid w:val="00A82C07"/>
    <w:rsid w:val="00A8654F"/>
    <w:rsid w:val="00A921C2"/>
    <w:rsid w:val="00A93040"/>
    <w:rsid w:val="00A9331E"/>
    <w:rsid w:val="00AA672A"/>
    <w:rsid w:val="00AA7717"/>
    <w:rsid w:val="00AA7A7D"/>
    <w:rsid w:val="00AB24DF"/>
    <w:rsid w:val="00AB2639"/>
    <w:rsid w:val="00AB41F5"/>
    <w:rsid w:val="00AB534D"/>
    <w:rsid w:val="00AB6C48"/>
    <w:rsid w:val="00AB7F2E"/>
    <w:rsid w:val="00AC26EA"/>
    <w:rsid w:val="00AC2702"/>
    <w:rsid w:val="00AC5E52"/>
    <w:rsid w:val="00AC75F2"/>
    <w:rsid w:val="00AD0D0C"/>
    <w:rsid w:val="00AD28A1"/>
    <w:rsid w:val="00AF04EA"/>
    <w:rsid w:val="00B01E1E"/>
    <w:rsid w:val="00B04E52"/>
    <w:rsid w:val="00B064E0"/>
    <w:rsid w:val="00B06DF0"/>
    <w:rsid w:val="00B125E7"/>
    <w:rsid w:val="00B17733"/>
    <w:rsid w:val="00B17A2D"/>
    <w:rsid w:val="00B238A2"/>
    <w:rsid w:val="00B2684F"/>
    <w:rsid w:val="00B30708"/>
    <w:rsid w:val="00B40A36"/>
    <w:rsid w:val="00B421B9"/>
    <w:rsid w:val="00B46946"/>
    <w:rsid w:val="00B52319"/>
    <w:rsid w:val="00B5524B"/>
    <w:rsid w:val="00B60374"/>
    <w:rsid w:val="00B624DE"/>
    <w:rsid w:val="00B669BA"/>
    <w:rsid w:val="00B67E11"/>
    <w:rsid w:val="00B81D39"/>
    <w:rsid w:val="00B87A14"/>
    <w:rsid w:val="00B87A48"/>
    <w:rsid w:val="00B91A45"/>
    <w:rsid w:val="00BA58F0"/>
    <w:rsid w:val="00BA6D3B"/>
    <w:rsid w:val="00BA7453"/>
    <w:rsid w:val="00BB0336"/>
    <w:rsid w:val="00BB2223"/>
    <w:rsid w:val="00BB2B7B"/>
    <w:rsid w:val="00BC0C20"/>
    <w:rsid w:val="00BC3A1F"/>
    <w:rsid w:val="00BC508C"/>
    <w:rsid w:val="00BC79D7"/>
    <w:rsid w:val="00BD41E9"/>
    <w:rsid w:val="00BE1A5C"/>
    <w:rsid w:val="00BE2D96"/>
    <w:rsid w:val="00BE520A"/>
    <w:rsid w:val="00BE5A23"/>
    <w:rsid w:val="00BE6705"/>
    <w:rsid w:val="00BE7FAD"/>
    <w:rsid w:val="00BF0DAF"/>
    <w:rsid w:val="00BF0E76"/>
    <w:rsid w:val="00BF1E08"/>
    <w:rsid w:val="00BF2EB6"/>
    <w:rsid w:val="00C063C0"/>
    <w:rsid w:val="00C06DB4"/>
    <w:rsid w:val="00C0756A"/>
    <w:rsid w:val="00C12A63"/>
    <w:rsid w:val="00C12BE9"/>
    <w:rsid w:val="00C13786"/>
    <w:rsid w:val="00C14FCB"/>
    <w:rsid w:val="00C15A0C"/>
    <w:rsid w:val="00C15FE3"/>
    <w:rsid w:val="00C2443D"/>
    <w:rsid w:val="00C2616B"/>
    <w:rsid w:val="00C318C2"/>
    <w:rsid w:val="00C35769"/>
    <w:rsid w:val="00C40FE1"/>
    <w:rsid w:val="00C434BA"/>
    <w:rsid w:val="00C44BCE"/>
    <w:rsid w:val="00C46EAD"/>
    <w:rsid w:val="00C51140"/>
    <w:rsid w:val="00C521B2"/>
    <w:rsid w:val="00C536A9"/>
    <w:rsid w:val="00C56A2B"/>
    <w:rsid w:val="00C57DD2"/>
    <w:rsid w:val="00C6039F"/>
    <w:rsid w:val="00C61FE7"/>
    <w:rsid w:val="00C64B7C"/>
    <w:rsid w:val="00C66520"/>
    <w:rsid w:val="00C673DF"/>
    <w:rsid w:val="00C75A94"/>
    <w:rsid w:val="00C77AA8"/>
    <w:rsid w:val="00C804FA"/>
    <w:rsid w:val="00C82E68"/>
    <w:rsid w:val="00C862B3"/>
    <w:rsid w:val="00C87B3D"/>
    <w:rsid w:val="00C90C62"/>
    <w:rsid w:val="00C92F00"/>
    <w:rsid w:val="00C93DA5"/>
    <w:rsid w:val="00C94F29"/>
    <w:rsid w:val="00CA00CA"/>
    <w:rsid w:val="00CA2884"/>
    <w:rsid w:val="00CB3280"/>
    <w:rsid w:val="00CB3F09"/>
    <w:rsid w:val="00CB57BD"/>
    <w:rsid w:val="00CC1A9F"/>
    <w:rsid w:val="00CC252A"/>
    <w:rsid w:val="00CC2938"/>
    <w:rsid w:val="00CC4493"/>
    <w:rsid w:val="00CC47DB"/>
    <w:rsid w:val="00CC5D81"/>
    <w:rsid w:val="00CD275C"/>
    <w:rsid w:val="00CD4231"/>
    <w:rsid w:val="00CD7B4A"/>
    <w:rsid w:val="00CE4F1D"/>
    <w:rsid w:val="00CF745F"/>
    <w:rsid w:val="00D0047C"/>
    <w:rsid w:val="00D03403"/>
    <w:rsid w:val="00D037D8"/>
    <w:rsid w:val="00D11406"/>
    <w:rsid w:val="00D1359A"/>
    <w:rsid w:val="00D22FAB"/>
    <w:rsid w:val="00D26687"/>
    <w:rsid w:val="00D2689C"/>
    <w:rsid w:val="00D26B80"/>
    <w:rsid w:val="00D329C5"/>
    <w:rsid w:val="00D35580"/>
    <w:rsid w:val="00D356EA"/>
    <w:rsid w:val="00D401A6"/>
    <w:rsid w:val="00D409EF"/>
    <w:rsid w:val="00D40B26"/>
    <w:rsid w:val="00D5328E"/>
    <w:rsid w:val="00D54F1A"/>
    <w:rsid w:val="00D567DA"/>
    <w:rsid w:val="00D608B9"/>
    <w:rsid w:val="00D61861"/>
    <w:rsid w:val="00D62567"/>
    <w:rsid w:val="00D66575"/>
    <w:rsid w:val="00D93C90"/>
    <w:rsid w:val="00DA0B4C"/>
    <w:rsid w:val="00DA5168"/>
    <w:rsid w:val="00DA56E9"/>
    <w:rsid w:val="00DB727B"/>
    <w:rsid w:val="00DC26C6"/>
    <w:rsid w:val="00DC277E"/>
    <w:rsid w:val="00DC2A3E"/>
    <w:rsid w:val="00DC3D1F"/>
    <w:rsid w:val="00DD13E3"/>
    <w:rsid w:val="00DD33A6"/>
    <w:rsid w:val="00DD4A45"/>
    <w:rsid w:val="00DE0362"/>
    <w:rsid w:val="00DE5E9E"/>
    <w:rsid w:val="00DF1196"/>
    <w:rsid w:val="00DF73D5"/>
    <w:rsid w:val="00E006A4"/>
    <w:rsid w:val="00E01733"/>
    <w:rsid w:val="00E12C8B"/>
    <w:rsid w:val="00E13696"/>
    <w:rsid w:val="00E15234"/>
    <w:rsid w:val="00E15607"/>
    <w:rsid w:val="00E15BD9"/>
    <w:rsid w:val="00E20153"/>
    <w:rsid w:val="00E24AF7"/>
    <w:rsid w:val="00E2637A"/>
    <w:rsid w:val="00E31555"/>
    <w:rsid w:val="00E31DCB"/>
    <w:rsid w:val="00E3267B"/>
    <w:rsid w:val="00E36B63"/>
    <w:rsid w:val="00E420DA"/>
    <w:rsid w:val="00E432BC"/>
    <w:rsid w:val="00E46A23"/>
    <w:rsid w:val="00E471B1"/>
    <w:rsid w:val="00E52FB0"/>
    <w:rsid w:val="00E5543F"/>
    <w:rsid w:val="00E61800"/>
    <w:rsid w:val="00E658A8"/>
    <w:rsid w:val="00E676D9"/>
    <w:rsid w:val="00E71800"/>
    <w:rsid w:val="00E73BE6"/>
    <w:rsid w:val="00E73BEC"/>
    <w:rsid w:val="00E73D9E"/>
    <w:rsid w:val="00E73E25"/>
    <w:rsid w:val="00E74949"/>
    <w:rsid w:val="00E74A8E"/>
    <w:rsid w:val="00E82224"/>
    <w:rsid w:val="00EA3E32"/>
    <w:rsid w:val="00EA6D61"/>
    <w:rsid w:val="00EA704E"/>
    <w:rsid w:val="00EA7F7C"/>
    <w:rsid w:val="00EB2913"/>
    <w:rsid w:val="00EB42BD"/>
    <w:rsid w:val="00EB642C"/>
    <w:rsid w:val="00EC2475"/>
    <w:rsid w:val="00EC4E86"/>
    <w:rsid w:val="00EC5566"/>
    <w:rsid w:val="00EC69E9"/>
    <w:rsid w:val="00ED12A0"/>
    <w:rsid w:val="00ED1F99"/>
    <w:rsid w:val="00ED2D4B"/>
    <w:rsid w:val="00ED4F9C"/>
    <w:rsid w:val="00ED5689"/>
    <w:rsid w:val="00ED697B"/>
    <w:rsid w:val="00ED70F4"/>
    <w:rsid w:val="00EE0F9A"/>
    <w:rsid w:val="00EE1A69"/>
    <w:rsid w:val="00EE7CE2"/>
    <w:rsid w:val="00EF6EF4"/>
    <w:rsid w:val="00F00091"/>
    <w:rsid w:val="00F005E7"/>
    <w:rsid w:val="00F01476"/>
    <w:rsid w:val="00F0190B"/>
    <w:rsid w:val="00F0202B"/>
    <w:rsid w:val="00F0494D"/>
    <w:rsid w:val="00F04A09"/>
    <w:rsid w:val="00F05D9E"/>
    <w:rsid w:val="00F10121"/>
    <w:rsid w:val="00F12882"/>
    <w:rsid w:val="00F12BFE"/>
    <w:rsid w:val="00F1424F"/>
    <w:rsid w:val="00F1577A"/>
    <w:rsid w:val="00F21581"/>
    <w:rsid w:val="00F21AA8"/>
    <w:rsid w:val="00F22362"/>
    <w:rsid w:val="00F24087"/>
    <w:rsid w:val="00F26850"/>
    <w:rsid w:val="00F308B0"/>
    <w:rsid w:val="00F3163A"/>
    <w:rsid w:val="00F3402B"/>
    <w:rsid w:val="00F365E1"/>
    <w:rsid w:val="00F400D9"/>
    <w:rsid w:val="00F40471"/>
    <w:rsid w:val="00F429F9"/>
    <w:rsid w:val="00F43778"/>
    <w:rsid w:val="00F43A25"/>
    <w:rsid w:val="00F44932"/>
    <w:rsid w:val="00F509D2"/>
    <w:rsid w:val="00F53E92"/>
    <w:rsid w:val="00F579EE"/>
    <w:rsid w:val="00F57BC9"/>
    <w:rsid w:val="00F60225"/>
    <w:rsid w:val="00F61A0A"/>
    <w:rsid w:val="00F641D8"/>
    <w:rsid w:val="00F711EC"/>
    <w:rsid w:val="00F75713"/>
    <w:rsid w:val="00F75AB0"/>
    <w:rsid w:val="00F75C73"/>
    <w:rsid w:val="00F81536"/>
    <w:rsid w:val="00F85169"/>
    <w:rsid w:val="00F85239"/>
    <w:rsid w:val="00F8527D"/>
    <w:rsid w:val="00F8540D"/>
    <w:rsid w:val="00F90548"/>
    <w:rsid w:val="00F922EF"/>
    <w:rsid w:val="00F937BD"/>
    <w:rsid w:val="00FA4ABC"/>
    <w:rsid w:val="00FA51C6"/>
    <w:rsid w:val="00FA5D2F"/>
    <w:rsid w:val="00FB7C96"/>
    <w:rsid w:val="00FC460B"/>
    <w:rsid w:val="00FC56B8"/>
    <w:rsid w:val="00FC5F20"/>
    <w:rsid w:val="00FC7B5E"/>
    <w:rsid w:val="00FD079E"/>
    <w:rsid w:val="00FD20A0"/>
    <w:rsid w:val="00FD4991"/>
    <w:rsid w:val="00FE0113"/>
    <w:rsid w:val="00FE0A00"/>
    <w:rsid w:val="00FE7A2E"/>
    <w:rsid w:val="00FF1392"/>
    <w:rsid w:val="00FF2D63"/>
    <w:rsid w:val="00FF403E"/>
    <w:rsid w:val="00FF6ACF"/>
    <w:rsid w:val="00FF7157"/>
    <w:rsid w:val="01042CD0"/>
    <w:rsid w:val="01086012"/>
    <w:rsid w:val="012F23D2"/>
    <w:rsid w:val="012F41F1"/>
    <w:rsid w:val="01353E46"/>
    <w:rsid w:val="013D20EF"/>
    <w:rsid w:val="013D4C8F"/>
    <w:rsid w:val="0141555F"/>
    <w:rsid w:val="014557C2"/>
    <w:rsid w:val="01542AFA"/>
    <w:rsid w:val="015B3476"/>
    <w:rsid w:val="015E6630"/>
    <w:rsid w:val="016C75C7"/>
    <w:rsid w:val="017B2F92"/>
    <w:rsid w:val="017F7357"/>
    <w:rsid w:val="01800398"/>
    <w:rsid w:val="01877B89"/>
    <w:rsid w:val="018A1427"/>
    <w:rsid w:val="018D524F"/>
    <w:rsid w:val="019036D8"/>
    <w:rsid w:val="01A01767"/>
    <w:rsid w:val="01BD4FDC"/>
    <w:rsid w:val="01D6466C"/>
    <w:rsid w:val="01E50D53"/>
    <w:rsid w:val="01E941AE"/>
    <w:rsid w:val="01F62F61"/>
    <w:rsid w:val="01F82835"/>
    <w:rsid w:val="02092C94"/>
    <w:rsid w:val="0221105C"/>
    <w:rsid w:val="02240E71"/>
    <w:rsid w:val="022F6268"/>
    <w:rsid w:val="0230144B"/>
    <w:rsid w:val="0236312F"/>
    <w:rsid w:val="023E2A8F"/>
    <w:rsid w:val="02406FC5"/>
    <w:rsid w:val="02497F02"/>
    <w:rsid w:val="025D37A6"/>
    <w:rsid w:val="02630A21"/>
    <w:rsid w:val="02816CCE"/>
    <w:rsid w:val="029027EC"/>
    <w:rsid w:val="02910656"/>
    <w:rsid w:val="029452C8"/>
    <w:rsid w:val="02957A39"/>
    <w:rsid w:val="0299330C"/>
    <w:rsid w:val="029A7D90"/>
    <w:rsid w:val="02A46519"/>
    <w:rsid w:val="02A97FD3"/>
    <w:rsid w:val="02AE2F1E"/>
    <w:rsid w:val="02B07476"/>
    <w:rsid w:val="02B34262"/>
    <w:rsid w:val="02C1356F"/>
    <w:rsid w:val="02C16D56"/>
    <w:rsid w:val="02C30781"/>
    <w:rsid w:val="02C32A89"/>
    <w:rsid w:val="02C60B85"/>
    <w:rsid w:val="02EB23C8"/>
    <w:rsid w:val="02ED4254"/>
    <w:rsid w:val="02F54A67"/>
    <w:rsid w:val="02F54FC6"/>
    <w:rsid w:val="02FB57A8"/>
    <w:rsid w:val="02FB586B"/>
    <w:rsid w:val="03123DCA"/>
    <w:rsid w:val="032764F6"/>
    <w:rsid w:val="033364ED"/>
    <w:rsid w:val="03355FAD"/>
    <w:rsid w:val="03357A15"/>
    <w:rsid w:val="033F6615"/>
    <w:rsid w:val="034A4B76"/>
    <w:rsid w:val="03646BB0"/>
    <w:rsid w:val="036A455B"/>
    <w:rsid w:val="03700AD7"/>
    <w:rsid w:val="03747A3A"/>
    <w:rsid w:val="037979A5"/>
    <w:rsid w:val="03881BEB"/>
    <w:rsid w:val="0397763C"/>
    <w:rsid w:val="03B07722"/>
    <w:rsid w:val="03B7151D"/>
    <w:rsid w:val="03CD0376"/>
    <w:rsid w:val="03D50A2B"/>
    <w:rsid w:val="03E5503B"/>
    <w:rsid w:val="03E73921"/>
    <w:rsid w:val="03EB0F95"/>
    <w:rsid w:val="03EF5EB9"/>
    <w:rsid w:val="03F1290E"/>
    <w:rsid w:val="04002E0B"/>
    <w:rsid w:val="04021749"/>
    <w:rsid w:val="040F03FA"/>
    <w:rsid w:val="0412438A"/>
    <w:rsid w:val="04131BA8"/>
    <w:rsid w:val="04136717"/>
    <w:rsid w:val="04137DFA"/>
    <w:rsid w:val="0427254C"/>
    <w:rsid w:val="042C518B"/>
    <w:rsid w:val="04332546"/>
    <w:rsid w:val="04351837"/>
    <w:rsid w:val="04377778"/>
    <w:rsid w:val="04533461"/>
    <w:rsid w:val="04695821"/>
    <w:rsid w:val="04770389"/>
    <w:rsid w:val="047D5AEA"/>
    <w:rsid w:val="048D54DF"/>
    <w:rsid w:val="04983E5B"/>
    <w:rsid w:val="049F3BB9"/>
    <w:rsid w:val="04B51F1A"/>
    <w:rsid w:val="04BD0338"/>
    <w:rsid w:val="04C56D31"/>
    <w:rsid w:val="04C904B8"/>
    <w:rsid w:val="04CF0F22"/>
    <w:rsid w:val="04D64D93"/>
    <w:rsid w:val="04D72BD5"/>
    <w:rsid w:val="04D7542D"/>
    <w:rsid w:val="04D87928"/>
    <w:rsid w:val="04E452F2"/>
    <w:rsid w:val="04E82F5F"/>
    <w:rsid w:val="04E878B1"/>
    <w:rsid w:val="04F4647E"/>
    <w:rsid w:val="05084E1A"/>
    <w:rsid w:val="0536624A"/>
    <w:rsid w:val="054B1B48"/>
    <w:rsid w:val="05507187"/>
    <w:rsid w:val="05547F50"/>
    <w:rsid w:val="05586D81"/>
    <w:rsid w:val="056775E0"/>
    <w:rsid w:val="0580326D"/>
    <w:rsid w:val="05812096"/>
    <w:rsid w:val="058B39C0"/>
    <w:rsid w:val="058E4D4F"/>
    <w:rsid w:val="05A31C11"/>
    <w:rsid w:val="05A754E1"/>
    <w:rsid w:val="05B6570E"/>
    <w:rsid w:val="05BA3D63"/>
    <w:rsid w:val="05BE0D9E"/>
    <w:rsid w:val="05C00C35"/>
    <w:rsid w:val="05C72C4A"/>
    <w:rsid w:val="05CC20C2"/>
    <w:rsid w:val="05CF7D50"/>
    <w:rsid w:val="05DB04A3"/>
    <w:rsid w:val="05DC03BC"/>
    <w:rsid w:val="05E03755"/>
    <w:rsid w:val="05E05D39"/>
    <w:rsid w:val="05EB1690"/>
    <w:rsid w:val="05EE025B"/>
    <w:rsid w:val="05FB2E46"/>
    <w:rsid w:val="06055520"/>
    <w:rsid w:val="06085010"/>
    <w:rsid w:val="06222576"/>
    <w:rsid w:val="062F259D"/>
    <w:rsid w:val="0643158D"/>
    <w:rsid w:val="064B5041"/>
    <w:rsid w:val="06624DC0"/>
    <w:rsid w:val="06632C8A"/>
    <w:rsid w:val="066A11FF"/>
    <w:rsid w:val="066A268B"/>
    <w:rsid w:val="066C44D0"/>
    <w:rsid w:val="066E73CC"/>
    <w:rsid w:val="06780BE4"/>
    <w:rsid w:val="06826B71"/>
    <w:rsid w:val="0688298E"/>
    <w:rsid w:val="06A978A6"/>
    <w:rsid w:val="06AC41DF"/>
    <w:rsid w:val="06AE3E0A"/>
    <w:rsid w:val="06BE3405"/>
    <w:rsid w:val="06C373A0"/>
    <w:rsid w:val="06CA61EA"/>
    <w:rsid w:val="06D3256B"/>
    <w:rsid w:val="06EB1467"/>
    <w:rsid w:val="06F114D9"/>
    <w:rsid w:val="070659F4"/>
    <w:rsid w:val="0716354A"/>
    <w:rsid w:val="071A5532"/>
    <w:rsid w:val="073F7F68"/>
    <w:rsid w:val="07433326"/>
    <w:rsid w:val="074D1200"/>
    <w:rsid w:val="074D53D1"/>
    <w:rsid w:val="074E2EF7"/>
    <w:rsid w:val="076A70D6"/>
    <w:rsid w:val="07701435"/>
    <w:rsid w:val="07740BAF"/>
    <w:rsid w:val="07751139"/>
    <w:rsid w:val="078025F2"/>
    <w:rsid w:val="0791006E"/>
    <w:rsid w:val="07911761"/>
    <w:rsid w:val="07A64AE1"/>
    <w:rsid w:val="07A93817"/>
    <w:rsid w:val="07AA51F7"/>
    <w:rsid w:val="07BC2556"/>
    <w:rsid w:val="07C16E32"/>
    <w:rsid w:val="07C956F1"/>
    <w:rsid w:val="07E40E53"/>
    <w:rsid w:val="07E724F1"/>
    <w:rsid w:val="07ED0962"/>
    <w:rsid w:val="07EF6488"/>
    <w:rsid w:val="07F341CA"/>
    <w:rsid w:val="07F54B10"/>
    <w:rsid w:val="07F615C4"/>
    <w:rsid w:val="07FB4267"/>
    <w:rsid w:val="0824564F"/>
    <w:rsid w:val="08265370"/>
    <w:rsid w:val="082C3238"/>
    <w:rsid w:val="083932FD"/>
    <w:rsid w:val="083C1D74"/>
    <w:rsid w:val="084D3D35"/>
    <w:rsid w:val="08664D5B"/>
    <w:rsid w:val="086F75C9"/>
    <w:rsid w:val="08732C15"/>
    <w:rsid w:val="087B41C0"/>
    <w:rsid w:val="087E552F"/>
    <w:rsid w:val="089112ED"/>
    <w:rsid w:val="08966904"/>
    <w:rsid w:val="08986B20"/>
    <w:rsid w:val="08994E2C"/>
    <w:rsid w:val="089E0248"/>
    <w:rsid w:val="08AA7F40"/>
    <w:rsid w:val="08AC09F8"/>
    <w:rsid w:val="08AF1C74"/>
    <w:rsid w:val="08B76FB8"/>
    <w:rsid w:val="08C90A87"/>
    <w:rsid w:val="08D13DBB"/>
    <w:rsid w:val="08D65AD3"/>
    <w:rsid w:val="08EF4818"/>
    <w:rsid w:val="08F57B11"/>
    <w:rsid w:val="08F617F2"/>
    <w:rsid w:val="08F64252"/>
    <w:rsid w:val="08F94C8C"/>
    <w:rsid w:val="08FD0C7A"/>
    <w:rsid w:val="09027DBF"/>
    <w:rsid w:val="090F109A"/>
    <w:rsid w:val="09151314"/>
    <w:rsid w:val="09263609"/>
    <w:rsid w:val="093E5BC8"/>
    <w:rsid w:val="094E5430"/>
    <w:rsid w:val="0953633D"/>
    <w:rsid w:val="09633DCF"/>
    <w:rsid w:val="09697733"/>
    <w:rsid w:val="098F1CD1"/>
    <w:rsid w:val="09953804"/>
    <w:rsid w:val="099C034D"/>
    <w:rsid w:val="09A3752A"/>
    <w:rsid w:val="09A71810"/>
    <w:rsid w:val="09AF52BC"/>
    <w:rsid w:val="09B47989"/>
    <w:rsid w:val="09B63701"/>
    <w:rsid w:val="09BE4364"/>
    <w:rsid w:val="09C76AF8"/>
    <w:rsid w:val="09C9680A"/>
    <w:rsid w:val="09D038E5"/>
    <w:rsid w:val="09DC2A3C"/>
    <w:rsid w:val="09EA6668"/>
    <w:rsid w:val="09F204B1"/>
    <w:rsid w:val="09FB7366"/>
    <w:rsid w:val="09FF3E49"/>
    <w:rsid w:val="0A03621B"/>
    <w:rsid w:val="0A0C3321"/>
    <w:rsid w:val="0A1949CE"/>
    <w:rsid w:val="0A1F6D28"/>
    <w:rsid w:val="0A3E3D26"/>
    <w:rsid w:val="0A4834F8"/>
    <w:rsid w:val="0A6173D2"/>
    <w:rsid w:val="0A64315D"/>
    <w:rsid w:val="0A682231"/>
    <w:rsid w:val="0A6825A9"/>
    <w:rsid w:val="0A9A25AD"/>
    <w:rsid w:val="0A9F4649"/>
    <w:rsid w:val="0AAC10E4"/>
    <w:rsid w:val="0AB07E4A"/>
    <w:rsid w:val="0AB80DB3"/>
    <w:rsid w:val="0AC8530A"/>
    <w:rsid w:val="0AC93B72"/>
    <w:rsid w:val="0AD53C26"/>
    <w:rsid w:val="0AD632CD"/>
    <w:rsid w:val="0ADD3B4A"/>
    <w:rsid w:val="0AEB7B61"/>
    <w:rsid w:val="0AEE775A"/>
    <w:rsid w:val="0AFF5154"/>
    <w:rsid w:val="0B0260FA"/>
    <w:rsid w:val="0B127FA5"/>
    <w:rsid w:val="0B1E7B7D"/>
    <w:rsid w:val="0B4458B7"/>
    <w:rsid w:val="0B4A5F99"/>
    <w:rsid w:val="0B4B3360"/>
    <w:rsid w:val="0B521171"/>
    <w:rsid w:val="0B5C62CC"/>
    <w:rsid w:val="0B6153F6"/>
    <w:rsid w:val="0B6C4BE2"/>
    <w:rsid w:val="0B6F08EA"/>
    <w:rsid w:val="0B895D1E"/>
    <w:rsid w:val="0B903157"/>
    <w:rsid w:val="0B9730BE"/>
    <w:rsid w:val="0B9A670B"/>
    <w:rsid w:val="0BA31A63"/>
    <w:rsid w:val="0BA653BF"/>
    <w:rsid w:val="0BAC6F99"/>
    <w:rsid w:val="0BB24785"/>
    <w:rsid w:val="0BC67500"/>
    <w:rsid w:val="0BCD1EAC"/>
    <w:rsid w:val="0BCF142C"/>
    <w:rsid w:val="0BDC319A"/>
    <w:rsid w:val="0BFB783E"/>
    <w:rsid w:val="0BFD5373"/>
    <w:rsid w:val="0BFD6481"/>
    <w:rsid w:val="0C0F0CD9"/>
    <w:rsid w:val="0C182F96"/>
    <w:rsid w:val="0C1A00CA"/>
    <w:rsid w:val="0C2150AB"/>
    <w:rsid w:val="0C236700"/>
    <w:rsid w:val="0C2B4E07"/>
    <w:rsid w:val="0C2D3A23"/>
    <w:rsid w:val="0C364685"/>
    <w:rsid w:val="0C631998"/>
    <w:rsid w:val="0C6821F6"/>
    <w:rsid w:val="0C6C441B"/>
    <w:rsid w:val="0C782EF0"/>
    <w:rsid w:val="0C8F023A"/>
    <w:rsid w:val="0C990787"/>
    <w:rsid w:val="0C992D4F"/>
    <w:rsid w:val="0CAE3A50"/>
    <w:rsid w:val="0CBF15FF"/>
    <w:rsid w:val="0CD91857"/>
    <w:rsid w:val="0CDA2573"/>
    <w:rsid w:val="0CDA4E4E"/>
    <w:rsid w:val="0CE65CCB"/>
    <w:rsid w:val="0CEF0CD8"/>
    <w:rsid w:val="0CF258A4"/>
    <w:rsid w:val="0D1D4BC1"/>
    <w:rsid w:val="0D2070E4"/>
    <w:rsid w:val="0D212A41"/>
    <w:rsid w:val="0D215F2C"/>
    <w:rsid w:val="0D2F2E17"/>
    <w:rsid w:val="0D314FE6"/>
    <w:rsid w:val="0D336C1D"/>
    <w:rsid w:val="0D532244"/>
    <w:rsid w:val="0D540C02"/>
    <w:rsid w:val="0D571C0F"/>
    <w:rsid w:val="0D5F19BA"/>
    <w:rsid w:val="0D637F0E"/>
    <w:rsid w:val="0D6A5410"/>
    <w:rsid w:val="0D794CB6"/>
    <w:rsid w:val="0D8324ED"/>
    <w:rsid w:val="0D8F059D"/>
    <w:rsid w:val="0D8F5855"/>
    <w:rsid w:val="0D9773A6"/>
    <w:rsid w:val="0D9827E5"/>
    <w:rsid w:val="0DA11C37"/>
    <w:rsid w:val="0DA5005A"/>
    <w:rsid w:val="0DB71BC1"/>
    <w:rsid w:val="0DBF24D9"/>
    <w:rsid w:val="0DC466B9"/>
    <w:rsid w:val="0DC54945"/>
    <w:rsid w:val="0DE90D05"/>
    <w:rsid w:val="0DF25BA4"/>
    <w:rsid w:val="0DFD573A"/>
    <w:rsid w:val="0DFE1012"/>
    <w:rsid w:val="0E0B029F"/>
    <w:rsid w:val="0E230373"/>
    <w:rsid w:val="0E2A41ED"/>
    <w:rsid w:val="0E397874"/>
    <w:rsid w:val="0E461B92"/>
    <w:rsid w:val="0E4F1A2E"/>
    <w:rsid w:val="0E5F7846"/>
    <w:rsid w:val="0E632208"/>
    <w:rsid w:val="0E7E2314"/>
    <w:rsid w:val="0E844468"/>
    <w:rsid w:val="0E8F62CF"/>
    <w:rsid w:val="0E8F6937"/>
    <w:rsid w:val="0E9E135B"/>
    <w:rsid w:val="0EA0228A"/>
    <w:rsid w:val="0EA44F43"/>
    <w:rsid w:val="0EC2669E"/>
    <w:rsid w:val="0ECB5472"/>
    <w:rsid w:val="0ED756CF"/>
    <w:rsid w:val="0ED77E21"/>
    <w:rsid w:val="0EE34A0A"/>
    <w:rsid w:val="0EEF23A4"/>
    <w:rsid w:val="0EF645A0"/>
    <w:rsid w:val="0F18029E"/>
    <w:rsid w:val="0F1B6D6A"/>
    <w:rsid w:val="0F2500FF"/>
    <w:rsid w:val="0F2904D1"/>
    <w:rsid w:val="0F2A7DB7"/>
    <w:rsid w:val="0F2D61D9"/>
    <w:rsid w:val="0F36722F"/>
    <w:rsid w:val="0F43254D"/>
    <w:rsid w:val="0F45451E"/>
    <w:rsid w:val="0F543C48"/>
    <w:rsid w:val="0F54568B"/>
    <w:rsid w:val="0F6801CF"/>
    <w:rsid w:val="0F735BF1"/>
    <w:rsid w:val="0F7F71A8"/>
    <w:rsid w:val="0F9B0554"/>
    <w:rsid w:val="0FAF5422"/>
    <w:rsid w:val="0FAF5990"/>
    <w:rsid w:val="0FB271E8"/>
    <w:rsid w:val="0FBF1392"/>
    <w:rsid w:val="0FBF3681"/>
    <w:rsid w:val="0FD84D52"/>
    <w:rsid w:val="0FD91112"/>
    <w:rsid w:val="0FD93801"/>
    <w:rsid w:val="0FDC41E3"/>
    <w:rsid w:val="0FE35744"/>
    <w:rsid w:val="0FEB1C2B"/>
    <w:rsid w:val="0FF322CD"/>
    <w:rsid w:val="100128A9"/>
    <w:rsid w:val="1005689B"/>
    <w:rsid w:val="10131FB5"/>
    <w:rsid w:val="1031732E"/>
    <w:rsid w:val="10327E3A"/>
    <w:rsid w:val="10374301"/>
    <w:rsid w:val="10394E9C"/>
    <w:rsid w:val="103A764D"/>
    <w:rsid w:val="103B410E"/>
    <w:rsid w:val="103B6EC4"/>
    <w:rsid w:val="103E5A9F"/>
    <w:rsid w:val="10457DEF"/>
    <w:rsid w:val="105628E7"/>
    <w:rsid w:val="108120DC"/>
    <w:rsid w:val="108950E7"/>
    <w:rsid w:val="109135C4"/>
    <w:rsid w:val="10923E54"/>
    <w:rsid w:val="10A4426E"/>
    <w:rsid w:val="10B656D8"/>
    <w:rsid w:val="10B9383C"/>
    <w:rsid w:val="10C37A22"/>
    <w:rsid w:val="10D11300"/>
    <w:rsid w:val="10D4446D"/>
    <w:rsid w:val="10DF1FB9"/>
    <w:rsid w:val="10F772EF"/>
    <w:rsid w:val="11017A58"/>
    <w:rsid w:val="11023D17"/>
    <w:rsid w:val="110F34C8"/>
    <w:rsid w:val="11390774"/>
    <w:rsid w:val="11491151"/>
    <w:rsid w:val="116021A5"/>
    <w:rsid w:val="116230D1"/>
    <w:rsid w:val="116833E7"/>
    <w:rsid w:val="116A7E05"/>
    <w:rsid w:val="11722460"/>
    <w:rsid w:val="117A4F14"/>
    <w:rsid w:val="117D68B3"/>
    <w:rsid w:val="11870CA4"/>
    <w:rsid w:val="11A4344C"/>
    <w:rsid w:val="11CB5870"/>
    <w:rsid w:val="11D21BE1"/>
    <w:rsid w:val="11D529F0"/>
    <w:rsid w:val="11F272A1"/>
    <w:rsid w:val="11F50B3F"/>
    <w:rsid w:val="11F528ED"/>
    <w:rsid w:val="11F55D84"/>
    <w:rsid w:val="11F95233"/>
    <w:rsid w:val="11FD6A95"/>
    <w:rsid w:val="11FE73E1"/>
    <w:rsid w:val="1206271C"/>
    <w:rsid w:val="12114BE2"/>
    <w:rsid w:val="12152F8F"/>
    <w:rsid w:val="121F5BBC"/>
    <w:rsid w:val="12261816"/>
    <w:rsid w:val="122816CA"/>
    <w:rsid w:val="122D72CA"/>
    <w:rsid w:val="1231523F"/>
    <w:rsid w:val="12392AE3"/>
    <w:rsid w:val="123C0392"/>
    <w:rsid w:val="123E4294"/>
    <w:rsid w:val="12421044"/>
    <w:rsid w:val="12492C39"/>
    <w:rsid w:val="12511775"/>
    <w:rsid w:val="125F420A"/>
    <w:rsid w:val="127A5380"/>
    <w:rsid w:val="128A74D9"/>
    <w:rsid w:val="1298079E"/>
    <w:rsid w:val="12B10442"/>
    <w:rsid w:val="12B44556"/>
    <w:rsid w:val="12C10A21"/>
    <w:rsid w:val="12CB7F7B"/>
    <w:rsid w:val="12D57B5A"/>
    <w:rsid w:val="12DA74FD"/>
    <w:rsid w:val="12DD3B9D"/>
    <w:rsid w:val="12FC5EFD"/>
    <w:rsid w:val="13160E95"/>
    <w:rsid w:val="131D4A08"/>
    <w:rsid w:val="132617E9"/>
    <w:rsid w:val="132B4874"/>
    <w:rsid w:val="13365D96"/>
    <w:rsid w:val="13401CF4"/>
    <w:rsid w:val="13573133"/>
    <w:rsid w:val="13597FDE"/>
    <w:rsid w:val="135E57D8"/>
    <w:rsid w:val="13610A7C"/>
    <w:rsid w:val="1370511E"/>
    <w:rsid w:val="1379754E"/>
    <w:rsid w:val="13895EE3"/>
    <w:rsid w:val="139452E8"/>
    <w:rsid w:val="139600FA"/>
    <w:rsid w:val="139B1B3C"/>
    <w:rsid w:val="13A40689"/>
    <w:rsid w:val="13AC347F"/>
    <w:rsid w:val="13AE5449"/>
    <w:rsid w:val="13C163E4"/>
    <w:rsid w:val="13CF69C3"/>
    <w:rsid w:val="13E63AA6"/>
    <w:rsid w:val="13F4157C"/>
    <w:rsid w:val="13F85DC5"/>
    <w:rsid w:val="13FC3073"/>
    <w:rsid w:val="14002DA6"/>
    <w:rsid w:val="14076907"/>
    <w:rsid w:val="140A2B4A"/>
    <w:rsid w:val="141601C0"/>
    <w:rsid w:val="14183270"/>
    <w:rsid w:val="141D447E"/>
    <w:rsid w:val="141D6B0B"/>
    <w:rsid w:val="142D6F89"/>
    <w:rsid w:val="143C3BFB"/>
    <w:rsid w:val="14447112"/>
    <w:rsid w:val="144554E0"/>
    <w:rsid w:val="144C07BE"/>
    <w:rsid w:val="144C2ACB"/>
    <w:rsid w:val="145908CD"/>
    <w:rsid w:val="145A112D"/>
    <w:rsid w:val="146D3562"/>
    <w:rsid w:val="1472014A"/>
    <w:rsid w:val="14733869"/>
    <w:rsid w:val="148617D9"/>
    <w:rsid w:val="149258A7"/>
    <w:rsid w:val="149321EC"/>
    <w:rsid w:val="149363ED"/>
    <w:rsid w:val="14972381"/>
    <w:rsid w:val="14A405FA"/>
    <w:rsid w:val="14AA6C47"/>
    <w:rsid w:val="14AB1989"/>
    <w:rsid w:val="14AF76CB"/>
    <w:rsid w:val="14B04223"/>
    <w:rsid w:val="14B81325"/>
    <w:rsid w:val="14BB5770"/>
    <w:rsid w:val="14BD2115"/>
    <w:rsid w:val="14C47E92"/>
    <w:rsid w:val="14CA4494"/>
    <w:rsid w:val="14DF1102"/>
    <w:rsid w:val="14E74E80"/>
    <w:rsid w:val="14EF1875"/>
    <w:rsid w:val="14FB05D3"/>
    <w:rsid w:val="14FB1DB1"/>
    <w:rsid w:val="14FC230F"/>
    <w:rsid w:val="150115A9"/>
    <w:rsid w:val="15027594"/>
    <w:rsid w:val="150317C5"/>
    <w:rsid w:val="1507775C"/>
    <w:rsid w:val="150A3567"/>
    <w:rsid w:val="151407D5"/>
    <w:rsid w:val="15214D63"/>
    <w:rsid w:val="152F4368"/>
    <w:rsid w:val="153713E6"/>
    <w:rsid w:val="153E6FE7"/>
    <w:rsid w:val="154F67B8"/>
    <w:rsid w:val="15535F3F"/>
    <w:rsid w:val="15697093"/>
    <w:rsid w:val="15760076"/>
    <w:rsid w:val="15977CDB"/>
    <w:rsid w:val="159F6FD6"/>
    <w:rsid w:val="15A85EC8"/>
    <w:rsid w:val="15AA1C40"/>
    <w:rsid w:val="15B01BBF"/>
    <w:rsid w:val="15B8435D"/>
    <w:rsid w:val="15B94F00"/>
    <w:rsid w:val="15C56521"/>
    <w:rsid w:val="15CF16A7"/>
    <w:rsid w:val="15D171CD"/>
    <w:rsid w:val="15D26086"/>
    <w:rsid w:val="15D77061"/>
    <w:rsid w:val="15DC73CD"/>
    <w:rsid w:val="15DD2016"/>
    <w:rsid w:val="15EC3B3E"/>
    <w:rsid w:val="15F46C2A"/>
    <w:rsid w:val="15F80BFE"/>
    <w:rsid w:val="16121567"/>
    <w:rsid w:val="16230469"/>
    <w:rsid w:val="162C6AF9"/>
    <w:rsid w:val="16343F81"/>
    <w:rsid w:val="163948ED"/>
    <w:rsid w:val="16413A85"/>
    <w:rsid w:val="164275F4"/>
    <w:rsid w:val="16495BAE"/>
    <w:rsid w:val="164C1591"/>
    <w:rsid w:val="1654148B"/>
    <w:rsid w:val="165B71D5"/>
    <w:rsid w:val="166E2C6E"/>
    <w:rsid w:val="16700A7A"/>
    <w:rsid w:val="16726C02"/>
    <w:rsid w:val="1683572D"/>
    <w:rsid w:val="168801D3"/>
    <w:rsid w:val="169E0BEA"/>
    <w:rsid w:val="16A62408"/>
    <w:rsid w:val="16AF7EFC"/>
    <w:rsid w:val="16B07EDF"/>
    <w:rsid w:val="16DD2BAC"/>
    <w:rsid w:val="170A3B27"/>
    <w:rsid w:val="171738A2"/>
    <w:rsid w:val="17197085"/>
    <w:rsid w:val="171F21BA"/>
    <w:rsid w:val="17224ED3"/>
    <w:rsid w:val="172460AC"/>
    <w:rsid w:val="172872C1"/>
    <w:rsid w:val="173054B2"/>
    <w:rsid w:val="173B5246"/>
    <w:rsid w:val="17424EAD"/>
    <w:rsid w:val="174C1699"/>
    <w:rsid w:val="17773DA4"/>
    <w:rsid w:val="1778392A"/>
    <w:rsid w:val="1779647F"/>
    <w:rsid w:val="177A1543"/>
    <w:rsid w:val="17987255"/>
    <w:rsid w:val="17A23389"/>
    <w:rsid w:val="17A739C7"/>
    <w:rsid w:val="17C50FB3"/>
    <w:rsid w:val="17CB7450"/>
    <w:rsid w:val="17D15BAA"/>
    <w:rsid w:val="17FB6C91"/>
    <w:rsid w:val="17FF44C5"/>
    <w:rsid w:val="18053F1E"/>
    <w:rsid w:val="18085749"/>
    <w:rsid w:val="180B6D06"/>
    <w:rsid w:val="181C3FF8"/>
    <w:rsid w:val="1823063E"/>
    <w:rsid w:val="183D3240"/>
    <w:rsid w:val="184114A1"/>
    <w:rsid w:val="18425C49"/>
    <w:rsid w:val="1844637C"/>
    <w:rsid w:val="185540E5"/>
    <w:rsid w:val="186969E3"/>
    <w:rsid w:val="186C7D12"/>
    <w:rsid w:val="186D2443"/>
    <w:rsid w:val="187059AE"/>
    <w:rsid w:val="18786026"/>
    <w:rsid w:val="18876269"/>
    <w:rsid w:val="18891FE1"/>
    <w:rsid w:val="188B2A6D"/>
    <w:rsid w:val="188C7694"/>
    <w:rsid w:val="18D05DC3"/>
    <w:rsid w:val="18D21BDA"/>
    <w:rsid w:val="18DC03A2"/>
    <w:rsid w:val="18DC65B5"/>
    <w:rsid w:val="18E11EA5"/>
    <w:rsid w:val="18E6534A"/>
    <w:rsid w:val="18EC1C75"/>
    <w:rsid w:val="18EE62E8"/>
    <w:rsid w:val="19083037"/>
    <w:rsid w:val="191C2E55"/>
    <w:rsid w:val="191F607C"/>
    <w:rsid w:val="192D5416"/>
    <w:rsid w:val="19390D64"/>
    <w:rsid w:val="193E7FD9"/>
    <w:rsid w:val="195019B0"/>
    <w:rsid w:val="19554C37"/>
    <w:rsid w:val="19566DB3"/>
    <w:rsid w:val="19595DF7"/>
    <w:rsid w:val="19597C05"/>
    <w:rsid w:val="196279A1"/>
    <w:rsid w:val="19636CD6"/>
    <w:rsid w:val="197902A7"/>
    <w:rsid w:val="197B401F"/>
    <w:rsid w:val="198627AB"/>
    <w:rsid w:val="198B4F14"/>
    <w:rsid w:val="199724DC"/>
    <w:rsid w:val="19A941C1"/>
    <w:rsid w:val="19AE5ACF"/>
    <w:rsid w:val="19B675DA"/>
    <w:rsid w:val="19BB7B07"/>
    <w:rsid w:val="19BE1D86"/>
    <w:rsid w:val="19C637E5"/>
    <w:rsid w:val="19C721FB"/>
    <w:rsid w:val="19CE5CD8"/>
    <w:rsid w:val="19D379B8"/>
    <w:rsid w:val="19E00326"/>
    <w:rsid w:val="19FD67E3"/>
    <w:rsid w:val="1A052165"/>
    <w:rsid w:val="1A063EF5"/>
    <w:rsid w:val="1A0F1B60"/>
    <w:rsid w:val="1A0F3AD5"/>
    <w:rsid w:val="1A0F7374"/>
    <w:rsid w:val="1A142D27"/>
    <w:rsid w:val="1A143D9C"/>
    <w:rsid w:val="1A202D51"/>
    <w:rsid w:val="1A2A3350"/>
    <w:rsid w:val="1A330456"/>
    <w:rsid w:val="1A4E34E2"/>
    <w:rsid w:val="1A584361"/>
    <w:rsid w:val="1A5E3E22"/>
    <w:rsid w:val="1A60672B"/>
    <w:rsid w:val="1A630F50"/>
    <w:rsid w:val="1A653958"/>
    <w:rsid w:val="1A6732FB"/>
    <w:rsid w:val="1A7929A3"/>
    <w:rsid w:val="1A7B4669"/>
    <w:rsid w:val="1A870B38"/>
    <w:rsid w:val="1A8C6CF6"/>
    <w:rsid w:val="1A9417D9"/>
    <w:rsid w:val="1AA41354"/>
    <w:rsid w:val="1AA572B8"/>
    <w:rsid w:val="1AA90718"/>
    <w:rsid w:val="1AB31D2F"/>
    <w:rsid w:val="1AC00AAF"/>
    <w:rsid w:val="1AC15A62"/>
    <w:rsid w:val="1ACE55DA"/>
    <w:rsid w:val="1ACE6054"/>
    <w:rsid w:val="1ACE6D27"/>
    <w:rsid w:val="1AE0038B"/>
    <w:rsid w:val="1AE300CE"/>
    <w:rsid w:val="1AEC6857"/>
    <w:rsid w:val="1AF7358C"/>
    <w:rsid w:val="1AFA0F74"/>
    <w:rsid w:val="1B04371D"/>
    <w:rsid w:val="1B1A1616"/>
    <w:rsid w:val="1B395F40"/>
    <w:rsid w:val="1B403FA5"/>
    <w:rsid w:val="1B46240B"/>
    <w:rsid w:val="1B495A57"/>
    <w:rsid w:val="1B4B5C73"/>
    <w:rsid w:val="1B524326"/>
    <w:rsid w:val="1B55168B"/>
    <w:rsid w:val="1B593EEC"/>
    <w:rsid w:val="1B632FBD"/>
    <w:rsid w:val="1B645069"/>
    <w:rsid w:val="1B7D1BE7"/>
    <w:rsid w:val="1B8637EA"/>
    <w:rsid w:val="1B917B2A"/>
    <w:rsid w:val="1BBE01F3"/>
    <w:rsid w:val="1BDD1B28"/>
    <w:rsid w:val="1BE57F51"/>
    <w:rsid w:val="1BE73639"/>
    <w:rsid w:val="1BEE3F6E"/>
    <w:rsid w:val="1BF21B5D"/>
    <w:rsid w:val="1C024584"/>
    <w:rsid w:val="1C037CCC"/>
    <w:rsid w:val="1C136791"/>
    <w:rsid w:val="1C18016F"/>
    <w:rsid w:val="1C2F4A48"/>
    <w:rsid w:val="1C314E69"/>
    <w:rsid w:val="1C400DCC"/>
    <w:rsid w:val="1C4814E4"/>
    <w:rsid w:val="1C6012AB"/>
    <w:rsid w:val="1C6062B5"/>
    <w:rsid w:val="1C643AFE"/>
    <w:rsid w:val="1C656B00"/>
    <w:rsid w:val="1C6D522B"/>
    <w:rsid w:val="1C762201"/>
    <w:rsid w:val="1C87757C"/>
    <w:rsid w:val="1C8B6454"/>
    <w:rsid w:val="1C911F05"/>
    <w:rsid w:val="1C9232F2"/>
    <w:rsid w:val="1C993860"/>
    <w:rsid w:val="1CB33AD0"/>
    <w:rsid w:val="1CBB169A"/>
    <w:rsid w:val="1CBD494F"/>
    <w:rsid w:val="1CC07FCD"/>
    <w:rsid w:val="1CC5593D"/>
    <w:rsid w:val="1CCD060E"/>
    <w:rsid w:val="1CD03B67"/>
    <w:rsid w:val="1CD13F56"/>
    <w:rsid w:val="1CD4109A"/>
    <w:rsid w:val="1CD55E24"/>
    <w:rsid w:val="1CDE3631"/>
    <w:rsid w:val="1CE814D1"/>
    <w:rsid w:val="1CF06F67"/>
    <w:rsid w:val="1CFE11B3"/>
    <w:rsid w:val="1D022EEB"/>
    <w:rsid w:val="1D0B7468"/>
    <w:rsid w:val="1D1E53EE"/>
    <w:rsid w:val="1D3444B7"/>
    <w:rsid w:val="1D3F2887"/>
    <w:rsid w:val="1D413DD6"/>
    <w:rsid w:val="1D442082"/>
    <w:rsid w:val="1D494085"/>
    <w:rsid w:val="1D6104E9"/>
    <w:rsid w:val="1D67409C"/>
    <w:rsid w:val="1D6D5E73"/>
    <w:rsid w:val="1D6E2EA0"/>
    <w:rsid w:val="1D90430C"/>
    <w:rsid w:val="1D927B8A"/>
    <w:rsid w:val="1DA228F6"/>
    <w:rsid w:val="1DA26C67"/>
    <w:rsid w:val="1DA653E3"/>
    <w:rsid w:val="1DA84CB7"/>
    <w:rsid w:val="1DB33A3A"/>
    <w:rsid w:val="1DB4365C"/>
    <w:rsid w:val="1DB571C9"/>
    <w:rsid w:val="1DBF6F58"/>
    <w:rsid w:val="1DC57394"/>
    <w:rsid w:val="1DC976B3"/>
    <w:rsid w:val="1DCD471E"/>
    <w:rsid w:val="1DF12B02"/>
    <w:rsid w:val="1E01086B"/>
    <w:rsid w:val="1E3649B9"/>
    <w:rsid w:val="1E592CD8"/>
    <w:rsid w:val="1E65546D"/>
    <w:rsid w:val="1E673D11"/>
    <w:rsid w:val="1E6E0354"/>
    <w:rsid w:val="1E8E65A3"/>
    <w:rsid w:val="1E912BAE"/>
    <w:rsid w:val="1E933E22"/>
    <w:rsid w:val="1E94348E"/>
    <w:rsid w:val="1E982F7E"/>
    <w:rsid w:val="1EB60A31"/>
    <w:rsid w:val="1EBB0A1A"/>
    <w:rsid w:val="1EC6457D"/>
    <w:rsid w:val="1EC7170B"/>
    <w:rsid w:val="1EC7534C"/>
    <w:rsid w:val="1EC80007"/>
    <w:rsid w:val="1ECD7160"/>
    <w:rsid w:val="1ED641E3"/>
    <w:rsid w:val="1EDA5344"/>
    <w:rsid w:val="1EED4935"/>
    <w:rsid w:val="1EEE324E"/>
    <w:rsid w:val="1EF15FC6"/>
    <w:rsid w:val="1EFA4AC9"/>
    <w:rsid w:val="1EFD1033"/>
    <w:rsid w:val="1F0028D1"/>
    <w:rsid w:val="1F165A0D"/>
    <w:rsid w:val="1F1E5742"/>
    <w:rsid w:val="1F294330"/>
    <w:rsid w:val="1F5164BE"/>
    <w:rsid w:val="1F550636"/>
    <w:rsid w:val="1F59508D"/>
    <w:rsid w:val="1F6725BD"/>
    <w:rsid w:val="1F7A16FF"/>
    <w:rsid w:val="1F841E94"/>
    <w:rsid w:val="1F86410F"/>
    <w:rsid w:val="1F902D30"/>
    <w:rsid w:val="1F987D78"/>
    <w:rsid w:val="1FAB4F33"/>
    <w:rsid w:val="1FAD0B55"/>
    <w:rsid w:val="1FBA786C"/>
    <w:rsid w:val="1FC55FF4"/>
    <w:rsid w:val="1FE07DD2"/>
    <w:rsid w:val="1FE65F6B"/>
    <w:rsid w:val="1FF72B1D"/>
    <w:rsid w:val="20012DA5"/>
    <w:rsid w:val="2012614A"/>
    <w:rsid w:val="201952D2"/>
    <w:rsid w:val="2020109E"/>
    <w:rsid w:val="20220096"/>
    <w:rsid w:val="202816B6"/>
    <w:rsid w:val="202B1BD0"/>
    <w:rsid w:val="2031368A"/>
    <w:rsid w:val="20352DB6"/>
    <w:rsid w:val="203647FC"/>
    <w:rsid w:val="20383747"/>
    <w:rsid w:val="204B45FF"/>
    <w:rsid w:val="204E725A"/>
    <w:rsid w:val="205050F3"/>
    <w:rsid w:val="205921D7"/>
    <w:rsid w:val="20665891"/>
    <w:rsid w:val="206F5F60"/>
    <w:rsid w:val="207575AA"/>
    <w:rsid w:val="208241B4"/>
    <w:rsid w:val="208433DB"/>
    <w:rsid w:val="20855784"/>
    <w:rsid w:val="208F5999"/>
    <w:rsid w:val="20947775"/>
    <w:rsid w:val="20B05494"/>
    <w:rsid w:val="20EE5770"/>
    <w:rsid w:val="21147FEE"/>
    <w:rsid w:val="212925B3"/>
    <w:rsid w:val="212C3E51"/>
    <w:rsid w:val="213571AA"/>
    <w:rsid w:val="213B5936"/>
    <w:rsid w:val="213C22E6"/>
    <w:rsid w:val="213D605E"/>
    <w:rsid w:val="213F7E47"/>
    <w:rsid w:val="21416183"/>
    <w:rsid w:val="214171F2"/>
    <w:rsid w:val="21592FEC"/>
    <w:rsid w:val="215B2DFE"/>
    <w:rsid w:val="215C5CD9"/>
    <w:rsid w:val="215F2E6D"/>
    <w:rsid w:val="21611D4D"/>
    <w:rsid w:val="21617F9F"/>
    <w:rsid w:val="216B3935"/>
    <w:rsid w:val="21820494"/>
    <w:rsid w:val="218B2E3C"/>
    <w:rsid w:val="218C26F6"/>
    <w:rsid w:val="218E68BA"/>
    <w:rsid w:val="21921F06"/>
    <w:rsid w:val="21A67760"/>
    <w:rsid w:val="21B53E47"/>
    <w:rsid w:val="21B5456C"/>
    <w:rsid w:val="21C0289A"/>
    <w:rsid w:val="21C314C7"/>
    <w:rsid w:val="21D604D2"/>
    <w:rsid w:val="21E309B4"/>
    <w:rsid w:val="21E53DD4"/>
    <w:rsid w:val="21E80F98"/>
    <w:rsid w:val="21F4496F"/>
    <w:rsid w:val="21FA7AAB"/>
    <w:rsid w:val="21FE67C3"/>
    <w:rsid w:val="21FF567A"/>
    <w:rsid w:val="220019CB"/>
    <w:rsid w:val="22080E1D"/>
    <w:rsid w:val="222E4A4B"/>
    <w:rsid w:val="224564ED"/>
    <w:rsid w:val="227A2B4A"/>
    <w:rsid w:val="227A5579"/>
    <w:rsid w:val="227B3EC3"/>
    <w:rsid w:val="22853819"/>
    <w:rsid w:val="228802B4"/>
    <w:rsid w:val="22883309"/>
    <w:rsid w:val="22A96C16"/>
    <w:rsid w:val="22AC6E9D"/>
    <w:rsid w:val="22AF6B28"/>
    <w:rsid w:val="22B61C24"/>
    <w:rsid w:val="22BF1959"/>
    <w:rsid w:val="22D16A5E"/>
    <w:rsid w:val="22FD7853"/>
    <w:rsid w:val="2309444A"/>
    <w:rsid w:val="230A1D1E"/>
    <w:rsid w:val="230F3D0A"/>
    <w:rsid w:val="23152B86"/>
    <w:rsid w:val="233E3D53"/>
    <w:rsid w:val="235E44A5"/>
    <w:rsid w:val="23623B5A"/>
    <w:rsid w:val="2371477C"/>
    <w:rsid w:val="237F04EF"/>
    <w:rsid w:val="23841437"/>
    <w:rsid w:val="23865695"/>
    <w:rsid w:val="238A3CA3"/>
    <w:rsid w:val="238E17FC"/>
    <w:rsid w:val="238E2BA1"/>
    <w:rsid w:val="23A423C5"/>
    <w:rsid w:val="23AF4708"/>
    <w:rsid w:val="23B32608"/>
    <w:rsid w:val="23C16A9A"/>
    <w:rsid w:val="23E66003"/>
    <w:rsid w:val="23F80076"/>
    <w:rsid w:val="23FE2FB7"/>
    <w:rsid w:val="23FE3AF7"/>
    <w:rsid w:val="240350E9"/>
    <w:rsid w:val="240D3AC6"/>
    <w:rsid w:val="240F3CE2"/>
    <w:rsid w:val="241B7142"/>
    <w:rsid w:val="242B3FAA"/>
    <w:rsid w:val="24452007"/>
    <w:rsid w:val="244802C7"/>
    <w:rsid w:val="244C0B39"/>
    <w:rsid w:val="245A32E7"/>
    <w:rsid w:val="24635935"/>
    <w:rsid w:val="24660E6A"/>
    <w:rsid w:val="24665559"/>
    <w:rsid w:val="24681644"/>
    <w:rsid w:val="24691825"/>
    <w:rsid w:val="24697C70"/>
    <w:rsid w:val="246C2EE2"/>
    <w:rsid w:val="248E0BEE"/>
    <w:rsid w:val="249222CA"/>
    <w:rsid w:val="24C20D54"/>
    <w:rsid w:val="24CF65FC"/>
    <w:rsid w:val="24D171E9"/>
    <w:rsid w:val="24DA6A74"/>
    <w:rsid w:val="24DB4BCD"/>
    <w:rsid w:val="24E32A79"/>
    <w:rsid w:val="24E707BB"/>
    <w:rsid w:val="24F1163A"/>
    <w:rsid w:val="24F353B2"/>
    <w:rsid w:val="24F602A0"/>
    <w:rsid w:val="24F829C8"/>
    <w:rsid w:val="250025A0"/>
    <w:rsid w:val="25296C9F"/>
    <w:rsid w:val="252F5CBE"/>
    <w:rsid w:val="25310FEF"/>
    <w:rsid w:val="253808F1"/>
    <w:rsid w:val="253C36FB"/>
    <w:rsid w:val="25401D76"/>
    <w:rsid w:val="2544236B"/>
    <w:rsid w:val="2547125A"/>
    <w:rsid w:val="256C3562"/>
    <w:rsid w:val="258778A8"/>
    <w:rsid w:val="258D2CD8"/>
    <w:rsid w:val="25977271"/>
    <w:rsid w:val="259B2D68"/>
    <w:rsid w:val="259E7D45"/>
    <w:rsid w:val="25A55F80"/>
    <w:rsid w:val="25A6077B"/>
    <w:rsid w:val="25A641D2"/>
    <w:rsid w:val="25A941CC"/>
    <w:rsid w:val="25A97E1E"/>
    <w:rsid w:val="25AB4606"/>
    <w:rsid w:val="25BF4424"/>
    <w:rsid w:val="25C17AFA"/>
    <w:rsid w:val="25C251DB"/>
    <w:rsid w:val="25C669F1"/>
    <w:rsid w:val="25E00E0C"/>
    <w:rsid w:val="25EC3BAF"/>
    <w:rsid w:val="25EF379B"/>
    <w:rsid w:val="260C11C1"/>
    <w:rsid w:val="261049C1"/>
    <w:rsid w:val="2613738E"/>
    <w:rsid w:val="26286784"/>
    <w:rsid w:val="26321F0A"/>
    <w:rsid w:val="26383109"/>
    <w:rsid w:val="263A491A"/>
    <w:rsid w:val="263E49AF"/>
    <w:rsid w:val="263F1C4A"/>
    <w:rsid w:val="264F293F"/>
    <w:rsid w:val="26597FFC"/>
    <w:rsid w:val="265B2F41"/>
    <w:rsid w:val="265E5C08"/>
    <w:rsid w:val="26673E0F"/>
    <w:rsid w:val="26697AAB"/>
    <w:rsid w:val="2673065B"/>
    <w:rsid w:val="26746071"/>
    <w:rsid w:val="267839D3"/>
    <w:rsid w:val="26803368"/>
    <w:rsid w:val="268423E1"/>
    <w:rsid w:val="26890627"/>
    <w:rsid w:val="26902F8F"/>
    <w:rsid w:val="26937CAB"/>
    <w:rsid w:val="26A43060"/>
    <w:rsid w:val="26B36647"/>
    <w:rsid w:val="26BB2001"/>
    <w:rsid w:val="26C16DEA"/>
    <w:rsid w:val="26CE0ACF"/>
    <w:rsid w:val="26D45ECB"/>
    <w:rsid w:val="26E35358"/>
    <w:rsid w:val="27003DB6"/>
    <w:rsid w:val="27022D18"/>
    <w:rsid w:val="270D0281"/>
    <w:rsid w:val="270E298C"/>
    <w:rsid w:val="270E29F5"/>
    <w:rsid w:val="27135897"/>
    <w:rsid w:val="271512D2"/>
    <w:rsid w:val="272A2D2F"/>
    <w:rsid w:val="272C0707"/>
    <w:rsid w:val="2734580E"/>
    <w:rsid w:val="273B6B9C"/>
    <w:rsid w:val="27446B6F"/>
    <w:rsid w:val="274F752C"/>
    <w:rsid w:val="27520933"/>
    <w:rsid w:val="275C1578"/>
    <w:rsid w:val="275E5A93"/>
    <w:rsid w:val="27736226"/>
    <w:rsid w:val="27755DA7"/>
    <w:rsid w:val="277C7F9A"/>
    <w:rsid w:val="27871DE1"/>
    <w:rsid w:val="278D7C08"/>
    <w:rsid w:val="279D2924"/>
    <w:rsid w:val="27A52E1A"/>
    <w:rsid w:val="27BF3329"/>
    <w:rsid w:val="27C53958"/>
    <w:rsid w:val="27DA4B73"/>
    <w:rsid w:val="27DF39CB"/>
    <w:rsid w:val="27E61F25"/>
    <w:rsid w:val="27EC31BB"/>
    <w:rsid w:val="27ED2CBD"/>
    <w:rsid w:val="27F51441"/>
    <w:rsid w:val="27F61799"/>
    <w:rsid w:val="27F63DA6"/>
    <w:rsid w:val="27F8251C"/>
    <w:rsid w:val="27FA5CB6"/>
    <w:rsid w:val="27FC457D"/>
    <w:rsid w:val="28066A1F"/>
    <w:rsid w:val="28074CD0"/>
    <w:rsid w:val="280B656E"/>
    <w:rsid w:val="280D34EA"/>
    <w:rsid w:val="281466B1"/>
    <w:rsid w:val="281824A7"/>
    <w:rsid w:val="281C4C20"/>
    <w:rsid w:val="282D0BDB"/>
    <w:rsid w:val="28312BBF"/>
    <w:rsid w:val="28321D4D"/>
    <w:rsid w:val="283A2862"/>
    <w:rsid w:val="28467386"/>
    <w:rsid w:val="285F673E"/>
    <w:rsid w:val="28644CCA"/>
    <w:rsid w:val="287370B9"/>
    <w:rsid w:val="288D1679"/>
    <w:rsid w:val="288F6949"/>
    <w:rsid w:val="28911AF2"/>
    <w:rsid w:val="289151CA"/>
    <w:rsid w:val="28A2680F"/>
    <w:rsid w:val="28AD1793"/>
    <w:rsid w:val="28B9246E"/>
    <w:rsid w:val="28BA7F95"/>
    <w:rsid w:val="28D21782"/>
    <w:rsid w:val="28EB583C"/>
    <w:rsid w:val="28F402DA"/>
    <w:rsid w:val="28FC78BE"/>
    <w:rsid w:val="28FE4325"/>
    <w:rsid w:val="29000A40"/>
    <w:rsid w:val="290F29AF"/>
    <w:rsid w:val="291D0C4F"/>
    <w:rsid w:val="293634F4"/>
    <w:rsid w:val="29503CAA"/>
    <w:rsid w:val="29770361"/>
    <w:rsid w:val="2985201E"/>
    <w:rsid w:val="29892059"/>
    <w:rsid w:val="29894105"/>
    <w:rsid w:val="298E38FB"/>
    <w:rsid w:val="29982084"/>
    <w:rsid w:val="29B35110"/>
    <w:rsid w:val="29B812E2"/>
    <w:rsid w:val="29C55899"/>
    <w:rsid w:val="29C865D6"/>
    <w:rsid w:val="29E4607F"/>
    <w:rsid w:val="29E71C49"/>
    <w:rsid w:val="29EA67D5"/>
    <w:rsid w:val="29F2147C"/>
    <w:rsid w:val="29FA1911"/>
    <w:rsid w:val="2A0608C1"/>
    <w:rsid w:val="2A0C4A40"/>
    <w:rsid w:val="2A134AF4"/>
    <w:rsid w:val="2A1536D4"/>
    <w:rsid w:val="2A255C2B"/>
    <w:rsid w:val="2A2B7BC9"/>
    <w:rsid w:val="2A3A5DF9"/>
    <w:rsid w:val="2A4926C2"/>
    <w:rsid w:val="2A4D2BFD"/>
    <w:rsid w:val="2A530EDF"/>
    <w:rsid w:val="2A553627"/>
    <w:rsid w:val="2A5F6992"/>
    <w:rsid w:val="2A750617"/>
    <w:rsid w:val="2A7949E3"/>
    <w:rsid w:val="2A7E571E"/>
    <w:rsid w:val="2A80647C"/>
    <w:rsid w:val="2A8E62B6"/>
    <w:rsid w:val="2A9572CC"/>
    <w:rsid w:val="2AA36F32"/>
    <w:rsid w:val="2ABD4C84"/>
    <w:rsid w:val="2ACA5C4D"/>
    <w:rsid w:val="2ACB5D43"/>
    <w:rsid w:val="2AD81233"/>
    <w:rsid w:val="2ADC178F"/>
    <w:rsid w:val="2AE63EFE"/>
    <w:rsid w:val="2AED78BA"/>
    <w:rsid w:val="2AF05EF0"/>
    <w:rsid w:val="2B0959B1"/>
    <w:rsid w:val="2B1725AC"/>
    <w:rsid w:val="2B2E227F"/>
    <w:rsid w:val="2B3404E2"/>
    <w:rsid w:val="2B363CF4"/>
    <w:rsid w:val="2B3A7305"/>
    <w:rsid w:val="2B425FD0"/>
    <w:rsid w:val="2B4268A6"/>
    <w:rsid w:val="2B512E32"/>
    <w:rsid w:val="2B5364B1"/>
    <w:rsid w:val="2B794137"/>
    <w:rsid w:val="2B9B4F58"/>
    <w:rsid w:val="2B9D1BD3"/>
    <w:rsid w:val="2BA271EA"/>
    <w:rsid w:val="2BA3696C"/>
    <w:rsid w:val="2BA411B4"/>
    <w:rsid w:val="2BAC62BA"/>
    <w:rsid w:val="2BB65EBB"/>
    <w:rsid w:val="2BB67A51"/>
    <w:rsid w:val="2BB769EE"/>
    <w:rsid w:val="2BB8130D"/>
    <w:rsid w:val="2BC1223D"/>
    <w:rsid w:val="2BC173D4"/>
    <w:rsid w:val="2BC40014"/>
    <w:rsid w:val="2BC51B34"/>
    <w:rsid w:val="2BCA04EF"/>
    <w:rsid w:val="2BCF1FA9"/>
    <w:rsid w:val="2BF95140"/>
    <w:rsid w:val="2C0B194E"/>
    <w:rsid w:val="2C1300E8"/>
    <w:rsid w:val="2C1A4F62"/>
    <w:rsid w:val="2C227130"/>
    <w:rsid w:val="2C2E6CCF"/>
    <w:rsid w:val="2C3447BE"/>
    <w:rsid w:val="2C3D3C75"/>
    <w:rsid w:val="2C49532C"/>
    <w:rsid w:val="2C4B420E"/>
    <w:rsid w:val="2C660165"/>
    <w:rsid w:val="2C6619D7"/>
    <w:rsid w:val="2C666469"/>
    <w:rsid w:val="2C6A0BA3"/>
    <w:rsid w:val="2C8903AA"/>
    <w:rsid w:val="2C8A76F4"/>
    <w:rsid w:val="2C931BC6"/>
    <w:rsid w:val="2C947F22"/>
    <w:rsid w:val="2C9E16D9"/>
    <w:rsid w:val="2CA45E14"/>
    <w:rsid w:val="2CB62CA6"/>
    <w:rsid w:val="2CBA67B5"/>
    <w:rsid w:val="2CDB673A"/>
    <w:rsid w:val="2CEA709A"/>
    <w:rsid w:val="2CEE34EF"/>
    <w:rsid w:val="2CEF46B1"/>
    <w:rsid w:val="2CF605F7"/>
    <w:rsid w:val="2CF9108B"/>
    <w:rsid w:val="2CFE48F4"/>
    <w:rsid w:val="2D016FE9"/>
    <w:rsid w:val="2D0A367D"/>
    <w:rsid w:val="2D12214D"/>
    <w:rsid w:val="2D14362B"/>
    <w:rsid w:val="2D281971"/>
    <w:rsid w:val="2D2E304F"/>
    <w:rsid w:val="2D3C07FE"/>
    <w:rsid w:val="2D3E414F"/>
    <w:rsid w:val="2D5756FC"/>
    <w:rsid w:val="2D5D5591"/>
    <w:rsid w:val="2D74743A"/>
    <w:rsid w:val="2D7921CC"/>
    <w:rsid w:val="2D7B7CF2"/>
    <w:rsid w:val="2D7C11D4"/>
    <w:rsid w:val="2D7F4766"/>
    <w:rsid w:val="2DAD1E76"/>
    <w:rsid w:val="2DBE7F60"/>
    <w:rsid w:val="2DD12008"/>
    <w:rsid w:val="2DF6788C"/>
    <w:rsid w:val="2DFF6EA1"/>
    <w:rsid w:val="2E043938"/>
    <w:rsid w:val="2E0D1588"/>
    <w:rsid w:val="2E132621"/>
    <w:rsid w:val="2E240E9B"/>
    <w:rsid w:val="2E3944B7"/>
    <w:rsid w:val="2E3B1633"/>
    <w:rsid w:val="2E4C1B78"/>
    <w:rsid w:val="2E5C5D76"/>
    <w:rsid w:val="2E5F13C2"/>
    <w:rsid w:val="2E7035CF"/>
    <w:rsid w:val="2E73313B"/>
    <w:rsid w:val="2E866E5E"/>
    <w:rsid w:val="2E9C43C4"/>
    <w:rsid w:val="2EA916B2"/>
    <w:rsid w:val="2EA93C46"/>
    <w:rsid w:val="2EB149D1"/>
    <w:rsid w:val="2EB84F76"/>
    <w:rsid w:val="2EC62DA5"/>
    <w:rsid w:val="2EEA15D4"/>
    <w:rsid w:val="2EEA1606"/>
    <w:rsid w:val="2EED318E"/>
    <w:rsid w:val="2F0F1794"/>
    <w:rsid w:val="2F1A0856"/>
    <w:rsid w:val="2F2B5B05"/>
    <w:rsid w:val="2F475C7E"/>
    <w:rsid w:val="2F4800A8"/>
    <w:rsid w:val="2F486024"/>
    <w:rsid w:val="2F4A2072"/>
    <w:rsid w:val="2F523B34"/>
    <w:rsid w:val="2F681310"/>
    <w:rsid w:val="2F743B89"/>
    <w:rsid w:val="2F75751D"/>
    <w:rsid w:val="2F7E2877"/>
    <w:rsid w:val="2F837A4C"/>
    <w:rsid w:val="2F8567D8"/>
    <w:rsid w:val="2F8B5040"/>
    <w:rsid w:val="2F9432ED"/>
    <w:rsid w:val="2F990904"/>
    <w:rsid w:val="2F9E5F1A"/>
    <w:rsid w:val="2FAD0853"/>
    <w:rsid w:val="2FC17E5A"/>
    <w:rsid w:val="2FC45593"/>
    <w:rsid w:val="2FC61E6F"/>
    <w:rsid w:val="2FE14059"/>
    <w:rsid w:val="2FE222AB"/>
    <w:rsid w:val="2FE65B09"/>
    <w:rsid w:val="2FFA3A98"/>
    <w:rsid w:val="30115CE5"/>
    <w:rsid w:val="30135C1F"/>
    <w:rsid w:val="30191760"/>
    <w:rsid w:val="3025663B"/>
    <w:rsid w:val="3028092A"/>
    <w:rsid w:val="30297EDA"/>
    <w:rsid w:val="302F54E7"/>
    <w:rsid w:val="30327D4F"/>
    <w:rsid w:val="3062251C"/>
    <w:rsid w:val="3069482A"/>
    <w:rsid w:val="306A22A0"/>
    <w:rsid w:val="306C477B"/>
    <w:rsid w:val="30726790"/>
    <w:rsid w:val="30831C53"/>
    <w:rsid w:val="309061AB"/>
    <w:rsid w:val="309A2DFA"/>
    <w:rsid w:val="30A92DC8"/>
    <w:rsid w:val="30B034AD"/>
    <w:rsid w:val="30B33C47"/>
    <w:rsid w:val="30BB2AFC"/>
    <w:rsid w:val="30C87FB8"/>
    <w:rsid w:val="30C9484E"/>
    <w:rsid w:val="30CF2960"/>
    <w:rsid w:val="30D73F61"/>
    <w:rsid w:val="30E90E2B"/>
    <w:rsid w:val="310406DA"/>
    <w:rsid w:val="31085D41"/>
    <w:rsid w:val="310A2A14"/>
    <w:rsid w:val="310F59F0"/>
    <w:rsid w:val="31197F4E"/>
    <w:rsid w:val="31344D88"/>
    <w:rsid w:val="31395BA8"/>
    <w:rsid w:val="313C794F"/>
    <w:rsid w:val="3141666D"/>
    <w:rsid w:val="314B14BF"/>
    <w:rsid w:val="31500783"/>
    <w:rsid w:val="315539CA"/>
    <w:rsid w:val="3158219E"/>
    <w:rsid w:val="315D7742"/>
    <w:rsid w:val="315F05BE"/>
    <w:rsid w:val="31644F41"/>
    <w:rsid w:val="316B4522"/>
    <w:rsid w:val="316D537E"/>
    <w:rsid w:val="31716348"/>
    <w:rsid w:val="317355F2"/>
    <w:rsid w:val="317E68B2"/>
    <w:rsid w:val="3185517F"/>
    <w:rsid w:val="3185793C"/>
    <w:rsid w:val="319677F1"/>
    <w:rsid w:val="31A2224B"/>
    <w:rsid w:val="31A57A34"/>
    <w:rsid w:val="31B06C89"/>
    <w:rsid w:val="31C21E67"/>
    <w:rsid w:val="31C2569E"/>
    <w:rsid w:val="31C96BD0"/>
    <w:rsid w:val="31E15891"/>
    <w:rsid w:val="31E879EE"/>
    <w:rsid w:val="31F043F4"/>
    <w:rsid w:val="31F43D52"/>
    <w:rsid w:val="321D581C"/>
    <w:rsid w:val="32335040"/>
    <w:rsid w:val="32342B66"/>
    <w:rsid w:val="324F5BF1"/>
    <w:rsid w:val="325066A8"/>
    <w:rsid w:val="32563FE3"/>
    <w:rsid w:val="32574CBD"/>
    <w:rsid w:val="325D3410"/>
    <w:rsid w:val="3260226B"/>
    <w:rsid w:val="327A5FF1"/>
    <w:rsid w:val="327B2543"/>
    <w:rsid w:val="32981E44"/>
    <w:rsid w:val="32A55CC0"/>
    <w:rsid w:val="32A937D2"/>
    <w:rsid w:val="32B53CA7"/>
    <w:rsid w:val="32B545C0"/>
    <w:rsid w:val="32C4213C"/>
    <w:rsid w:val="32C95971"/>
    <w:rsid w:val="32E41009"/>
    <w:rsid w:val="32E9078F"/>
    <w:rsid w:val="32ED34FF"/>
    <w:rsid w:val="3304078A"/>
    <w:rsid w:val="330856D0"/>
    <w:rsid w:val="33136C1F"/>
    <w:rsid w:val="332350B4"/>
    <w:rsid w:val="33264BA4"/>
    <w:rsid w:val="33316646"/>
    <w:rsid w:val="3344327C"/>
    <w:rsid w:val="33462B8C"/>
    <w:rsid w:val="33484B1B"/>
    <w:rsid w:val="33491C13"/>
    <w:rsid w:val="334B0167"/>
    <w:rsid w:val="334D0383"/>
    <w:rsid w:val="335E0E67"/>
    <w:rsid w:val="335E45B2"/>
    <w:rsid w:val="33691E57"/>
    <w:rsid w:val="33735D99"/>
    <w:rsid w:val="33736E76"/>
    <w:rsid w:val="337570A4"/>
    <w:rsid w:val="33925D96"/>
    <w:rsid w:val="339C6C14"/>
    <w:rsid w:val="33A269EC"/>
    <w:rsid w:val="33A856B1"/>
    <w:rsid w:val="33AA1077"/>
    <w:rsid w:val="33AB2922"/>
    <w:rsid w:val="33C50B9E"/>
    <w:rsid w:val="33D26ADA"/>
    <w:rsid w:val="33D301D3"/>
    <w:rsid w:val="33D53ED4"/>
    <w:rsid w:val="33D976B3"/>
    <w:rsid w:val="33DB2EFB"/>
    <w:rsid w:val="33DC6CF8"/>
    <w:rsid w:val="33DF19D5"/>
    <w:rsid w:val="33F54490"/>
    <w:rsid w:val="33F85833"/>
    <w:rsid w:val="33F94458"/>
    <w:rsid w:val="341266A4"/>
    <w:rsid w:val="3429350C"/>
    <w:rsid w:val="3431735D"/>
    <w:rsid w:val="3434509F"/>
    <w:rsid w:val="343C76C2"/>
    <w:rsid w:val="343D6C24"/>
    <w:rsid w:val="34450642"/>
    <w:rsid w:val="344572AC"/>
    <w:rsid w:val="345873A9"/>
    <w:rsid w:val="34692A1E"/>
    <w:rsid w:val="346C4A6E"/>
    <w:rsid w:val="34703C63"/>
    <w:rsid w:val="347831DE"/>
    <w:rsid w:val="347C5D20"/>
    <w:rsid w:val="348C6C89"/>
    <w:rsid w:val="3498562E"/>
    <w:rsid w:val="34997F68"/>
    <w:rsid w:val="34A2025B"/>
    <w:rsid w:val="34AF2977"/>
    <w:rsid w:val="34AF7CC9"/>
    <w:rsid w:val="34B956D8"/>
    <w:rsid w:val="34BE2416"/>
    <w:rsid w:val="34E017A7"/>
    <w:rsid w:val="34E42621"/>
    <w:rsid w:val="34E526B4"/>
    <w:rsid w:val="34ED4FC5"/>
    <w:rsid w:val="34FE7262"/>
    <w:rsid w:val="352407FC"/>
    <w:rsid w:val="35260E8C"/>
    <w:rsid w:val="352612DF"/>
    <w:rsid w:val="35301D0A"/>
    <w:rsid w:val="35322B1F"/>
    <w:rsid w:val="353358B6"/>
    <w:rsid w:val="3535498A"/>
    <w:rsid w:val="35373099"/>
    <w:rsid w:val="35471E10"/>
    <w:rsid w:val="355004C3"/>
    <w:rsid w:val="355157DD"/>
    <w:rsid w:val="35551C2F"/>
    <w:rsid w:val="3556146D"/>
    <w:rsid w:val="355724F0"/>
    <w:rsid w:val="35773078"/>
    <w:rsid w:val="35810326"/>
    <w:rsid w:val="35867B7C"/>
    <w:rsid w:val="358C5E8C"/>
    <w:rsid w:val="358D7C9B"/>
    <w:rsid w:val="358E2186"/>
    <w:rsid w:val="3599165E"/>
    <w:rsid w:val="35A26038"/>
    <w:rsid w:val="35A95619"/>
    <w:rsid w:val="35AE5305"/>
    <w:rsid w:val="35B90B5D"/>
    <w:rsid w:val="35BD10B7"/>
    <w:rsid w:val="35BE5EC2"/>
    <w:rsid w:val="35CF1523"/>
    <w:rsid w:val="35DE239E"/>
    <w:rsid w:val="35E06512"/>
    <w:rsid w:val="35E33F92"/>
    <w:rsid w:val="35F9034E"/>
    <w:rsid w:val="35FE7713"/>
    <w:rsid w:val="360212D1"/>
    <w:rsid w:val="36030D37"/>
    <w:rsid w:val="360E2480"/>
    <w:rsid w:val="361327DB"/>
    <w:rsid w:val="36347E29"/>
    <w:rsid w:val="363720E3"/>
    <w:rsid w:val="3639711B"/>
    <w:rsid w:val="363C00BB"/>
    <w:rsid w:val="363E765D"/>
    <w:rsid w:val="365869BA"/>
    <w:rsid w:val="36592830"/>
    <w:rsid w:val="36697A8D"/>
    <w:rsid w:val="367409D2"/>
    <w:rsid w:val="3676199F"/>
    <w:rsid w:val="36773881"/>
    <w:rsid w:val="367B56C5"/>
    <w:rsid w:val="367C5173"/>
    <w:rsid w:val="36915D46"/>
    <w:rsid w:val="36BA6657"/>
    <w:rsid w:val="36CA31B0"/>
    <w:rsid w:val="36D20797"/>
    <w:rsid w:val="36E16F8C"/>
    <w:rsid w:val="36E65B3A"/>
    <w:rsid w:val="36E96AA7"/>
    <w:rsid w:val="370346A6"/>
    <w:rsid w:val="37186F74"/>
    <w:rsid w:val="371F5B92"/>
    <w:rsid w:val="37225683"/>
    <w:rsid w:val="372431A9"/>
    <w:rsid w:val="37296474"/>
    <w:rsid w:val="37405833"/>
    <w:rsid w:val="37594F8B"/>
    <w:rsid w:val="37666B6B"/>
    <w:rsid w:val="37675674"/>
    <w:rsid w:val="376B1978"/>
    <w:rsid w:val="3771007D"/>
    <w:rsid w:val="37734130"/>
    <w:rsid w:val="37735EDE"/>
    <w:rsid w:val="379320DC"/>
    <w:rsid w:val="37940CA8"/>
    <w:rsid w:val="37A92337"/>
    <w:rsid w:val="37B94697"/>
    <w:rsid w:val="37BC5AD7"/>
    <w:rsid w:val="37D42E21"/>
    <w:rsid w:val="37D848CF"/>
    <w:rsid w:val="37DB157C"/>
    <w:rsid w:val="37DB3C7D"/>
    <w:rsid w:val="37E64325"/>
    <w:rsid w:val="37EE7D30"/>
    <w:rsid w:val="37F62976"/>
    <w:rsid w:val="37F708BD"/>
    <w:rsid w:val="37F77F19"/>
    <w:rsid w:val="381B0A50"/>
    <w:rsid w:val="381D34F9"/>
    <w:rsid w:val="382056E0"/>
    <w:rsid w:val="3822692C"/>
    <w:rsid w:val="38343F2A"/>
    <w:rsid w:val="38490F9C"/>
    <w:rsid w:val="384C1631"/>
    <w:rsid w:val="38542754"/>
    <w:rsid w:val="385B52F0"/>
    <w:rsid w:val="3867558A"/>
    <w:rsid w:val="386C03A0"/>
    <w:rsid w:val="38740160"/>
    <w:rsid w:val="388372DB"/>
    <w:rsid w:val="38850AD8"/>
    <w:rsid w:val="38B10FD7"/>
    <w:rsid w:val="38B2326B"/>
    <w:rsid w:val="38B36EDA"/>
    <w:rsid w:val="38BD498D"/>
    <w:rsid w:val="38C82229"/>
    <w:rsid w:val="38D155B2"/>
    <w:rsid w:val="38D26C34"/>
    <w:rsid w:val="38D81B11"/>
    <w:rsid w:val="38F61303"/>
    <w:rsid w:val="38FC42B5"/>
    <w:rsid w:val="38FC71A8"/>
    <w:rsid w:val="39020983"/>
    <w:rsid w:val="39037F6C"/>
    <w:rsid w:val="39044B4B"/>
    <w:rsid w:val="390C2146"/>
    <w:rsid w:val="39161217"/>
    <w:rsid w:val="39214610"/>
    <w:rsid w:val="39276898"/>
    <w:rsid w:val="39352CB6"/>
    <w:rsid w:val="39464964"/>
    <w:rsid w:val="395224D9"/>
    <w:rsid w:val="395601FC"/>
    <w:rsid w:val="39647471"/>
    <w:rsid w:val="39777F08"/>
    <w:rsid w:val="397B4E62"/>
    <w:rsid w:val="39845848"/>
    <w:rsid w:val="39972B1A"/>
    <w:rsid w:val="399A1410"/>
    <w:rsid w:val="39A17675"/>
    <w:rsid w:val="39A6259B"/>
    <w:rsid w:val="39C8231B"/>
    <w:rsid w:val="39CD1539"/>
    <w:rsid w:val="39CD5D32"/>
    <w:rsid w:val="39DA1DFA"/>
    <w:rsid w:val="39DC24AF"/>
    <w:rsid w:val="39DC71EB"/>
    <w:rsid w:val="39DD5D2E"/>
    <w:rsid w:val="39FE23D7"/>
    <w:rsid w:val="3A045F91"/>
    <w:rsid w:val="3A0A0953"/>
    <w:rsid w:val="3A187F8C"/>
    <w:rsid w:val="3A1A0893"/>
    <w:rsid w:val="3A1E4582"/>
    <w:rsid w:val="3A233863"/>
    <w:rsid w:val="3A2C4127"/>
    <w:rsid w:val="3A35391F"/>
    <w:rsid w:val="3A451DB4"/>
    <w:rsid w:val="3A5576B6"/>
    <w:rsid w:val="3A682780"/>
    <w:rsid w:val="3A697EB7"/>
    <w:rsid w:val="3A7A136F"/>
    <w:rsid w:val="3A7F0311"/>
    <w:rsid w:val="3A8A3C6B"/>
    <w:rsid w:val="3A8C5141"/>
    <w:rsid w:val="3A8D5509"/>
    <w:rsid w:val="3A9C0D92"/>
    <w:rsid w:val="3A9C574C"/>
    <w:rsid w:val="3AA12D62"/>
    <w:rsid w:val="3AA648FE"/>
    <w:rsid w:val="3AAA7D3D"/>
    <w:rsid w:val="3AC058DE"/>
    <w:rsid w:val="3AD117FB"/>
    <w:rsid w:val="3AD72904"/>
    <w:rsid w:val="3AD75A09"/>
    <w:rsid w:val="3ADC5AFD"/>
    <w:rsid w:val="3AE17BBC"/>
    <w:rsid w:val="3AF911D4"/>
    <w:rsid w:val="3B007A89"/>
    <w:rsid w:val="3B0F5ABD"/>
    <w:rsid w:val="3B1243B6"/>
    <w:rsid w:val="3B1479D8"/>
    <w:rsid w:val="3B1A123D"/>
    <w:rsid w:val="3B213730"/>
    <w:rsid w:val="3B2D7A40"/>
    <w:rsid w:val="3B2F4F75"/>
    <w:rsid w:val="3B315914"/>
    <w:rsid w:val="3B5008D7"/>
    <w:rsid w:val="3B704500"/>
    <w:rsid w:val="3B7355AE"/>
    <w:rsid w:val="3B793C0F"/>
    <w:rsid w:val="3B7F15E2"/>
    <w:rsid w:val="3B7F6F5D"/>
    <w:rsid w:val="3B8536A6"/>
    <w:rsid w:val="3B8763FC"/>
    <w:rsid w:val="3B906DF8"/>
    <w:rsid w:val="3B9528C7"/>
    <w:rsid w:val="3B9F0C51"/>
    <w:rsid w:val="3BA00572"/>
    <w:rsid w:val="3BB1021B"/>
    <w:rsid w:val="3BC02F13"/>
    <w:rsid w:val="3BC35686"/>
    <w:rsid w:val="3BC53ABB"/>
    <w:rsid w:val="3BCC1F2A"/>
    <w:rsid w:val="3BCD6D6D"/>
    <w:rsid w:val="3BDA29D0"/>
    <w:rsid w:val="3BE13D5E"/>
    <w:rsid w:val="3BE15B0C"/>
    <w:rsid w:val="3BF72A83"/>
    <w:rsid w:val="3C067F9F"/>
    <w:rsid w:val="3C130A1F"/>
    <w:rsid w:val="3C135790"/>
    <w:rsid w:val="3C1752F7"/>
    <w:rsid w:val="3C193171"/>
    <w:rsid w:val="3C1E3214"/>
    <w:rsid w:val="3C2528C6"/>
    <w:rsid w:val="3C333E8E"/>
    <w:rsid w:val="3C3E2F5F"/>
    <w:rsid w:val="3C4321AB"/>
    <w:rsid w:val="3C4F0720"/>
    <w:rsid w:val="3C4F1FEA"/>
    <w:rsid w:val="3C686571"/>
    <w:rsid w:val="3C7249B6"/>
    <w:rsid w:val="3C83525B"/>
    <w:rsid w:val="3C87375A"/>
    <w:rsid w:val="3C8E189D"/>
    <w:rsid w:val="3C945361"/>
    <w:rsid w:val="3CA22EFE"/>
    <w:rsid w:val="3CB8043D"/>
    <w:rsid w:val="3CB94BCA"/>
    <w:rsid w:val="3CC25705"/>
    <w:rsid w:val="3CC50225"/>
    <w:rsid w:val="3CC92CB9"/>
    <w:rsid w:val="3CCF3943"/>
    <w:rsid w:val="3CCF3965"/>
    <w:rsid w:val="3CD92C87"/>
    <w:rsid w:val="3CDD64CF"/>
    <w:rsid w:val="3CDE231E"/>
    <w:rsid w:val="3CEB5790"/>
    <w:rsid w:val="3CEB6517"/>
    <w:rsid w:val="3CF027B7"/>
    <w:rsid w:val="3CFE1B47"/>
    <w:rsid w:val="3D0575D8"/>
    <w:rsid w:val="3D1C767A"/>
    <w:rsid w:val="3D1E1219"/>
    <w:rsid w:val="3D36346C"/>
    <w:rsid w:val="3D47560D"/>
    <w:rsid w:val="3D4956FE"/>
    <w:rsid w:val="3D523BCD"/>
    <w:rsid w:val="3D645169"/>
    <w:rsid w:val="3D6C3AFB"/>
    <w:rsid w:val="3D8F2120"/>
    <w:rsid w:val="3D8F30A0"/>
    <w:rsid w:val="3D990E61"/>
    <w:rsid w:val="3D9D1F07"/>
    <w:rsid w:val="3D9D5A63"/>
    <w:rsid w:val="3DA327E5"/>
    <w:rsid w:val="3DB01C7C"/>
    <w:rsid w:val="3DBA1ADA"/>
    <w:rsid w:val="3DBA6615"/>
    <w:rsid w:val="3DBD4BF8"/>
    <w:rsid w:val="3DC355A6"/>
    <w:rsid w:val="3DC42D6E"/>
    <w:rsid w:val="3DC47494"/>
    <w:rsid w:val="3DD009EA"/>
    <w:rsid w:val="3DD64752"/>
    <w:rsid w:val="3DD80DF7"/>
    <w:rsid w:val="3DE26317"/>
    <w:rsid w:val="3DE93F0A"/>
    <w:rsid w:val="3DF633C5"/>
    <w:rsid w:val="3DFE0BF8"/>
    <w:rsid w:val="3DFF04CC"/>
    <w:rsid w:val="3E10092B"/>
    <w:rsid w:val="3E175815"/>
    <w:rsid w:val="3E251E4B"/>
    <w:rsid w:val="3E2C54C5"/>
    <w:rsid w:val="3E2D1C0D"/>
    <w:rsid w:val="3E352B5B"/>
    <w:rsid w:val="3E3A2755"/>
    <w:rsid w:val="3E463101"/>
    <w:rsid w:val="3E46434D"/>
    <w:rsid w:val="3E52684D"/>
    <w:rsid w:val="3E5717D0"/>
    <w:rsid w:val="3E725142"/>
    <w:rsid w:val="3E734A16"/>
    <w:rsid w:val="3E8B1D5F"/>
    <w:rsid w:val="3E953235"/>
    <w:rsid w:val="3EAA3B18"/>
    <w:rsid w:val="3EAB41B0"/>
    <w:rsid w:val="3EB72B54"/>
    <w:rsid w:val="3EBD0BAE"/>
    <w:rsid w:val="3ECD2095"/>
    <w:rsid w:val="3EED47C8"/>
    <w:rsid w:val="3EF02AD3"/>
    <w:rsid w:val="3F024C1A"/>
    <w:rsid w:val="3F0833B0"/>
    <w:rsid w:val="3F21052E"/>
    <w:rsid w:val="3F330C34"/>
    <w:rsid w:val="3F3917F4"/>
    <w:rsid w:val="3F4A39C9"/>
    <w:rsid w:val="3F522FD2"/>
    <w:rsid w:val="3F625E8E"/>
    <w:rsid w:val="3F6A673B"/>
    <w:rsid w:val="3F6A7BC7"/>
    <w:rsid w:val="3F6C393F"/>
    <w:rsid w:val="3F7153F9"/>
    <w:rsid w:val="3F874C1D"/>
    <w:rsid w:val="3F8C2A74"/>
    <w:rsid w:val="3F917849"/>
    <w:rsid w:val="3F924981"/>
    <w:rsid w:val="3F9335C1"/>
    <w:rsid w:val="3F9B6992"/>
    <w:rsid w:val="3FA70307"/>
    <w:rsid w:val="3FA7458E"/>
    <w:rsid w:val="3FB22390"/>
    <w:rsid w:val="3FBA6F1C"/>
    <w:rsid w:val="3FCF1529"/>
    <w:rsid w:val="3FD0248A"/>
    <w:rsid w:val="3FE355E7"/>
    <w:rsid w:val="3FE37E33"/>
    <w:rsid w:val="3FE813F4"/>
    <w:rsid w:val="3FF55C7D"/>
    <w:rsid w:val="400E03CE"/>
    <w:rsid w:val="401171AD"/>
    <w:rsid w:val="40225AF1"/>
    <w:rsid w:val="403D5148"/>
    <w:rsid w:val="40414DCB"/>
    <w:rsid w:val="40507C98"/>
    <w:rsid w:val="4061657E"/>
    <w:rsid w:val="40625FCD"/>
    <w:rsid w:val="40672358"/>
    <w:rsid w:val="40675CAC"/>
    <w:rsid w:val="407216D4"/>
    <w:rsid w:val="407E7DCE"/>
    <w:rsid w:val="40892318"/>
    <w:rsid w:val="408E0789"/>
    <w:rsid w:val="4090365D"/>
    <w:rsid w:val="40A42109"/>
    <w:rsid w:val="40A610D2"/>
    <w:rsid w:val="40A76FA9"/>
    <w:rsid w:val="40AC084A"/>
    <w:rsid w:val="40D05FDB"/>
    <w:rsid w:val="40DB515E"/>
    <w:rsid w:val="40E30197"/>
    <w:rsid w:val="40EA1367"/>
    <w:rsid w:val="40EB151F"/>
    <w:rsid w:val="40F25A91"/>
    <w:rsid w:val="41036525"/>
    <w:rsid w:val="411C387B"/>
    <w:rsid w:val="411C6FE5"/>
    <w:rsid w:val="41285F8B"/>
    <w:rsid w:val="41292B74"/>
    <w:rsid w:val="41320BB8"/>
    <w:rsid w:val="413D1A37"/>
    <w:rsid w:val="414E3836"/>
    <w:rsid w:val="41592854"/>
    <w:rsid w:val="41596145"/>
    <w:rsid w:val="41676AB4"/>
    <w:rsid w:val="416E516B"/>
    <w:rsid w:val="418812BB"/>
    <w:rsid w:val="418F1604"/>
    <w:rsid w:val="419D3DBE"/>
    <w:rsid w:val="419F3079"/>
    <w:rsid w:val="41AE3A67"/>
    <w:rsid w:val="41AF045B"/>
    <w:rsid w:val="41C9151C"/>
    <w:rsid w:val="41EA02ED"/>
    <w:rsid w:val="420E5181"/>
    <w:rsid w:val="421409A0"/>
    <w:rsid w:val="4215282E"/>
    <w:rsid w:val="4216544A"/>
    <w:rsid w:val="42225E0B"/>
    <w:rsid w:val="424F30C2"/>
    <w:rsid w:val="42701998"/>
    <w:rsid w:val="427358D4"/>
    <w:rsid w:val="42736D87"/>
    <w:rsid w:val="427E086F"/>
    <w:rsid w:val="42826F4F"/>
    <w:rsid w:val="428D370A"/>
    <w:rsid w:val="42977105"/>
    <w:rsid w:val="429D286D"/>
    <w:rsid w:val="429E14C4"/>
    <w:rsid w:val="42A26186"/>
    <w:rsid w:val="42BF022A"/>
    <w:rsid w:val="42C13D5C"/>
    <w:rsid w:val="42C33E75"/>
    <w:rsid w:val="42C66BA7"/>
    <w:rsid w:val="42CE66BF"/>
    <w:rsid w:val="42D53EF1"/>
    <w:rsid w:val="42DF3579"/>
    <w:rsid w:val="42DF631A"/>
    <w:rsid w:val="42E264C2"/>
    <w:rsid w:val="42E85CD3"/>
    <w:rsid w:val="42E87780"/>
    <w:rsid w:val="42ED7D18"/>
    <w:rsid w:val="42F54D63"/>
    <w:rsid w:val="43011E27"/>
    <w:rsid w:val="43040332"/>
    <w:rsid w:val="430A124F"/>
    <w:rsid w:val="430B3A05"/>
    <w:rsid w:val="430F20A0"/>
    <w:rsid w:val="43135F0F"/>
    <w:rsid w:val="431A7B56"/>
    <w:rsid w:val="431B6CC7"/>
    <w:rsid w:val="43244531"/>
    <w:rsid w:val="432634B4"/>
    <w:rsid w:val="432D5ADB"/>
    <w:rsid w:val="43326C4D"/>
    <w:rsid w:val="43394290"/>
    <w:rsid w:val="434C41B3"/>
    <w:rsid w:val="43732880"/>
    <w:rsid w:val="43865952"/>
    <w:rsid w:val="438800FC"/>
    <w:rsid w:val="438F0BB0"/>
    <w:rsid w:val="43BF04EA"/>
    <w:rsid w:val="43C05A1E"/>
    <w:rsid w:val="43D22CDA"/>
    <w:rsid w:val="43D354DC"/>
    <w:rsid w:val="43F32881"/>
    <w:rsid w:val="440355E6"/>
    <w:rsid w:val="4405353A"/>
    <w:rsid w:val="44063CF3"/>
    <w:rsid w:val="44072973"/>
    <w:rsid w:val="44112D07"/>
    <w:rsid w:val="44117E2D"/>
    <w:rsid w:val="441E6386"/>
    <w:rsid w:val="44254A04"/>
    <w:rsid w:val="443D0DCC"/>
    <w:rsid w:val="443F3EB5"/>
    <w:rsid w:val="44426345"/>
    <w:rsid w:val="444B2816"/>
    <w:rsid w:val="445279AA"/>
    <w:rsid w:val="445F3A86"/>
    <w:rsid w:val="446472DA"/>
    <w:rsid w:val="4478636B"/>
    <w:rsid w:val="447A0DB3"/>
    <w:rsid w:val="4481712B"/>
    <w:rsid w:val="448B4867"/>
    <w:rsid w:val="448E6105"/>
    <w:rsid w:val="44AD1736"/>
    <w:rsid w:val="44C93406"/>
    <w:rsid w:val="44D74994"/>
    <w:rsid w:val="44F62875"/>
    <w:rsid w:val="451730A2"/>
    <w:rsid w:val="451955A3"/>
    <w:rsid w:val="451A208F"/>
    <w:rsid w:val="45205199"/>
    <w:rsid w:val="45260B70"/>
    <w:rsid w:val="452E1696"/>
    <w:rsid w:val="453303B6"/>
    <w:rsid w:val="45350C77"/>
    <w:rsid w:val="45357C2D"/>
    <w:rsid w:val="4541322C"/>
    <w:rsid w:val="45467C1A"/>
    <w:rsid w:val="45523E0A"/>
    <w:rsid w:val="455B2405"/>
    <w:rsid w:val="455E3D2A"/>
    <w:rsid w:val="45784EE5"/>
    <w:rsid w:val="457C33A8"/>
    <w:rsid w:val="4595726A"/>
    <w:rsid w:val="45AD0E39"/>
    <w:rsid w:val="45B66B2F"/>
    <w:rsid w:val="45C269AF"/>
    <w:rsid w:val="45C610DE"/>
    <w:rsid w:val="45C67177"/>
    <w:rsid w:val="45CA7D82"/>
    <w:rsid w:val="45D048BE"/>
    <w:rsid w:val="45DE626C"/>
    <w:rsid w:val="45F13477"/>
    <w:rsid w:val="45F36B68"/>
    <w:rsid w:val="45F64EBA"/>
    <w:rsid w:val="45FD7B3D"/>
    <w:rsid w:val="460A10C2"/>
    <w:rsid w:val="460F78BE"/>
    <w:rsid w:val="461551BA"/>
    <w:rsid w:val="461E210A"/>
    <w:rsid w:val="46230254"/>
    <w:rsid w:val="462D24EF"/>
    <w:rsid w:val="46733805"/>
    <w:rsid w:val="46753897"/>
    <w:rsid w:val="46761190"/>
    <w:rsid w:val="467F21AA"/>
    <w:rsid w:val="46841EB6"/>
    <w:rsid w:val="46867477"/>
    <w:rsid w:val="468A02AD"/>
    <w:rsid w:val="468B3DD1"/>
    <w:rsid w:val="4690085B"/>
    <w:rsid w:val="46A33D32"/>
    <w:rsid w:val="46A40DEF"/>
    <w:rsid w:val="46B906B9"/>
    <w:rsid w:val="46D1677D"/>
    <w:rsid w:val="46D61F38"/>
    <w:rsid w:val="46D87DE5"/>
    <w:rsid w:val="46E556A4"/>
    <w:rsid w:val="46E91D19"/>
    <w:rsid w:val="46EA25E1"/>
    <w:rsid w:val="46EB1077"/>
    <w:rsid w:val="46EE75EF"/>
    <w:rsid w:val="46FA3F26"/>
    <w:rsid w:val="46FE250C"/>
    <w:rsid w:val="470C2558"/>
    <w:rsid w:val="472165B7"/>
    <w:rsid w:val="472557AB"/>
    <w:rsid w:val="47277064"/>
    <w:rsid w:val="473161FA"/>
    <w:rsid w:val="47323C17"/>
    <w:rsid w:val="473E02B7"/>
    <w:rsid w:val="474E29C1"/>
    <w:rsid w:val="475569C5"/>
    <w:rsid w:val="47590A49"/>
    <w:rsid w:val="476A063C"/>
    <w:rsid w:val="477E06B3"/>
    <w:rsid w:val="4783216D"/>
    <w:rsid w:val="478E194B"/>
    <w:rsid w:val="47941208"/>
    <w:rsid w:val="47A101B2"/>
    <w:rsid w:val="47AD71EA"/>
    <w:rsid w:val="47BB1907"/>
    <w:rsid w:val="47BC11DC"/>
    <w:rsid w:val="47BF2852"/>
    <w:rsid w:val="47BF386C"/>
    <w:rsid w:val="47C95C6C"/>
    <w:rsid w:val="47D172DF"/>
    <w:rsid w:val="47EC7022"/>
    <w:rsid w:val="47EC7D13"/>
    <w:rsid w:val="47ED3A8B"/>
    <w:rsid w:val="47FC7940"/>
    <w:rsid w:val="48030B33"/>
    <w:rsid w:val="48046015"/>
    <w:rsid w:val="480E2E2C"/>
    <w:rsid w:val="48102D4F"/>
    <w:rsid w:val="4819316F"/>
    <w:rsid w:val="48205C0E"/>
    <w:rsid w:val="482E032B"/>
    <w:rsid w:val="48401E0D"/>
    <w:rsid w:val="48480CC1"/>
    <w:rsid w:val="48580B32"/>
    <w:rsid w:val="485B43A9"/>
    <w:rsid w:val="485D63AE"/>
    <w:rsid w:val="48635024"/>
    <w:rsid w:val="48783354"/>
    <w:rsid w:val="487B675C"/>
    <w:rsid w:val="48804918"/>
    <w:rsid w:val="48847172"/>
    <w:rsid w:val="488E2B78"/>
    <w:rsid w:val="4898180A"/>
    <w:rsid w:val="48A572ED"/>
    <w:rsid w:val="48B22238"/>
    <w:rsid w:val="48B33076"/>
    <w:rsid w:val="48BF5427"/>
    <w:rsid w:val="48BF71D5"/>
    <w:rsid w:val="48C4330A"/>
    <w:rsid w:val="48C452E4"/>
    <w:rsid w:val="48C56B4C"/>
    <w:rsid w:val="48C74E0D"/>
    <w:rsid w:val="48D55EB3"/>
    <w:rsid w:val="48DA0701"/>
    <w:rsid w:val="48DC7D87"/>
    <w:rsid w:val="48DF324A"/>
    <w:rsid w:val="48E052EC"/>
    <w:rsid w:val="48E22EC4"/>
    <w:rsid w:val="48E65AEE"/>
    <w:rsid w:val="49096FCD"/>
    <w:rsid w:val="491B7C2C"/>
    <w:rsid w:val="493F20C4"/>
    <w:rsid w:val="494625B6"/>
    <w:rsid w:val="49512BB1"/>
    <w:rsid w:val="495C2CEC"/>
    <w:rsid w:val="496215BF"/>
    <w:rsid w:val="49641F5D"/>
    <w:rsid w:val="49666B6B"/>
    <w:rsid w:val="496F2CCC"/>
    <w:rsid w:val="49777AB0"/>
    <w:rsid w:val="499A379E"/>
    <w:rsid w:val="49A8530E"/>
    <w:rsid w:val="49BA174B"/>
    <w:rsid w:val="49BB2C74"/>
    <w:rsid w:val="49C40005"/>
    <w:rsid w:val="49D04BAB"/>
    <w:rsid w:val="49DC3A88"/>
    <w:rsid w:val="49EA17C4"/>
    <w:rsid w:val="49F0129D"/>
    <w:rsid w:val="49FB248F"/>
    <w:rsid w:val="49FC7FB5"/>
    <w:rsid w:val="4A1A2F12"/>
    <w:rsid w:val="4A273284"/>
    <w:rsid w:val="4A2C7C77"/>
    <w:rsid w:val="4A321C6F"/>
    <w:rsid w:val="4A34008C"/>
    <w:rsid w:val="4A366D8C"/>
    <w:rsid w:val="4A375709"/>
    <w:rsid w:val="4A475BFC"/>
    <w:rsid w:val="4A4E1094"/>
    <w:rsid w:val="4A521850"/>
    <w:rsid w:val="4A561717"/>
    <w:rsid w:val="4A590F64"/>
    <w:rsid w:val="4A595408"/>
    <w:rsid w:val="4A717D8F"/>
    <w:rsid w:val="4A744BC4"/>
    <w:rsid w:val="4A77763C"/>
    <w:rsid w:val="4A794E63"/>
    <w:rsid w:val="4A7D0F83"/>
    <w:rsid w:val="4A834233"/>
    <w:rsid w:val="4A834A22"/>
    <w:rsid w:val="4A8815D3"/>
    <w:rsid w:val="4A9454F9"/>
    <w:rsid w:val="4A972DF7"/>
    <w:rsid w:val="4A985F30"/>
    <w:rsid w:val="4A992274"/>
    <w:rsid w:val="4AA77F21"/>
    <w:rsid w:val="4AAA2276"/>
    <w:rsid w:val="4AAB13A9"/>
    <w:rsid w:val="4AAD1B66"/>
    <w:rsid w:val="4AB03279"/>
    <w:rsid w:val="4AB64534"/>
    <w:rsid w:val="4AB80380"/>
    <w:rsid w:val="4AC66642"/>
    <w:rsid w:val="4AD37353"/>
    <w:rsid w:val="4ADC6651"/>
    <w:rsid w:val="4AE2340C"/>
    <w:rsid w:val="4AFA34F0"/>
    <w:rsid w:val="4AFF6999"/>
    <w:rsid w:val="4B0E1D4E"/>
    <w:rsid w:val="4B1720E1"/>
    <w:rsid w:val="4B21257E"/>
    <w:rsid w:val="4B290FE3"/>
    <w:rsid w:val="4B2F18A2"/>
    <w:rsid w:val="4B322207"/>
    <w:rsid w:val="4B3B5793"/>
    <w:rsid w:val="4B58050B"/>
    <w:rsid w:val="4B5A25F7"/>
    <w:rsid w:val="4B5A4F93"/>
    <w:rsid w:val="4B672D35"/>
    <w:rsid w:val="4B6A0768"/>
    <w:rsid w:val="4B6B0CBD"/>
    <w:rsid w:val="4B705719"/>
    <w:rsid w:val="4B7B47F9"/>
    <w:rsid w:val="4B9A5CD8"/>
    <w:rsid w:val="4BA563FE"/>
    <w:rsid w:val="4BB351BD"/>
    <w:rsid w:val="4BB74194"/>
    <w:rsid w:val="4BB77663"/>
    <w:rsid w:val="4BBE2F70"/>
    <w:rsid w:val="4BC4783E"/>
    <w:rsid w:val="4BC54DE5"/>
    <w:rsid w:val="4BD52968"/>
    <w:rsid w:val="4BD91D02"/>
    <w:rsid w:val="4BE13907"/>
    <w:rsid w:val="4BE2600E"/>
    <w:rsid w:val="4BE57820"/>
    <w:rsid w:val="4BFB7B74"/>
    <w:rsid w:val="4C0457A1"/>
    <w:rsid w:val="4C276BC0"/>
    <w:rsid w:val="4C297927"/>
    <w:rsid w:val="4C361B10"/>
    <w:rsid w:val="4C365A00"/>
    <w:rsid w:val="4C3F2C78"/>
    <w:rsid w:val="4C42244E"/>
    <w:rsid w:val="4C437DCE"/>
    <w:rsid w:val="4C4C0A3B"/>
    <w:rsid w:val="4C4D68A6"/>
    <w:rsid w:val="4C65577D"/>
    <w:rsid w:val="4C6A3121"/>
    <w:rsid w:val="4C6F4A6E"/>
    <w:rsid w:val="4C727CFA"/>
    <w:rsid w:val="4C88081B"/>
    <w:rsid w:val="4C8872A2"/>
    <w:rsid w:val="4C9C19F3"/>
    <w:rsid w:val="4CA47183"/>
    <w:rsid w:val="4CA97C29"/>
    <w:rsid w:val="4CB7606E"/>
    <w:rsid w:val="4CC254E6"/>
    <w:rsid w:val="4CDD5E7C"/>
    <w:rsid w:val="4CE94821"/>
    <w:rsid w:val="4CEF795D"/>
    <w:rsid w:val="4CF745DE"/>
    <w:rsid w:val="4CF82CB6"/>
    <w:rsid w:val="4CFC57E0"/>
    <w:rsid w:val="4D087B01"/>
    <w:rsid w:val="4D0B58BC"/>
    <w:rsid w:val="4D0C2AD5"/>
    <w:rsid w:val="4D135D42"/>
    <w:rsid w:val="4D1A1F72"/>
    <w:rsid w:val="4D2059FA"/>
    <w:rsid w:val="4D2D2A74"/>
    <w:rsid w:val="4D2E29D3"/>
    <w:rsid w:val="4D2E3574"/>
    <w:rsid w:val="4D2F6535"/>
    <w:rsid w:val="4D36558C"/>
    <w:rsid w:val="4D451B18"/>
    <w:rsid w:val="4D4F749A"/>
    <w:rsid w:val="4D755736"/>
    <w:rsid w:val="4D783DF7"/>
    <w:rsid w:val="4D8939D8"/>
    <w:rsid w:val="4DB92102"/>
    <w:rsid w:val="4DBA3E20"/>
    <w:rsid w:val="4DBC5B64"/>
    <w:rsid w:val="4DC679DB"/>
    <w:rsid w:val="4DE61D12"/>
    <w:rsid w:val="4DE66CD1"/>
    <w:rsid w:val="4DF1146E"/>
    <w:rsid w:val="4DF82017"/>
    <w:rsid w:val="4DFC0584"/>
    <w:rsid w:val="4E0E661C"/>
    <w:rsid w:val="4E0F02B7"/>
    <w:rsid w:val="4E151645"/>
    <w:rsid w:val="4E4C57ED"/>
    <w:rsid w:val="4E5505A6"/>
    <w:rsid w:val="4E6B41DE"/>
    <w:rsid w:val="4E797E26"/>
    <w:rsid w:val="4E810A89"/>
    <w:rsid w:val="4E820BD8"/>
    <w:rsid w:val="4E820C19"/>
    <w:rsid w:val="4E8B4AD7"/>
    <w:rsid w:val="4E8D729C"/>
    <w:rsid w:val="4E8E1C0C"/>
    <w:rsid w:val="4EA5208F"/>
    <w:rsid w:val="4EAE617F"/>
    <w:rsid w:val="4EB135D7"/>
    <w:rsid w:val="4EBD702F"/>
    <w:rsid w:val="4EC1400E"/>
    <w:rsid w:val="4EC818B0"/>
    <w:rsid w:val="4ECB59F9"/>
    <w:rsid w:val="4ECE1CAC"/>
    <w:rsid w:val="4ED35788"/>
    <w:rsid w:val="4ED65662"/>
    <w:rsid w:val="4EE414BB"/>
    <w:rsid w:val="4EFF65C5"/>
    <w:rsid w:val="4F012E1B"/>
    <w:rsid w:val="4F014784"/>
    <w:rsid w:val="4F0431E6"/>
    <w:rsid w:val="4F254824"/>
    <w:rsid w:val="4F2658BE"/>
    <w:rsid w:val="4F4736A7"/>
    <w:rsid w:val="4F774C49"/>
    <w:rsid w:val="4F7914EF"/>
    <w:rsid w:val="4F7E77B2"/>
    <w:rsid w:val="4F7F76BE"/>
    <w:rsid w:val="4F844CD5"/>
    <w:rsid w:val="4F9174FD"/>
    <w:rsid w:val="4FA2771F"/>
    <w:rsid w:val="4FAD5FDA"/>
    <w:rsid w:val="4FB10142"/>
    <w:rsid w:val="4FB537C2"/>
    <w:rsid w:val="4FC643B6"/>
    <w:rsid w:val="4FD1578E"/>
    <w:rsid w:val="4FD74E04"/>
    <w:rsid w:val="4FE10E76"/>
    <w:rsid w:val="4FEB08B0"/>
    <w:rsid w:val="4FEE2189"/>
    <w:rsid w:val="4FF82FCD"/>
    <w:rsid w:val="500029A1"/>
    <w:rsid w:val="50016856"/>
    <w:rsid w:val="5008518B"/>
    <w:rsid w:val="50153B7F"/>
    <w:rsid w:val="501A73E7"/>
    <w:rsid w:val="502B6EFE"/>
    <w:rsid w:val="50324E90"/>
    <w:rsid w:val="503D27C7"/>
    <w:rsid w:val="50447FC0"/>
    <w:rsid w:val="504C1B11"/>
    <w:rsid w:val="50575F45"/>
    <w:rsid w:val="505F48A5"/>
    <w:rsid w:val="506472D4"/>
    <w:rsid w:val="506B7C43"/>
    <w:rsid w:val="507460A4"/>
    <w:rsid w:val="50924AE3"/>
    <w:rsid w:val="50942CF5"/>
    <w:rsid w:val="5094445D"/>
    <w:rsid w:val="509838F7"/>
    <w:rsid w:val="50985DED"/>
    <w:rsid w:val="509F2F94"/>
    <w:rsid w:val="50A23A1E"/>
    <w:rsid w:val="50B57EA9"/>
    <w:rsid w:val="50B6453F"/>
    <w:rsid w:val="50BC2B26"/>
    <w:rsid w:val="50BD2B55"/>
    <w:rsid w:val="50BE1984"/>
    <w:rsid w:val="50C74763"/>
    <w:rsid w:val="50D141C6"/>
    <w:rsid w:val="50D650BC"/>
    <w:rsid w:val="50D94FDD"/>
    <w:rsid w:val="50DD2090"/>
    <w:rsid w:val="50E0336A"/>
    <w:rsid w:val="50E84DEF"/>
    <w:rsid w:val="50F004EF"/>
    <w:rsid w:val="50F115EA"/>
    <w:rsid w:val="50F72C9C"/>
    <w:rsid w:val="50FC0DB6"/>
    <w:rsid w:val="510944D7"/>
    <w:rsid w:val="51142088"/>
    <w:rsid w:val="511A58F1"/>
    <w:rsid w:val="511F2007"/>
    <w:rsid w:val="51271E2F"/>
    <w:rsid w:val="51342CAA"/>
    <w:rsid w:val="51406A38"/>
    <w:rsid w:val="514829E3"/>
    <w:rsid w:val="514A09AC"/>
    <w:rsid w:val="514B4E4E"/>
    <w:rsid w:val="514C4574"/>
    <w:rsid w:val="515A0D73"/>
    <w:rsid w:val="516052CE"/>
    <w:rsid w:val="516578E1"/>
    <w:rsid w:val="51874608"/>
    <w:rsid w:val="51A27E07"/>
    <w:rsid w:val="51A74130"/>
    <w:rsid w:val="51B475E9"/>
    <w:rsid w:val="51CB2747"/>
    <w:rsid w:val="51D11D27"/>
    <w:rsid w:val="51D135DE"/>
    <w:rsid w:val="51F65295"/>
    <w:rsid w:val="51FC6DA4"/>
    <w:rsid w:val="51FD3DB6"/>
    <w:rsid w:val="520C3BB6"/>
    <w:rsid w:val="52252174"/>
    <w:rsid w:val="52293911"/>
    <w:rsid w:val="52295AE6"/>
    <w:rsid w:val="522D0E7F"/>
    <w:rsid w:val="523440C6"/>
    <w:rsid w:val="52376072"/>
    <w:rsid w:val="523E4D62"/>
    <w:rsid w:val="524D13AE"/>
    <w:rsid w:val="525402A0"/>
    <w:rsid w:val="526A01B2"/>
    <w:rsid w:val="52856670"/>
    <w:rsid w:val="52903990"/>
    <w:rsid w:val="52904456"/>
    <w:rsid w:val="52AA2CA4"/>
    <w:rsid w:val="52BF5C92"/>
    <w:rsid w:val="52C2167A"/>
    <w:rsid w:val="52C33D66"/>
    <w:rsid w:val="52C7794C"/>
    <w:rsid w:val="52D279CD"/>
    <w:rsid w:val="52D32ADF"/>
    <w:rsid w:val="52E45ACB"/>
    <w:rsid w:val="52F47AFB"/>
    <w:rsid w:val="53035F10"/>
    <w:rsid w:val="53071B37"/>
    <w:rsid w:val="530A5973"/>
    <w:rsid w:val="53122BC2"/>
    <w:rsid w:val="531348FB"/>
    <w:rsid w:val="531A77B9"/>
    <w:rsid w:val="532225F8"/>
    <w:rsid w:val="53275D3D"/>
    <w:rsid w:val="53285977"/>
    <w:rsid w:val="533354CF"/>
    <w:rsid w:val="53346B96"/>
    <w:rsid w:val="535D5DC8"/>
    <w:rsid w:val="537A5743"/>
    <w:rsid w:val="537D2360"/>
    <w:rsid w:val="53811E50"/>
    <w:rsid w:val="53980367"/>
    <w:rsid w:val="53980D4F"/>
    <w:rsid w:val="53B13BBE"/>
    <w:rsid w:val="53B22465"/>
    <w:rsid w:val="53B72F65"/>
    <w:rsid w:val="53BE3989"/>
    <w:rsid w:val="53C02C55"/>
    <w:rsid w:val="53D83751"/>
    <w:rsid w:val="53E2021C"/>
    <w:rsid w:val="53E422B2"/>
    <w:rsid w:val="53EE4E13"/>
    <w:rsid w:val="53FD2AC2"/>
    <w:rsid w:val="5409404E"/>
    <w:rsid w:val="54112BD1"/>
    <w:rsid w:val="54134B75"/>
    <w:rsid w:val="54164746"/>
    <w:rsid w:val="54224729"/>
    <w:rsid w:val="54280325"/>
    <w:rsid w:val="542E2ADC"/>
    <w:rsid w:val="543341B9"/>
    <w:rsid w:val="543E18F6"/>
    <w:rsid w:val="544B7F7E"/>
    <w:rsid w:val="54501D22"/>
    <w:rsid w:val="546146EB"/>
    <w:rsid w:val="54680D66"/>
    <w:rsid w:val="54685AA1"/>
    <w:rsid w:val="54730639"/>
    <w:rsid w:val="54776BB6"/>
    <w:rsid w:val="547D06FB"/>
    <w:rsid w:val="547D14B1"/>
    <w:rsid w:val="54857DDB"/>
    <w:rsid w:val="54877DC4"/>
    <w:rsid w:val="548C678B"/>
    <w:rsid w:val="548D0188"/>
    <w:rsid w:val="54905199"/>
    <w:rsid w:val="54914216"/>
    <w:rsid w:val="549273A9"/>
    <w:rsid w:val="549405C7"/>
    <w:rsid w:val="549D6C55"/>
    <w:rsid w:val="54A379AB"/>
    <w:rsid w:val="54A520AB"/>
    <w:rsid w:val="54A83213"/>
    <w:rsid w:val="54B17DA0"/>
    <w:rsid w:val="54D2203E"/>
    <w:rsid w:val="54D270A0"/>
    <w:rsid w:val="54DC4C6B"/>
    <w:rsid w:val="54E35FFA"/>
    <w:rsid w:val="54EF7DF9"/>
    <w:rsid w:val="54F2448F"/>
    <w:rsid w:val="54FE5852"/>
    <w:rsid w:val="550B2DC8"/>
    <w:rsid w:val="5516017D"/>
    <w:rsid w:val="551D59AF"/>
    <w:rsid w:val="55322ADD"/>
    <w:rsid w:val="55344AA7"/>
    <w:rsid w:val="554C32B2"/>
    <w:rsid w:val="55501E76"/>
    <w:rsid w:val="55731E3E"/>
    <w:rsid w:val="557E29D7"/>
    <w:rsid w:val="5587107B"/>
    <w:rsid w:val="5588094F"/>
    <w:rsid w:val="558A0EE7"/>
    <w:rsid w:val="558C5AE7"/>
    <w:rsid w:val="558F2195"/>
    <w:rsid w:val="55900035"/>
    <w:rsid w:val="55A41C2D"/>
    <w:rsid w:val="55A51501"/>
    <w:rsid w:val="55AF2380"/>
    <w:rsid w:val="55AF798B"/>
    <w:rsid w:val="55B160F8"/>
    <w:rsid w:val="55C620FF"/>
    <w:rsid w:val="55ED4967"/>
    <w:rsid w:val="55F350C4"/>
    <w:rsid w:val="560C332E"/>
    <w:rsid w:val="56247722"/>
    <w:rsid w:val="562B64B3"/>
    <w:rsid w:val="56342FDD"/>
    <w:rsid w:val="56382375"/>
    <w:rsid w:val="56467B64"/>
    <w:rsid w:val="565626F9"/>
    <w:rsid w:val="565671A2"/>
    <w:rsid w:val="56685CA8"/>
    <w:rsid w:val="566B274A"/>
    <w:rsid w:val="566D0271"/>
    <w:rsid w:val="56740DC7"/>
    <w:rsid w:val="5677558B"/>
    <w:rsid w:val="567C073D"/>
    <w:rsid w:val="56A1616C"/>
    <w:rsid w:val="56A17F1A"/>
    <w:rsid w:val="56AA3219"/>
    <w:rsid w:val="56B91708"/>
    <w:rsid w:val="56CA038E"/>
    <w:rsid w:val="56D46FFC"/>
    <w:rsid w:val="56DE4C00"/>
    <w:rsid w:val="56FB3ACE"/>
    <w:rsid w:val="570847EE"/>
    <w:rsid w:val="57144B90"/>
    <w:rsid w:val="571B7CCD"/>
    <w:rsid w:val="571E77BD"/>
    <w:rsid w:val="572172AD"/>
    <w:rsid w:val="5732516C"/>
    <w:rsid w:val="573270B5"/>
    <w:rsid w:val="57331689"/>
    <w:rsid w:val="57340D8E"/>
    <w:rsid w:val="573B211D"/>
    <w:rsid w:val="573E39BB"/>
    <w:rsid w:val="574014E1"/>
    <w:rsid w:val="57443B56"/>
    <w:rsid w:val="575C2093"/>
    <w:rsid w:val="575F1390"/>
    <w:rsid w:val="57614844"/>
    <w:rsid w:val="576A00D2"/>
    <w:rsid w:val="576A530D"/>
    <w:rsid w:val="576D25B5"/>
    <w:rsid w:val="577A000D"/>
    <w:rsid w:val="578429F3"/>
    <w:rsid w:val="57923D07"/>
    <w:rsid w:val="57971A40"/>
    <w:rsid w:val="579E4D2D"/>
    <w:rsid w:val="57A24175"/>
    <w:rsid w:val="57B75717"/>
    <w:rsid w:val="57C470D2"/>
    <w:rsid w:val="57C77E19"/>
    <w:rsid w:val="57C87729"/>
    <w:rsid w:val="57CA488B"/>
    <w:rsid w:val="57CE5051"/>
    <w:rsid w:val="57DB47FB"/>
    <w:rsid w:val="57E9181D"/>
    <w:rsid w:val="580846BB"/>
    <w:rsid w:val="5816050F"/>
    <w:rsid w:val="58201313"/>
    <w:rsid w:val="58205F1A"/>
    <w:rsid w:val="582468CD"/>
    <w:rsid w:val="583074F9"/>
    <w:rsid w:val="583628E4"/>
    <w:rsid w:val="58382B00"/>
    <w:rsid w:val="584C2587"/>
    <w:rsid w:val="585127AA"/>
    <w:rsid w:val="58515970"/>
    <w:rsid w:val="585353A5"/>
    <w:rsid w:val="5855720E"/>
    <w:rsid w:val="58603D47"/>
    <w:rsid w:val="586666B0"/>
    <w:rsid w:val="589917F1"/>
    <w:rsid w:val="589A16F0"/>
    <w:rsid w:val="58A37B55"/>
    <w:rsid w:val="58A61818"/>
    <w:rsid w:val="58BB3CCE"/>
    <w:rsid w:val="58DE7204"/>
    <w:rsid w:val="58F5454D"/>
    <w:rsid w:val="59034EBC"/>
    <w:rsid w:val="590C6A66"/>
    <w:rsid w:val="59125866"/>
    <w:rsid w:val="5915352F"/>
    <w:rsid w:val="59246BE1"/>
    <w:rsid w:val="59304651"/>
    <w:rsid w:val="593C3382"/>
    <w:rsid w:val="593C3F2A"/>
    <w:rsid w:val="594352B9"/>
    <w:rsid w:val="59466D98"/>
    <w:rsid w:val="594856C1"/>
    <w:rsid w:val="59486EBB"/>
    <w:rsid w:val="59493AFE"/>
    <w:rsid w:val="594C38F9"/>
    <w:rsid w:val="594C4A1E"/>
    <w:rsid w:val="59567838"/>
    <w:rsid w:val="595A7F21"/>
    <w:rsid w:val="595F10E3"/>
    <w:rsid w:val="59700D18"/>
    <w:rsid w:val="5970491E"/>
    <w:rsid w:val="597304CA"/>
    <w:rsid w:val="597A0373"/>
    <w:rsid w:val="597C290B"/>
    <w:rsid w:val="59802C75"/>
    <w:rsid w:val="598803B1"/>
    <w:rsid w:val="59A5117A"/>
    <w:rsid w:val="59A937D5"/>
    <w:rsid w:val="59C101B4"/>
    <w:rsid w:val="59D923BD"/>
    <w:rsid w:val="59DB746A"/>
    <w:rsid w:val="59F2154E"/>
    <w:rsid w:val="59F34F31"/>
    <w:rsid w:val="59F82547"/>
    <w:rsid w:val="59F9295E"/>
    <w:rsid w:val="59F9691A"/>
    <w:rsid w:val="5A012975"/>
    <w:rsid w:val="5A097A39"/>
    <w:rsid w:val="5A112448"/>
    <w:rsid w:val="5A1E417A"/>
    <w:rsid w:val="5A2D3B53"/>
    <w:rsid w:val="5A39156C"/>
    <w:rsid w:val="5A560E10"/>
    <w:rsid w:val="5A616802"/>
    <w:rsid w:val="5A6457FD"/>
    <w:rsid w:val="5A645A7F"/>
    <w:rsid w:val="5A7476F4"/>
    <w:rsid w:val="5A831ACB"/>
    <w:rsid w:val="5A867B53"/>
    <w:rsid w:val="5A873ECB"/>
    <w:rsid w:val="5A934A0F"/>
    <w:rsid w:val="5A957C98"/>
    <w:rsid w:val="5A9E6D6F"/>
    <w:rsid w:val="5AA24261"/>
    <w:rsid w:val="5AA955EF"/>
    <w:rsid w:val="5AAD3771"/>
    <w:rsid w:val="5AAD60EA"/>
    <w:rsid w:val="5AB314A4"/>
    <w:rsid w:val="5AB61166"/>
    <w:rsid w:val="5AB61DE0"/>
    <w:rsid w:val="5ADC3C17"/>
    <w:rsid w:val="5AF571A2"/>
    <w:rsid w:val="5AF6393C"/>
    <w:rsid w:val="5AF70A51"/>
    <w:rsid w:val="5AF80325"/>
    <w:rsid w:val="5AFC1BC3"/>
    <w:rsid w:val="5B072DB6"/>
    <w:rsid w:val="5B1433B1"/>
    <w:rsid w:val="5B233465"/>
    <w:rsid w:val="5B24216F"/>
    <w:rsid w:val="5B303F63"/>
    <w:rsid w:val="5B506B61"/>
    <w:rsid w:val="5B5F0F2E"/>
    <w:rsid w:val="5B5F5F31"/>
    <w:rsid w:val="5B6A7475"/>
    <w:rsid w:val="5B6B4F9B"/>
    <w:rsid w:val="5B6B796C"/>
    <w:rsid w:val="5B6F30EB"/>
    <w:rsid w:val="5B8A5421"/>
    <w:rsid w:val="5B935775"/>
    <w:rsid w:val="5B9808C1"/>
    <w:rsid w:val="5BB10CB2"/>
    <w:rsid w:val="5BC16A09"/>
    <w:rsid w:val="5BD91122"/>
    <w:rsid w:val="5BFD3CD1"/>
    <w:rsid w:val="5C012CC6"/>
    <w:rsid w:val="5C07081F"/>
    <w:rsid w:val="5C0C4088"/>
    <w:rsid w:val="5C142F3C"/>
    <w:rsid w:val="5C311D40"/>
    <w:rsid w:val="5C3A6E47"/>
    <w:rsid w:val="5C3B671B"/>
    <w:rsid w:val="5C503DE0"/>
    <w:rsid w:val="5C5435D1"/>
    <w:rsid w:val="5C5C5BA5"/>
    <w:rsid w:val="5C8C4702"/>
    <w:rsid w:val="5C927ACB"/>
    <w:rsid w:val="5C943DBC"/>
    <w:rsid w:val="5C964884"/>
    <w:rsid w:val="5C997625"/>
    <w:rsid w:val="5C9D1184"/>
    <w:rsid w:val="5CA57080"/>
    <w:rsid w:val="5CA77E21"/>
    <w:rsid w:val="5CB7760A"/>
    <w:rsid w:val="5CBB785C"/>
    <w:rsid w:val="5CC2508E"/>
    <w:rsid w:val="5CC35AA3"/>
    <w:rsid w:val="5CCD19E5"/>
    <w:rsid w:val="5CE23DAC"/>
    <w:rsid w:val="5CE73917"/>
    <w:rsid w:val="5CE86D48"/>
    <w:rsid w:val="5CFF1951"/>
    <w:rsid w:val="5D0A73AF"/>
    <w:rsid w:val="5D0B433F"/>
    <w:rsid w:val="5D0E312D"/>
    <w:rsid w:val="5D120F26"/>
    <w:rsid w:val="5D3D64C3"/>
    <w:rsid w:val="5D3E31E9"/>
    <w:rsid w:val="5D436E42"/>
    <w:rsid w:val="5D545A7D"/>
    <w:rsid w:val="5D63667B"/>
    <w:rsid w:val="5D6F2EDA"/>
    <w:rsid w:val="5D746389"/>
    <w:rsid w:val="5D783847"/>
    <w:rsid w:val="5D8B5480"/>
    <w:rsid w:val="5D9941C1"/>
    <w:rsid w:val="5DA92832"/>
    <w:rsid w:val="5DAE502B"/>
    <w:rsid w:val="5DB915F2"/>
    <w:rsid w:val="5DBC60F3"/>
    <w:rsid w:val="5DBE5856"/>
    <w:rsid w:val="5DCD5E1E"/>
    <w:rsid w:val="5DDA5440"/>
    <w:rsid w:val="5DDC7A8A"/>
    <w:rsid w:val="5DDD5947"/>
    <w:rsid w:val="5DDF393D"/>
    <w:rsid w:val="5DDF6E4E"/>
    <w:rsid w:val="5DEF1EB3"/>
    <w:rsid w:val="5DFA49E0"/>
    <w:rsid w:val="5DFC31B0"/>
    <w:rsid w:val="5E11349C"/>
    <w:rsid w:val="5E1C257C"/>
    <w:rsid w:val="5E1D0F80"/>
    <w:rsid w:val="5E224037"/>
    <w:rsid w:val="5E2D6537"/>
    <w:rsid w:val="5E3261DA"/>
    <w:rsid w:val="5E4C1080"/>
    <w:rsid w:val="5E4E1C8A"/>
    <w:rsid w:val="5E515014"/>
    <w:rsid w:val="5E532442"/>
    <w:rsid w:val="5E5D7A78"/>
    <w:rsid w:val="5E6006BB"/>
    <w:rsid w:val="5E6D4B86"/>
    <w:rsid w:val="5E736FCD"/>
    <w:rsid w:val="5E7423B8"/>
    <w:rsid w:val="5E7A116C"/>
    <w:rsid w:val="5E8274BA"/>
    <w:rsid w:val="5E930A90"/>
    <w:rsid w:val="5E960581"/>
    <w:rsid w:val="5E9F11E3"/>
    <w:rsid w:val="5EA53C9A"/>
    <w:rsid w:val="5EBC7F37"/>
    <w:rsid w:val="5EBD3D5F"/>
    <w:rsid w:val="5EC53C83"/>
    <w:rsid w:val="5ED36C86"/>
    <w:rsid w:val="5EDA60B0"/>
    <w:rsid w:val="5EE35A57"/>
    <w:rsid w:val="5EFD5F0A"/>
    <w:rsid w:val="5F021772"/>
    <w:rsid w:val="5F1645A7"/>
    <w:rsid w:val="5F1C2834"/>
    <w:rsid w:val="5F2636B2"/>
    <w:rsid w:val="5F2C50FF"/>
    <w:rsid w:val="5F465B03"/>
    <w:rsid w:val="5F50072F"/>
    <w:rsid w:val="5F577D10"/>
    <w:rsid w:val="5F5A335C"/>
    <w:rsid w:val="5F61040E"/>
    <w:rsid w:val="5F6979AC"/>
    <w:rsid w:val="5F6A54DD"/>
    <w:rsid w:val="5F7C32D2"/>
    <w:rsid w:val="5F8108E9"/>
    <w:rsid w:val="5F815969"/>
    <w:rsid w:val="5F887EC9"/>
    <w:rsid w:val="5F8B4FA7"/>
    <w:rsid w:val="5F9571F8"/>
    <w:rsid w:val="5F9B72D1"/>
    <w:rsid w:val="5FAB005C"/>
    <w:rsid w:val="5FAB0A44"/>
    <w:rsid w:val="5FB34738"/>
    <w:rsid w:val="5FB82D7C"/>
    <w:rsid w:val="5FB95E1C"/>
    <w:rsid w:val="5FBE4BB4"/>
    <w:rsid w:val="5FC85F82"/>
    <w:rsid w:val="5FCB3FE5"/>
    <w:rsid w:val="5FE33352"/>
    <w:rsid w:val="5FEA7F2C"/>
    <w:rsid w:val="5FED772C"/>
    <w:rsid w:val="5FF97EAE"/>
    <w:rsid w:val="5FFC0086"/>
    <w:rsid w:val="600C2352"/>
    <w:rsid w:val="600C5381"/>
    <w:rsid w:val="60155C27"/>
    <w:rsid w:val="60162D11"/>
    <w:rsid w:val="601A6070"/>
    <w:rsid w:val="60226F8B"/>
    <w:rsid w:val="6025591D"/>
    <w:rsid w:val="60477ABF"/>
    <w:rsid w:val="604B06AE"/>
    <w:rsid w:val="60521762"/>
    <w:rsid w:val="60526566"/>
    <w:rsid w:val="60575E97"/>
    <w:rsid w:val="605F4043"/>
    <w:rsid w:val="605F72F5"/>
    <w:rsid w:val="6062696C"/>
    <w:rsid w:val="60765F74"/>
    <w:rsid w:val="607F756F"/>
    <w:rsid w:val="60822B6A"/>
    <w:rsid w:val="608508AD"/>
    <w:rsid w:val="608B2761"/>
    <w:rsid w:val="608D7B10"/>
    <w:rsid w:val="60982996"/>
    <w:rsid w:val="60C53D01"/>
    <w:rsid w:val="60C9018D"/>
    <w:rsid w:val="60D96503"/>
    <w:rsid w:val="61012C93"/>
    <w:rsid w:val="61053FC5"/>
    <w:rsid w:val="610C088E"/>
    <w:rsid w:val="612F7AA8"/>
    <w:rsid w:val="613B0F6B"/>
    <w:rsid w:val="614A03E6"/>
    <w:rsid w:val="61502C69"/>
    <w:rsid w:val="61531A50"/>
    <w:rsid w:val="61532201"/>
    <w:rsid w:val="61651210"/>
    <w:rsid w:val="61666018"/>
    <w:rsid w:val="616B46BB"/>
    <w:rsid w:val="617B6EE4"/>
    <w:rsid w:val="619B5D77"/>
    <w:rsid w:val="61AF3E33"/>
    <w:rsid w:val="61B10243"/>
    <w:rsid w:val="61BB2DD9"/>
    <w:rsid w:val="61C00B2F"/>
    <w:rsid w:val="61C6117D"/>
    <w:rsid w:val="61DD1B9A"/>
    <w:rsid w:val="61E136F6"/>
    <w:rsid w:val="61F323CC"/>
    <w:rsid w:val="61F4426B"/>
    <w:rsid w:val="61F83805"/>
    <w:rsid w:val="62022776"/>
    <w:rsid w:val="62083BCC"/>
    <w:rsid w:val="621F43E9"/>
    <w:rsid w:val="6223037D"/>
    <w:rsid w:val="62256C85"/>
    <w:rsid w:val="622B1E20"/>
    <w:rsid w:val="62574D95"/>
    <w:rsid w:val="62586747"/>
    <w:rsid w:val="626C60B7"/>
    <w:rsid w:val="627325F5"/>
    <w:rsid w:val="62746498"/>
    <w:rsid w:val="6290313E"/>
    <w:rsid w:val="62982A5C"/>
    <w:rsid w:val="629932AD"/>
    <w:rsid w:val="62A36DC8"/>
    <w:rsid w:val="62A41769"/>
    <w:rsid w:val="62B86D17"/>
    <w:rsid w:val="62BE1E54"/>
    <w:rsid w:val="62CB6D60"/>
    <w:rsid w:val="62F154C5"/>
    <w:rsid w:val="62F45876"/>
    <w:rsid w:val="62FD0A5D"/>
    <w:rsid w:val="630831EC"/>
    <w:rsid w:val="63162338"/>
    <w:rsid w:val="63184704"/>
    <w:rsid w:val="632036E4"/>
    <w:rsid w:val="63232EB3"/>
    <w:rsid w:val="63267478"/>
    <w:rsid w:val="633D315E"/>
    <w:rsid w:val="63466965"/>
    <w:rsid w:val="634F2F3D"/>
    <w:rsid w:val="63517786"/>
    <w:rsid w:val="63576530"/>
    <w:rsid w:val="63660521"/>
    <w:rsid w:val="636B5B38"/>
    <w:rsid w:val="637052D7"/>
    <w:rsid w:val="637D586B"/>
    <w:rsid w:val="63831B10"/>
    <w:rsid w:val="6388739F"/>
    <w:rsid w:val="638931FB"/>
    <w:rsid w:val="63954DAA"/>
    <w:rsid w:val="63AB1A91"/>
    <w:rsid w:val="63B76FCF"/>
    <w:rsid w:val="63BC1944"/>
    <w:rsid w:val="63C62C3C"/>
    <w:rsid w:val="63C74AA3"/>
    <w:rsid w:val="63D87748"/>
    <w:rsid w:val="63DE2EEF"/>
    <w:rsid w:val="63E94CAF"/>
    <w:rsid w:val="63F16145"/>
    <w:rsid w:val="63F518A5"/>
    <w:rsid w:val="64024CFF"/>
    <w:rsid w:val="64095786"/>
    <w:rsid w:val="640F6E0B"/>
    <w:rsid w:val="64113BA1"/>
    <w:rsid w:val="64156999"/>
    <w:rsid w:val="641D22DD"/>
    <w:rsid w:val="642108EC"/>
    <w:rsid w:val="64306CAD"/>
    <w:rsid w:val="6445580E"/>
    <w:rsid w:val="644A1BF1"/>
    <w:rsid w:val="645B3151"/>
    <w:rsid w:val="64616F3B"/>
    <w:rsid w:val="646A170C"/>
    <w:rsid w:val="646B1B68"/>
    <w:rsid w:val="646C6303"/>
    <w:rsid w:val="64701038"/>
    <w:rsid w:val="647629E6"/>
    <w:rsid w:val="647948A0"/>
    <w:rsid w:val="64797A3F"/>
    <w:rsid w:val="64815AEE"/>
    <w:rsid w:val="64885DC6"/>
    <w:rsid w:val="648937A8"/>
    <w:rsid w:val="648B1BA9"/>
    <w:rsid w:val="648D0F64"/>
    <w:rsid w:val="649449E8"/>
    <w:rsid w:val="649662EA"/>
    <w:rsid w:val="649D5D6D"/>
    <w:rsid w:val="64A9391A"/>
    <w:rsid w:val="64BD0615"/>
    <w:rsid w:val="64BD6867"/>
    <w:rsid w:val="64C80D68"/>
    <w:rsid w:val="64D77B16"/>
    <w:rsid w:val="64DE4800"/>
    <w:rsid w:val="64F1465A"/>
    <w:rsid w:val="64FD4EB5"/>
    <w:rsid w:val="6501677B"/>
    <w:rsid w:val="650A5434"/>
    <w:rsid w:val="650A75D2"/>
    <w:rsid w:val="651B17E0"/>
    <w:rsid w:val="651E27DC"/>
    <w:rsid w:val="652F0DE7"/>
    <w:rsid w:val="654725D5"/>
    <w:rsid w:val="65570D94"/>
    <w:rsid w:val="65574C16"/>
    <w:rsid w:val="656F7088"/>
    <w:rsid w:val="65744A4C"/>
    <w:rsid w:val="657A4758"/>
    <w:rsid w:val="657A6506"/>
    <w:rsid w:val="65834ED7"/>
    <w:rsid w:val="65927DA1"/>
    <w:rsid w:val="6593581A"/>
    <w:rsid w:val="65960E66"/>
    <w:rsid w:val="65B23EF2"/>
    <w:rsid w:val="65B65064"/>
    <w:rsid w:val="65BC5BDE"/>
    <w:rsid w:val="65BF216B"/>
    <w:rsid w:val="65CC6636"/>
    <w:rsid w:val="65D3678B"/>
    <w:rsid w:val="65DB69B9"/>
    <w:rsid w:val="65E142CF"/>
    <w:rsid w:val="65EB2F60"/>
    <w:rsid w:val="65F16DEF"/>
    <w:rsid w:val="65FF5B93"/>
    <w:rsid w:val="66081715"/>
    <w:rsid w:val="661B00EA"/>
    <w:rsid w:val="661D360B"/>
    <w:rsid w:val="661F4E41"/>
    <w:rsid w:val="664352B9"/>
    <w:rsid w:val="66523C3F"/>
    <w:rsid w:val="665C126F"/>
    <w:rsid w:val="666B1717"/>
    <w:rsid w:val="66805D9E"/>
    <w:rsid w:val="66820F47"/>
    <w:rsid w:val="668A782A"/>
    <w:rsid w:val="66AC710E"/>
    <w:rsid w:val="66B07CC1"/>
    <w:rsid w:val="66B14B24"/>
    <w:rsid w:val="66B27D18"/>
    <w:rsid w:val="66B912B0"/>
    <w:rsid w:val="66C67529"/>
    <w:rsid w:val="66C80429"/>
    <w:rsid w:val="66CE5F90"/>
    <w:rsid w:val="66D1442C"/>
    <w:rsid w:val="66D47E7F"/>
    <w:rsid w:val="66D53B8A"/>
    <w:rsid w:val="66D64E5B"/>
    <w:rsid w:val="66DD089D"/>
    <w:rsid w:val="66EE6EC1"/>
    <w:rsid w:val="66F0016C"/>
    <w:rsid w:val="66F916AD"/>
    <w:rsid w:val="66FA479C"/>
    <w:rsid w:val="66FB2BD0"/>
    <w:rsid w:val="66FC2971"/>
    <w:rsid w:val="670008EB"/>
    <w:rsid w:val="671F1859"/>
    <w:rsid w:val="67262B05"/>
    <w:rsid w:val="674E513F"/>
    <w:rsid w:val="67610E75"/>
    <w:rsid w:val="676F7BC1"/>
    <w:rsid w:val="677178CC"/>
    <w:rsid w:val="677977BA"/>
    <w:rsid w:val="678966A9"/>
    <w:rsid w:val="678A0557"/>
    <w:rsid w:val="6796514D"/>
    <w:rsid w:val="679D31F9"/>
    <w:rsid w:val="679D3BF4"/>
    <w:rsid w:val="67B57CC9"/>
    <w:rsid w:val="67E071EA"/>
    <w:rsid w:val="67E97887"/>
    <w:rsid w:val="67E97973"/>
    <w:rsid w:val="67FA392E"/>
    <w:rsid w:val="67FB3202"/>
    <w:rsid w:val="67FC4971"/>
    <w:rsid w:val="68120AF8"/>
    <w:rsid w:val="68150768"/>
    <w:rsid w:val="68164CDF"/>
    <w:rsid w:val="681F3E12"/>
    <w:rsid w:val="68221BAF"/>
    <w:rsid w:val="682D62D9"/>
    <w:rsid w:val="68407C19"/>
    <w:rsid w:val="684C182C"/>
    <w:rsid w:val="685143BC"/>
    <w:rsid w:val="68542A0A"/>
    <w:rsid w:val="68555296"/>
    <w:rsid w:val="686139AD"/>
    <w:rsid w:val="686C1E80"/>
    <w:rsid w:val="687513EA"/>
    <w:rsid w:val="687B1504"/>
    <w:rsid w:val="689079C3"/>
    <w:rsid w:val="6892679C"/>
    <w:rsid w:val="689773CF"/>
    <w:rsid w:val="68BB30BE"/>
    <w:rsid w:val="68C01904"/>
    <w:rsid w:val="68CF0917"/>
    <w:rsid w:val="68D56910"/>
    <w:rsid w:val="68DB3760"/>
    <w:rsid w:val="68E13ED4"/>
    <w:rsid w:val="68EA05E8"/>
    <w:rsid w:val="68EF70C5"/>
    <w:rsid w:val="68F22D9F"/>
    <w:rsid w:val="69004F74"/>
    <w:rsid w:val="690507DD"/>
    <w:rsid w:val="69162C86"/>
    <w:rsid w:val="69165641"/>
    <w:rsid w:val="69196036"/>
    <w:rsid w:val="691B0000"/>
    <w:rsid w:val="69212D91"/>
    <w:rsid w:val="69214083"/>
    <w:rsid w:val="692757B4"/>
    <w:rsid w:val="69456B9A"/>
    <w:rsid w:val="694766FF"/>
    <w:rsid w:val="69481344"/>
    <w:rsid w:val="695700E3"/>
    <w:rsid w:val="696F333A"/>
    <w:rsid w:val="697C146C"/>
    <w:rsid w:val="6980516E"/>
    <w:rsid w:val="698735C3"/>
    <w:rsid w:val="698B51FD"/>
    <w:rsid w:val="69944F4D"/>
    <w:rsid w:val="69960468"/>
    <w:rsid w:val="69A109AD"/>
    <w:rsid w:val="69AE677E"/>
    <w:rsid w:val="69BE5A26"/>
    <w:rsid w:val="69CE55F7"/>
    <w:rsid w:val="69D5796F"/>
    <w:rsid w:val="69DE3A33"/>
    <w:rsid w:val="69DF102E"/>
    <w:rsid w:val="69F101EA"/>
    <w:rsid w:val="69F448E4"/>
    <w:rsid w:val="6A090874"/>
    <w:rsid w:val="6A0F6D29"/>
    <w:rsid w:val="6A1E4A89"/>
    <w:rsid w:val="6A206086"/>
    <w:rsid w:val="6A3C6480"/>
    <w:rsid w:val="6A3F0B90"/>
    <w:rsid w:val="6A3F71AB"/>
    <w:rsid w:val="6A407F9F"/>
    <w:rsid w:val="6A484E25"/>
    <w:rsid w:val="6A4D5F32"/>
    <w:rsid w:val="6A4F30DD"/>
    <w:rsid w:val="6A5B49D5"/>
    <w:rsid w:val="6A5B510D"/>
    <w:rsid w:val="6A5D65D9"/>
    <w:rsid w:val="6A5F3F1C"/>
    <w:rsid w:val="6A6D488B"/>
    <w:rsid w:val="6A722F0B"/>
    <w:rsid w:val="6A7A4D5B"/>
    <w:rsid w:val="6A7F636D"/>
    <w:rsid w:val="6A8641CC"/>
    <w:rsid w:val="6A881C38"/>
    <w:rsid w:val="6A921944"/>
    <w:rsid w:val="6A9F256B"/>
    <w:rsid w:val="6AC034F3"/>
    <w:rsid w:val="6AC92749"/>
    <w:rsid w:val="6AC96987"/>
    <w:rsid w:val="6ACF15BF"/>
    <w:rsid w:val="6AD42C61"/>
    <w:rsid w:val="6ADD7329"/>
    <w:rsid w:val="6AE14092"/>
    <w:rsid w:val="6AEA323D"/>
    <w:rsid w:val="6AF07997"/>
    <w:rsid w:val="6AF5032D"/>
    <w:rsid w:val="6AFB2812"/>
    <w:rsid w:val="6AFF182D"/>
    <w:rsid w:val="6B016D82"/>
    <w:rsid w:val="6B032C8C"/>
    <w:rsid w:val="6B0845B4"/>
    <w:rsid w:val="6B3569BE"/>
    <w:rsid w:val="6B3A1CE8"/>
    <w:rsid w:val="6B3E4E41"/>
    <w:rsid w:val="6B4D49EF"/>
    <w:rsid w:val="6B550B6B"/>
    <w:rsid w:val="6B565CD0"/>
    <w:rsid w:val="6B6D4417"/>
    <w:rsid w:val="6B7022D0"/>
    <w:rsid w:val="6B7B5422"/>
    <w:rsid w:val="6B852192"/>
    <w:rsid w:val="6B925A32"/>
    <w:rsid w:val="6B9B7D95"/>
    <w:rsid w:val="6B9C4F5E"/>
    <w:rsid w:val="6BA83728"/>
    <w:rsid w:val="6BAC4113"/>
    <w:rsid w:val="6BB67B6C"/>
    <w:rsid w:val="6BE02E3B"/>
    <w:rsid w:val="6BE13B5E"/>
    <w:rsid w:val="6BE31674"/>
    <w:rsid w:val="6BE32942"/>
    <w:rsid w:val="6BE852C7"/>
    <w:rsid w:val="6BE95EA9"/>
    <w:rsid w:val="6BEA6094"/>
    <w:rsid w:val="6BEF4116"/>
    <w:rsid w:val="6BFA214F"/>
    <w:rsid w:val="6BFB1A23"/>
    <w:rsid w:val="6C114575"/>
    <w:rsid w:val="6C1325D3"/>
    <w:rsid w:val="6C172D01"/>
    <w:rsid w:val="6C184383"/>
    <w:rsid w:val="6C1C22B4"/>
    <w:rsid w:val="6C32337D"/>
    <w:rsid w:val="6C3E2214"/>
    <w:rsid w:val="6C4D48CD"/>
    <w:rsid w:val="6C635F46"/>
    <w:rsid w:val="6C8202CD"/>
    <w:rsid w:val="6C875645"/>
    <w:rsid w:val="6C89702F"/>
    <w:rsid w:val="6C8B724B"/>
    <w:rsid w:val="6C961621"/>
    <w:rsid w:val="6C9D5038"/>
    <w:rsid w:val="6CBB7DE1"/>
    <w:rsid w:val="6CC445CB"/>
    <w:rsid w:val="6CC47E5A"/>
    <w:rsid w:val="6CD042ED"/>
    <w:rsid w:val="6CDF30F3"/>
    <w:rsid w:val="6CE8573C"/>
    <w:rsid w:val="6CF01775"/>
    <w:rsid w:val="6CF86DB4"/>
    <w:rsid w:val="6CFB62C0"/>
    <w:rsid w:val="6D026DE8"/>
    <w:rsid w:val="6D0316B2"/>
    <w:rsid w:val="6D036DE1"/>
    <w:rsid w:val="6D090AE2"/>
    <w:rsid w:val="6D0E1321"/>
    <w:rsid w:val="6D104BE0"/>
    <w:rsid w:val="6D132371"/>
    <w:rsid w:val="6D1B450F"/>
    <w:rsid w:val="6D2D29AD"/>
    <w:rsid w:val="6D2D3E5E"/>
    <w:rsid w:val="6D396CA7"/>
    <w:rsid w:val="6D3B47CD"/>
    <w:rsid w:val="6D3F3B91"/>
    <w:rsid w:val="6D487B73"/>
    <w:rsid w:val="6D4B1E5A"/>
    <w:rsid w:val="6D5E70E9"/>
    <w:rsid w:val="6D6729D8"/>
    <w:rsid w:val="6D6E09F2"/>
    <w:rsid w:val="6D71561E"/>
    <w:rsid w:val="6D836174"/>
    <w:rsid w:val="6D852386"/>
    <w:rsid w:val="6D887DB6"/>
    <w:rsid w:val="6D920165"/>
    <w:rsid w:val="6D9E02E5"/>
    <w:rsid w:val="6DAE4919"/>
    <w:rsid w:val="6DB66549"/>
    <w:rsid w:val="6DB91B96"/>
    <w:rsid w:val="6DBD67AE"/>
    <w:rsid w:val="6DDE1B84"/>
    <w:rsid w:val="6DF453C2"/>
    <w:rsid w:val="6DFF1C9E"/>
    <w:rsid w:val="6E103CBF"/>
    <w:rsid w:val="6E301E58"/>
    <w:rsid w:val="6E3363CE"/>
    <w:rsid w:val="6E393DF2"/>
    <w:rsid w:val="6E3C316F"/>
    <w:rsid w:val="6E456275"/>
    <w:rsid w:val="6E475DDD"/>
    <w:rsid w:val="6E4E1C3F"/>
    <w:rsid w:val="6E4E36BD"/>
    <w:rsid w:val="6E6127F4"/>
    <w:rsid w:val="6E631ECC"/>
    <w:rsid w:val="6E66587A"/>
    <w:rsid w:val="6E7A0642"/>
    <w:rsid w:val="6E843F52"/>
    <w:rsid w:val="6E880670"/>
    <w:rsid w:val="6E985C4F"/>
    <w:rsid w:val="6EBD7D11"/>
    <w:rsid w:val="6EC002E5"/>
    <w:rsid w:val="6EC46A44"/>
    <w:rsid w:val="6EC64ECD"/>
    <w:rsid w:val="6ECD2CED"/>
    <w:rsid w:val="6ED66BFA"/>
    <w:rsid w:val="6ED722D3"/>
    <w:rsid w:val="6ED76777"/>
    <w:rsid w:val="6EDA1DC4"/>
    <w:rsid w:val="6EE1422E"/>
    <w:rsid w:val="6F1743AC"/>
    <w:rsid w:val="6F2B4C6D"/>
    <w:rsid w:val="6F5C1867"/>
    <w:rsid w:val="6F5C3F48"/>
    <w:rsid w:val="6F61462B"/>
    <w:rsid w:val="6F6D6714"/>
    <w:rsid w:val="6F7C2E7B"/>
    <w:rsid w:val="6F8C57B4"/>
    <w:rsid w:val="6F9C2017"/>
    <w:rsid w:val="6F9F13EF"/>
    <w:rsid w:val="6FB62831"/>
    <w:rsid w:val="6FC2450B"/>
    <w:rsid w:val="6FC36CFC"/>
    <w:rsid w:val="6FCA64CD"/>
    <w:rsid w:val="6FD0391C"/>
    <w:rsid w:val="6FD20CED"/>
    <w:rsid w:val="6FE112C4"/>
    <w:rsid w:val="6FF069FB"/>
    <w:rsid w:val="6FF375E1"/>
    <w:rsid w:val="6FFB0619"/>
    <w:rsid w:val="6FFD7D02"/>
    <w:rsid w:val="70020E6A"/>
    <w:rsid w:val="700A0487"/>
    <w:rsid w:val="701A60AC"/>
    <w:rsid w:val="701A70E6"/>
    <w:rsid w:val="702149D3"/>
    <w:rsid w:val="7021684B"/>
    <w:rsid w:val="70217D0F"/>
    <w:rsid w:val="70233030"/>
    <w:rsid w:val="702B7530"/>
    <w:rsid w:val="70413A40"/>
    <w:rsid w:val="704E4817"/>
    <w:rsid w:val="7056241A"/>
    <w:rsid w:val="70613296"/>
    <w:rsid w:val="707B2CB1"/>
    <w:rsid w:val="707B3132"/>
    <w:rsid w:val="708F6BDE"/>
    <w:rsid w:val="70952588"/>
    <w:rsid w:val="70A02B99"/>
    <w:rsid w:val="70A34833"/>
    <w:rsid w:val="70BE0CFD"/>
    <w:rsid w:val="70D34D1C"/>
    <w:rsid w:val="70D56048"/>
    <w:rsid w:val="70DA3248"/>
    <w:rsid w:val="70EB67C6"/>
    <w:rsid w:val="71027F8C"/>
    <w:rsid w:val="71155335"/>
    <w:rsid w:val="7117773C"/>
    <w:rsid w:val="712A4901"/>
    <w:rsid w:val="712D744C"/>
    <w:rsid w:val="71391F94"/>
    <w:rsid w:val="714E7A84"/>
    <w:rsid w:val="71542301"/>
    <w:rsid w:val="715C7408"/>
    <w:rsid w:val="715D7335"/>
    <w:rsid w:val="71705DEE"/>
    <w:rsid w:val="717159EA"/>
    <w:rsid w:val="71763E5A"/>
    <w:rsid w:val="71777F8A"/>
    <w:rsid w:val="71810C1C"/>
    <w:rsid w:val="7185070D"/>
    <w:rsid w:val="71922E29"/>
    <w:rsid w:val="719340CC"/>
    <w:rsid w:val="71950224"/>
    <w:rsid w:val="71956476"/>
    <w:rsid w:val="719E465F"/>
    <w:rsid w:val="71A412EF"/>
    <w:rsid w:val="71B106B0"/>
    <w:rsid w:val="71B61A42"/>
    <w:rsid w:val="71BB267E"/>
    <w:rsid w:val="71BC1C54"/>
    <w:rsid w:val="71C32243"/>
    <w:rsid w:val="71C54FAD"/>
    <w:rsid w:val="71D94178"/>
    <w:rsid w:val="71E258E0"/>
    <w:rsid w:val="71E450CA"/>
    <w:rsid w:val="71EA7F5E"/>
    <w:rsid w:val="71EC42E8"/>
    <w:rsid w:val="71EF202A"/>
    <w:rsid w:val="71F773F9"/>
    <w:rsid w:val="71FE226D"/>
    <w:rsid w:val="720723CB"/>
    <w:rsid w:val="720C6738"/>
    <w:rsid w:val="72137E38"/>
    <w:rsid w:val="721F7D69"/>
    <w:rsid w:val="7225336C"/>
    <w:rsid w:val="722C5F6E"/>
    <w:rsid w:val="72374923"/>
    <w:rsid w:val="724B68D9"/>
    <w:rsid w:val="725E62FA"/>
    <w:rsid w:val="725F6779"/>
    <w:rsid w:val="72860473"/>
    <w:rsid w:val="728C686A"/>
    <w:rsid w:val="7299364D"/>
    <w:rsid w:val="72C16C93"/>
    <w:rsid w:val="72D336FA"/>
    <w:rsid w:val="72D66A82"/>
    <w:rsid w:val="72D67597"/>
    <w:rsid w:val="72E43D31"/>
    <w:rsid w:val="72EE22E1"/>
    <w:rsid w:val="72F0605A"/>
    <w:rsid w:val="72FB153E"/>
    <w:rsid w:val="72FF6E9B"/>
    <w:rsid w:val="73013DC3"/>
    <w:rsid w:val="73027148"/>
    <w:rsid w:val="7305147C"/>
    <w:rsid w:val="731A30F8"/>
    <w:rsid w:val="733221CE"/>
    <w:rsid w:val="733A7EE8"/>
    <w:rsid w:val="735A55D3"/>
    <w:rsid w:val="73621B80"/>
    <w:rsid w:val="7375174D"/>
    <w:rsid w:val="73795D83"/>
    <w:rsid w:val="73850D73"/>
    <w:rsid w:val="738B56FD"/>
    <w:rsid w:val="739F2E93"/>
    <w:rsid w:val="73A60FE9"/>
    <w:rsid w:val="73AA6208"/>
    <w:rsid w:val="73B9469D"/>
    <w:rsid w:val="73C06788"/>
    <w:rsid w:val="73DC213A"/>
    <w:rsid w:val="73DE1B70"/>
    <w:rsid w:val="73F27BAF"/>
    <w:rsid w:val="73FB6A64"/>
    <w:rsid w:val="73FF03C6"/>
    <w:rsid w:val="74001F87"/>
    <w:rsid w:val="74073A63"/>
    <w:rsid w:val="741378E4"/>
    <w:rsid w:val="7416564C"/>
    <w:rsid w:val="74185868"/>
    <w:rsid w:val="741C4C2C"/>
    <w:rsid w:val="741E09A4"/>
    <w:rsid w:val="743138C9"/>
    <w:rsid w:val="74393A30"/>
    <w:rsid w:val="74432CA1"/>
    <w:rsid w:val="74454183"/>
    <w:rsid w:val="74493C73"/>
    <w:rsid w:val="74497E8D"/>
    <w:rsid w:val="744F70D5"/>
    <w:rsid w:val="745D5EB0"/>
    <w:rsid w:val="7468055C"/>
    <w:rsid w:val="746B1062"/>
    <w:rsid w:val="746C3601"/>
    <w:rsid w:val="74940C67"/>
    <w:rsid w:val="74957A1D"/>
    <w:rsid w:val="74976F8C"/>
    <w:rsid w:val="749C28D6"/>
    <w:rsid w:val="74AB66DC"/>
    <w:rsid w:val="74AC2DBE"/>
    <w:rsid w:val="74B4279D"/>
    <w:rsid w:val="74B44E65"/>
    <w:rsid w:val="74C57CD7"/>
    <w:rsid w:val="74C959EF"/>
    <w:rsid w:val="74CE5F27"/>
    <w:rsid w:val="74D226D8"/>
    <w:rsid w:val="74D951DD"/>
    <w:rsid w:val="74DB2B99"/>
    <w:rsid w:val="74EC53F9"/>
    <w:rsid w:val="74F273DA"/>
    <w:rsid w:val="74F600B5"/>
    <w:rsid w:val="75102AF5"/>
    <w:rsid w:val="751328C1"/>
    <w:rsid w:val="751955D7"/>
    <w:rsid w:val="751C1B98"/>
    <w:rsid w:val="752B3379"/>
    <w:rsid w:val="753F1C14"/>
    <w:rsid w:val="754B45FC"/>
    <w:rsid w:val="754C4FE3"/>
    <w:rsid w:val="754E350B"/>
    <w:rsid w:val="755D3FA7"/>
    <w:rsid w:val="75662603"/>
    <w:rsid w:val="756B7C19"/>
    <w:rsid w:val="75780005"/>
    <w:rsid w:val="75790588"/>
    <w:rsid w:val="75BA7DC9"/>
    <w:rsid w:val="75C158E1"/>
    <w:rsid w:val="75F8173D"/>
    <w:rsid w:val="75FB13BD"/>
    <w:rsid w:val="75FE15A4"/>
    <w:rsid w:val="76087EFE"/>
    <w:rsid w:val="76242149"/>
    <w:rsid w:val="762F2B4F"/>
    <w:rsid w:val="762F3987"/>
    <w:rsid w:val="762F4303"/>
    <w:rsid w:val="763146BA"/>
    <w:rsid w:val="763149BF"/>
    <w:rsid w:val="763C17CD"/>
    <w:rsid w:val="76465F91"/>
    <w:rsid w:val="764D5571"/>
    <w:rsid w:val="7651209F"/>
    <w:rsid w:val="76625186"/>
    <w:rsid w:val="76694515"/>
    <w:rsid w:val="7671183A"/>
    <w:rsid w:val="767825EE"/>
    <w:rsid w:val="76795A9A"/>
    <w:rsid w:val="76850BE3"/>
    <w:rsid w:val="76857D79"/>
    <w:rsid w:val="768E7AAD"/>
    <w:rsid w:val="76911E46"/>
    <w:rsid w:val="769D37DC"/>
    <w:rsid w:val="76AD1FDF"/>
    <w:rsid w:val="76AF483A"/>
    <w:rsid w:val="76C61386"/>
    <w:rsid w:val="76CC46E8"/>
    <w:rsid w:val="76D56664"/>
    <w:rsid w:val="76DB0DCF"/>
    <w:rsid w:val="76E81AE6"/>
    <w:rsid w:val="770802F0"/>
    <w:rsid w:val="771025D4"/>
    <w:rsid w:val="77131639"/>
    <w:rsid w:val="77163772"/>
    <w:rsid w:val="77196438"/>
    <w:rsid w:val="77237002"/>
    <w:rsid w:val="77326AF1"/>
    <w:rsid w:val="77342D6F"/>
    <w:rsid w:val="77383B2B"/>
    <w:rsid w:val="77390C90"/>
    <w:rsid w:val="773B467C"/>
    <w:rsid w:val="775B5775"/>
    <w:rsid w:val="775E0D1F"/>
    <w:rsid w:val="775E5C88"/>
    <w:rsid w:val="77613082"/>
    <w:rsid w:val="776655B0"/>
    <w:rsid w:val="777B5097"/>
    <w:rsid w:val="777E55F4"/>
    <w:rsid w:val="777F5120"/>
    <w:rsid w:val="77820DEB"/>
    <w:rsid w:val="7792671F"/>
    <w:rsid w:val="7797445D"/>
    <w:rsid w:val="77986D62"/>
    <w:rsid w:val="779B2CD1"/>
    <w:rsid w:val="779C1D6F"/>
    <w:rsid w:val="77A015C8"/>
    <w:rsid w:val="77A836A9"/>
    <w:rsid w:val="77A92E90"/>
    <w:rsid w:val="77B15DA9"/>
    <w:rsid w:val="77B358A8"/>
    <w:rsid w:val="77B650A0"/>
    <w:rsid w:val="77CE0481"/>
    <w:rsid w:val="77D25D2E"/>
    <w:rsid w:val="77E141C3"/>
    <w:rsid w:val="77EC7456"/>
    <w:rsid w:val="77EE7D89"/>
    <w:rsid w:val="77EF0483"/>
    <w:rsid w:val="77F04406"/>
    <w:rsid w:val="77F9150C"/>
    <w:rsid w:val="78131205"/>
    <w:rsid w:val="78177BE5"/>
    <w:rsid w:val="781911C5"/>
    <w:rsid w:val="781A279F"/>
    <w:rsid w:val="782F5811"/>
    <w:rsid w:val="78384A59"/>
    <w:rsid w:val="78393FFF"/>
    <w:rsid w:val="783B343E"/>
    <w:rsid w:val="784A2663"/>
    <w:rsid w:val="784A43B3"/>
    <w:rsid w:val="784A620C"/>
    <w:rsid w:val="785030F6"/>
    <w:rsid w:val="78581051"/>
    <w:rsid w:val="786228CD"/>
    <w:rsid w:val="786678A8"/>
    <w:rsid w:val="786F0FB8"/>
    <w:rsid w:val="78714DF4"/>
    <w:rsid w:val="78756296"/>
    <w:rsid w:val="7882338A"/>
    <w:rsid w:val="788D2966"/>
    <w:rsid w:val="789C633C"/>
    <w:rsid w:val="78A91184"/>
    <w:rsid w:val="78B20233"/>
    <w:rsid w:val="78B47B29"/>
    <w:rsid w:val="78CF4963"/>
    <w:rsid w:val="78D81857"/>
    <w:rsid w:val="78E51A91"/>
    <w:rsid w:val="78FC0536"/>
    <w:rsid w:val="78FE7954"/>
    <w:rsid w:val="7903264F"/>
    <w:rsid w:val="79150CBA"/>
    <w:rsid w:val="79297BCF"/>
    <w:rsid w:val="79315979"/>
    <w:rsid w:val="793B6981"/>
    <w:rsid w:val="794C5AF5"/>
    <w:rsid w:val="795831E5"/>
    <w:rsid w:val="796E7E54"/>
    <w:rsid w:val="79756315"/>
    <w:rsid w:val="79765CDA"/>
    <w:rsid w:val="797F3C93"/>
    <w:rsid w:val="799D05BD"/>
    <w:rsid w:val="79A47621"/>
    <w:rsid w:val="79AA18D2"/>
    <w:rsid w:val="79C56A19"/>
    <w:rsid w:val="79CB6ED9"/>
    <w:rsid w:val="79D957CA"/>
    <w:rsid w:val="79DA621C"/>
    <w:rsid w:val="79E13BA8"/>
    <w:rsid w:val="79ED729C"/>
    <w:rsid w:val="79F006ED"/>
    <w:rsid w:val="79FA3C5B"/>
    <w:rsid w:val="79FD4ED1"/>
    <w:rsid w:val="7A0A78E3"/>
    <w:rsid w:val="7A1211D1"/>
    <w:rsid w:val="7A1C14E2"/>
    <w:rsid w:val="7A311FA1"/>
    <w:rsid w:val="7A364577"/>
    <w:rsid w:val="7A4F18B8"/>
    <w:rsid w:val="7A54735F"/>
    <w:rsid w:val="7A65732D"/>
    <w:rsid w:val="7A681FA7"/>
    <w:rsid w:val="7A6963D8"/>
    <w:rsid w:val="7A6B3411"/>
    <w:rsid w:val="7A884DCA"/>
    <w:rsid w:val="7A954EDF"/>
    <w:rsid w:val="7AA21823"/>
    <w:rsid w:val="7AA7070E"/>
    <w:rsid w:val="7AA900DE"/>
    <w:rsid w:val="7AA936C9"/>
    <w:rsid w:val="7AB12D4C"/>
    <w:rsid w:val="7AC450ED"/>
    <w:rsid w:val="7AC62EF8"/>
    <w:rsid w:val="7ACA7190"/>
    <w:rsid w:val="7ACD0A2E"/>
    <w:rsid w:val="7AD37F76"/>
    <w:rsid w:val="7AD65B35"/>
    <w:rsid w:val="7AF771AA"/>
    <w:rsid w:val="7B1448AF"/>
    <w:rsid w:val="7B16480F"/>
    <w:rsid w:val="7B190BA4"/>
    <w:rsid w:val="7B2A3951"/>
    <w:rsid w:val="7B36137C"/>
    <w:rsid w:val="7B38234C"/>
    <w:rsid w:val="7B3A4E9F"/>
    <w:rsid w:val="7B4C4049"/>
    <w:rsid w:val="7B5178B1"/>
    <w:rsid w:val="7B615D46"/>
    <w:rsid w:val="7B690757"/>
    <w:rsid w:val="7B6F5B5B"/>
    <w:rsid w:val="7B7415FA"/>
    <w:rsid w:val="7B765886"/>
    <w:rsid w:val="7B767496"/>
    <w:rsid w:val="7B7C4D25"/>
    <w:rsid w:val="7B7F3871"/>
    <w:rsid w:val="7B893C25"/>
    <w:rsid w:val="7B8B5C40"/>
    <w:rsid w:val="7B90640C"/>
    <w:rsid w:val="7B922E29"/>
    <w:rsid w:val="7B9C6D7F"/>
    <w:rsid w:val="7B9D48A5"/>
    <w:rsid w:val="7B9D6653"/>
    <w:rsid w:val="7BC24F1F"/>
    <w:rsid w:val="7BC41E31"/>
    <w:rsid w:val="7BD31291"/>
    <w:rsid w:val="7BD94735"/>
    <w:rsid w:val="7BE23EB3"/>
    <w:rsid w:val="7BFA5853"/>
    <w:rsid w:val="7C0F4B17"/>
    <w:rsid w:val="7C26489A"/>
    <w:rsid w:val="7C3A2FA7"/>
    <w:rsid w:val="7C4371FA"/>
    <w:rsid w:val="7C5840BF"/>
    <w:rsid w:val="7C5E4034"/>
    <w:rsid w:val="7C7A6994"/>
    <w:rsid w:val="7C8B294F"/>
    <w:rsid w:val="7C8D2B6B"/>
    <w:rsid w:val="7C8D32A6"/>
    <w:rsid w:val="7C8F68E3"/>
    <w:rsid w:val="7C9909ED"/>
    <w:rsid w:val="7C9C2291"/>
    <w:rsid w:val="7CA56991"/>
    <w:rsid w:val="7CA71E0B"/>
    <w:rsid w:val="7CAB2FF1"/>
    <w:rsid w:val="7CB85E09"/>
    <w:rsid w:val="7CBE2D25"/>
    <w:rsid w:val="7CC0084B"/>
    <w:rsid w:val="7CCE2197"/>
    <w:rsid w:val="7CCF13DD"/>
    <w:rsid w:val="7CE0713F"/>
    <w:rsid w:val="7CE81B50"/>
    <w:rsid w:val="7CF0254C"/>
    <w:rsid w:val="7CFA743F"/>
    <w:rsid w:val="7CFD713B"/>
    <w:rsid w:val="7CFE3A42"/>
    <w:rsid w:val="7CFF1519"/>
    <w:rsid w:val="7D036A82"/>
    <w:rsid w:val="7D0830DF"/>
    <w:rsid w:val="7D0F508E"/>
    <w:rsid w:val="7D17450A"/>
    <w:rsid w:val="7D1B0177"/>
    <w:rsid w:val="7D1F60A0"/>
    <w:rsid w:val="7D3021D9"/>
    <w:rsid w:val="7D3F099E"/>
    <w:rsid w:val="7D480840"/>
    <w:rsid w:val="7D4B01E2"/>
    <w:rsid w:val="7D533A52"/>
    <w:rsid w:val="7D5B43D0"/>
    <w:rsid w:val="7D6243C6"/>
    <w:rsid w:val="7D752C5B"/>
    <w:rsid w:val="7D76523E"/>
    <w:rsid w:val="7D781E69"/>
    <w:rsid w:val="7D7B5075"/>
    <w:rsid w:val="7D832173"/>
    <w:rsid w:val="7D847ACA"/>
    <w:rsid w:val="7D8A3C14"/>
    <w:rsid w:val="7D8C5B06"/>
    <w:rsid w:val="7D934401"/>
    <w:rsid w:val="7D94262F"/>
    <w:rsid w:val="7D953960"/>
    <w:rsid w:val="7D961406"/>
    <w:rsid w:val="7DB83C18"/>
    <w:rsid w:val="7DBC3708"/>
    <w:rsid w:val="7DCB394B"/>
    <w:rsid w:val="7DDC7906"/>
    <w:rsid w:val="7DE069AC"/>
    <w:rsid w:val="7DFF0E02"/>
    <w:rsid w:val="7E070C8C"/>
    <w:rsid w:val="7E0C521E"/>
    <w:rsid w:val="7E0E7E19"/>
    <w:rsid w:val="7E1840CC"/>
    <w:rsid w:val="7E1964D0"/>
    <w:rsid w:val="7E303249"/>
    <w:rsid w:val="7E3A272C"/>
    <w:rsid w:val="7E3E411D"/>
    <w:rsid w:val="7E4C5F6D"/>
    <w:rsid w:val="7E555123"/>
    <w:rsid w:val="7E557656"/>
    <w:rsid w:val="7E580308"/>
    <w:rsid w:val="7E5E656D"/>
    <w:rsid w:val="7E6416AA"/>
    <w:rsid w:val="7E844BCE"/>
    <w:rsid w:val="7E8D660B"/>
    <w:rsid w:val="7E992085"/>
    <w:rsid w:val="7EA53586"/>
    <w:rsid w:val="7EB47F46"/>
    <w:rsid w:val="7EB75C7D"/>
    <w:rsid w:val="7EB94600"/>
    <w:rsid w:val="7ECF7C45"/>
    <w:rsid w:val="7ED82860"/>
    <w:rsid w:val="7EDC7492"/>
    <w:rsid w:val="7EE051D4"/>
    <w:rsid w:val="7EE34CC4"/>
    <w:rsid w:val="7EE34DA7"/>
    <w:rsid w:val="7EF45DB1"/>
    <w:rsid w:val="7EFD2358"/>
    <w:rsid w:val="7EFE2453"/>
    <w:rsid w:val="7EFF5324"/>
    <w:rsid w:val="7F03165A"/>
    <w:rsid w:val="7F077A20"/>
    <w:rsid w:val="7F077BC2"/>
    <w:rsid w:val="7F09267A"/>
    <w:rsid w:val="7F231565"/>
    <w:rsid w:val="7F2A46A1"/>
    <w:rsid w:val="7F2B23E6"/>
    <w:rsid w:val="7F2B4123"/>
    <w:rsid w:val="7F314142"/>
    <w:rsid w:val="7F3426C9"/>
    <w:rsid w:val="7F394D98"/>
    <w:rsid w:val="7F3E0944"/>
    <w:rsid w:val="7F3E5DC7"/>
    <w:rsid w:val="7F4C3E66"/>
    <w:rsid w:val="7F596D35"/>
    <w:rsid w:val="7F5C2ED4"/>
    <w:rsid w:val="7F5D2D05"/>
    <w:rsid w:val="7F686F78"/>
    <w:rsid w:val="7F8A3D01"/>
    <w:rsid w:val="7F8C2C66"/>
    <w:rsid w:val="7F961D37"/>
    <w:rsid w:val="7F9C4EBD"/>
    <w:rsid w:val="7FAD310E"/>
    <w:rsid w:val="7FCA378E"/>
    <w:rsid w:val="7FCD6742"/>
    <w:rsid w:val="7FE40CF4"/>
    <w:rsid w:val="7FE505C8"/>
    <w:rsid w:val="7FE546A7"/>
    <w:rsid w:val="7FE86419"/>
    <w:rsid w:val="7FFA407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qFormat="1" w:unhideWhenUsed="0" w:uiPriority="99" w:semiHidden="0" w:name="table of figures"/>
    <w:lsdException w:uiPriority="99" w:name="envelope address" w:locked="1"/>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qFormat="1" w:unhideWhenUsed="0" w:uiPriority="99" w:semiHidden="0" w:name="List"/>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qFormat="1" w:unhideWhenUsed="0" w:uiPriority="99" w:semiHidden="0" w:name="Body Text First Indent 2"/>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5"/>
    <w:autoRedefine/>
    <w:qFormat/>
    <w:uiPriority w:val="99"/>
    <w:pPr>
      <w:keepNext/>
      <w:keepLines/>
      <w:spacing w:line="440" w:lineRule="exact"/>
      <w:jc w:val="center"/>
      <w:outlineLvl w:val="0"/>
    </w:pPr>
    <w:rPr>
      <w:b/>
      <w:bCs/>
      <w:kern w:val="44"/>
      <w:sz w:val="44"/>
      <w:szCs w:val="44"/>
    </w:rPr>
  </w:style>
  <w:style w:type="paragraph" w:styleId="4">
    <w:name w:val="heading 2"/>
    <w:basedOn w:val="1"/>
    <w:next w:val="1"/>
    <w:link w:val="66"/>
    <w:autoRedefine/>
    <w:qFormat/>
    <w:uiPriority w:val="99"/>
    <w:pPr>
      <w:keepNext/>
      <w:keepLines/>
      <w:spacing w:line="440" w:lineRule="exact"/>
      <w:jc w:val="left"/>
      <w:outlineLvl w:val="1"/>
    </w:pPr>
    <w:rPr>
      <w:rFonts w:ascii="Arial" w:hAnsi="Arial" w:eastAsia="黑体"/>
      <w:b/>
      <w:bCs/>
      <w:szCs w:val="32"/>
    </w:rPr>
  </w:style>
  <w:style w:type="paragraph" w:styleId="5">
    <w:name w:val="heading 3"/>
    <w:basedOn w:val="1"/>
    <w:next w:val="1"/>
    <w:link w:val="67"/>
    <w:autoRedefine/>
    <w:qFormat/>
    <w:uiPriority w:val="99"/>
    <w:pPr>
      <w:keepNext/>
      <w:keepLines/>
      <w:spacing w:line="415" w:lineRule="auto"/>
      <w:outlineLvl w:val="2"/>
    </w:pPr>
    <w:rPr>
      <w:b/>
      <w:bCs/>
      <w:kern w:val="0"/>
      <w:sz w:val="32"/>
      <w:szCs w:val="32"/>
    </w:rPr>
  </w:style>
  <w:style w:type="paragraph" w:styleId="6">
    <w:name w:val="heading 4"/>
    <w:basedOn w:val="1"/>
    <w:next w:val="1"/>
    <w:link w:val="68"/>
    <w:autoRedefine/>
    <w:qFormat/>
    <w:uiPriority w:val="99"/>
    <w:pPr>
      <w:keepNext/>
      <w:keepLines/>
      <w:spacing w:line="374" w:lineRule="auto"/>
      <w:outlineLvl w:val="3"/>
    </w:pPr>
    <w:rPr>
      <w:rFonts w:ascii="Arial" w:hAnsi="Arial" w:eastAsia="黑体"/>
      <w:b/>
      <w:bCs/>
      <w:sz w:val="28"/>
      <w:szCs w:val="28"/>
    </w:rPr>
  </w:style>
  <w:style w:type="paragraph" w:styleId="7">
    <w:name w:val="heading 5"/>
    <w:basedOn w:val="1"/>
    <w:next w:val="1"/>
    <w:link w:val="69"/>
    <w:autoRedefine/>
    <w:qFormat/>
    <w:uiPriority w:val="99"/>
    <w:pPr>
      <w:keepNext/>
      <w:keepLines/>
      <w:spacing w:line="376" w:lineRule="auto"/>
      <w:outlineLvl w:val="4"/>
    </w:pPr>
    <w:rPr>
      <w:b/>
      <w:bCs/>
      <w:sz w:val="28"/>
      <w:szCs w:val="28"/>
    </w:rPr>
  </w:style>
  <w:style w:type="paragraph" w:styleId="8">
    <w:name w:val="heading 6"/>
    <w:basedOn w:val="1"/>
    <w:next w:val="1"/>
    <w:link w:val="70"/>
    <w:autoRedefine/>
    <w:qFormat/>
    <w:uiPriority w:val="99"/>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9">
    <w:name w:val="heading 7"/>
    <w:basedOn w:val="1"/>
    <w:next w:val="1"/>
    <w:link w:val="71"/>
    <w:autoRedefine/>
    <w:qFormat/>
    <w:uiPriority w:val="99"/>
    <w:pPr>
      <w:keepNext/>
      <w:keepLines/>
      <w:widowControl/>
      <w:tabs>
        <w:tab w:val="left" w:pos="2520"/>
      </w:tabs>
      <w:spacing w:line="319" w:lineRule="auto"/>
      <w:ind w:left="1296" w:hanging="1296"/>
      <w:jc w:val="left"/>
      <w:outlineLvl w:val="6"/>
    </w:pPr>
    <w:rPr>
      <w:b/>
      <w:bCs/>
      <w:kern w:val="0"/>
      <w:sz w:val="24"/>
    </w:rPr>
  </w:style>
  <w:style w:type="paragraph" w:styleId="10">
    <w:name w:val="heading 8"/>
    <w:basedOn w:val="1"/>
    <w:next w:val="1"/>
    <w:link w:val="72"/>
    <w:autoRedefine/>
    <w:qFormat/>
    <w:uiPriority w:val="99"/>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1">
    <w:name w:val="heading 9"/>
    <w:basedOn w:val="1"/>
    <w:next w:val="1"/>
    <w:link w:val="73"/>
    <w:autoRedefine/>
    <w:qFormat/>
    <w:uiPriority w:val="99"/>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7">
    <w:name w:val="Default Paragraph Font"/>
    <w:autoRedefine/>
    <w:semiHidden/>
    <w:qFormat/>
    <w:uiPriority w:val="99"/>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link w:val="82"/>
    <w:autoRedefine/>
    <w:qFormat/>
    <w:uiPriority w:val="99"/>
    <w:pPr>
      <w:spacing w:line="360" w:lineRule="exact"/>
      <w:ind w:firstLine="600" w:firstLineChars="250"/>
      <w:jc w:val="left"/>
    </w:pPr>
    <w:rPr>
      <w:sz w:val="24"/>
    </w:rPr>
  </w:style>
  <w:style w:type="paragraph" w:styleId="12">
    <w:name w:val="toc 7"/>
    <w:basedOn w:val="1"/>
    <w:next w:val="1"/>
    <w:autoRedefine/>
    <w:qFormat/>
    <w:uiPriority w:val="99"/>
    <w:pPr>
      <w:ind w:left="1260"/>
      <w:jc w:val="left"/>
    </w:pPr>
    <w:rPr>
      <w:sz w:val="18"/>
      <w:szCs w:val="18"/>
    </w:rPr>
  </w:style>
  <w:style w:type="paragraph" w:styleId="13">
    <w:name w:val="Normal Indent"/>
    <w:basedOn w:val="1"/>
    <w:autoRedefine/>
    <w:qFormat/>
    <w:uiPriority w:val="99"/>
    <w:pPr>
      <w:ind w:firstLine="420" w:firstLineChars="200"/>
    </w:pPr>
  </w:style>
  <w:style w:type="paragraph" w:styleId="14">
    <w:name w:val="Document Map"/>
    <w:basedOn w:val="1"/>
    <w:next w:val="1"/>
    <w:link w:val="76"/>
    <w:autoRedefine/>
    <w:qFormat/>
    <w:uiPriority w:val="99"/>
    <w:pPr>
      <w:shd w:val="clear" w:color="auto" w:fill="000080"/>
    </w:pPr>
  </w:style>
  <w:style w:type="paragraph" w:styleId="15">
    <w:name w:val="annotation text"/>
    <w:basedOn w:val="1"/>
    <w:link w:val="77"/>
    <w:autoRedefine/>
    <w:qFormat/>
    <w:uiPriority w:val="99"/>
    <w:pPr>
      <w:jc w:val="left"/>
    </w:pPr>
  </w:style>
  <w:style w:type="paragraph" w:styleId="16">
    <w:name w:val="Body Text 3"/>
    <w:basedOn w:val="1"/>
    <w:link w:val="78"/>
    <w:autoRedefine/>
    <w:qFormat/>
    <w:uiPriority w:val="99"/>
    <w:rPr>
      <w:rFonts w:ascii="宋体"/>
      <w:sz w:val="24"/>
      <w:szCs w:val="20"/>
    </w:rPr>
  </w:style>
  <w:style w:type="paragraph" w:styleId="17">
    <w:name w:val="Body Text"/>
    <w:basedOn w:val="1"/>
    <w:next w:val="1"/>
    <w:link w:val="79"/>
    <w:autoRedefine/>
    <w:qFormat/>
    <w:uiPriority w:val="99"/>
  </w:style>
  <w:style w:type="paragraph" w:styleId="18">
    <w:name w:val="Body Text Indent"/>
    <w:basedOn w:val="1"/>
    <w:next w:val="19"/>
    <w:link w:val="74"/>
    <w:autoRedefine/>
    <w:qFormat/>
    <w:uiPriority w:val="99"/>
    <w:pPr>
      <w:ind w:left="420" w:leftChars="200"/>
    </w:pPr>
  </w:style>
  <w:style w:type="paragraph" w:styleId="19">
    <w:name w:val="envelope return"/>
    <w:basedOn w:val="1"/>
    <w:next w:val="12"/>
    <w:autoRedefine/>
    <w:qFormat/>
    <w:uiPriority w:val="99"/>
    <w:pPr>
      <w:snapToGrid w:val="0"/>
    </w:pPr>
    <w:rPr>
      <w:rFonts w:ascii="Arial" w:hAnsi="Arial"/>
    </w:rPr>
  </w:style>
  <w:style w:type="paragraph" w:styleId="20">
    <w:name w:val="Block Text"/>
    <w:basedOn w:val="1"/>
    <w:autoRedefine/>
    <w:qFormat/>
    <w:uiPriority w:val="99"/>
    <w:pPr>
      <w:spacing w:line="400" w:lineRule="exact"/>
      <w:ind w:left="-359" w:leftChars="-171" w:right="31" w:rightChars="15" w:firstLine="980" w:firstLineChars="350"/>
    </w:pPr>
    <w:rPr>
      <w:rFonts w:ascii="宋体" w:hAnsi="宋体"/>
      <w:sz w:val="28"/>
      <w:szCs w:val="32"/>
    </w:rPr>
  </w:style>
  <w:style w:type="paragraph" w:styleId="21">
    <w:name w:val="toc 5"/>
    <w:basedOn w:val="1"/>
    <w:next w:val="1"/>
    <w:autoRedefine/>
    <w:qFormat/>
    <w:uiPriority w:val="99"/>
    <w:pPr>
      <w:ind w:left="840"/>
      <w:jc w:val="left"/>
    </w:pPr>
    <w:rPr>
      <w:sz w:val="18"/>
      <w:szCs w:val="18"/>
    </w:rPr>
  </w:style>
  <w:style w:type="paragraph" w:styleId="22">
    <w:name w:val="toc 3"/>
    <w:basedOn w:val="1"/>
    <w:next w:val="1"/>
    <w:autoRedefine/>
    <w:qFormat/>
    <w:uiPriority w:val="99"/>
    <w:pPr>
      <w:ind w:left="420"/>
      <w:jc w:val="left"/>
    </w:pPr>
    <w:rPr>
      <w:i/>
      <w:iCs/>
      <w:sz w:val="20"/>
      <w:szCs w:val="20"/>
    </w:rPr>
  </w:style>
  <w:style w:type="paragraph" w:styleId="23">
    <w:name w:val="Plain Text"/>
    <w:basedOn w:val="1"/>
    <w:link w:val="80"/>
    <w:autoRedefine/>
    <w:qFormat/>
    <w:uiPriority w:val="99"/>
    <w:rPr>
      <w:rFonts w:ascii="Courier New" w:hAnsi="Courier New"/>
      <w:szCs w:val="20"/>
    </w:rPr>
  </w:style>
  <w:style w:type="paragraph" w:styleId="24">
    <w:name w:val="toc 8"/>
    <w:basedOn w:val="1"/>
    <w:next w:val="1"/>
    <w:autoRedefine/>
    <w:qFormat/>
    <w:uiPriority w:val="99"/>
    <w:pPr>
      <w:ind w:left="1470"/>
      <w:jc w:val="left"/>
    </w:pPr>
    <w:rPr>
      <w:sz w:val="18"/>
      <w:szCs w:val="18"/>
    </w:rPr>
  </w:style>
  <w:style w:type="paragraph" w:styleId="25">
    <w:name w:val="Date"/>
    <w:basedOn w:val="1"/>
    <w:next w:val="1"/>
    <w:link w:val="81"/>
    <w:autoRedefine/>
    <w:qFormat/>
    <w:uiPriority w:val="99"/>
    <w:rPr>
      <w:sz w:val="24"/>
      <w:szCs w:val="20"/>
    </w:rPr>
  </w:style>
  <w:style w:type="paragraph" w:styleId="26">
    <w:name w:val="Balloon Text"/>
    <w:basedOn w:val="1"/>
    <w:link w:val="83"/>
    <w:autoRedefine/>
    <w:qFormat/>
    <w:uiPriority w:val="99"/>
    <w:rPr>
      <w:sz w:val="18"/>
      <w:szCs w:val="18"/>
    </w:rPr>
  </w:style>
  <w:style w:type="paragraph" w:styleId="27">
    <w:name w:val="footer"/>
    <w:basedOn w:val="1"/>
    <w:link w:val="84"/>
    <w:autoRedefine/>
    <w:qFormat/>
    <w:uiPriority w:val="99"/>
    <w:pPr>
      <w:tabs>
        <w:tab w:val="center" w:pos="4153"/>
        <w:tab w:val="right" w:pos="8306"/>
      </w:tabs>
      <w:snapToGrid w:val="0"/>
      <w:jc w:val="left"/>
    </w:pPr>
    <w:rPr>
      <w:sz w:val="18"/>
      <w:szCs w:val="18"/>
    </w:rPr>
  </w:style>
  <w:style w:type="paragraph" w:styleId="28">
    <w:name w:val="header"/>
    <w:basedOn w:val="1"/>
    <w:link w:val="85"/>
    <w:autoRedefine/>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autoRedefine/>
    <w:qFormat/>
    <w:uiPriority w:val="99"/>
    <w:pPr>
      <w:jc w:val="left"/>
    </w:pPr>
    <w:rPr>
      <w:b/>
      <w:bCs/>
      <w:caps/>
      <w:sz w:val="20"/>
      <w:szCs w:val="20"/>
    </w:rPr>
  </w:style>
  <w:style w:type="paragraph" w:styleId="30">
    <w:name w:val="toc 4"/>
    <w:basedOn w:val="1"/>
    <w:next w:val="1"/>
    <w:autoRedefine/>
    <w:qFormat/>
    <w:uiPriority w:val="99"/>
    <w:pPr>
      <w:ind w:left="630"/>
      <w:jc w:val="left"/>
    </w:pPr>
    <w:rPr>
      <w:sz w:val="18"/>
      <w:szCs w:val="18"/>
    </w:rPr>
  </w:style>
  <w:style w:type="paragraph" w:styleId="31">
    <w:name w:val="List"/>
    <w:basedOn w:val="1"/>
    <w:autoRedefine/>
    <w:qFormat/>
    <w:uiPriority w:val="99"/>
    <w:pPr>
      <w:ind w:left="420" w:hanging="420"/>
    </w:pPr>
  </w:style>
  <w:style w:type="paragraph" w:styleId="32">
    <w:name w:val="footnote text"/>
    <w:basedOn w:val="1"/>
    <w:link w:val="86"/>
    <w:autoRedefine/>
    <w:qFormat/>
    <w:uiPriority w:val="99"/>
    <w:rPr>
      <w:sz w:val="20"/>
      <w:szCs w:val="20"/>
    </w:rPr>
  </w:style>
  <w:style w:type="paragraph" w:styleId="33">
    <w:name w:val="toc 6"/>
    <w:basedOn w:val="1"/>
    <w:next w:val="1"/>
    <w:autoRedefine/>
    <w:qFormat/>
    <w:uiPriority w:val="99"/>
    <w:pPr>
      <w:ind w:left="1050"/>
      <w:jc w:val="left"/>
    </w:pPr>
    <w:rPr>
      <w:sz w:val="18"/>
      <w:szCs w:val="18"/>
    </w:rPr>
  </w:style>
  <w:style w:type="paragraph" w:styleId="34">
    <w:name w:val="Body Text Indent 3"/>
    <w:basedOn w:val="1"/>
    <w:link w:val="87"/>
    <w:autoRedefine/>
    <w:qFormat/>
    <w:uiPriority w:val="99"/>
    <w:pPr>
      <w:ind w:left="420" w:leftChars="200"/>
    </w:pPr>
    <w:rPr>
      <w:sz w:val="16"/>
      <w:szCs w:val="16"/>
    </w:rPr>
  </w:style>
  <w:style w:type="paragraph" w:styleId="35">
    <w:name w:val="table of figures"/>
    <w:basedOn w:val="1"/>
    <w:next w:val="1"/>
    <w:autoRedefine/>
    <w:qFormat/>
    <w:uiPriority w:val="99"/>
    <w:pPr>
      <w:ind w:left="200" w:leftChars="200" w:hanging="200" w:hangingChars="200"/>
    </w:pPr>
  </w:style>
  <w:style w:type="paragraph" w:styleId="36">
    <w:name w:val="toc 2"/>
    <w:basedOn w:val="1"/>
    <w:next w:val="1"/>
    <w:autoRedefine/>
    <w:qFormat/>
    <w:uiPriority w:val="99"/>
    <w:pPr>
      <w:ind w:left="210"/>
      <w:jc w:val="left"/>
    </w:pPr>
    <w:rPr>
      <w:smallCaps/>
      <w:sz w:val="20"/>
      <w:szCs w:val="20"/>
    </w:rPr>
  </w:style>
  <w:style w:type="paragraph" w:styleId="37">
    <w:name w:val="toc 9"/>
    <w:basedOn w:val="1"/>
    <w:next w:val="1"/>
    <w:autoRedefine/>
    <w:qFormat/>
    <w:uiPriority w:val="99"/>
    <w:pPr>
      <w:ind w:left="1680"/>
      <w:jc w:val="left"/>
    </w:pPr>
    <w:rPr>
      <w:sz w:val="18"/>
      <w:szCs w:val="18"/>
    </w:rPr>
  </w:style>
  <w:style w:type="paragraph" w:styleId="38">
    <w:name w:val="Body Text 2"/>
    <w:basedOn w:val="1"/>
    <w:link w:val="88"/>
    <w:autoRedefine/>
    <w:qFormat/>
    <w:uiPriority w:val="99"/>
    <w:pPr>
      <w:spacing w:line="440" w:lineRule="exact"/>
    </w:pPr>
    <w:rPr>
      <w:sz w:val="28"/>
    </w:rPr>
  </w:style>
  <w:style w:type="paragraph" w:styleId="39">
    <w:name w:val="HTML Preformatted"/>
    <w:basedOn w:val="1"/>
    <w:link w:val="89"/>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0">
    <w:name w:val="Normal (Web)"/>
    <w:basedOn w:val="1"/>
    <w:next w:val="41"/>
    <w:autoRedefine/>
    <w:qFormat/>
    <w:uiPriority w:val="99"/>
    <w:pPr>
      <w:widowControl/>
      <w:spacing w:beforeAutospacing="1" w:afterAutospacing="1"/>
      <w:jc w:val="left"/>
    </w:pPr>
    <w:rPr>
      <w:rFonts w:ascii="宋体" w:hAnsi="宋体" w:cs="宋体"/>
      <w:kern w:val="0"/>
      <w:sz w:val="24"/>
    </w:rPr>
  </w:style>
  <w:style w:type="paragraph" w:customStyle="1" w:styleId="41">
    <w:name w:val="正文文字 8"/>
    <w:basedOn w:val="1"/>
    <w:next w:val="1"/>
    <w:autoRedefine/>
    <w:qFormat/>
    <w:uiPriority w:val="99"/>
    <w:pPr>
      <w:ind w:left="240"/>
    </w:pPr>
    <w:rPr>
      <w:sz w:val="16"/>
    </w:rPr>
  </w:style>
  <w:style w:type="paragraph" w:styleId="42">
    <w:name w:val="Title"/>
    <w:basedOn w:val="1"/>
    <w:next w:val="1"/>
    <w:link w:val="90"/>
    <w:autoRedefine/>
    <w:qFormat/>
    <w:uiPriority w:val="99"/>
    <w:pPr>
      <w:adjustRightInd w:val="0"/>
      <w:spacing w:line="420" w:lineRule="atLeast"/>
      <w:jc w:val="center"/>
      <w:textAlignment w:val="baseline"/>
      <w:outlineLvl w:val="0"/>
    </w:pPr>
    <w:rPr>
      <w:rFonts w:ascii="Arial" w:hAnsi="Arial"/>
      <w:b/>
      <w:kern w:val="0"/>
      <w:sz w:val="32"/>
      <w:szCs w:val="20"/>
    </w:rPr>
  </w:style>
  <w:style w:type="paragraph" w:styleId="43">
    <w:name w:val="annotation subject"/>
    <w:basedOn w:val="15"/>
    <w:next w:val="15"/>
    <w:link w:val="91"/>
    <w:autoRedefine/>
    <w:qFormat/>
    <w:uiPriority w:val="99"/>
    <w:rPr>
      <w:b/>
      <w:bCs/>
    </w:rPr>
  </w:style>
  <w:style w:type="paragraph" w:styleId="44">
    <w:name w:val="Body Text First Indent 2"/>
    <w:basedOn w:val="18"/>
    <w:next w:val="1"/>
    <w:link w:val="75"/>
    <w:autoRedefine/>
    <w:qFormat/>
    <w:uiPriority w:val="99"/>
    <w:pPr>
      <w:spacing w:line="360" w:lineRule="auto"/>
      <w:ind w:firstLine="200" w:firstLineChars="200"/>
    </w:pPr>
    <w:rPr>
      <w:rFonts w:ascii="宋体"/>
      <w:szCs w:val="20"/>
    </w:rPr>
  </w:style>
  <w:style w:type="table" w:styleId="46">
    <w:name w:val="Table Grid"/>
    <w:basedOn w:val="45"/>
    <w:autoRedefine/>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basedOn w:val="47"/>
    <w:autoRedefine/>
    <w:qFormat/>
    <w:uiPriority w:val="99"/>
    <w:rPr>
      <w:rFonts w:cs="Times New Roman"/>
      <w:b/>
    </w:rPr>
  </w:style>
  <w:style w:type="character" w:styleId="49">
    <w:name w:val="page number"/>
    <w:basedOn w:val="47"/>
    <w:autoRedefine/>
    <w:qFormat/>
    <w:uiPriority w:val="99"/>
    <w:rPr>
      <w:rFonts w:cs="Times New Roman"/>
    </w:rPr>
  </w:style>
  <w:style w:type="character" w:styleId="50">
    <w:name w:val="FollowedHyperlink"/>
    <w:basedOn w:val="47"/>
    <w:autoRedefine/>
    <w:qFormat/>
    <w:uiPriority w:val="99"/>
    <w:rPr>
      <w:rFonts w:cs="Times New Roman"/>
      <w:color w:val="333333"/>
      <w:u w:val="none"/>
    </w:rPr>
  </w:style>
  <w:style w:type="character" w:styleId="51">
    <w:name w:val="Emphasis"/>
    <w:basedOn w:val="47"/>
    <w:autoRedefine/>
    <w:qFormat/>
    <w:uiPriority w:val="99"/>
    <w:rPr>
      <w:rFonts w:cs="Times New Roman"/>
      <w:color w:val="CC0033"/>
    </w:rPr>
  </w:style>
  <w:style w:type="character" w:styleId="52">
    <w:name w:val="HTML Definition"/>
    <w:basedOn w:val="47"/>
    <w:autoRedefine/>
    <w:qFormat/>
    <w:uiPriority w:val="99"/>
    <w:rPr>
      <w:rFonts w:cs="Times New Roman"/>
    </w:rPr>
  </w:style>
  <w:style w:type="character" w:styleId="53">
    <w:name w:val="HTML Typewriter"/>
    <w:basedOn w:val="47"/>
    <w:autoRedefine/>
    <w:qFormat/>
    <w:uiPriority w:val="99"/>
    <w:rPr>
      <w:rFonts w:ascii="monospace" w:hAnsi="monospace" w:cs="Times New Roman"/>
      <w:sz w:val="20"/>
    </w:rPr>
  </w:style>
  <w:style w:type="character" w:styleId="54">
    <w:name w:val="HTML Acronym"/>
    <w:basedOn w:val="47"/>
    <w:autoRedefine/>
    <w:qFormat/>
    <w:uiPriority w:val="99"/>
    <w:rPr>
      <w:rFonts w:cs="Times New Roman"/>
    </w:rPr>
  </w:style>
  <w:style w:type="character" w:styleId="55">
    <w:name w:val="HTML Variable"/>
    <w:basedOn w:val="47"/>
    <w:autoRedefine/>
    <w:qFormat/>
    <w:uiPriority w:val="99"/>
    <w:rPr>
      <w:rFonts w:cs="Times New Roman"/>
    </w:rPr>
  </w:style>
  <w:style w:type="character" w:styleId="56">
    <w:name w:val="Hyperlink"/>
    <w:basedOn w:val="47"/>
    <w:autoRedefine/>
    <w:qFormat/>
    <w:uiPriority w:val="99"/>
    <w:rPr>
      <w:rFonts w:cs="Times New Roman"/>
      <w:color w:val="333333"/>
      <w:u w:val="none"/>
    </w:rPr>
  </w:style>
  <w:style w:type="character" w:styleId="57">
    <w:name w:val="HTML Code"/>
    <w:basedOn w:val="47"/>
    <w:autoRedefine/>
    <w:qFormat/>
    <w:uiPriority w:val="99"/>
    <w:rPr>
      <w:rFonts w:ascii="monospace" w:hAnsi="monospace" w:cs="Times New Roman"/>
      <w:sz w:val="20"/>
    </w:rPr>
  </w:style>
  <w:style w:type="character" w:styleId="58">
    <w:name w:val="annotation reference"/>
    <w:basedOn w:val="47"/>
    <w:autoRedefine/>
    <w:qFormat/>
    <w:uiPriority w:val="99"/>
    <w:rPr>
      <w:rFonts w:cs="Times New Roman"/>
      <w:sz w:val="21"/>
    </w:rPr>
  </w:style>
  <w:style w:type="character" w:styleId="59">
    <w:name w:val="HTML Cite"/>
    <w:basedOn w:val="47"/>
    <w:autoRedefine/>
    <w:qFormat/>
    <w:uiPriority w:val="99"/>
    <w:rPr>
      <w:rFonts w:cs="Times New Roman"/>
    </w:rPr>
  </w:style>
  <w:style w:type="character" w:styleId="60">
    <w:name w:val="footnote reference"/>
    <w:basedOn w:val="47"/>
    <w:autoRedefine/>
    <w:qFormat/>
    <w:uiPriority w:val="99"/>
    <w:rPr>
      <w:rFonts w:cs="Times New Roman"/>
      <w:vertAlign w:val="superscript"/>
    </w:rPr>
  </w:style>
  <w:style w:type="character" w:styleId="61">
    <w:name w:val="HTML Keyboard"/>
    <w:basedOn w:val="47"/>
    <w:autoRedefine/>
    <w:qFormat/>
    <w:uiPriority w:val="99"/>
    <w:rPr>
      <w:rFonts w:ascii="monospace" w:hAnsi="monospace" w:cs="Times New Roman"/>
      <w:sz w:val="20"/>
    </w:rPr>
  </w:style>
  <w:style w:type="character" w:styleId="62">
    <w:name w:val="HTML Sample"/>
    <w:basedOn w:val="47"/>
    <w:autoRedefine/>
    <w:qFormat/>
    <w:uiPriority w:val="99"/>
    <w:rPr>
      <w:rFonts w:ascii="monospace" w:hAnsi="monospace" w:cs="Times New Roman"/>
    </w:rPr>
  </w:style>
  <w:style w:type="paragraph" w:customStyle="1" w:styleId="63">
    <w:name w:val="正文 New"/>
    <w:next w:val="64"/>
    <w:autoRedefine/>
    <w:qFormat/>
    <w:uiPriority w:val="0"/>
    <w:pPr>
      <w:widowControl w:val="0"/>
      <w:spacing w:line="440" w:lineRule="exact"/>
      <w:ind w:left="357" w:hanging="357"/>
      <w:jc w:val="both"/>
    </w:pPr>
    <w:rPr>
      <w:rFonts w:ascii="Times New Roman" w:hAnsi="Times New Roman" w:eastAsia="宋体" w:cs="Times New Roman"/>
      <w:kern w:val="2"/>
      <w:sz w:val="21"/>
      <w:szCs w:val="22"/>
      <w:lang w:val="en-US" w:eastAsia="zh-CN" w:bidi="ar-SA"/>
    </w:rPr>
  </w:style>
  <w:style w:type="paragraph" w:customStyle="1" w:styleId="64">
    <w:name w:val="正文缩进1"/>
    <w:basedOn w:val="1"/>
    <w:next w:val="14"/>
    <w:autoRedefine/>
    <w:qFormat/>
    <w:uiPriority w:val="0"/>
    <w:pPr>
      <w:widowControl w:val="0"/>
      <w:autoSpaceDE/>
      <w:autoSpaceDN/>
      <w:spacing w:before="0" w:after="0" w:line="360" w:lineRule="atLeast"/>
      <w:ind w:left="0" w:firstLine="482"/>
      <w:jc w:val="both"/>
    </w:pPr>
    <w:rPr>
      <w:rFonts w:ascii="Times New Roman" w:eastAsia="宋体"/>
      <w:sz w:val="24"/>
    </w:rPr>
  </w:style>
  <w:style w:type="character" w:customStyle="1" w:styleId="65">
    <w:name w:val="Heading 1 Char"/>
    <w:basedOn w:val="47"/>
    <w:link w:val="3"/>
    <w:autoRedefine/>
    <w:qFormat/>
    <w:locked/>
    <w:uiPriority w:val="99"/>
    <w:rPr>
      <w:rFonts w:eastAsia="宋体" w:cs="Times New Roman"/>
      <w:b/>
      <w:kern w:val="44"/>
      <w:sz w:val="44"/>
      <w:lang w:val="en-US" w:eastAsia="zh-CN"/>
    </w:rPr>
  </w:style>
  <w:style w:type="character" w:customStyle="1" w:styleId="66">
    <w:name w:val="Heading 2 Char"/>
    <w:basedOn w:val="47"/>
    <w:link w:val="4"/>
    <w:autoRedefine/>
    <w:qFormat/>
    <w:locked/>
    <w:uiPriority w:val="99"/>
    <w:rPr>
      <w:rFonts w:ascii="Arial" w:hAnsi="Arial" w:eastAsia="黑体" w:cs="Times New Roman"/>
      <w:b/>
      <w:kern w:val="2"/>
      <w:sz w:val="32"/>
      <w:lang w:val="en-US" w:eastAsia="zh-CN"/>
    </w:rPr>
  </w:style>
  <w:style w:type="character" w:customStyle="1" w:styleId="67">
    <w:name w:val="Heading 3 Char"/>
    <w:basedOn w:val="47"/>
    <w:link w:val="5"/>
    <w:autoRedefine/>
    <w:qFormat/>
    <w:locked/>
    <w:uiPriority w:val="99"/>
    <w:rPr>
      <w:rFonts w:cs="Times New Roman"/>
      <w:b/>
      <w:sz w:val="32"/>
    </w:rPr>
  </w:style>
  <w:style w:type="character" w:customStyle="1" w:styleId="68">
    <w:name w:val="Heading 4 Char"/>
    <w:basedOn w:val="47"/>
    <w:link w:val="6"/>
    <w:autoRedefine/>
    <w:semiHidden/>
    <w:qFormat/>
    <w:locked/>
    <w:uiPriority w:val="99"/>
    <w:rPr>
      <w:rFonts w:ascii="Cambria" w:hAnsi="Cambria" w:eastAsia="宋体" w:cs="Times New Roman"/>
      <w:b/>
      <w:bCs/>
      <w:sz w:val="28"/>
      <w:szCs w:val="28"/>
    </w:rPr>
  </w:style>
  <w:style w:type="character" w:customStyle="1" w:styleId="69">
    <w:name w:val="Heading 5 Char"/>
    <w:basedOn w:val="47"/>
    <w:link w:val="7"/>
    <w:autoRedefine/>
    <w:qFormat/>
    <w:locked/>
    <w:uiPriority w:val="99"/>
    <w:rPr>
      <w:rFonts w:cs="Times New Roman"/>
      <w:b/>
      <w:kern w:val="2"/>
      <w:sz w:val="28"/>
    </w:rPr>
  </w:style>
  <w:style w:type="character" w:customStyle="1" w:styleId="70">
    <w:name w:val="Heading 6 Char"/>
    <w:basedOn w:val="47"/>
    <w:link w:val="8"/>
    <w:autoRedefine/>
    <w:semiHidden/>
    <w:qFormat/>
    <w:locked/>
    <w:uiPriority w:val="99"/>
    <w:rPr>
      <w:rFonts w:ascii="Cambria" w:hAnsi="Cambria" w:eastAsia="宋体" w:cs="Times New Roman"/>
      <w:b/>
      <w:bCs/>
      <w:sz w:val="24"/>
      <w:szCs w:val="24"/>
    </w:rPr>
  </w:style>
  <w:style w:type="character" w:customStyle="1" w:styleId="71">
    <w:name w:val="Heading 7 Char"/>
    <w:basedOn w:val="47"/>
    <w:link w:val="9"/>
    <w:autoRedefine/>
    <w:semiHidden/>
    <w:qFormat/>
    <w:locked/>
    <w:uiPriority w:val="99"/>
    <w:rPr>
      <w:rFonts w:cs="Times New Roman"/>
      <w:b/>
      <w:bCs/>
      <w:sz w:val="24"/>
      <w:szCs w:val="24"/>
    </w:rPr>
  </w:style>
  <w:style w:type="character" w:customStyle="1" w:styleId="72">
    <w:name w:val="Heading 8 Char"/>
    <w:basedOn w:val="47"/>
    <w:link w:val="10"/>
    <w:autoRedefine/>
    <w:semiHidden/>
    <w:qFormat/>
    <w:locked/>
    <w:uiPriority w:val="99"/>
    <w:rPr>
      <w:rFonts w:ascii="Cambria" w:hAnsi="Cambria" w:eastAsia="宋体" w:cs="Times New Roman"/>
      <w:sz w:val="24"/>
      <w:szCs w:val="24"/>
    </w:rPr>
  </w:style>
  <w:style w:type="character" w:customStyle="1" w:styleId="73">
    <w:name w:val="Heading 9 Char"/>
    <w:basedOn w:val="47"/>
    <w:link w:val="11"/>
    <w:autoRedefine/>
    <w:semiHidden/>
    <w:qFormat/>
    <w:locked/>
    <w:uiPriority w:val="99"/>
    <w:rPr>
      <w:rFonts w:ascii="Cambria" w:hAnsi="Cambria" w:eastAsia="宋体" w:cs="Times New Roman"/>
      <w:sz w:val="21"/>
      <w:szCs w:val="21"/>
    </w:rPr>
  </w:style>
  <w:style w:type="character" w:customStyle="1" w:styleId="74">
    <w:name w:val="Body Text Indent Char"/>
    <w:basedOn w:val="47"/>
    <w:link w:val="18"/>
    <w:autoRedefine/>
    <w:semiHidden/>
    <w:qFormat/>
    <w:locked/>
    <w:uiPriority w:val="99"/>
    <w:rPr>
      <w:rFonts w:cs="Times New Roman"/>
      <w:sz w:val="24"/>
      <w:szCs w:val="24"/>
    </w:rPr>
  </w:style>
  <w:style w:type="character" w:customStyle="1" w:styleId="75">
    <w:name w:val="Body Text First Indent 2 Char"/>
    <w:basedOn w:val="74"/>
    <w:link w:val="44"/>
    <w:autoRedefine/>
    <w:semiHidden/>
    <w:qFormat/>
    <w:locked/>
    <w:uiPriority w:val="99"/>
  </w:style>
  <w:style w:type="character" w:customStyle="1" w:styleId="76">
    <w:name w:val="Document Map Char"/>
    <w:basedOn w:val="47"/>
    <w:link w:val="14"/>
    <w:autoRedefine/>
    <w:semiHidden/>
    <w:qFormat/>
    <w:locked/>
    <w:uiPriority w:val="99"/>
    <w:rPr>
      <w:rFonts w:cs="Times New Roman"/>
      <w:sz w:val="2"/>
    </w:rPr>
  </w:style>
  <w:style w:type="character" w:customStyle="1" w:styleId="77">
    <w:name w:val="Comment Text Char"/>
    <w:basedOn w:val="47"/>
    <w:link w:val="15"/>
    <w:autoRedefine/>
    <w:qFormat/>
    <w:locked/>
    <w:uiPriority w:val="99"/>
    <w:rPr>
      <w:rFonts w:eastAsia="宋体" w:cs="Times New Roman"/>
      <w:kern w:val="2"/>
      <w:sz w:val="24"/>
      <w:lang w:val="en-US" w:eastAsia="zh-CN"/>
    </w:rPr>
  </w:style>
  <w:style w:type="character" w:customStyle="1" w:styleId="78">
    <w:name w:val="Body Text 3 Char"/>
    <w:basedOn w:val="47"/>
    <w:link w:val="16"/>
    <w:autoRedefine/>
    <w:semiHidden/>
    <w:qFormat/>
    <w:locked/>
    <w:uiPriority w:val="99"/>
    <w:rPr>
      <w:rFonts w:cs="Times New Roman"/>
      <w:sz w:val="16"/>
      <w:szCs w:val="16"/>
    </w:rPr>
  </w:style>
  <w:style w:type="character" w:customStyle="1" w:styleId="79">
    <w:name w:val="Body Text Char"/>
    <w:basedOn w:val="47"/>
    <w:link w:val="17"/>
    <w:autoRedefine/>
    <w:qFormat/>
    <w:locked/>
    <w:uiPriority w:val="99"/>
    <w:rPr>
      <w:rFonts w:eastAsia="宋体" w:cs="Times New Roman"/>
      <w:kern w:val="2"/>
      <w:sz w:val="24"/>
      <w:lang w:val="en-US" w:eastAsia="zh-CN"/>
    </w:rPr>
  </w:style>
  <w:style w:type="character" w:customStyle="1" w:styleId="80">
    <w:name w:val="Plain Text Char"/>
    <w:basedOn w:val="47"/>
    <w:link w:val="23"/>
    <w:autoRedefine/>
    <w:qFormat/>
    <w:locked/>
    <w:uiPriority w:val="99"/>
    <w:rPr>
      <w:rFonts w:ascii="Courier New" w:hAnsi="Courier New" w:eastAsia="宋体" w:cs="Times New Roman"/>
      <w:kern w:val="2"/>
      <w:sz w:val="21"/>
      <w:lang w:val="en-US" w:eastAsia="zh-CN"/>
    </w:rPr>
  </w:style>
  <w:style w:type="character" w:customStyle="1" w:styleId="81">
    <w:name w:val="Date Char"/>
    <w:basedOn w:val="47"/>
    <w:link w:val="25"/>
    <w:autoRedefine/>
    <w:semiHidden/>
    <w:qFormat/>
    <w:locked/>
    <w:uiPriority w:val="99"/>
    <w:rPr>
      <w:rFonts w:cs="Times New Roman"/>
      <w:sz w:val="24"/>
      <w:szCs w:val="24"/>
    </w:rPr>
  </w:style>
  <w:style w:type="character" w:customStyle="1" w:styleId="82">
    <w:name w:val="Body Text Indent 2 Char"/>
    <w:basedOn w:val="47"/>
    <w:link w:val="2"/>
    <w:autoRedefine/>
    <w:semiHidden/>
    <w:qFormat/>
    <w:locked/>
    <w:uiPriority w:val="99"/>
    <w:rPr>
      <w:rFonts w:cs="Times New Roman"/>
      <w:sz w:val="24"/>
      <w:szCs w:val="24"/>
    </w:rPr>
  </w:style>
  <w:style w:type="character" w:customStyle="1" w:styleId="83">
    <w:name w:val="Balloon Text Char"/>
    <w:basedOn w:val="47"/>
    <w:link w:val="26"/>
    <w:autoRedefine/>
    <w:semiHidden/>
    <w:qFormat/>
    <w:locked/>
    <w:uiPriority w:val="99"/>
    <w:rPr>
      <w:rFonts w:cs="Times New Roman"/>
      <w:sz w:val="2"/>
    </w:rPr>
  </w:style>
  <w:style w:type="character" w:customStyle="1" w:styleId="84">
    <w:name w:val="Footer Char"/>
    <w:basedOn w:val="47"/>
    <w:link w:val="27"/>
    <w:autoRedefine/>
    <w:semiHidden/>
    <w:qFormat/>
    <w:locked/>
    <w:uiPriority w:val="99"/>
    <w:rPr>
      <w:rFonts w:cs="Times New Roman"/>
      <w:sz w:val="18"/>
      <w:szCs w:val="18"/>
    </w:rPr>
  </w:style>
  <w:style w:type="character" w:customStyle="1" w:styleId="85">
    <w:name w:val="Header Char"/>
    <w:basedOn w:val="47"/>
    <w:link w:val="28"/>
    <w:autoRedefine/>
    <w:semiHidden/>
    <w:qFormat/>
    <w:locked/>
    <w:uiPriority w:val="99"/>
    <w:rPr>
      <w:rFonts w:cs="Times New Roman"/>
      <w:sz w:val="18"/>
      <w:szCs w:val="18"/>
    </w:rPr>
  </w:style>
  <w:style w:type="character" w:customStyle="1" w:styleId="86">
    <w:name w:val="Footnote Text Char"/>
    <w:basedOn w:val="47"/>
    <w:link w:val="32"/>
    <w:autoRedefine/>
    <w:semiHidden/>
    <w:qFormat/>
    <w:locked/>
    <w:uiPriority w:val="99"/>
    <w:rPr>
      <w:rFonts w:cs="Times New Roman"/>
      <w:sz w:val="18"/>
      <w:szCs w:val="18"/>
    </w:rPr>
  </w:style>
  <w:style w:type="character" w:customStyle="1" w:styleId="87">
    <w:name w:val="Body Text Indent 3 Char"/>
    <w:basedOn w:val="47"/>
    <w:link w:val="34"/>
    <w:autoRedefine/>
    <w:semiHidden/>
    <w:qFormat/>
    <w:locked/>
    <w:uiPriority w:val="99"/>
    <w:rPr>
      <w:rFonts w:cs="Times New Roman"/>
      <w:sz w:val="16"/>
      <w:szCs w:val="16"/>
    </w:rPr>
  </w:style>
  <w:style w:type="character" w:customStyle="1" w:styleId="88">
    <w:name w:val="Body Text 2 Char"/>
    <w:basedOn w:val="47"/>
    <w:link w:val="38"/>
    <w:autoRedefine/>
    <w:semiHidden/>
    <w:qFormat/>
    <w:locked/>
    <w:uiPriority w:val="99"/>
    <w:rPr>
      <w:rFonts w:cs="Times New Roman"/>
      <w:sz w:val="24"/>
      <w:szCs w:val="24"/>
    </w:rPr>
  </w:style>
  <w:style w:type="character" w:customStyle="1" w:styleId="89">
    <w:name w:val="HTML Preformatted Char"/>
    <w:basedOn w:val="47"/>
    <w:link w:val="39"/>
    <w:autoRedefine/>
    <w:qFormat/>
    <w:locked/>
    <w:uiPriority w:val="99"/>
    <w:rPr>
      <w:rFonts w:ascii="宋体" w:eastAsia="宋体" w:cs="Times New Roman"/>
      <w:sz w:val="24"/>
    </w:rPr>
  </w:style>
  <w:style w:type="character" w:customStyle="1" w:styleId="90">
    <w:name w:val="Title Char"/>
    <w:basedOn w:val="47"/>
    <w:link w:val="42"/>
    <w:autoRedefine/>
    <w:qFormat/>
    <w:locked/>
    <w:uiPriority w:val="99"/>
    <w:rPr>
      <w:rFonts w:ascii="Cambria" w:hAnsi="Cambria" w:cs="Times New Roman"/>
      <w:b/>
      <w:bCs/>
      <w:sz w:val="32"/>
      <w:szCs w:val="32"/>
    </w:rPr>
  </w:style>
  <w:style w:type="character" w:customStyle="1" w:styleId="91">
    <w:name w:val="Comment Subject Char"/>
    <w:basedOn w:val="77"/>
    <w:link w:val="43"/>
    <w:autoRedefine/>
    <w:semiHidden/>
    <w:qFormat/>
    <w:locked/>
    <w:uiPriority w:val="99"/>
    <w:rPr>
      <w:b/>
      <w:bCs/>
      <w:szCs w:val="24"/>
    </w:rPr>
  </w:style>
  <w:style w:type="paragraph" w:customStyle="1" w:styleId="92">
    <w:name w:val="List Paragraph1"/>
    <w:basedOn w:val="1"/>
    <w:autoRedefine/>
    <w:qFormat/>
    <w:uiPriority w:val="99"/>
    <w:pPr>
      <w:ind w:firstLine="420" w:firstLineChars="200"/>
    </w:pPr>
  </w:style>
  <w:style w:type="paragraph" w:customStyle="1" w:styleId="93">
    <w:name w:val="_Style 62"/>
    <w:basedOn w:val="1"/>
    <w:next w:val="1"/>
    <w:autoRedefine/>
    <w:qFormat/>
    <w:uiPriority w:val="99"/>
    <w:pPr>
      <w:pBdr>
        <w:top w:val="single" w:color="auto" w:sz="6" w:space="1"/>
      </w:pBdr>
      <w:jc w:val="center"/>
    </w:pPr>
    <w:rPr>
      <w:rFonts w:ascii="Arial"/>
      <w:vanish/>
      <w:sz w:val="16"/>
    </w:rPr>
  </w:style>
  <w:style w:type="paragraph" w:customStyle="1" w:styleId="94">
    <w:name w:val="Blockquote"/>
    <w:basedOn w:val="1"/>
    <w:autoRedefine/>
    <w:qFormat/>
    <w:uiPriority w:val="99"/>
    <w:pPr>
      <w:autoSpaceDE w:val="0"/>
      <w:autoSpaceDN w:val="0"/>
      <w:adjustRightInd w:val="0"/>
      <w:ind w:left="360" w:right="360"/>
      <w:jc w:val="left"/>
    </w:pPr>
    <w:rPr>
      <w:kern w:val="0"/>
      <w:sz w:val="24"/>
      <w:szCs w:val="20"/>
    </w:rPr>
  </w:style>
  <w:style w:type="paragraph" w:customStyle="1" w:styleId="95">
    <w:name w:val="表格"/>
    <w:basedOn w:val="1"/>
    <w:autoRedefine/>
    <w:qFormat/>
    <w:uiPriority w:val="99"/>
    <w:pPr>
      <w:jc w:val="center"/>
      <w:textAlignment w:val="center"/>
    </w:pPr>
    <w:rPr>
      <w:rFonts w:ascii="华文细黑" w:hAnsi="华文细黑"/>
      <w:kern w:val="0"/>
      <w:szCs w:val="20"/>
    </w:rPr>
  </w:style>
  <w:style w:type="paragraph" w:customStyle="1" w:styleId="96">
    <w:name w:val="表格文字"/>
    <w:basedOn w:val="1"/>
    <w:autoRedefine/>
    <w:qFormat/>
    <w:uiPriority w:val="99"/>
    <w:pPr>
      <w:adjustRightInd w:val="0"/>
      <w:spacing w:line="420" w:lineRule="atLeast"/>
      <w:jc w:val="left"/>
      <w:textAlignment w:val="baseline"/>
    </w:pPr>
    <w:rPr>
      <w:kern w:val="0"/>
      <w:szCs w:val="20"/>
    </w:rPr>
  </w:style>
  <w:style w:type="paragraph" w:customStyle="1" w:styleId="97">
    <w:name w:val="Char"/>
    <w:basedOn w:val="1"/>
    <w:next w:val="1"/>
    <w:autoRedefine/>
    <w:qFormat/>
    <w:uiPriority w:val="99"/>
    <w:pPr>
      <w:widowControl/>
      <w:spacing w:line="360" w:lineRule="auto"/>
      <w:jc w:val="left"/>
    </w:pPr>
    <w:rPr>
      <w:kern w:val="0"/>
      <w:szCs w:val="20"/>
      <w:lang w:eastAsia="en-US"/>
    </w:rPr>
  </w:style>
  <w:style w:type="paragraph" w:customStyle="1" w:styleId="98">
    <w:name w:val="6'"/>
    <w:basedOn w:val="1"/>
    <w:autoRedefine/>
    <w:qFormat/>
    <w:uiPriority w:val="99"/>
    <w:pPr>
      <w:autoSpaceDE w:val="0"/>
      <w:autoSpaceDN w:val="0"/>
      <w:adjustRightInd w:val="0"/>
      <w:snapToGrid w:val="0"/>
      <w:spacing w:line="320" w:lineRule="exact"/>
      <w:jc w:val="center"/>
      <w:textAlignment w:val="baseline"/>
    </w:pPr>
    <w:rPr>
      <w:spacing w:val="20"/>
      <w:kern w:val="28"/>
      <w:szCs w:val="20"/>
    </w:rPr>
  </w:style>
  <w:style w:type="paragraph" w:customStyle="1" w:styleId="99">
    <w:name w:val="样式2"/>
    <w:basedOn w:val="5"/>
    <w:autoRedefine/>
    <w:qFormat/>
    <w:uiPriority w:val="99"/>
  </w:style>
  <w:style w:type="paragraph" w:customStyle="1" w:styleId="100">
    <w:name w:val="Default Paragraph Char Char Char Char"/>
    <w:basedOn w:val="1"/>
    <w:next w:val="1"/>
    <w:autoRedefine/>
    <w:qFormat/>
    <w:uiPriority w:val="99"/>
    <w:pPr>
      <w:spacing w:line="360" w:lineRule="auto"/>
    </w:pPr>
    <w:rPr>
      <w:szCs w:val="20"/>
    </w:rPr>
  </w:style>
  <w:style w:type="paragraph" w:customStyle="1" w:styleId="101">
    <w:name w:val="节标题"/>
    <w:basedOn w:val="1"/>
    <w:next w:val="1"/>
    <w:autoRedefine/>
    <w:qFormat/>
    <w:uiPriority w:val="99"/>
    <w:pPr>
      <w:widowControl/>
      <w:spacing w:line="289" w:lineRule="atLeast"/>
      <w:jc w:val="center"/>
      <w:textAlignment w:val="baseline"/>
    </w:pPr>
    <w:rPr>
      <w:color w:val="000000"/>
      <w:kern w:val="0"/>
      <w:sz w:val="28"/>
      <w:szCs w:val="20"/>
      <w:u w:color="000000"/>
    </w:rPr>
  </w:style>
  <w:style w:type="paragraph" w:customStyle="1" w:styleId="102">
    <w:name w:val="默认段落字体 Para Char Char Char Char"/>
    <w:basedOn w:val="1"/>
    <w:autoRedefine/>
    <w:qFormat/>
    <w:uiPriority w:val="99"/>
  </w:style>
  <w:style w:type="paragraph" w:customStyle="1" w:styleId="103">
    <w:name w:val="样式 标题 1 + 黑体 五号"/>
    <w:basedOn w:val="3"/>
    <w:autoRedefine/>
    <w:qFormat/>
    <w:uiPriority w:val="99"/>
    <w:pPr>
      <w:jc w:val="left"/>
    </w:pPr>
    <w:rPr>
      <w:rFonts w:ascii="黑体" w:hAnsi="黑体" w:eastAsia="黑体"/>
      <w:sz w:val="21"/>
    </w:rPr>
  </w:style>
  <w:style w:type="paragraph" w:customStyle="1" w:styleId="104">
    <w:name w:val="样式4"/>
    <w:basedOn w:val="5"/>
    <w:autoRedefine/>
    <w:qFormat/>
    <w:uiPriority w:val="99"/>
  </w:style>
  <w:style w:type="paragraph" w:customStyle="1" w:styleId="105">
    <w:name w:val="正文1"/>
    <w:autoRedefine/>
    <w:qFormat/>
    <w:uiPriority w:val="99"/>
    <w:pPr>
      <w:widowControl w:val="0"/>
      <w:adjustRightInd w:val="0"/>
      <w:spacing w:line="312" w:lineRule="atLeast"/>
      <w:jc w:val="both"/>
      <w:textAlignment w:val="baseline"/>
    </w:pPr>
    <w:rPr>
      <w:rFonts w:ascii="宋体" w:hAnsi="Times New Roman" w:eastAsia="宋体" w:cs="宋体"/>
      <w:kern w:val="0"/>
      <w:sz w:val="24"/>
      <w:szCs w:val="24"/>
      <w:lang w:val="en-US" w:eastAsia="zh-CN" w:bidi="ar-SA"/>
    </w:rPr>
  </w:style>
  <w:style w:type="paragraph" w:customStyle="1" w:styleId="106">
    <w:name w:val="列出段落1"/>
    <w:basedOn w:val="1"/>
    <w:autoRedefine/>
    <w:qFormat/>
    <w:uiPriority w:val="99"/>
    <w:pPr>
      <w:ind w:firstLine="200" w:firstLineChars="200"/>
    </w:pPr>
  </w:style>
  <w:style w:type="paragraph" w:customStyle="1" w:styleId="107">
    <w:name w:val="p0 New"/>
    <w:basedOn w:val="1"/>
    <w:autoRedefine/>
    <w:qFormat/>
    <w:uiPriority w:val="99"/>
    <w:pPr>
      <w:widowControl/>
      <w:jc w:val="left"/>
    </w:pPr>
    <w:rPr>
      <w:rFonts w:ascii="宋体" w:hAnsi="宋体" w:cs="宋体"/>
      <w:kern w:val="0"/>
      <w:sz w:val="18"/>
      <w:szCs w:val="18"/>
    </w:rPr>
  </w:style>
  <w:style w:type="paragraph" w:customStyle="1" w:styleId="108">
    <w:name w:val="样式 标题 1 + 黑体 三号 非加粗 居中 段前: 6 磅 段后: 6 磅 行距: 固定值 20 磅"/>
    <w:basedOn w:val="3"/>
    <w:autoRedefine/>
    <w:qFormat/>
    <w:uiPriority w:val="99"/>
    <w:pPr>
      <w:spacing w:line="400" w:lineRule="exact"/>
    </w:pPr>
    <w:rPr>
      <w:rFonts w:ascii="黑体" w:hAnsi="黑体" w:eastAsia="黑体" w:cs="宋体"/>
      <w:b w:val="0"/>
      <w:bCs w:val="0"/>
      <w:sz w:val="32"/>
      <w:szCs w:val="20"/>
    </w:rPr>
  </w:style>
  <w:style w:type="paragraph" w:customStyle="1" w:styleId="109">
    <w:name w:val="_Style 78"/>
    <w:basedOn w:val="3"/>
    <w:next w:val="1"/>
    <w:autoRedefine/>
    <w:qFormat/>
    <w:uiPriority w:val="99"/>
    <w:pPr>
      <w:widowControl/>
      <w:spacing w:before="480" w:line="276" w:lineRule="auto"/>
      <w:jc w:val="left"/>
      <w:outlineLvl w:val="9"/>
    </w:pPr>
    <w:rPr>
      <w:rFonts w:ascii="Cambria" w:hAnsi="Cambria"/>
      <w:color w:val="365F91"/>
      <w:kern w:val="0"/>
      <w:sz w:val="28"/>
      <w:szCs w:val="28"/>
    </w:rPr>
  </w:style>
  <w:style w:type="paragraph" w:customStyle="1" w:styleId="110">
    <w:name w:val="Char1"/>
    <w:basedOn w:val="1"/>
    <w:autoRedefine/>
    <w:qFormat/>
    <w:uiPriority w:val="99"/>
    <w:pPr>
      <w:tabs>
        <w:tab w:val="left" w:pos="360"/>
      </w:tabs>
    </w:pPr>
    <w:rPr>
      <w:sz w:val="24"/>
    </w:rPr>
  </w:style>
  <w:style w:type="paragraph" w:customStyle="1" w:styleId="111">
    <w:name w:val="样式1"/>
    <w:basedOn w:val="5"/>
    <w:autoRedefine/>
    <w:qFormat/>
    <w:uiPriority w:val="99"/>
  </w:style>
  <w:style w:type="paragraph" w:customStyle="1" w:styleId="112">
    <w:name w:val="Char Char Char Char Char Char Char Char Char Char Char Char Char"/>
    <w:basedOn w:val="1"/>
    <w:autoRedefine/>
    <w:qFormat/>
    <w:uiPriority w:val="99"/>
  </w:style>
  <w:style w:type="paragraph" w:customStyle="1" w:styleId="113">
    <w:name w:val="p"/>
    <w:basedOn w:val="1"/>
    <w:autoRedefine/>
    <w:qFormat/>
    <w:uiPriority w:val="99"/>
    <w:rPr>
      <w:rFonts w:ascii="宋体"/>
      <w:sz w:val="24"/>
    </w:rPr>
  </w:style>
  <w:style w:type="paragraph" w:customStyle="1" w:styleId="114">
    <w:name w:val="Char Char Char Char"/>
    <w:basedOn w:val="1"/>
    <w:autoRedefine/>
    <w:qFormat/>
    <w:uiPriority w:val="99"/>
  </w:style>
  <w:style w:type="paragraph" w:customStyle="1" w:styleId="115">
    <w:name w:val="_Style 84"/>
    <w:basedOn w:val="1"/>
    <w:next w:val="1"/>
    <w:autoRedefine/>
    <w:qFormat/>
    <w:uiPriority w:val="99"/>
    <w:pPr>
      <w:pBdr>
        <w:bottom w:val="single" w:color="auto" w:sz="6" w:space="1"/>
      </w:pBdr>
      <w:jc w:val="center"/>
    </w:pPr>
    <w:rPr>
      <w:rFonts w:ascii="Arial"/>
      <w:vanish/>
      <w:sz w:val="16"/>
    </w:rPr>
  </w:style>
  <w:style w:type="paragraph" w:customStyle="1" w:styleId="116">
    <w:name w:val="1"/>
    <w:basedOn w:val="1"/>
    <w:next w:val="1"/>
    <w:autoRedefine/>
    <w:qFormat/>
    <w:uiPriority w:val="99"/>
  </w:style>
  <w:style w:type="paragraph" w:customStyle="1" w:styleId="117">
    <w:name w:val="p15"/>
    <w:autoRedefine/>
    <w:qFormat/>
    <w:uiPriority w:val="99"/>
    <w:pPr>
      <w:jc w:val="both"/>
    </w:pPr>
    <w:rPr>
      <w:rFonts w:ascii="宋体" w:hAnsi="Times New Roman" w:eastAsia="宋体" w:cs="宋体"/>
      <w:kern w:val="0"/>
      <w:sz w:val="21"/>
      <w:szCs w:val="21"/>
      <w:lang w:val="en-US" w:eastAsia="zh-CN" w:bidi="ar-SA"/>
    </w:rPr>
  </w:style>
  <w:style w:type="paragraph" w:customStyle="1" w:styleId="118">
    <w:name w:val="样式 标题 2 + Times New Roman 四号 非加粗 段前: 5 磅 段后: 0 磅 行距: 固定值 20..."/>
    <w:basedOn w:val="4"/>
    <w:autoRedefine/>
    <w:qFormat/>
    <w:uiPriority w:val="99"/>
    <w:pPr>
      <w:spacing w:line="400" w:lineRule="exact"/>
    </w:pPr>
    <w:rPr>
      <w:rFonts w:ascii="Times New Roman" w:hAnsi="Times New Roman" w:cs="宋体"/>
      <w:b w:val="0"/>
      <w:bCs w:val="0"/>
      <w:sz w:val="28"/>
      <w:szCs w:val="20"/>
    </w:rPr>
  </w:style>
  <w:style w:type="paragraph" w:customStyle="1" w:styleId="119">
    <w:name w:val="Table Paragraph"/>
    <w:basedOn w:val="1"/>
    <w:autoRedefine/>
    <w:qFormat/>
    <w:uiPriority w:val="99"/>
    <w:pPr>
      <w:autoSpaceDE w:val="0"/>
      <w:autoSpaceDN w:val="0"/>
      <w:jc w:val="left"/>
    </w:pPr>
    <w:rPr>
      <w:rFonts w:ascii="宋体" w:hAnsi="宋体" w:cs="宋体"/>
      <w:kern w:val="0"/>
      <w:sz w:val="22"/>
      <w:szCs w:val="22"/>
      <w:lang w:val="zh-CN"/>
    </w:rPr>
  </w:style>
  <w:style w:type="paragraph" w:customStyle="1" w:styleId="120">
    <w:name w:val="p0"/>
    <w:basedOn w:val="1"/>
    <w:autoRedefine/>
    <w:qFormat/>
    <w:uiPriority w:val="99"/>
    <w:pPr>
      <w:widowControl/>
    </w:pPr>
    <w:rPr>
      <w:kern w:val="0"/>
      <w:szCs w:val="21"/>
    </w:rPr>
  </w:style>
  <w:style w:type="paragraph" w:customStyle="1" w:styleId="121">
    <w:name w:val="样式3"/>
    <w:basedOn w:val="5"/>
    <w:autoRedefine/>
    <w:qFormat/>
    <w:uiPriority w:val="99"/>
  </w:style>
  <w:style w:type="paragraph" w:customStyle="1" w:styleId="122">
    <w:name w:val="样式 标题 3 + (中文) 黑体 小四 非加粗 段前: 7.8 磅 段后: 0 磅 行距: 固定值 20 磅"/>
    <w:basedOn w:val="5"/>
    <w:autoRedefine/>
    <w:qFormat/>
    <w:uiPriority w:val="99"/>
    <w:pPr>
      <w:spacing w:line="400" w:lineRule="exact"/>
    </w:pPr>
    <w:rPr>
      <w:rFonts w:eastAsia="黑体" w:cs="宋体"/>
      <w:b w:val="0"/>
      <w:bCs w:val="0"/>
      <w:sz w:val="24"/>
      <w:szCs w:val="20"/>
    </w:rPr>
  </w:style>
  <w:style w:type="paragraph" w:customStyle="1" w:styleId="123">
    <w:name w:val="Char Char Char Char Char Char Char Char Char Char Char Char Char1"/>
    <w:basedOn w:val="1"/>
    <w:autoRedefine/>
    <w:qFormat/>
    <w:uiPriority w:val="99"/>
  </w:style>
  <w:style w:type="paragraph" w:customStyle="1" w:styleId="124">
    <w:name w:val="Char4"/>
    <w:basedOn w:val="1"/>
    <w:autoRedefine/>
    <w:qFormat/>
    <w:uiPriority w:val="99"/>
    <w:pPr>
      <w:widowControl/>
      <w:spacing w:line="360" w:lineRule="auto"/>
      <w:ind w:firstLine="200" w:firstLineChars="200"/>
      <w:textAlignment w:val="baseline"/>
    </w:pPr>
    <w:rPr>
      <w:color w:val="000000"/>
      <w:kern w:val="0"/>
      <w:szCs w:val="20"/>
      <w:u w:color="000000"/>
    </w:rPr>
  </w:style>
  <w:style w:type="paragraph" w:customStyle="1" w:styleId="125">
    <w:name w:val="Normal1"/>
    <w:autoRedefine/>
    <w:qFormat/>
    <w:uiPriority w:val="99"/>
    <w:pPr>
      <w:widowControl w:val="0"/>
      <w:jc w:val="both"/>
    </w:pPr>
    <w:rPr>
      <w:rFonts w:ascii="Times New Roman" w:hAnsi="Times New Roman" w:eastAsia="宋体" w:cs="Times New Roman"/>
      <w:kern w:val="0"/>
      <w:sz w:val="20"/>
      <w:szCs w:val="20"/>
      <w:lang w:val="en-US" w:eastAsia="zh-CN" w:bidi="ar-SA"/>
    </w:rPr>
  </w:style>
  <w:style w:type="character" w:customStyle="1" w:styleId="126">
    <w:name w:val="first-child"/>
    <w:basedOn w:val="47"/>
    <w:autoRedefine/>
    <w:qFormat/>
    <w:uiPriority w:val="99"/>
    <w:rPr>
      <w:rFonts w:cs="Times New Roman"/>
    </w:rPr>
  </w:style>
  <w:style w:type="character" w:customStyle="1" w:styleId="127">
    <w:name w:val="Char Char Char Char Char Char"/>
    <w:autoRedefine/>
    <w:qFormat/>
    <w:uiPriority w:val="99"/>
    <w:rPr>
      <w:rFonts w:ascii="Arial" w:hAnsi="Arial" w:eastAsia="黑体"/>
      <w:b/>
      <w:kern w:val="2"/>
      <w:sz w:val="32"/>
      <w:lang w:val="en-US" w:eastAsia="zh-CN"/>
    </w:rPr>
  </w:style>
  <w:style w:type="character" w:customStyle="1" w:styleId="128">
    <w:name w:val="l11"/>
    <w:autoRedefine/>
    <w:qFormat/>
    <w:uiPriority w:val="99"/>
    <w:rPr>
      <w:color w:val="999999"/>
    </w:rPr>
  </w:style>
  <w:style w:type="character" w:customStyle="1" w:styleId="129">
    <w:name w:val="Char Char"/>
    <w:autoRedefine/>
    <w:qFormat/>
    <w:uiPriority w:val="99"/>
    <w:rPr>
      <w:rFonts w:ascii="Arial" w:hAnsi="Arial" w:eastAsia="黑体"/>
      <w:b/>
      <w:kern w:val="2"/>
      <w:sz w:val="32"/>
      <w:lang w:val="en-US" w:eastAsia="zh-CN"/>
    </w:rPr>
  </w:style>
  <w:style w:type="character" w:customStyle="1" w:styleId="130">
    <w:name w:val="Char Char5"/>
    <w:autoRedefine/>
    <w:qFormat/>
    <w:uiPriority w:val="99"/>
    <w:rPr>
      <w:rFonts w:ascii="Arial" w:hAnsi="Arial" w:eastAsia="黑体"/>
      <w:b/>
      <w:kern w:val="2"/>
      <w:sz w:val="32"/>
    </w:rPr>
  </w:style>
  <w:style w:type="character" w:customStyle="1" w:styleId="131">
    <w:name w:val="msg-box28"/>
    <w:basedOn w:val="47"/>
    <w:autoRedefine/>
    <w:qFormat/>
    <w:uiPriority w:val="99"/>
    <w:rPr>
      <w:rFonts w:cs="Times New Roman"/>
    </w:rPr>
  </w:style>
  <w:style w:type="character" w:customStyle="1" w:styleId="132">
    <w:name w:val="img_title6"/>
    <w:autoRedefine/>
    <w:qFormat/>
    <w:uiPriority w:val="99"/>
    <w:rPr>
      <w:vanish/>
    </w:rPr>
  </w:style>
  <w:style w:type="character" w:customStyle="1" w:styleId="133">
    <w:name w:val="tit12"/>
    <w:autoRedefine/>
    <w:qFormat/>
    <w:uiPriority w:val="99"/>
    <w:rPr>
      <w:color w:val="04A06C"/>
    </w:rPr>
  </w:style>
  <w:style w:type="character" w:customStyle="1" w:styleId="134">
    <w:name w:val="Char Char2"/>
    <w:autoRedefine/>
    <w:qFormat/>
    <w:uiPriority w:val="99"/>
    <w:rPr>
      <w:rFonts w:eastAsia="宋体"/>
      <w:kern w:val="2"/>
      <w:sz w:val="24"/>
      <w:lang w:val="en-US" w:eastAsia="zh-CN"/>
    </w:rPr>
  </w:style>
  <w:style w:type="character" w:customStyle="1" w:styleId="135">
    <w:name w:val="nostart"/>
    <w:autoRedefine/>
    <w:qFormat/>
    <w:uiPriority w:val="99"/>
    <w:rPr>
      <w:color w:val="FF0000"/>
    </w:rPr>
  </w:style>
  <w:style w:type="character" w:customStyle="1" w:styleId="136">
    <w:name w:val="nostart3"/>
    <w:basedOn w:val="47"/>
    <w:autoRedefine/>
    <w:qFormat/>
    <w:uiPriority w:val="99"/>
    <w:rPr>
      <w:rFonts w:cs="Times New Roman"/>
    </w:rPr>
  </w:style>
  <w:style w:type="character" w:customStyle="1" w:styleId="137">
    <w:name w:val="img4"/>
    <w:basedOn w:val="47"/>
    <w:autoRedefine/>
    <w:qFormat/>
    <w:uiPriority w:val="99"/>
    <w:rPr>
      <w:rFonts w:cs="Times New Roman"/>
    </w:rPr>
  </w:style>
  <w:style w:type="character" w:customStyle="1" w:styleId="138">
    <w:name w:val="tit11"/>
    <w:autoRedefine/>
    <w:qFormat/>
    <w:uiPriority w:val="99"/>
    <w:rPr>
      <w:color w:val="B60000"/>
    </w:rPr>
  </w:style>
  <w:style w:type="character" w:customStyle="1" w:styleId="139">
    <w:name w:val="over"/>
    <w:autoRedefine/>
    <w:qFormat/>
    <w:uiPriority w:val="99"/>
    <w:rPr>
      <w:color w:val="B60000"/>
    </w:rPr>
  </w:style>
  <w:style w:type="character" w:customStyle="1" w:styleId="140">
    <w:name w:val="l6"/>
    <w:autoRedefine/>
    <w:qFormat/>
    <w:uiPriority w:val="99"/>
    <w:rPr>
      <w:color w:val="999999"/>
    </w:rPr>
  </w:style>
  <w:style w:type="character" w:customStyle="1" w:styleId="141">
    <w:name w:val="datetime"/>
    <w:autoRedefine/>
    <w:qFormat/>
    <w:uiPriority w:val="99"/>
    <w:rPr>
      <w:rFonts w:ascii="Arial" w:hAnsi="Arial"/>
      <w:color w:val="999999"/>
      <w:sz w:val="21"/>
    </w:rPr>
  </w:style>
  <w:style w:type="character" w:customStyle="1" w:styleId="142">
    <w:name w:val="txt1"/>
    <w:basedOn w:val="47"/>
    <w:autoRedefine/>
    <w:qFormat/>
    <w:uiPriority w:val="99"/>
    <w:rPr>
      <w:rFonts w:cs="Times New Roman"/>
    </w:rPr>
  </w:style>
  <w:style w:type="character" w:customStyle="1" w:styleId="143">
    <w:name w:val="starting1"/>
    <w:autoRedefine/>
    <w:qFormat/>
    <w:uiPriority w:val="99"/>
    <w:rPr>
      <w:color w:val="339900"/>
    </w:rPr>
  </w:style>
  <w:style w:type="character" w:customStyle="1" w:styleId="144">
    <w:name w:val="starting2"/>
    <w:autoRedefine/>
    <w:qFormat/>
    <w:uiPriority w:val="99"/>
    <w:rPr>
      <w:color w:val="B60000"/>
    </w:rPr>
  </w:style>
  <w:style w:type="character" w:customStyle="1" w:styleId="145">
    <w:name w:val="red"/>
    <w:autoRedefine/>
    <w:qFormat/>
    <w:uiPriority w:val="99"/>
    <w:rPr>
      <w:rFonts w:ascii="Arial" w:hAnsi="Arial"/>
      <w:color w:val="E50000"/>
    </w:rPr>
  </w:style>
  <w:style w:type="character" w:customStyle="1" w:styleId="146">
    <w:name w:val="Char Char4"/>
    <w:autoRedefine/>
    <w:qFormat/>
    <w:uiPriority w:val="99"/>
    <w:rPr>
      <w:rFonts w:eastAsia="宋体"/>
      <w:b/>
      <w:kern w:val="44"/>
      <w:sz w:val="44"/>
      <w:lang w:val="en-US" w:eastAsia="zh-CN"/>
    </w:rPr>
  </w:style>
  <w:style w:type="character" w:customStyle="1" w:styleId="147">
    <w:name w:val="font161"/>
    <w:autoRedefine/>
    <w:qFormat/>
    <w:uiPriority w:val="99"/>
    <w:rPr>
      <w:b/>
      <w:sz w:val="32"/>
    </w:rPr>
  </w:style>
  <w:style w:type="character" w:customStyle="1" w:styleId="148">
    <w:name w:val="Char Char8"/>
    <w:autoRedefine/>
    <w:qFormat/>
    <w:uiPriority w:val="99"/>
    <w:rPr>
      <w:rFonts w:ascii="Arial" w:hAnsi="Arial" w:eastAsia="黑体"/>
      <w:b/>
      <w:kern w:val="2"/>
      <w:sz w:val="32"/>
      <w:lang w:val="en-US" w:eastAsia="zh-CN"/>
    </w:rPr>
  </w:style>
  <w:style w:type="character" w:customStyle="1" w:styleId="149">
    <w:name w:val="msg-box29"/>
    <w:basedOn w:val="47"/>
    <w:autoRedefine/>
    <w:qFormat/>
    <w:uiPriority w:val="99"/>
    <w:rPr>
      <w:rFonts w:cs="Times New Roman"/>
    </w:rPr>
  </w:style>
  <w:style w:type="character" w:customStyle="1" w:styleId="150">
    <w:name w:val="over2"/>
    <w:autoRedefine/>
    <w:qFormat/>
    <w:uiPriority w:val="99"/>
    <w:rPr>
      <w:color w:val="999999"/>
    </w:rPr>
  </w:style>
  <w:style w:type="character" w:customStyle="1" w:styleId="151">
    <w:name w:val="img_title7"/>
    <w:autoRedefine/>
    <w:qFormat/>
    <w:uiPriority w:val="99"/>
    <w:rPr>
      <w:vanish/>
    </w:rPr>
  </w:style>
  <w:style w:type="character" w:customStyle="1" w:styleId="152">
    <w:name w:val="l7"/>
    <w:autoRedefine/>
    <w:qFormat/>
    <w:uiPriority w:val="99"/>
    <w:rPr>
      <w:color w:val="999999"/>
    </w:rPr>
  </w:style>
  <w:style w:type="character" w:customStyle="1" w:styleId="153">
    <w:name w:val="l51"/>
    <w:autoRedefine/>
    <w:qFormat/>
    <w:uiPriority w:val="99"/>
    <w:rPr>
      <w:color w:val="999999"/>
    </w:rPr>
  </w:style>
  <w:style w:type="character" w:customStyle="1" w:styleId="154">
    <w:name w:val="num81"/>
    <w:basedOn w:val="47"/>
    <w:autoRedefine/>
    <w:qFormat/>
    <w:uiPriority w:val="99"/>
    <w:rPr>
      <w:rFonts w:cs="Times New Roman"/>
    </w:rPr>
  </w:style>
  <w:style w:type="character" w:customStyle="1" w:styleId="155">
    <w:name w:val="Char Char1"/>
    <w:autoRedefine/>
    <w:qFormat/>
    <w:uiPriority w:val="99"/>
    <w:rPr>
      <w:rFonts w:eastAsia="宋体"/>
      <w:kern w:val="2"/>
      <w:sz w:val="24"/>
      <w:lang w:val="en-US" w:eastAsia="zh-CN"/>
    </w:rPr>
  </w:style>
  <w:style w:type="character" w:customStyle="1" w:styleId="156">
    <w:name w:val="zs"/>
    <w:autoRedefine/>
    <w:qFormat/>
    <w:uiPriority w:val="99"/>
    <w:rPr>
      <w:color w:val="8D744B"/>
      <w:sz w:val="18"/>
    </w:rPr>
  </w:style>
  <w:style w:type="character" w:customStyle="1" w:styleId="157">
    <w:name w:val="bigfont"/>
    <w:basedOn w:val="47"/>
    <w:autoRedefine/>
    <w:qFormat/>
    <w:uiPriority w:val="99"/>
    <w:rPr>
      <w:rFonts w:cs="Times New Roman"/>
    </w:rPr>
  </w:style>
  <w:style w:type="character" w:customStyle="1" w:styleId="158">
    <w:name w:val="txt"/>
    <w:autoRedefine/>
    <w:qFormat/>
    <w:uiPriority w:val="99"/>
    <w:rPr>
      <w:color w:val="C0C0C0"/>
    </w:rPr>
  </w:style>
  <w:style w:type="character" w:customStyle="1" w:styleId="159">
    <w:name w:val="jg"/>
    <w:basedOn w:val="47"/>
    <w:autoRedefine/>
    <w:qFormat/>
    <w:uiPriority w:val="99"/>
    <w:rPr>
      <w:rFonts w:cs="Times New Roman"/>
    </w:rPr>
  </w:style>
  <w:style w:type="character" w:customStyle="1" w:styleId="160">
    <w:name w:val="17"/>
    <w:autoRedefine/>
    <w:qFormat/>
    <w:uiPriority w:val="99"/>
    <w:rPr>
      <w:rFonts w:ascii="仿宋_GB2312" w:eastAsia="仿宋_GB2312"/>
      <w:color w:val="auto"/>
      <w:sz w:val="28"/>
      <w:u w:val="single"/>
    </w:rPr>
  </w:style>
  <w:style w:type="character" w:customStyle="1" w:styleId="161">
    <w:name w:val="job"/>
    <w:basedOn w:val="47"/>
    <w:autoRedefine/>
    <w:qFormat/>
    <w:uiPriority w:val="99"/>
    <w:rPr>
      <w:rFonts w:cs="Times New Roman"/>
    </w:rPr>
  </w:style>
  <w:style w:type="character" w:customStyle="1" w:styleId="162">
    <w:name w:val="job1"/>
    <w:basedOn w:val="47"/>
    <w:autoRedefine/>
    <w:qFormat/>
    <w:uiPriority w:val="99"/>
    <w:rPr>
      <w:rFonts w:cs="Times New Roman"/>
    </w:rPr>
  </w:style>
  <w:style w:type="character" w:customStyle="1" w:styleId="163">
    <w:name w:val="标题 2 Char"/>
    <w:autoRedefine/>
    <w:qFormat/>
    <w:uiPriority w:val="99"/>
    <w:rPr>
      <w:rFonts w:ascii="Arial" w:hAnsi="Arial" w:eastAsia="黑体"/>
      <w:b/>
      <w:kern w:val="2"/>
      <w:sz w:val="32"/>
      <w:lang w:val="en-US" w:eastAsia="zh-CN"/>
    </w:rPr>
  </w:style>
  <w:style w:type="character" w:customStyle="1" w:styleId="164">
    <w:name w:val="p05"/>
    <w:basedOn w:val="47"/>
    <w:autoRedefine/>
    <w:qFormat/>
    <w:uiPriority w:val="99"/>
    <w:rPr>
      <w:rFonts w:cs="Times New Roman"/>
    </w:rPr>
  </w:style>
  <w:style w:type="character" w:customStyle="1" w:styleId="165">
    <w:name w:val="Char Char7"/>
    <w:autoRedefine/>
    <w:qFormat/>
    <w:uiPriority w:val="99"/>
    <w:rPr>
      <w:rFonts w:ascii="Arial" w:hAnsi="Arial" w:eastAsia="黑体"/>
      <w:b/>
      <w:kern w:val="2"/>
      <w:sz w:val="32"/>
      <w:lang w:val="en-US" w:eastAsia="zh-CN"/>
    </w:rPr>
  </w:style>
  <w:style w:type="character" w:customStyle="1" w:styleId="166">
    <w:name w:val="over3"/>
    <w:basedOn w:val="47"/>
    <w:autoRedefine/>
    <w:qFormat/>
    <w:uiPriority w:val="99"/>
    <w:rPr>
      <w:rFonts w:cs="Times New Roman"/>
    </w:rPr>
  </w:style>
  <w:style w:type="character" w:customStyle="1" w:styleId="167">
    <w:name w:val="Char Char3"/>
    <w:autoRedefine/>
    <w:qFormat/>
    <w:uiPriority w:val="99"/>
    <w:rPr>
      <w:rFonts w:ascii="Arial" w:hAnsi="Arial" w:eastAsia="黑体"/>
      <w:b/>
      <w:kern w:val="2"/>
      <w:sz w:val="32"/>
      <w:lang w:val="en-US" w:eastAsia="zh-CN"/>
    </w:rPr>
  </w:style>
  <w:style w:type="character" w:customStyle="1" w:styleId="168">
    <w:name w:val="Char Char71"/>
    <w:autoRedefine/>
    <w:qFormat/>
    <w:uiPriority w:val="99"/>
    <w:rPr>
      <w:rFonts w:ascii="Arial" w:hAnsi="Arial" w:eastAsia="黑体"/>
      <w:b/>
      <w:kern w:val="2"/>
      <w:sz w:val="32"/>
      <w:lang w:val="en-US" w:eastAsia="zh-CN"/>
    </w:rPr>
  </w:style>
  <w:style w:type="character" w:customStyle="1" w:styleId="169">
    <w:name w:val="num51"/>
    <w:basedOn w:val="47"/>
    <w:autoRedefine/>
    <w:qFormat/>
    <w:uiPriority w:val="99"/>
    <w:rPr>
      <w:rFonts w:cs="Times New Roman"/>
    </w:rPr>
  </w:style>
  <w:style w:type="character" w:customStyle="1" w:styleId="170">
    <w:name w:val="Char Char Char"/>
    <w:autoRedefine/>
    <w:qFormat/>
    <w:uiPriority w:val="99"/>
    <w:rPr>
      <w:rFonts w:eastAsia="宋体"/>
      <w:b/>
      <w:kern w:val="44"/>
      <w:sz w:val="44"/>
      <w:lang w:val="en-US" w:eastAsia="zh-CN"/>
    </w:rPr>
  </w:style>
  <w:style w:type="character" w:customStyle="1" w:styleId="171">
    <w:name w:val="msg-box31"/>
    <w:basedOn w:val="47"/>
    <w:autoRedefine/>
    <w:qFormat/>
    <w:uiPriority w:val="99"/>
    <w:rPr>
      <w:rFonts w:cs="Times New Roman"/>
    </w:rPr>
  </w:style>
  <w:style w:type="character" w:customStyle="1" w:styleId="172">
    <w:name w:val="msg-box30"/>
    <w:basedOn w:val="47"/>
    <w:autoRedefine/>
    <w:qFormat/>
    <w:uiPriority w:val="99"/>
    <w:rPr>
      <w:rFonts w:cs="Times New Roman"/>
    </w:rPr>
  </w:style>
  <w:style w:type="character" w:customStyle="1" w:styleId="173">
    <w:name w:val="标题 1 Char Char"/>
    <w:autoRedefine/>
    <w:qFormat/>
    <w:uiPriority w:val="99"/>
    <w:rPr>
      <w:rFonts w:eastAsia="宋体"/>
      <w:b/>
      <w:kern w:val="44"/>
      <w:sz w:val="44"/>
      <w:lang w:val="en-US" w:eastAsia="zh-CN"/>
    </w:rPr>
  </w:style>
  <w:style w:type="character" w:customStyle="1" w:styleId="174">
    <w:name w:val="c1"/>
    <w:basedOn w:val="47"/>
    <w:autoRedefine/>
    <w:qFormat/>
    <w:uiPriority w:val="99"/>
    <w:rPr>
      <w:rFonts w:cs="Times New Roman"/>
    </w:rPr>
  </w:style>
  <w:style w:type="character" w:customStyle="1" w:styleId="175">
    <w:name w:val="纯文本 Char1"/>
    <w:autoRedefine/>
    <w:qFormat/>
    <w:uiPriority w:val="99"/>
    <w:rPr>
      <w:rFonts w:ascii="Courier New" w:hAnsi="Courier New" w:eastAsia="宋体"/>
      <w:kern w:val="2"/>
      <w:sz w:val="21"/>
      <w:lang w:val="en-US" w:eastAsia="zh-CN"/>
    </w:rPr>
  </w:style>
  <w:style w:type="character" w:customStyle="1" w:styleId="176">
    <w:name w:val="Char Char Char1"/>
    <w:autoRedefine/>
    <w:qFormat/>
    <w:uiPriority w:val="99"/>
    <w:rPr>
      <w:rFonts w:ascii="Arial" w:hAnsi="Arial" w:eastAsia="黑体"/>
      <w:b/>
      <w:kern w:val="2"/>
      <w:sz w:val="32"/>
      <w:lang w:val="en-US" w:eastAsia="zh-CN"/>
    </w:rPr>
  </w:style>
  <w:style w:type="character" w:customStyle="1" w:styleId="177">
    <w:name w:val="l3"/>
    <w:autoRedefine/>
    <w:qFormat/>
    <w:uiPriority w:val="99"/>
    <w:rPr>
      <w:color w:val="999999"/>
    </w:rPr>
  </w:style>
  <w:style w:type="character" w:customStyle="1" w:styleId="178">
    <w:name w:val="tit14"/>
    <w:autoRedefine/>
    <w:qFormat/>
    <w:uiPriority w:val="99"/>
    <w:rPr>
      <w:color w:val="B60000"/>
    </w:rPr>
  </w:style>
  <w:style w:type="character" w:customStyle="1" w:styleId="179">
    <w:name w:val="tit10"/>
    <w:autoRedefine/>
    <w:qFormat/>
    <w:uiPriority w:val="99"/>
    <w:rPr>
      <w:color w:val="B60000"/>
    </w:rPr>
  </w:style>
  <w:style w:type="character" w:customStyle="1" w:styleId="180">
    <w:name w:val="l21"/>
    <w:autoRedefine/>
    <w:qFormat/>
    <w:uiPriority w:val="99"/>
    <w:rPr>
      <w:color w:val="999999"/>
    </w:rPr>
  </w:style>
  <w:style w:type="character" w:customStyle="1" w:styleId="181">
    <w:name w:val="num71"/>
    <w:basedOn w:val="47"/>
    <w:autoRedefine/>
    <w:qFormat/>
    <w:uiPriority w:val="99"/>
    <w:rPr>
      <w:rFonts w:cs="Times New Roman"/>
    </w:rPr>
  </w:style>
  <w:style w:type="character" w:customStyle="1" w:styleId="182">
    <w:name w:val="标题 2 Char Char"/>
    <w:autoRedefine/>
    <w:qFormat/>
    <w:uiPriority w:val="99"/>
    <w:rPr>
      <w:rFonts w:ascii="Arial" w:hAnsi="Arial" w:eastAsia="黑体"/>
      <w:b/>
      <w:kern w:val="2"/>
      <w:sz w:val="32"/>
      <w:lang w:val="en-US" w:eastAsia="zh-CN"/>
    </w:rPr>
  </w:style>
  <w:style w:type="character" w:customStyle="1" w:styleId="183">
    <w:name w:val="buvis"/>
    <w:autoRedefine/>
    <w:qFormat/>
    <w:uiPriority w:val="99"/>
    <w:rPr>
      <w:color w:val="999999"/>
    </w:rPr>
  </w:style>
  <w:style w:type="character" w:customStyle="1" w:styleId="184">
    <w:name w:val="name"/>
    <w:autoRedefine/>
    <w:qFormat/>
    <w:uiPriority w:val="99"/>
    <w:rPr>
      <w:color w:val="444444"/>
      <w:sz w:val="21"/>
    </w:rPr>
  </w:style>
  <w:style w:type="character" w:customStyle="1" w:styleId="185">
    <w:name w:val="layui-this"/>
    <w:autoRedefine/>
    <w:qFormat/>
    <w:uiPriority w:val="99"/>
    <w:rPr>
      <w:bdr w:val="single" w:color="EEEEEE" w:sz="6" w:space="0"/>
      <w:shd w:val="clear" w:color="auto" w:fill="FFFFFF"/>
    </w:rPr>
  </w:style>
  <w:style w:type="character" w:customStyle="1" w:styleId="186">
    <w:name w:val="标题 2 Char1"/>
    <w:autoRedefine/>
    <w:qFormat/>
    <w:uiPriority w:val="99"/>
    <w:rPr>
      <w:rFonts w:ascii="Arial" w:hAnsi="Arial" w:eastAsia="黑体"/>
      <w:b/>
      <w:kern w:val="2"/>
      <w:sz w:val="32"/>
      <w:lang w:val="en-US" w:eastAsia="zh-CN"/>
    </w:rPr>
  </w:style>
  <w:style w:type="character" w:customStyle="1" w:styleId="187">
    <w:name w:val="zw"/>
    <w:autoRedefine/>
    <w:qFormat/>
    <w:uiPriority w:val="99"/>
    <w:rPr>
      <w:color w:val="BD1E22"/>
      <w:sz w:val="22"/>
    </w:rPr>
  </w:style>
  <w:style w:type="character" w:customStyle="1" w:styleId="188">
    <w:name w:val="name1"/>
    <w:autoRedefine/>
    <w:qFormat/>
    <w:uiPriority w:val="99"/>
    <w:rPr>
      <w:color w:val="695435"/>
      <w:sz w:val="24"/>
    </w:rPr>
  </w:style>
  <w:style w:type="character" w:customStyle="1" w:styleId="189">
    <w:name w:val="num61"/>
    <w:basedOn w:val="47"/>
    <w:autoRedefine/>
    <w:qFormat/>
    <w:uiPriority w:val="99"/>
    <w:rPr>
      <w:rFonts w:cs="Times New Roman"/>
    </w:rPr>
  </w:style>
  <w:style w:type="character" w:customStyle="1" w:styleId="190">
    <w:name w:val="mesg-myd"/>
    <w:autoRedefine/>
    <w:qFormat/>
    <w:uiPriority w:val="99"/>
    <w:rPr>
      <w:color w:val="EE0000"/>
    </w:rPr>
  </w:style>
  <w:style w:type="character" w:customStyle="1" w:styleId="191">
    <w:name w:val="c2"/>
    <w:basedOn w:val="47"/>
    <w:autoRedefine/>
    <w:qFormat/>
    <w:uiPriority w:val="99"/>
    <w:rPr>
      <w:rFonts w:cs="Times New Roman"/>
    </w:rPr>
  </w:style>
  <w:style w:type="character" w:customStyle="1" w:styleId="192">
    <w:name w:val="c3"/>
    <w:basedOn w:val="47"/>
    <w:autoRedefine/>
    <w:qFormat/>
    <w:uiPriority w:val="99"/>
    <w:rPr>
      <w:rFonts w:cs="Times New Roman"/>
    </w:rPr>
  </w:style>
  <w:style w:type="character" w:customStyle="1" w:styleId="193">
    <w:name w:val="over1"/>
    <w:autoRedefine/>
    <w:qFormat/>
    <w:uiPriority w:val="99"/>
    <w:rPr>
      <w:color w:val="B60000"/>
    </w:rPr>
  </w:style>
  <w:style w:type="character" w:customStyle="1" w:styleId="194">
    <w:name w:val="tit13"/>
    <w:autoRedefine/>
    <w:qFormat/>
    <w:uiPriority w:val="99"/>
    <w:rPr>
      <w:color w:val="FFFFFF"/>
    </w:rPr>
  </w:style>
  <w:style w:type="character" w:customStyle="1" w:styleId="195">
    <w:name w:val="Char Char21"/>
    <w:autoRedefine/>
    <w:qFormat/>
    <w:uiPriority w:val="99"/>
    <w:rPr>
      <w:rFonts w:eastAsia="宋体"/>
      <w:kern w:val="2"/>
      <w:sz w:val="24"/>
      <w:lang w:val="en-US" w:eastAsia="zh-CN"/>
    </w:rPr>
  </w:style>
  <w:style w:type="character" w:customStyle="1" w:styleId="196">
    <w:name w:val="l41"/>
    <w:autoRedefine/>
    <w:qFormat/>
    <w:uiPriority w:val="99"/>
    <w:rPr>
      <w:color w:val="999999"/>
    </w:rPr>
  </w:style>
  <w:style w:type="character" w:customStyle="1" w:styleId="197">
    <w:name w:val="16"/>
    <w:autoRedefine/>
    <w:qFormat/>
    <w:uiPriority w:val="99"/>
    <w:rPr>
      <w:rFonts w:ascii="仿宋_GB2312" w:eastAsia="仿宋_GB2312"/>
      <w:color w:val="auto"/>
      <w:sz w:val="28"/>
    </w:rPr>
  </w:style>
  <w:style w:type="character" w:customStyle="1" w:styleId="198">
    <w:name w:val="num31"/>
    <w:basedOn w:val="47"/>
    <w:autoRedefine/>
    <w:qFormat/>
    <w:uiPriority w:val="99"/>
    <w:rPr>
      <w:rFonts w:cs="Times New Roman"/>
    </w:rPr>
  </w:style>
  <w:style w:type="character" w:customStyle="1" w:styleId="199">
    <w:name w:val="starting4"/>
    <w:basedOn w:val="47"/>
    <w:autoRedefine/>
    <w:qFormat/>
    <w:uiPriority w:val="99"/>
    <w:rPr>
      <w:rFonts w:cs="Times New Roman"/>
    </w:rPr>
  </w:style>
  <w:style w:type="character" w:customStyle="1" w:styleId="200">
    <w:name w:val="bsharetext"/>
    <w:basedOn w:val="47"/>
    <w:autoRedefine/>
    <w:qFormat/>
    <w:uiPriority w:val="99"/>
    <w:rPr>
      <w:rFonts w:cs="Times New Roman"/>
    </w:rPr>
  </w:style>
  <w:style w:type="character" w:customStyle="1" w:styleId="201">
    <w:name w:val="unit"/>
    <w:autoRedefine/>
    <w:qFormat/>
    <w:uiPriority w:val="99"/>
    <w:rPr>
      <w:color w:val="999999"/>
    </w:rPr>
  </w:style>
  <w:style w:type="character" w:customStyle="1" w:styleId="202">
    <w:name w:val="nostart2"/>
    <w:autoRedefine/>
    <w:qFormat/>
    <w:uiPriority w:val="99"/>
    <w:rPr>
      <w:color w:val="B60000"/>
    </w:rPr>
  </w:style>
  <w:style w:type="character" w:customStyle="1" w:styleId="203">
    <w:name w:val="纯文本 Char"/>
    <w:autoRedefine/>
    <w:qFormat/>
    <w:uiPriority w:val="99"/>
    <w:rPr>
      <w:rFonts w:ascii="Courier New" w:hAnsi="Courier New" w:eastAsia="宋体"/>
      <w:kern w:val="2"/>
      <w:sz w:val="21"/>
      <w:lang w:val="en-US" w:eastAsia="zh-CN"/>
    </w:rPr>
  </w:style>
  <w:style w:type="character" w:customStyle="1" w:styleId="204">
    <w:name w:val="Char Char81"/>
    <w:autoRedefine/>
    <w:qFormat/>
    <w:uiPriority w:val="99"/>
    <w:rPr>
      <w:rFonts w:ascii="Arial" w:hAnsi="Arial" w:eastAsia="黑体"/>
      <w:b/>
      <w:kern w:val="2"/>
      <w:sz w:val="32"/>
      <w:lang w:val="en-US" w:eastAsia="zh-CN"/>
    </w:rPr>
  </w:style>
  <w:style w:type="character" w:customStyle="1" w:styleId="205">
    <w:name w:val="starting"/>
    <w:autoRedefine/>
    <w:qFormat/>
    <w:uiPriority w:val="99"/>
    <w:rPr>
      <w:color w:val="339900"/>
    </w:rPr>
  </w:style>
  <w:style w:type="character" w:customStyle="1" w:styleId="206">
    <w:name w:val="nostart1"/>
    <w:autoRedefine/>
    <w:qFormat/>
    <w:uiPriority w:val="99"/>
    <w:rPr>
      <w:color w:val="FF0000"/>
    </w:rPr>
  </w:style>
  <w:style w:type="character" w:customStyle="1" w:styleId="207">
    <w:name w:val="num210"/>
    <w:basedOn w:val="47"/>
    <w:autoRedefine/>
    <w:qFormat/>
    <w:uiPriority w:val="99"/>
    <w:rPr>
      <w:rFonts w:cs="Times New Roman"/>
    </w:rPr>
  </w:style>
  <w:style w:type="character" w:customStyle="1" w:styleId="208">
    <w:name w:val="buvis1"/>
    <w:autoRedefine/>
    <w:qFormat/>
    <w:uiPriority w:val="99"/>
    <w:rPr>
      <w:color w:val="CC0000"/>
    </w:rPr>
  </w:style>
  <w:style w:type="character" w:customStyle="1" w:styleId="209">
    <w:name w:val="starting3"/>
    <w:basedOn w:val="47"/>
    <w:autoRedefine/>
    <w:qFormat/>
    <w:uiPriority w:val="99"/>
    <w:rPr>
      <w:rFonts w:cs="Times New Roman"/>
    </w:rPr>
  </w:style>
  <w:style w:type="character" w:customStyle="1" w:styleId="210">
    <w:name w:val="textcontents"/>
    <w:basedOn w:val="47"/>
    <w:autoRedefine/>
    <w:qFormat/>
    <w:uiPriority w:val="99"/>
    <w:rPr>
      <w:rFonts w:cs="Times New Roman"/>
    </w:rPr>
  </w:style>
  <w:style w:type="character" w:customStyle="1" w:styleId="211">
    <w:name w:val="num41"/>
    <w:basedOn w:val="47"/>
    <w:autoRedefine/>
    <w:qFormat/>
    <w:uiPriority w:val="99"/>
    <w:rPr>
      <w:rFonts w:cs="Times New Roman"/>
    </w:rPr>
  </w:style>
  <w:style w:type="character" w:customStyle="1" w:styleId="212">
    <w:name w:val="tit9"/>
    <w:autoRedefine/>
    <w:qFormat/>
    <w:uiPriority w:val="99"/>
    <w:rPr>
      <w:color w:val="B60000"/>
      <w:sz w:val="27"/>
      <w:bdr w:val="single" w:color="DFCEB8" w:sz="6" w:space="0"/>
      <w:shd w:val="clear" w:color="auto" w:fill="FFFFFF"/>
    </w:rPr>
  </w:style>
  <w:style w:type="character" w:customStyle="1" w:styleId="213">
    <w:name w:val="name2"/>
    <w:autoRedefine/>
    <w:qFormat/>
    <w:uiPriority w:val="99"/>
    <w:rPr>
      <w:color w:val="000000"/>
      <w:sz w:val="39"/>
    </w:rPr>
  </w:style>
  <w:style w:type="character" w:customStyle="1" w:styleId="214">
    <w:name w:val="img_title8"/>
    <w:autoRedefine/>
    <w:qFormat/>
    <w:uiPriority w:val="99"/>
    <w:rPr>
      <w:vanish/>
    </w:rPr>
  </w:style>
  <w:style w:type="character" w:customStyle="1" w:styleId="215">
    <w:name w:val="tit15"/>
    <w:autoRedefine/>
    <w:qFormat/>
    <w:uiPriority w:val="99"/>
    <w:rPr>
      <w:b/>
      <w:color w:val="B60000"/>
    </w:rPr>
  </w:style>
  <w:style w:type="character" w:customStyle="1" w:styleId="216">
    <w:name w:val="img_title9"/>
    <w:autoRedefine/>
    <w:qFormat/>
    <w:uiPriority w:val="99"/>
    <w:rPr>
      <w:vanish/>
    </w:rPr>
  </w:style>
  <w:style w:type="table" w:customStyle="1" w:styleId="217">
    <w:name w:val="Table Normal"/>
    <w:autoRedefine/>
    <w:unhideWhenUsed/>
    <w:qFormat/>
    <w:uiPriority w:val="0"/>
    <w:tblPr>
      <w:tblCellMar>
        <w:top w:w="0" w:type="dxa"/>
        <w:left w:w="0" w:type="dxa"/>
        <w:bottom w:w="0" w:type="dxa"/>
        <w:right w:w="0" w:type="dxa"/>
      </w:tblCellMar>
    </w:tblPr>
  </w:style>
  <w:style w:type="paragraph" w:styleId="218">
    <w:name w:val="List Paragraph"/>
    <w:basedOn w:val="1"/>
    <w:autoRedefine/>
    <w:qFormat/>
    <w:uiPriority w:val="34"/>
    <w:pPr>
      <w:ind w:firstLine="420" w:firstLineChars="200"/>
    </w:pPr>
  </w:style>
  <w:style w:type="paragraph" w:customStyle="1" w:styleId="219">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220">
    <w:name w:val="hover"/>
    <w:basedOn w:val="47"/>
    <w:autoRedefine/>
    <w:qFormat/>
    <w:uiPriority w:val="0"/>
  </w:style>
  <w:style w:type="character" w:customStyle="1" w:styleId="221">
    <w:name w:val="hover1"/>
    <w:basedOn w:val="47"/>
    <w:autoRedefine/>
    <w:qFormat/>
    <w:uiPriority w:val="0"/>
    <w:rPr>
      <w:color w:val="2590EB"/>
    </w:rPr>
  </w:style>
  <w:style w:type="character" w:customStyle="1" w:styleId="222">
    <w:name w:val="hover2"/>
    <w:basedOn w:val="47"/>
    <w:autoRedefine/>
    <w:qFormat/>
    <w:uiPriority w:val="0"/>
    <w:rPr>
      <w:color w:val="2590EB"/>
    </w:rPr>
  </w:style>
  <w:style w:type="character" w:customStyle="1" w:styleId="223">
    <w:name w:val="hover3"/>
    <w:basedOn w:val="47"/>
    <w:autoRedefine/>
    <w:qFormat/>
    <w:uiPriority w:val="0"/>
    <w:rPr>
      <w:color w:val="2590EB"/>
      <w:shd w:val="clear" w:fill="E9F4FD"/>
    </w:rPr>
  </w:style>
  <w:style w:type="character" w:customStyle="1" w:styleId="224">
    <w:name w:val="mini-outputtext1"/>
    <w:basedOn w:val="47"/>
    <w:autoRedefine/>
    <w:qFormat/>
    <w:uiPriority w:val="0"/>
  </w:style>
  <w:style w:type="character" w:customStyle="1" w:styleId="225">
    <w:name w:val="hover4"/>
    <w:basedOn w:val="47"/>
    <w:autoRedefine/>
    <w:qFormat/>
    <w:uiPriority w:val="0"/>
    <w:rPr>
      <w:color w:val="2590EB"/>
      <w:shd w:val="clear" w:fill="E9F4FD"/>
    </w:rPr>
  </w:style>
  <w:style w:type="character" w:customStyle="1" w:styleId="226">
    <w:name w:val="font11"/>
    <w:basedOn w:val="47"/>
    <w:qFormat/>
    <w:uiPriority w:val="0"/>
    <w:rPr>
      <w:rFonts w:hint="eastAsia" w:ascii="新宋体" w:hAnsi="新宋体" w:eastAsia="新宋体" w:cs="新宋体"/>
      <w:color w:val="000000"/>
      <w:sz w:val="28"/>
      <w:szCs w:val="28"/>
      <w:u w:val="none"/>
    </w:rPr>
  </w:style>
  <w:style w:type="character" w:customStyle="1" w:styleId="227">
    <w:name w:val="font21"/>
    <w:basedOn w:val="47"/>
    <w:qFormat/>
    <w:uiPriority w:val="0"/>
    <w:rPr>
      <w:rFonts w:hint="eastAsia" w:ascii="宋体" w:hAnsi="宋体" w:eastAsia="宋体" w:cs="宋体"/>
      <w:color w:val="000000"/>
      <w:sz w:val="21"/>
      <w:szCs w:val="21"/>
      <w:u w:val="none"/>
    </w:rPr>
  </w:style>
  <w:style w:type="character" w:customStyle="1" w:styleId="228">
    <w:name w:val="status"/>
    <w:basedOn w:val="47"/>
    <w:uiPriority w:val="0"/>
    <w:rPr>
      <w:color w:val="0776DD"/>
    </w:rPr>
  </w:style>
  <w:style w:type="character" w:customStyle="1" w:styleId="229">
    <w:name w:val="timeaxis"/>
    <w:basedOn w:val="47"/>
    <w:uiPriority w:val="0"/>
  </w:style>
  <w:style w:type="character" w:customStyle="1" w:styleId="230">
    <w:name w:val="room"/>
    <w:basedOn w:val="47"/>
    <w:uiPriority w:val="0"/>
  </w:style>
  <w:style w:type="character" w:customStyle="1" w:styleId="231">
    <w:name w:val="time"/>
    <w:basedOn w:val="47"/>
    <w:uiPriority w:val="0"/>
  </w:style>
  <w:style w:type="character" w:customStyle="1" w:styleId="232">
    <w:name w:val="layui-layer-tabnow"/>
    <w:basedOn w:val="47"/>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18f7ab41-47cb-4bb8-b459-6062c6db6838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5E82273</paraID>
      <start>0</start>
      <end>1</end>
      <status>unmodified</status>
      <modifiedWord/>
      <trackRevisions>false</trackRevisions>
    </reviewItem>
    <reviewItem>
      <errorID>e794df0e-8cc7-4378-a6ff-c33667185846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8C27A69</paraID>
      <start>64</start>
      <end>65</end>
      <status>unmodified</status>
      <modifiedWord/>
      <trackRevisions>false</trackRevisions>
    </reviewItem>
    <reviewItem>
      <errorID>fe9de968-41cb-486e-a380-256f7fe565a9</errorID>
      <errorWord>我</errorWord>
      <group>L1_Word</group>
      <groupName>字词问题</groupName>
      <ability>L2_Typo</ability>
      <abilityName>字词错误</abilityName>
      <candidateList>
        <item/>
      </candidateList>
      <explain/>
      <paraID>4B90C209</paraID>
      <start>0</start>
      <end>1</end>
      <status>unmodified</status>
      <modifiedWord/>
      <trackRevisions>false</trackRevisions>
    </reviewItem>
    <reviewItem>
      <errorID>d02d16b0-49b7-42c0-9fba-622b69dd564e</errorID>
      <errorWord>我</errorWord>
      <group>L1_Word</group>
      <groupName>字词问题</groupName>
      <ability>L2_Typo</ability>
      <abilityName>字词错误</abilityName>
      <candidateList>
        <item/>
      </candidateList>
      <explain/>
      <paraID>4B90C209</paraID>
      <start>5</start>
      <end>6</end>
      <status>unmodified</status>
      <modifiedWord/>
      <trackRevisions>false</trackRevisions>
    </reviewItem>
    <reviewItem>
      <errorID>1416dfbd-e2ae-4381-a2a8-5fd9d11db283</errorID>
      <errorWord>(</errorWord>
      <group>L1_Format</group>
      <groupName>格式问题</groupName>
      <ability>L2_HalfPunc_CN</ability>
      <abilityName>全半角问题</abilityName>
      <candidateList>
        <item>（</item>
      </candidateList>
      <explain>文本全半角错误。</explain>
      <paraID>4B90C209</paraID>
      <start>37</start>
      <end>38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832c93-a325-4f18-8064-e243153c9f65}">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37</Pages>
  <Words>15913</Words>
  <Characters>17382</Characters>
  <Lines>0</Lines>
  <Paragraphs>0</Paragraphs>
  <TotalTime>3</TotalTime>
  <ScaleCrop>false</ScaleCrop>
  <LinksUpToDate>false</LinksUpToDate>
  <CharactersWithSpaces>17834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韦韦</cp:lastModifiedBy>
  <cp:lastPrinted>2026-07-02T01:03:00Z</cp:lastPrinted>
  <dcterms:modified xsi:type="dcterms:W3CDTF">2026-11-02T08:50:33Z</dcterms:modified>
  <dc:title>标准交易文件</dc:title>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2BA5B740C02F47E681EC07D84F9C1581_13</vt:lpwstr>
  </property>
  <property fmtid="{D5CDD505-2E9C-101B-9397-08002B2CF9AE}" pid="4" name="KSOTemplateDocerSaveRecord">
    <vt:lpwstr>eyJoZGlkIjoiZmQ5MGI3YTdkMjVkZTZjM2ZjZTQ5YjMxYTJjZjRlOWEiLCJ1c2VySWQiOiIzNjE4MjQ5In0=</vt:lpwstr>
  </property>
</Properties>
</file>