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03D05">
      <w:pPr>
        <w:pStyle w:val="13"/>
        <w:ind w:left="0" w:leftChars="0" w:firstLine="0" w:firstLineChars="0"/>
        <w:rPr>
          <w:rFonts w:ascii="新宋体" w:hAnsi="新宋体" w:eastAsia="新宋体"/>
          <w:b/>
          <w:sz w:val="44"/>
          <w:szCs w:val="44"/>
          <w:highlight w:val="none"/>
        </w:rPr>
      </w:pPr>
      <w:bookmarkStart w:id="0" w:name="OLE_LINK1"/>
      <w:bookmarkStart w:id="172" w:name="_GoBack"/>
      <w:r>
        <w:rPr>
          <w:rFonts w:hint="eastAsia" w:ascii="新宋体" w:hAnsi="新宋体" w:eastAsia="新宋体"/>
          <w:b/>
          <w:sz w:val="44"/>
          <w:szCs w:val="44"/>
          <w:highlight w:val="none"/>
        </w:rPr>
        <w:t xml:space="preserve"> </w:t>
      </w:r>
    </w:p>
    <w:p w14:paraId="32EE72D8">
      <w:pPr>
        <w:spacing w:line="312" w:lineRule="auto"/>
        <w:jc w:val="center"/>
        <w:rPr>
          <w:rFonts w:hint="eastAsia" w:ascii="新宋体" w:hAnsi="新宋体" w:eastAsia="新宋体"/>
          <w:b/>
          <w:sz w:val="48"/>
          <w:szCs w:val="48"/>
          <w:highlight w:val="none"/>
          <w:lang w:eastAsia="zh-CN"/>
        </w:rPr>
      </w:pPr>
      <w:r>
        <w:rPr>
          <w:rFonts w:hint="eastAsia" w:ascii="新宋体" w:hAnsi="新宋体" w:eastAsia="新宋体"/>
          <w:b/>
          <w:sz w:val="48"/>
          <w:szCs w:val="48"/>
          <w:highlight w:val="none"/>
          <w:lang w:eastAsia="zh-CN"/>
        </w:rPr>
        <w:t>2025年滁州轨道运营消防器材采购项目</w:t>
      </w:r>
    </w:p>
    <w:p w14:paraId="1609D47B">
      <w:pPr>
        <w:spacing w:line="312" w:lineRule="auto"/>
        <w:jc w:val="center"/>
        <w:rPr>
          <w:rFonts w:hint="eastAsia" w:ascii="宋体" w:hAnsi="宋体"/>
          <w:b/>
          <w:sz w:val="84"/>
          <w:szCs w:val="84"/>
          <w:highlight w:val="none"/>
        </w:rPr>
      </w:pPr>
    </w:p>
    <w:p w14:paraId="498E417A">
      <w:pPr>
        <w:spacing w:line="312" w:lineRule="auto"/>
        <w:jc w:val="center"/>
        <w:rPr>
          <w:rFonts w:ascii="宋体" w:hAnsi="宋体"/>
          <w:b/>
          <w:sz w:val="84"/>
          <w:szCs w:val="84"/>
          <w:highlight w:val="none"/>
        </w:rPr>
      </w:pPr>
      <w:r>
        <w:rPr>
          <w:rFonts w:hint="eastAsia" w:ascii="宋体" w:hAnsi="宋体"/>
          <w:b/>
          <w:sz w:val="84"/>
          <w:szCs w:val="84"/>
          <w:highlight w:val="none"/>
        </w:rPr>
        <w:t>招 标 文 件</w:t>
      </w:r>
    </w:p>
    <w:p w14:paraId="7A051ED3">
      <w:pPr>
        <w:spacing w:after="156" w:afterLines="50"/>
        <w:ind w:left="-850" w:leftChars="-405" w:right="-625"/>
        <w:jc w:val="center"/>
        <w:rPr>
          <w:rFonts w:hint="eastAsia" w:ascii="宋体" w:hAnsi="宋体"/>
          <w:sz w:val="40"/>
          <w:szCs w:val="36"/>
          <w:highlight w:val="none"/>
        </w:rPr>
      </w:pPr>
    </w:p>
    <w:p w14:paraId="6FD853EA">
      <w:pPr>
        <w:spacing w:after="156" w:afterLines="50"/>
        <w:ind w:left="-850" w:leftChars="-405" w:right="-625"/>
        <w:jc w:val="center"/>
        <w:rPr>
          <w:rFonts w:hint="eastAsia" w:ascii="宋体" w:hAnsi="宋体"/>
          <w:sz w:val="40"/>
          <w:szCs w:val="36"/>
          <w:highlight w:val="none"/>
        </w:rPr>
      </w:pPr>
      <w:r>
        <w:rPr>
          <w:rFonts w:hint="eastAsia" w:ascii="宋体" w:hAnsi="宋体"/>
          <w:sz w:val="40"/>
          <w:szCs w:val="36"/>
          <w:highlight w:val="none"/>
        </w:rPr>
        <w:t>（电子招标投标）</w:t>
      </w:r>
    </w:p>
    <w:p w14:paraId="45535E8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jc w:val="center"/>
        <w:rPr>
          <w:rFonts w:hint="default" w:ascii="Times New Roman" w:hAnsi="Times New Roman" w:eastAsia="宋体" w:cs="Times New Roman"/>
          <w:sz w:val="24"/>
          <w:highlight w:val="none"/>
        </w:rPr>
      </w:pPr>
      <w:r>
        <w:rPr>
          <w:rFonts w:hint="eastAsia" w:ascii="Times New Roman" w:hAnsi="Times New Roman" w:eastAsia="宋体" w:cs="Times New Roman"/>
          <w:sz w:val="24"/>
          <w:highlight w:val="none"/>
        </w:rPr>
        <w:t>项目编号</w:t>
      </w:r>
      <w:r>
        <w:rPr>
          <w:rFonts w:hint="eastAsia" w:ascii="Times New Roman" w:hAnsi="Times New Roman" w:eastAsia="宋体" w:cs="Times New Roman"/>
          <w:sz w:val="24"/>
          <w:highlight w:val="none"/>
          <w:lang w:eastAsia="zh-CN"/>
        </w:rPr>
        <w:t>：</w:t>
      </w:r>
      <w:r>
        <w:rPr>
          <w:rFonts w:hint="default" w:ascii="Times New Roman" w:hAnsi="Times New Roman" w:eastAsia="宋体" w:cs="Times New Roman"/>
          <w:sz w:val="24"/>
          <w:highlight w:val="none"/>
          <w:lang w:val="en-US" w:eastAsia="zh-CN"/>
        </w:rPr>
        <w:t>czsjqt202506-010</w:t>
      </w:r>
    </w:p>
    <w:p w14:paraId="04438BE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jc w:val="center"/>
        <w:rPr>
          <w:rFonts w:hint="default" w:ascii="Times New Roman" w:hAnsi="Times New Roman" w:eastAsia="宋体" w:cs="Times New Roman"/>
          <w:sz w:val="24"/>
          <w:highlight w:val="none"/>
        </w:rPr>
      </w:pPr>
    </w:p>
    <w:p w14:paraId="42DD96B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jc w:val="center"/>
        <w:rPr>
          <w:rFonts w:hint="eastAsia" w:ascii="Times New Roman" w:hAnsi="Times New Roman" w:eastAsia="宋体" w:cs="Times New Roman"/>
          <w:sz w:val="24"/>
          <w:highlight w:val="none"/>
          <w:lang w:eastAsia="zh-CN"/>
        </w:rPr>
      </w:pPr>
    </w:p>
    <w:p w14:paraId="198BD8AA">
      <w:pPr>
        <w:widowControl/>
        <w:wordWrap w:val="0"/>
        <w:rPr>
          <w:sz w:val="24"/>
          <w:highlight w:val="none"/>
        </w:rPr>
      </w:pPr>
    </w:p>
    <w:p w14:paraId="4000ACA9">
      <w:pPr>
        <w:rPr>
          <w:rFonts w:hint="eastAsia" w:ascii="宋体"/>
          <w:bCs/>
          <w:szCs w:val="21"/>
          <w:highlight w:val="none"/>
        </w:rPr>
      </w:pPr>
    </w:p>
    <w:p w14:paraId="3923C464">
      <w:pPr>
        <w:rPr>
          <w:rFonts w:hint="eastAsia" w:ascii="宋体"/>
          <w:bCs/>
          <w:szCs w:val="21"/>
          <w:highlight w:val="none"/>
        </w:rPr>
      </w:pPr>
    </w:p>
    <w:p w14:paraId="737D0FC4">
      <w:pPr>
        <w:rPr>
          <w:rFonts w:hint="eastAsia" w:ascii="宋体"/>
          <w:bCs/>
          <w:szCs w:val="21"/>
          <w:highlight w:val="none"/>
        </w:rPr>
      </w:pPr>
    </w:p>
    <w:p w14:paraId="582C668C">
      <w:pPr>
        <w:pStyle w:val="13"/>
        <w:rPr>
          <w:rFonts w:hint="eastAsia" w:ascii="宋体"/>
          <w:bCs/>
          <w:szCs w:val="21"/>
          <w:highlight w:val="none"/>
        </w:rPr>
      </w:pPr>
    </w:p>
    <w:p w14:paraId="77E3F49E">
      <w:pPr>
        <w:pStyle w:val="75"/>
        <w:rPr>
          <w:rFonts w:hint="eastAsia"/>
          <w:highlight w:val="none"/>
        </w:rPr>
      </w:pPr>
    </w:p>
    <w:p w14:paraId="620F724C">
      <w:pPr>
        <w:pStyle w:val="13"/>
        <w:rPr>
          <w:rFonts w:hint="eastAsia" w:ascii="宋体"/>
          <w:bCs/>
          <w:szCs w:val="21"/>
          <w:highlight w:val="none"/>
        </w:rPr>
      </w:pPr>
    </w:p>
    <w:p w14:paraId="77A71071">
      <w:pPr>
        <w:pStyle w:val="35"/>
        <w:ind w:firstLine="210"/>
        <w:rPr>
          <w:rFonts w:hint="eastAsia" w:ascii="宋体"/>
          <w:bCs/>
          <w:szCs w:val="21"/>
          <w:highlight w:val="none"/>
        </w:rPr>
      </w:pPr>
    </w:p>
    <w:p w14:paraId="2D0FD9DA">
      <w:pPr>
        <w:rPr>
          <w:rFonts w:hint="eastAsia" w:ascii="宋体"/>
          <w:bCs/>
          <w:szCs w:val="21"/>
          <w:highlight w:val="none"/>
        </w:rPr>
      </w:pPr>
    </w:p>
    <w:p w14:paraId="59B559B9">
      <w:pPr>
        <w:spacing w:line="800" w:lineRule="exact"/>
        <w:rPr>
          <w:rFonts w:hint="eastAsia" w:ascii="宋体"/>
          <w:b/>
          <w:sz w:val="30"/>
          <w:szCs w:val="30"/>
          <w:highlight w:val="none"/>
          <w:u w:val="thick"/>
        </w:rPr>
      </w:pPr>
      <w:r>
        <w:rPr>
          <w:rFonts w:hint="eastAsia"/>
          <w:b/>
          <w:bCs/>
          <w:sz w:val="30"/>
          <w:szCs w:val="30"/>
          <w:highlight w:val="none"/>
        </w:rPr>
        <w:t>招   标  人：</w:t>
      </w:r>
      <w:r>
        <w:rPr>
          <w:rFonts w:hint="eastAsia" w:ascii="宋体" w:hAnsi="Times New Roman" w:eastAsia="宋体" w:cs="Times New Roman"/>
          <w:b/>
          <w:sz w:val="30"/>
          <w:szCs w:val="30"/>
          <w:highlight w:val="none"/>
          <w:u w:val="thick"/>
          <w:lang w:val="en-US" w:eastAsia="zh-CN"/>
        </w:rPr>
        <w:t xml:space="preserve">    </w:t>
      </w:r>
      <w:r>
        <w:rPr>
          <w:rFonts w:hint="eastAsia" w:ascii="宋体" w:hAnsi="Times New Roman" w:eastAsia="宋体" w:cs="Times New Roman"/>
          <w:b/>
          <w:sz w:val="30"/>
          <w:szCs w:val="30"/>
          <w:highlight w:val="none"/>
          <w:u w:val="thick"/>
          <w:lang w:eastAsia="zh-CN"/>
        </w:rPr>
        <w:t>滁州市轨道交通运营有限公司</w:t>
      </w:r>
      <w:r>
        <w:rPr>
          <w:rFonts w:hint="eastAsia" w:ascii="宋体"/>
          <w:b/>
          <w:sz w:val="30"/>
          <w:szCs w:val="30"/>
          <w:highlight w:val="none"/>
          <w:u w:val="thick"/>
        </w:rPr>
        <w:t xml:space="preserve"> </w:t>
      </w:r>
      <w:r>
        <w:rPr>
          <w:rFonts w:hint="eastAsia" w:ascii="宋体"/>
          <w:b/>
          <w:sz w:val="30"/>
          <w:szCs w:val="30"/>
          <w:highlight w:val="none"/>
          <w:u w:val="thick"/>
          <w:lang w:val="en-US" w:eastAsia="zh-CN"/>
        </w:rPr>
        <w:t xml:space="preserve"> </w:t>
      </w:r>
      <w:r>
        <w:rPr>
          <w:rFonts w:hint="eastAsia" w:ascii="宋体"/>
          <w:b/>
          <w:sz w:val="30"/>
          <w:szCs w:val="30"/>
          <w:highlight w:val="none"/>
          <w:u w:val="thick"/>
        </w:rPr>
        <w:t>（盖章）</w:t>
      </w:r>
    </w:p>
    <w:p w14:paraId="651E2AE2">
      <w:pPr>
        <w:spacing w:line="800" w:lineRule="exact"/>
        <w:rPr>
          <w:rFonts w:hint="eastAsia" w:ascii="宋体"/>
          <w:b/>
          <w:sz w:val="30"/>
          <w:szCs w:val="30"/>
          <w:highlight w:val="none"/>
          <w:u w:val="thick"/>
        </w:rPr>
      </w:pPr>
      <w:r>
        <w:rPr>
          <w:rFonts w:hint="eastAsia"/>
          <w:b/>
          <w:bCs/>
          <w:sz w:val="32"/>
          <w:highlight w:val="none"/>
        </w:rPr>
        <w:t>招标</w:t>
      </w:r>
      <w:r>
        <w:rPr>
          <w:rFonts w:hint="eastAsia"/>
          <w:b/>
          <w:bCs/>
          <w:spacing w:val="-20"/>
          <w:sz w:val="32"/>
          <w:highlight w:val="none"/>
        </w:rPr>
        <w:t>代理机构</w:t>
      </w:r>
      <w:r>
        <w:rPr>
          <w:rFonts w:hint="eastAsia"/>
          <w:b/>
          <w:bCs/>
          <w:sz w:val="32"/>
          <w:szCs w:val="32"/>
          <w:highlight w:val="none"/>
        </w:rPr>
        <w:t>：</w:t>
      </w:r>
      <w:r>
        <w:rPr>
          <w:rFonts w:hint="eastAsia" w:ascii="宋体"/>
          <w:b/>
          <w:sz w:val="30"/>
          <w:szCs w:val="30"/>
          <w:highlight w:val="none"/>
          <w:u w:val="thick"/>
        </w:rPr>
        <w:t>滁州市城投工程咨询管理有限公司 （盖章）</w:t>
      </w:r>
    </w:p>
    <w:p w14:paraId="761C6A77">
      <w:pPr>
        <w:spacing w:line="900" w:lineRule="exact"/>
        <w:rPr>
          <w:bCs/>
          <w:spacing w:val="60"/>
          <w:sz w:val="36"/>
          <w:highlight w:val="none"/>
        </w:rPr>
      </w:pPr>
      <w:r>
        <w:rPr>
          <w:rFonts w:hint="eastAsia"/>
          <w:b/>
          <w:bCs/>
          <w:spacing w:val="-20"/>
          <w:sz w:val="32"/>
          <w:highlight w:val="none"/>
        </w:rPr>
        <w:t>发  布  日  期：</w:t>
      </w:r>
      <w:r>
        <w:rPr>
          <w:rFonts w:hint="eastAsia" w:ascii="宋体"/>
          <w:b/>
          <w:sz w:val="30"/>
          <w:szCs w:val="30"/>
          <w:highlight w:val="none"/>
          <w:u w:val="thick"/>
        </w:rPr>
        <w:t xml:space="preserve">            202</w:t>
      </w:r>
      <w:r>
        <w:rPr>
          <w:rFonts w:hint="eastAsia" w:ascii="宋体"/>
          <w:b/>
          <w:sz w:val="30"/>
          <w:szCs w:val="30"/>
          <w:highlight w:val="none"/>
          <w:u w:val="thick"/>
          <w:lang w:val="en-US" w:eastAsia="zh-CN"/>
        </w:rPr>
        <w:t>5</w:t>
      </w:r>
      <w:r>
        <w:rPr>
          <w:rFonts w:hint="eastAsia" w:ascii="宋体"/>
          <w:b/>
          <w:sz w:val="30"/>
          <w:szCs w:val="30"/>
          <w:highlight w:val="none"/>
          <w:u w:val="thick"/>
        </w:rPr>
        <w:t>年</w:t>
      </w:r>
      <w:r>
        <w:rPr>
          <w:rFonts w:hint="eastAsia" w:ascii="宋体"/>
          <w:b/>
          <w:sz w:val="30"/>
          <w:szCs w:val="30"/>
          <w:highlight w:val="none"/>
          <w:u w:val="thick"/>
          <w:lang w:val="en-US" w:eastAsia="zh-CN"/>
        </w:rPr>
        <w:t>06</w:t>
      </w:r>
      <w:r>
        <w:rPr>
          <w:rFonts w:hint="eastAsia" w:ascii="宋体"/>
          <w:b/>
          <w:sz w:val="30"/>
          <w:szCs w:val="30"/>
          <w:highlight w:val="none"/>
          <w:u w:val="thick"/>
        </w:rPr>
        <w:t xml:space="preserve">月                </w:t>
      </w:r>
    </w:p>
    <w:p w14:paraId="2611141D">
      <w:pPr>
        <w:spacing w:line="700" w:lineRule="exact"/>
        <w:ind w:firstLine="616" w:firstLineChars="128"/>
        <w:rPr>
          <w:b/>
          <w:bCs/>
          <w:spacing w:val="60"/>
          <w:sz w:val="36"/>
          <w:highlight w:val="none"/>
          <w:u w:val="thick"/>
        </w:rPr>
        <w:sectPr>
          <w:headerReference r:id="rId5" w:type="first"/>
          <w:headerReference r:id="rId3" w:type="default"/>
          <w:footerReference r:id="rId6" w:type="default"/>
          <w:headerReference r:id="rId4" w:type="even"/>
          <w:footerReference r:id="rId7" w:type="even"/>
          <w:pgSz w:w="11905" w:h="16838"/>
          <w:pgMar w:top="1440" w:right="1080" w:bottom="1440" w:left="1080" w:header="851" w:footer="992" w:gutter="0"/>
          <w:pgBorders>
            <w:top w:val="none" w:sz="0" w:space="0"/>
            <w:left w:val="none" w:sz="0" w:space="0"/>
            <w:bottom w:val="none" w:sz="0" w:space="0"/>
            <w:right w:val="none" w:sz="0" w:space="0"/>
          </w:pgBorders>
          <w:pgNumType w:fmt="decimal" w:start="1"/>
          <w:cols w:space="720" w:num="1"/>
          <w:rtlGutter w:val="0"/>
          <w:docGrid w:type="lines" w:linePitch="325" w:charSpace="0"/>
        </w:sectPr>
      </w:pPr>
    </w:p>
    <w:p w14:paraId="451FD3E9">
      <w:pPr>
        <w:spacing w:line="360" w:lineRule="exact"/>
        <w:rPr>
          <w:rFonts w:hint="eastAsia"/>
          <w:b/>
          <w:sz w:val="36"/>
          <w:highlight w:val="none"/>
        </w:rPr>
      </w:pPr>
    </w:p>
    <w:p w14:paraId="51118CF2">
      <w:pPr>
        <w:spacing w:line="360" w:lineRule="exact"/>
        <w:jc w:val="center"/>
        <w:rPr>
          <w:rFonts w:hint="eastAsia"/>
          <w:b/>
          <w:sz w:val="36"/>
          <w:highlight w:val="none"/>
        </w:rPr>
      </w:pPr>
    </w:p>
    <w:p w14:paraId="064E95C4">
      <w:pPr>
        <w:pStyle w:val="13"/>
        <w:rPr>
          <w:rFonts w:hint="eastAsia"/>
          <w:highlight w:val="none"/>
        </w:rPr>
      </w:pPr>
    </w:p>
    <w:p w14:paraId="7F99BD58">
      <w:pPr>
        <w:spacing w:line="360" w:lineRule="exact"/>
        <w:jc w:val="center"/>
        <w:rPr>
          <w:rFonts w:hint="eastAsia"/>
          <w:b/>
          <w:sz w:val="36"/>
          <w:highlight w:val="none"/>
        </w:rPr>
      </w:pPr>
    </w:p>
    <w:p w14:paraId="7637809F">
      <w:pPr>
        <w:spacing w:line="360" w:lineRule="exact"/>
        <w:jc w:val="center"/>
        <w:rPr>
          <w:rFonts w:hint="eastAsia"/>
          <w:b/>
          <w:sz w:val="36"/>
          <w:highlight w:val="none"/>
        </w:rPr>
      </w:pPr>
      <w:r>
        <w:rPr>
          <w:rFonts w:hint="eastAsia"/>
          <w:b/>
          <w:sz w:val="36"/>
          <w:highlight w:val="none"/>
        </w:rPr>
        <w:t>目  录</w:t>
      </w:r>
    </w:p>
    <w:p w14:paraId="32F4FC7F">
      <w:pPr>
        <w:spacing w:line="720" w:lineRule="auto"/>
        <w:jc w:val="center"/>
        <w:rPr>
          <w:rFonts w:hint="eastAsia"/>
          <w:b/>
          <w:sz w:val="36"/>
          <w:highlight w:val="none"/>
        </w:rPr>
      </w:pPr>
    </w:p>
    <w:p w14:paraId="4A760359">
      <w:pPr>
        <w:pStyle w:val="26"/>
        <w:tabs>
          <w:tab w:val="right" w:leader="dot" w:pos="8296"/>
        </w:tabs>
        <w:spacing w:line="720" w:lineRule="auto"/>
        <w:jc w:val="center"/>
        <w:rPr>
          <w:rFonts w:ascii="宋体" w:hAnsi="宋体"/>
          <w:b/>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TOC \o "1-3" \h \z \u </w:instrText>
      </w:r>
      <w:r>
        <w:rPr>
          <w:rFonts w:hint="eastAsia" w:ascii="宋体" w:hAnsi="宋体" w:cs="宋体"/>
          <w:sz w:val="24"/>
          <w:highlight w:val="none"/>
        </w:rPr>
        <w:fldChar w:fldCharType="separate"/>
      </w:r>
      <w:r>
        <w:rPr>
          <w:rFonts w:ascii="宋体" w:hAnsi="宋体"/>
          <w:sz w:val="24"/>
          <w:highlight w:val="none"/>
        </w:rPr>
        <w:fldChar w:fldCharType="begin"/>
      </w:r>
      <w:r>
        <w:rPr>
          <w:rStyle w:val="47"/>
          <w:rFonts w:ascii="宋体" w:hAnsi="宋体"/>
          <w:color w:val="auto"/>
          <w:sz w:val="24"/>
          <w:highlight w:val="none"/>
        </w:rPr>
        <w:instrText xml:space="preserve"> </w:instrText>
      </w:r>
      <w:r>
        <w:rPr>
          <w:rFonts w:ascii="宋体" w:hAnsi="宋体"/>
          <w:sz w:val="24"/>
          <w:highlight w:val="none"/>
        </w:rPr>
        <w:instrText xml:space="preserve">HYPERLINK \l "_Toc58430304"</w:instrText>
      </w:r>
      <w:r>
        <w:rPr>
          <w:rStyle w:val="47"/>
          <w:rFonts w:ascii="宋体" w:hAnsi="宋体"/>
          <w:color w:val="auto"/>
          <w:sz w:val="24"/>
          <w:highlight w:val="none"/>
        </w:rPr>
        <w:instrText xml:space="preserve"> </w:instrText>
      </w:r>
      <w:r>
        <w:rPr>
          <w:rFonts w:ascii="宋体" w:hAnsi="宋体"/>
          <w:sz w:val="24"/>
          <w:highlight w:val="none"/>
        </w:rPr>
        <w:fldChar w:fldCharType="separate"/>
      </w:r>
      <w:r>
        <w:rPr>
          <w:rStyle w:val="47"/>
          <w:rFonts w:hint="eastAsia" w:ascii="宋体" w:hAnsi="宋体"/>
          <w:b/>
          <w:color w:val="auto"/>
          <w:sz w:val="24"/>
          <w:highlight w:val="none"/>
        </w:rPr>
        <w:t>第一章</w:t>
      </w:r>
      <w:r>
        <w:rPr>
          <w:rStyle w:val="47"/>
          <w:rFonts w:ascii="宋体" w:hAnsi="宋体"/>
          <w:b/>
          <w:color w:val="auto"/>
          <w:sz w:val="24"/>
          <w:highlight w:val="none"/>
        </w:rPr>
        <w:t xml:space="preserve"> </w:t>
      </w:r>
      <w:r>
        <w:rPr>
          <w:rStyle w:val="47"/>
          <w:rFonts w:hint="eastAsia" w:ascii="宋体" w:hAnsi="宋体"/>
          <w:b/>
          <w:color w:val="auto"/>
          <w:sz w:val="24"/>
          <w:highlight w:val="none"/>
        </w:rPr>
        <w:t>招标公告</w:t>
      </w:r>
      <w:r>
        <w:rPr>
          <w:rFonts w:ascii="宋体" w:hAnsi="宋体"/>
          <w:b/>
          <w:sz w:val="24"/>
          <w:highlight w:val="none"/>
        </w:rPr>
        <w:tab/>
      </w:r>
      <w:r>
        <w:rPr>
          <w:rFonts w:hint="eastAsia" w:ascii="宋体" w:hAnsi="宋体"/>
          <w:b/>
          <w:sz w:val="24"/>
          <w:highlight w:val="none"/>
        </w:rPr>
        <w:t>1</w:t>
      </w:r>
      <w:r>
        <w:rPr>
          <w:rFonts w:ascii="宋体" w:hAnsi="宋体"/>
          <w:b/>
          <w:sz w:val="24"/>
          <w:highlight w:val="none"/>
        </w:rPr>
        <w:fldChar w:fldCharType="end"/>
      </w:r>
    </w:p>
    <w:p w14:paraId="7B82D5D4">
      <w:pPr>
        <w:pStyle w:val="26"/>
        <w:tabs>
          <w:tab w:val="right" w:leader="dot" w:pos="8296"/>
        </w:tabs>
        <w:spacing w:line="720" w:lineRule="auto"/>
        <w:jc w:val="center"/>
        <w:rPr>
          <w:rFonts w:ascii="宋体" w:hAnsi="宋体"/>
          <w:b/>
          <w:sz w:val="24"/>
          <w:highlight w:val="none"/>
        </w:rPr>
      </w:pPr>
      <w:r>
        <w:rPr>
          <w:rFonts w:ascii="宋体" w:hAnsi="宋体"/>
          <w:b/>
          <w:sz w:val="24"/>
          <w:highlight w:val="none"/>
        </w:rPr>
        <w:fldChar w:fldCharType="begin"/>
      </w:r>
      <w:r>
        <w:rPr>
          <w:rStyle w:val="47"/>
          <w:rFonts w:ascii="宋体" w:hAnsi="宋体"/>
          <w:b/>
          <w:color w:val="auto"/>
          <w:sz w:val="24"/>
          <w:highlight w:val="none"/>
        </w:rPr>
        <w:instrText xml:space="preserve"> </w:instrText>
      </w:r>
      <w:r>
        <w:rPr>
          <w:rFonts w:ascii="宋体" w:hAnsi="宋体"/>
          <w:b/>
          <w:sz w:val="24"/>
          <w:highlight w:val="none"/>
        </w:rPr>
        <w:instrText xml:space="preserve">HYPERLINK \l "_Toc58430313"</w:instrText>
      </w:r>
      <w:r>
        <w:rPr>
          <w:rStyle w:val="47"/>
          <w:rFonts w:ascii="宋体" w:hAnsi="宋体"/>
          <w:b/>
          <w:color w:val="auto"/>
          <w:sz w:val="24"/>
          <w:highlight w:val="none"/>
        </w:rPr>
        <w:instrText xml:space="preserve"> </w:instrText>
      </w:r>
      <w:r>
        <w:rPr>
          <w:rFonts w:ascii="宋体" w:hAnsi="宋体"/>
          <w:b/>
          <w:sz w:val="24"/>
          <w:highlight w:val="none"/>
        </w:rPr>
        <w:fldChar w:fldCharType="separate"/>
      </w:r>
      <w:r>
        <w:rPr>
          <w:rStyle w:val="47"/>
          <w:rFonts w:hint="eastAsia" w:ascii="宋体" w:hAnsi="宋体"/>
          <w:b/>
          <w:color w:val="auto"/>
          <w:sz w:val="24"/>
          <w:highlight w:val="none"/>
        </w:rPr>
        <w:t>第二章</w:t>
      </w:r>
      <w:r>
        <w:rPr>
          <w:rStyle w:val="47"/>
          <w:rFonts w:ascii="宋体" w:hAnsi="宋体"/>
          <w:b/>
          <w:color w:val="auto"/>
          <w:sz w:val="24"/>
          <w:highlight w:val="none"/>
        </w:rPr>
        <w:t xml:space="preserve"> </w:t>
      </w:r>
      <w:r>
        <w:rPr>
          <w:rStyle w:val="47"/>
          <w:rFonts w:hint="eastAsia" w:ascii="宋体" w:hAnsi="宋体"/>
          <w:b/>
          <w:color w:val="auto"/>
          <w:sz w:val="24"/>
          <w:highlight w:val="none"/>
        </w:rPr>
        <w:t>投标人须知</w:t>
      </w:r>
      <w:r>
        <w:rPr>
          <w:rFonts w:ascii="宋体" w:hAnsi="宋体"/>
          <w:b/>
          <w:sz w:val="24"/>
          <w:highlight w:val="none"/>
        </w:rPr>
        <w:tab/>
      </w:r>
      <w:r>
        <w:rPr>
          <w:rFonts w:hint="eastAsia" w:ascii="宋体" w:hAnsi="宋体"/>
          <w:b/>
          <w:sz w:val="24"/>
          <w:highlight w:val="none"/>
          <w:lang w:val="en-US" w:eastAsia="zh-CN"/>
        </w:rPr>
        <w:t>5</w:t>
      </w:r>
      <w:r>
        <w:rPr>
          <w:rFonts w:ascii="宋体" w:hAnsi="宋体"/>
          <w:b/>
          <w:sz w:val="24"/>
          <w:highlight w:val="none"/>
        </w:rPr>
        <w:fldChar w:fldCharType="end"/>
      </w:r>
    </w:p>
    <w:p w14:paraId="6536AE50">
      <w:pPr>
        <w:pStyle w:val="26"/>
        <w:tabs>
          <w:tab w:val="right" w:leader="dot" w:pos="8296"/>
        </w:tabs>
        <w:spacing w:line="720" w:lineRule="auto"/>
        <w:jc w:val="center"/>
        <w:rPr>
          <w:rFonts w:hint="default" w:ascii="宋体" w:hAnsi="宋体" w:eastAsia="宋体"/>
          <w:b/>
          <w:sz w:val="24"/>
          <w:highlight w:val="none"/>
          <w:lang w:val="en-US" w:eastAsia="zh-CN"/>
        </w:rPr>
      </w:pPr>
      <w:r>
        <w:rPr>
          <w:rStyle w:val="47"/>
          <w:rFonts w:hint="eastAsia" w:ascii="宋体" w:hAnsi="宋体"/>
          <w:b/>
          <w:color w:val="auto"/>
          <w:sz w:val="24"/>
          <w:highlight w:val="none"/>
        </w:rPr>
        <w:t>第三章 资格审查办法</w:t>
      </w:r>
      <w:r>
        <w:rPr>
          <w:rFonts w:ascii="宋体" w:hAnsi="宋体"/>
          <w:b/>
          <w:sz w:val="24"/>
          <w:highlight w:val="none"/>
        </w:rPr>
        <w:fldChar w:fldCharType="begin"/>
      </w:r>
      <w:r>
        <w:rPr>
          <w:rStyle w:val="47"/>
          <w:rFonts w:ascii="宋体" w:hAnsi="宋体"/>
          <w:b/>
          <w:color w:val="auto"/>
          <w:sz w:val="24"/>
          <w:highlight w:val="none"/>
        </w:rPr>
        <w:instrText xml:space="preserve"> </w:instrText>
      </w:r>
      <w:r>
        <w:rPr>
          <w:rFonts w:ascii="宋体" w:hAnsi="宋体"/>
          <w:b/>
          <w:sz w:val="24"/>
          <w:highlight w:val="none"/>
        </w:rPr>
        <w:instrText xml:space="preserve">HYPERLINK \l "_Toc58430316"</w:instrText>
      </w:r>
      <w:r>
        <w:rPr>
          <w:rStyle w:val="47"/>
          <w:rFonts w:ascii="宋体" w:hAnsi="宋体"/>
          <w:b/>
          <w:color w:val="auto"/>
          <w:sz w:val="24"/>
          <w:highlight w:val="none"/>
        </w:rPr>
        <w:instrText xml:space="preserve"> </w:instrText>
      </w:r>
      <w:r>
        <w:rPr>
          <w:rFonts w:ascii="宋体" w:hAnsi="宋体"/>
          <w:b/>
          <w:sz w:val="24"/>
          <w:highlight w:val="none"/>
        </w:rPr>
        <w:fldChar w:fldCharType="separate"/>
      </w:r>
      <w:r>
        <w:rPr>
          <w:rFonts w:ascii="宋体" w:hAnsi="宋体"/>
          <w:b/>
          <w:sz w:val="24"/>
          <w:highlight w:val="none"/>
        </w:rPr>
        <w:tab/>
      </w:r>
      <w:r>
        <w:rPr>
          <w:rFonts w:hint="eastAsia" w:ascii="宋体" w:hAnsi="宋体"/>
          <w:b/>
          <w:sz w:val="24"/>
          <w:highlight w:val="none"/>
          <w:lang w:val="en-US" w:eastAsia="zh-CN"/>
        </w:rPr>
        <w:t>2</w:t>
      </w:r>
      <w:r>
        <w:rPr>
          <w:rFonts w:ascii="宋体" w:hAnsi="宋体"/>
          <w:b/>
          <w:sz w:val="24"/>
          <w:highlight w:val="none"/>
        </w:rPr>
        <w:fldChar w:fldCharType="end"/>
      </w:r>
      <w:r>
        <w:rPr>
          <w:rFonts w:hint="eastAsia" w:ascii="宋体" w:hAnsi="宋体"/>
          <w:b/>
          <w:sz w:val="24"/>
          <w:highlight w:val="none"/>
          <w:lang w:val="en-US" w:eastAsia="zh-CN"/>
        </w:rPr>
        <w:t>0</w:t>
      </w:r>
    </w:p>
    <w:p w14:paraId="2F23421A">
      <w:pPr>
        <w:pStyle w:val="26"/>
        <w:tabs>
          <w:tab w:val="right" w:leader="dot" w:pos="8296"/>
        </w:tabs>
        <w:spacing w:line="720" w:lineRule="auto"/>
        <w:jc w:val="center"/>
        <w:rPr>
          <w:rFonts w:hint="eastAsia" w:ascii="宋体" w:eastAsia="宋体"/>
          <w:b/>
          <w:sz w:val="32"/>
          <w:szCs w:val="32"/>
          <w:highlight w:val="none"/>
          <w:lang w:eastAsia="zh-CN"/>
        </w:rPr>
      </w:pPr>
      <w:r>
        <w:rPr>
          <w:rStyle w:val="47"/>
          <w:rFonts w:hint="eastAsia" w:ascii="宋体" w:hAnsi="宋体"/>
          <w:b/>
          <w:color w:val="auto"/>
          <w:sz w:val="24"/>
          <w:highlight w:val="none"/>
        </w:rPr>
        <w:t>第四章</w:t>
      </w:r>
      <w:r>
        <w:rPr>
          <w:rStyle w:val="47"/>
          <w:rFonts w:ascii="宋体" w:hAnsi="宋体"/>
          <w:b/>
          <w:color w:val="auto"/>
          <w:sz w:val="24"/>
          <w:highlight w:val="none"/>
        </w:rPr>
        <w:t xml:space="preserve"> </w:t>
      </w:r>
      <w:r>
        <w:rPr>
          <w:rStyle w:val="47"/>
          <w:rFonts w:hint="eastAsia" w:ascii="宋体" w:hAnsi="宋体"/>
          <w:b/>
          <w:color w:val="auto"/>
          <w:sz w:val="24"/>
          <w:highlight w:val="none"/>
        </w:rPr>
        <w:t>评标办法</w:t>
      </w:r>
      <w:r>
        <w:rPr>
          <w:rFonts w:ascii="宋体" w:hAnsi="宋体"/>
          <w:b/>
          <w:sz w:val="24"/>
          <w:highlight w:val="none"/>
        </w:rPr>
        <w:tab/>
      </w:r>
      <w:r>
        <w:rPr>
          <w:rFonts w:hint="eastAsia" w:ascii="宋体" w:hAnsi="宋体"/>
          <w:b/>
          <w:sz w:val="24"/>
          <w:highlight w:val="none"/>
        </w:rPr>
        <w:t>2</w:t>
      </w:r>
      <w:r>
        <w:rPr>
          <w:rFonts w:hint="eastAsia" w:ascii="宋体" w:hAnsi="宋体"/>
          <w:b/>
          <w:sz w:val="24"/>
          <w:highlight w:val="none"/>
          <w:lang w:val="en-US" w:eastAsia="zh-CN"/>
        </w:rPr>
        <w:t>2</w:t>
      </w:r>
    </w:p>
    <w:p w14:paraId="1F03784A">
      <w:pPr>
        <w:pStyle w:val="26"/>
        <w:tabs>
          <w:tab w:val="right" w:leader="dot" w:pos="8296"/>
        </w:tabs>
        <w:spacing w:line="720" w:lineRule="auto"/>
        <w:jc w:val="center"/>
        <w:rPr>
          <w:rFonts w:hint="eastAsia" w:ascii="宋体" w:hAnsi="宋体" w:eastAsia="宋体"/>
          <w:b/>
          <w:sz w:val="24"/>
          <w:highlight w:val="none"/>
          <w:lang w:eastAsia="zh-CN"/>
        </w:rPr>
      </w:pPr>
      <w:r>
        <w:rPr>
          <w:rFonts w:ascii="宋体" w:hAnsi="宋体"/>
          <w:b/>
          <w:sz w:val="24"/>
          <w:highlight w:val="none"/>
        </w:rPr>
        <w:fldChar w:fldCharType="begin"/>
      </w:r>
      <w:r>
        <w:rPr>
          <w:rStyle w:val="47"/>
          <w:rFonts w:ascii="宋体" w:hAnsi="宋体"/>
          <w:b/>
          <w:color w:val="auto"/>
          <w:sz w:val="24"/>
          <w:highlight w:val="none"/>
        </w:rPr>
        <w:instrText xml:space="preserve"> </w:instrText>
      </w:r>
      <w:r>
        <w:rPr>
          <w:rFonts w:ascii="宋体" w:hAnsi="宋体"/>
          <w:b/>
          <w:sz w:val="24"/>
          <w:highlight w:val="none"/>
        </w:rPr>
        <w:instrText xml:space="preserve">HYPERLINK \l "_Toc58430328"</w:instrText>
      </w:r>
      <w:r>
        <w:rPr>
          <w:rStyle w:val="47"/>
          <w:rFonts w:ascii="宋体" w:hAnsi="宋体"/>
          <w:b/>
          <w:color w:val="auto"/>
          <w:sz w:val="24"/>
          <w:highlight w:val="none"/>
        </w:rPr>
        <w:instrText xml:space="preserve"> </w:instrText>
      </w:r>
      <w:r>
        <w:rPr>
          <w:rFonts w:ascii="宋体" w:hAnsi="宋体"/>
          <w:b/>
          <w:sz w:val="24"/>
          <w:highlight w:val="none"/>
        </w:rPr>
        <w:fldChar w:fldCharType="separate"/>
      </w:r>
      <w:r>
        <w:rPr>
          <w:rStyle w:val="47"/>
          <w:rFonts w:hint="eastAsia" w:ascii="宋体" w:hAnsi="宋体"/>
          <w:b/>
          <w:color w:val="auto"/>
          <w:sz w:val="24"/>
          <w:highlight w:val="none"/>
        </w:rPr>
        <w:t>第五章</w:t>
      </w:r>
      <w:r>
        <w:rPr>
          <w:rStyle w:val="47"/>
          <w:rFonts w:ascii="宋体" w:hAnsi="宋体"/>
          <w:b/>
          <w:color w:val="auto"/>
          <w:sz w:val="24"/>
          <w:highlight w:val="none"/>
        </w:rPr>
        <w:t xml:space="preserve"> </w:t>
      </w:r>
      <w:r>
        <w:rPr>
          <w:rStyle w:val="47"/>
          <w:rFonts w:hint="eastAsia" w:ascii="宋体" w:hAnsi="宋体"/>
          <w:b/>
          <w:color w:val="auto"/>
          <w:sz w:val="24"/>
          <w:highlight w:val="none"/>
          <w:lang w:eastAsia="zh-CN"/>
        </w:rPr>
        <w:t>用户需求书</w:t>
      </w:r>
      <w:r>
        <w:rPr>
          <w:rFonts w:ascii="宋体" w:hAnsi="宋体"/>
          <w:b/>
          <w:sz w:val="24"/>
          <w:highlight w:val="none"/>
        </w:rPr>
        <w:tab/>
      </w:r>
      <w:r>
        <w:rPr>
          <w:rFonts w:hint="eastAsia" w:ascii="宋体" w:hAnsi="宋体"/>
          <w:b/>
          <w:sz w:val="24"/>
          <w:highlight w:val="none"/>
          <w:lang w:val="en-US" w:eastAsia="zh-CN"/>
        </w:rPr>
        <w:t>2</w:t>
      </w:r>
      <w:r>
        <w:rPr>
          <w:rFonts w:ascii="宋体" w:hAnsi="宋体"/>
          <w:b/>
          <w:sz w:val="24"/>
          <w:highlight w:val="none"/>
        </w:rPr>
        <w:fldChar w:fldCharType="end"/>
      </w:r>
      <w:r>
        <w:rPr>
          <w:rFonts w:hint="eastAsia" w:ascii="宋体" w:hAnsi="宋体"/>
          <w:b/>
          <w:sz w:val="24"/>
          <w:highlight w:val="none"/>
          <w:lang w:val="en-US" w:eastAsia="zh-CN"/>
        </w:rPr>
        <w:t>7</w:t>
      </w:r>
    </w:p>
    <w:p w14:paraId="540468F6">
      <w:pPr>
        <w:pStyle w:val="26"/>
        <w:tabs>
          <w:tab w:val="right" w:leader="dot" w:pos="8296"/>
        </w:tabs>
        <w:spacing w:line="720" w:lineRule="auto"/>
        <w:jc w:val="center"/>
        <w:rPr>
          <w:rFonts w:hint="eastAsia" w:ascii="宋体" w:hAnsi="宋体" w:eastAsia="宋体"/>
          <w:b/>
          <w:sz w:val="24"/>
          <w:highlight w:val="none"/>
          <w:lang w:eastAsia="zh-CN"/>
        </w:rPr>
      </w:pPr>
      <w:r>
        <w:rPr>
          <w:rFonts w:ascii="宋体" w:hAnsi="宋体"/>
          <w:b/>
          <w:sz w:val="24"/>
          <w:highlight w:val="none"/>
        </w:rPr>
        <w:fldChar w:fldCharType="begin"/>
      </w:r>
      <w:r>
        <w:rPr>
          <w:rStyle w:val="47"/>
          <w:rFonts w:ascii="宋体" w:hAnsi="宋体"/>
          <w:b/>
          <w:color w:val="auto"/>
          <w:sz w:val="24"/>
          <w:highlight w:val="none"/>
        </w:rPr>
        <w:instrText xml:space="preserve"> </w:instrText>
      </w:r>
      <w:r>
        <w:rPr>
          <w:rFonts w:ascii="宋体" w:hAnsi="宋体"/>
          <w:b/>
          <w:sz w:val="24"/>
          <w:highlight w:val="none"/>
        </w:rPr>
        <w:instrText xml:space="preserve">HYPERLINK \l "_Toc58430329"</w:instrText>
      </w:r>
      <w:r>
        <w:rPr>
          <w:rStyle w:val="47"/>
          <w:rFonts w:ascii="宋体" w:hAnsi="宋体"/>
          <w:b/>
          <w:color w:val="auto"/>
          <w:sz w:val="24"/>
          <w:highlight w:val="none"/>
        </w:rPr>
        <w:instrText xml:space="preserve"> </w:instrText>
      </w:r>
      <w:r>
        <w:rPr>
          <w:rFonts w:ascii="宋体" w:hAnsi="宋体"/>
          <w:b/>
          <w:sz w:val="24"/>
          <w:highlight w:val="none"/>
        </w:rPr>
        <w:fldChar w:fldCharType="separate"/>
      </w:r>
      <w:r>
        <w:rPr>
          <w:rStyle w:val="47"/>
          <w:rFonts w:hint="eastAsia" w:ascii="宋体" w:hAnsi="宋体"/>
          <w:b/>
          <w:color w:val="auto"/>
          <w:sz w:val="24"/>
          <w:highlight w:val="none"/>
        </w:rPr>
        <w:t>第六章</w:t>
      </w:r>
      <w:r>
        <w:rPr>
          <w:rStyle w:val="47"/>
          <w:rFonts w:ascii="宋体" w:hAnsi="宋体"/>
          <w:b/>
          <w:color w:val="auto"/>
          <w:sz w:val="24"/>
          <w:highlight w:val="none"/>
        </w:rPr>
        <w:t xml:space="preserve"> </w:t>
      </w:r>
      <w:r>
        <w:rPr>
          <w:rStyle w:val="47"/>
          <w:rFonts w:hint="eastAsia" w:ascii="宋体" w:hAnsi="宋体"/>
          <w:b/>
          <w:color w:val="auto"/>
          <w:sz w:val="24"/>
          <w:highlight w:val="none"/>
        </w:rPr>
        <w:t>合同条款及格式</w:t>
      </w:r>
      <w:r>
        <w:rPr>
          <w:rFonts w:ascii="宋体" w:hAnsi="宋体"/>
          <w:b/>
          <w:sz w:val="24"/>
          <w:highlight w:val="none"/>
        </w:rPr>
        <w:tab/>
      </w:r>
      <w:r>
        <w:rPr>
          <w:rFonts w:hint="eastAsia" w:ascii="宋体" w:hAnsi="宋体"/>
          <w:b/>
          <w:sz w:val="24"/>
          <w:highlight w:val="none"/>
          <w:lang w:val="en-US" w:eastAsia="zh-CN"/>
        </w:rPr>
        <w:t>3</w:t>
      </w:r>
      <w:r>
        <w:rPr>
          <w:rFonts w:ascii="宋体" w:hAnsi="宋体"/>
          <w:b/>
          <w:sz w:val="24"/>
          <w:highlight w:val="none"/>
        </w:rPr>
        <w:fldChar w:fldCharType="end"/>
      </w:r>
      <w:r>
        <w:rPr>
          <w:rFonts w:hint="eastAsia" w:ascii="宋体" w:hAnsi="宋体"/>
          <w:b/>
          <w:sz w:val="24"/>
          <w:highlight w:val="none"/>
          <w:lang w:val="en-US" w:eastAsia="zh-CN"/>
        </w:rPr>
        <w:t>2</w:t>
      </w:r>
    </w:p>
    <w:p w14:paraId="78F273DD">
      <w:pPr>
        <w:pStyle w:val="26"/>
        <w:tabs>
          <w:tab w:val="right" w:leader="dot" w:pos="8296"/>
        </w:tabs>
        <w:spacing w:line="720" w:lineRule="auto"/>
        <w:jc w:val="center"/>
        <w:rPr>
          <w:rFonts w:hint="default" w:ascii="宋体" w:hAnsi="宋体" w:eastAsia="宋体"/>
          <w:b/>
          <w:sz w:val="24"/>
          <w:highlight w:val="none"/>
          <w:lang w:val="en-US" w:eastAsia="zh-CN"/>
        </w:rPr>
      </w:pPr>
      <w:r>
        <w:rPr>
          <w:rFonts w:ascii="宋体" w:hAnsi="宋体"/>
          <w:b/>
          <w:sz w:val="24"/>
          <w:highlight w:val="none"/>
        </w:rPr>
        <w:fldChar w:fldCharType="begin"/>
      </w:r>
      <w:r>
        <w:rPr>
          <w:rStyle w:val="47"/>
          <w:rFonts w:ascii="宋体" w:hAnsi="宋体"/>
          <w:b/>
          <w:color w:val="auto"/>
          <w:sz w:val="24"/>
          <w:highlight w:val="none"/>
        </w:rPr>
        <w:instrText xml:space="preserve"> </w:instrText>
      </w:r>
      <w:r>
        <w:rPr>
          <w:rFonts w:ascii="宋体" w:hAnsi="宋体"/>
          <w:b/>
          <w:sz w:val="24"/>
          <w:highlight w:val="none"/>
        </w:rPr>
        <w:instrText xml:space="preserve">HYPERLINK \l "_Toc58430332"</w:instrText>
      </w:r>
      <w:r>
        <w:rPr>
          <w:rStyle w:val="47"/>
          <w:rFonts w:ascii="宋体" w:hAnsi="宋体"/>
          <w:b/>
          <w:color w:val="auto"/>
          <w:sz w:val="24"/>
          <w:highlight w:val="none"/>
        </w:rPr>
        <w:instrText xml:space="preserve"> </w:instrText>
      </w:r>
      <w:r>
        <w:rPr>
          <w:rFonts w:ascii="宋体" w:hAnsi="宋体"/>
          <w:b/>
          <w:sz w:val="24"/>
          <w:highlight w:val="none"/>
        </w:rPr>
        <w:fldChar w:fldCharType="separate"/>
      </w:r>
      <w:r>
        <w:rPr>
          <w:rStyle w:val="47"/>
          <w:rFonts w:hint="eastAsia" w:ascii="宋体" w:hAnsi="宋体"/>
          <w:b/>
          <w:color w:val="auto"/>
          <w:sz w:val="24"/>
          <w:highlight w:val="none"/>
        </w:rPr>
        <w:t>第七章</w:t>
      </w:r>
      <w:r>
        <w:rPr>
          <w:rStyle w:val="47"/>
          <w:rFonts w:ascii="宋体" w:hAnsi="宋体"/>
          <w:b/>
          <w:color w:val="auto"/>
          <w:sz w:val="24"/>
          <w:highlight w:val="none"/>
        </w:rPr>
        <w:t xml:space="preserve"> </w:t>
      </w:r>
      <w:r>
        <w:rPr>
          <w:rStyle w:val="47"/>
          <w:rFonts w:hint="eastAsia" w:ascii="宋体" w:hAnsi="宋体"/>
          <w:b/>
          <w:color w:val="auto"/>
          <w:sz w:val="24"/>
          <w:highlight w:val="none"/>
        </w:rPr>
        <w:t>投标文件格式</w:t>
      </w:r>
      <w:r>
        <w:rPr>
          <w:rFonts w:ascii="宋体" w:hAnsi="宋体"/>
          <w:b/>
          <w:sz w:val="24"/>
          <w:highlight w:val="none"/>
        </w:rPr>
        <w:tab/>
      </w:r>
      <w:r>
        <w:rPr>
          <w:rFonts w:ascii="宋体" w:hAnsi="宋体"/>
          <w:b/>
          <w:sz w:val="24"/>
          <w:highlight w:val="none"/>
        </w:rPr>
        <w:fldChar w:fldCharType="end"/>
      </w:r>
      <w:r>
        <w:rPr>
          <w:rFonts w:hint="eastAsia" w:ascii="宋体" w:hAnsi="宋体"/>
          <w:b/>
          <w:sz w:val="24"/>
          <w:highlight w:val="none"/>
          <w:lang w:val="en-US" w:eastAsia="zh-CN"/>
        </w:rPr>
        <w:t>46</w:t>
      </w:r>
    </w:p>
    <w:p w14:paraId="4B677DF6">
      <w:pPr>
        <w:pStyle w:val="26"/>
        <w:tabs>
          <w:tab w:val="right" w:leader="dot" w:pos="8296"/>
        </w:tabs>
        <w:spacing w:line="720" w:lineRule="auto"/>
        <w:jc w:val="center"/>
        <w:rPr>
          <w:rStyle w:val="47"/>
          <w:rFonts w:hint="default" w:ascii="宋体" w:hAnsi="宋体" w:eastAsia="宋体"/>
          <w:b/>
          <w:color w:val="auto"/>
          <w:sz w:val="24"/>
          <w:highlight w:val="none"/>
          <w:lang w:val="en-US" w:eastAsia="zh-CN"/>
        </w:rPr>
      </w:pPr>
      <w:r>
        <w:rPr>
          <w:rStyle w:val="47"/>
          <w:rFonts w:hint="eastAsia" w:ascii="宋体" w:hAnsi="宋体"/>
          <w:b/>
          <w:color w:val="auto"/>
          <w:sz w:val="24"/>
          <w:highlight w:val="none"/>
        </w:rPr>
        <w:fldChar w:fldCharType="begin"/>
      </w:r>
      <w:r>
        <w:rPr>
          <w:rStyle w:val="47"/>
          <w:rFonts w:hint="eastAsia" w:ascii="宋体" w:hAnsi="宋体"/>
          <w:b/>
          <w:color w:val="auto"/>
          <w:sz w:val="24"/>
          <w:highlight w:val="none"/>
        </w:rPr>
        <w:instrText xml:space="preserve"> HYPERLINK \l "_Toc58430332" </w:instrText>
      </w:r>
      <w:r>
        <w:rPr>
          <w:rStyle w:val="47"/>
          <w:rFonts w:hint="eastAsia" w:ascii="宋体" w:hAnsi="宋体"/>
          <w:b/>
          <w:color w:val="auto"/>
          <w:sz w:val="24"/>
          <w:highlight w:val="none"/>
        </w:rPr>
        <w:fldChar w:fldCharType="separate"/>
      </w:r>
      <w:r>
        <w:rPr>
          <w:rStyle w:val="47"/>
          <w:rFonts w:hint="eastAsia" w:ascii="宋体" w:hAnsi="宋体"/>
          <w:b/>
          <w:color w:val="auto"/>
          <w:sz w:val="24"/>
          <w:highlight w:val="none"/>
        </w:rPr>
        <w:t>第八章 招标单位和招标代理机构对本招标文件的确认</w:t>
      </w:r>
      <w:r>
        <w:rPr>
          <w:rStyle w:val="47"/>
          <w:rFonts w:hint="eastAsia" w:ascii="宋体" w:hAnsi="宋体"/>
          <w:b/>
          <w:color w:val="auto"/>
          <w:sz w:val="24"/>
          <w:highlight w:val="none"/>
        </w:rPr>
        <w:tab/>
      </w:r>
      <w:r>
        <w:rPr>
          <w:rStyle w:val="47"/>
          <w:rFonts w:hint="eastAsia" w:ascii="宋体" w:hAnsi="宋体"/>
          <w:b/>
          <w:color w:val="auto"/>
          <w:sz w:val="24"/>
          <w:highlight w:val="none"/>
        </w:rPr>
        <w:fldChar w:fldCharType="end"/>
      </w:r>
      <w:r>
        <w:rPr>
          <w:rStyle w:val="47"/>
          <w:rFonts w:hint="eastAsia" w:ascii="宋体" w:hAnsi="宋体"/>
          <w:b/>
          <w:color w:val="auto"/>
          <w:sz w:val="24"/>
          <w:highlight w:val="none"/>
          <w:lang w:val="en-US" w:eastAsia="zh-CN"/>
        </w:rPr>
        <w:t>66</w:t>
      </w:r>
    </w:p>
    <w:p w14:paraId="16807ADE">
      <w:pPr>
        <w:pStyle w:val="26"/>
        <w:tabs>
          <w:tab w:val="right" w:leader="dot" w:pos="8296"/>
        </w:tabs>
        <w:adjustRightInd w:val="0"/>
        <w:snapToGrid w:val="0"/>
        <w:spacing w:line="720" w:lineRule="auto"/>
        <w:ind w:left="120" w:hanging="120" w:hangingChars="50"/>
        <w:jc w:val="center"/>
        <w:rPr>
          <w:rFonts w:hint="eastAsia" w:ascii="宋体"/>
          <w:b/>
          <w:bCs/>
          <w:sz w:val="32"/>
          <w:szCs w:val="32"/>
          <w:highlight w:val="none"/>
        </w:rPr>
        <w:sectPr>
          <w:headerReference r:id="rId9" w:type="first"/>
          <w:footerReference r:id="rId11" w:type="first"/>
          <w:headerReference r:id="rId8" w:type="default"/>
          <w:footerReference r:id="rId10" w:type="default"/>
          <w:pgSz w:w="11905" w:h="16838"/>
          <w:pgMar w:top="1440" w:right="1080" w:bottom="1440" w:left="1080" w:header="851" w:footer="992" w:gutter="0"/>
          <w:pgBorders>
            <w:top w:val="none" w:sz="0" w:space="0"/>
            <w:left w:val="none" w:sz="0" w:space="0"/>
            <w:bottom w:val="none" w:sz="0" w:space="0"/>
            <w:right w:val="none" w:sz="0" w:space="0"/>
          </w:pgBorders>
          <w:pgNumType w:fmt="decimal" w:start="1"/>
          <w:cols w:space="720" w:num="1"/>
          <w:rtlGutter w:val="0"/>
          <w:docGrid w:type="lines" w:linePitch="325" w:charSpace="0"/>
        </w:sectPr>
      </w:pPr>
      <w:r>
        <w:rPr>
          <w:rFonts w:hint="eastAsia" w:ascii="宋体" w:hAnsi="宋体" w:cs="宋体"/>
          <w:sz w:val="24"/>
          <w:highlight w:val="none"/>
        </w:rPr>
        <w:fldChar w:fldCharType="end"/>
      </w:r>
    </w:p>
    <w:p w14:paraId="048C28EB">
      <w:pPr>
        <w:pageBreakBefore w:val="0"/>
        <w:kinsoku/>
        <w:overflowPunct/>
        <w:topLinePunct w:val="0"/>
        <w:autoSpaceDE/>
        <w:autoSpaceDN/>
        <w:bidi w:val="0"/>
        <w:snapToGrid/>
        <w:spacing w:before="120" w:beforeLines="50" w:after="120" w:afterLines="50" w:line="400" w:lineRule="exact"/>
        <w:jc w:val="center"/>
        <w:outlineLvl w:val="0"/>
        <w:rPr>
          <w:rFonts w:hint="eastAsia" w:ascii="宋体"/>
          <w:b/>
          <w:sz w:val="32"/>
          <w:szCs w:val="32"/>
          <w:highlight w:val="none"/>
        </w:rPr>
      </w:pPr>
      <w:bookmarkStart w:id="1" w:name="_Toc58430304"/>
      <w:r>
        <w:rPr>
          <w:rFonts w:hint="eastAsia" w:ascii="宋体"/>
          <w:b/>
          <w:sz w:val="32"/>
          <w:szCs w:val="32"/>
          <w:highlight w:val="none"/>
        </w:rPr>
        <w:t xml:space="preserve">第一章  </w:t>
      </w:r>
      <w:bookmarkEnd w:id="1"/>
      <w:bookmarkStart w:id="2" w:name="_Toc58430313"/>
      <w:r>
        <w:rPr>
          <w:rFonts w:hint="eastAsia" w:ascii="宋体"/>
          <w:b/>
          <w:sz w:val="32"/>
          <w:szCs w:val="32"/>
          <w:highlight w:val="none"/>
        </w:rPr>
        <w:t>招标公告</w:t>
      </w:r>
    </w:p>
    <w:p w14:paraId="752EF1C4">
      <w:pPr>
        <w:pageBreakBefore w:val="0"/>
        <w:kinsoku/>
        <w:overflowPunct/>
        <w:topLinePunct w:val="0"/>
        <w:autoSpaceDE/>
        <w:autoSpaceDN/>
        <w:bidi w:val="0"/>
        <w:snapToGrid/>
        <w:spacing w:line="400" w:lineRule="exact"/>
        <w:ind w:firstLine="420" w:firstLineChars="200"/>
        <w:rPr>
          <w:rFonts w:hint="eastAsia" w:ascii="宋体" w:hAnsi="宋体" w:cs="宋体"/>
          <w:szCs w:val="21"/>
          <w:highlight w:val="none"/>
        </w:rPr>
      </w:pPr>
      <w:bookmarkStart w:id="3" w:name="_Toc28359079"/>
      <w:bookmarkStart w:id="4" w:name="_Toc35393790"/>
      <w:bookmarkStart w:id="5" w:name="_Toc35393621"/>
      <w:bookmarkStart w:id="6" w:name="_Toc58430305"/>
      <w:bookmarkStart w:id="7" w:name="_Toc28359002"/>
      <w:bookmarkStart w:id="8" w:name="_Hlk24379207"/>
      <w:r>
        <w:rPr>
          <w:rFonts w:hint="eastAsia" w:ascii="宋体" w:hAnsi="宋体" w:cs="宋体"/>
          <w:szCs w:val="21"/>
          <w:highlight w:val="none"/>
        </w:rPr>
        <w:t>项目概况</w:t>
      </w:r>
    </w:p>
    <w:p w14:paraId="02564D9F">
      <w:pPr>
        <w:pageBreakBefore w:val="0"/>
        <w:kinsoku/>
        <w:overflowPunct/>
        <w:topLinePunct w:val="0"/>
        <w:autoSpaceDE/>
        <w:autoSpaceDN/>
        <w:bidi w:val="0"/>
        <w:snapToGrid/>
        <w:spacing w:line="400" w:lineRule="exact"/>
        <w:ind w:firstLine="420" w:firstLineChars="200"/>
        <w:rPr>
          <w:rFonts w:hint="eastAsia" w:ascii="宋体" w:hAnsi="宋体" w:cs="宋体"/>
          <w:szCs w:val="21"/>
          <w:highlight w:val="none"/>
        </w:rPr>
      </w:pPr>
      <w:r>
        <w:rPr>
          <w:rFonts w:hint="eastAsia" w:ascii="宋体" w:hAnsi="宋体" w:eastAsia="宋体" w:cs="宋体"/>
          <w:szCs w:val="21"/>
          <w:highlight w:val="none"/>
          <w:lang w:val="en-US" w:eastAsia="zh-CN"/>
        </w:rPr>
        <w:t>2025年滁州轨道运营消防器材采购项目</w:t>
      </w:r>
      <w:r>
        <w:rPr>
          <w:rFonts w:hint="eastAsia" w:ascii="宋体" w:hAnsi="宋体" w:cs="宋体"/>
          <w:szCs w:val="21"/>
          <w:highlight w:val="none"/>
        </w:rPr>
        <w:t>的潜在投标人应在滁州市公共资源交易中心网（http://ggzy.chuzhou.gov.cn/）获取招标文件，并于202</w:t>
      </w:r>
      <w:r>
        <w:rPr>
          <w:rFonts w:hint="eastAsia" w:ascii="宋体" w:hAnsi="宋体" w:cs="宋体"/>
          <w:szCs w:val="21"/>
          <w:highlight w:val="none"/>
          <w:lang w:val="en-US" w:eastAsia="zh-CN"/>
        </w:rPr>
        <w:t>5</w:t>
      </w:r>
      <w:r>
        <w:rPr>
          <w:rFonts w:hint="eastAsia" w:ascii="宋体" w:hAnsi="宋体" w:cs="宋体"/>
          <w:szCs w:val="21"/>
          <w:highlight w:val="none"/>
        </w:rPr>
        <w:t>年</w:t>
      </w:r>
      <w:r>
        <w:rPr>
          <w:rFonts w:hint="eastAsia" w:ascii="宋体" w:hAnsi="宋体" w:cs="宋体"/>
          <w:szCs w:val="21"/>
          <w:highlight w:val="none"/>
          <w:lang w:val="en-US" w:eastAsia="zh-CN"/>
        </w:rPr>
        <w:t>7</w:t>
      </w:r>
      <w:r>
        <w:rPr>
          <w:rFonts w:hint="eastAsia" w:ascii="宋体" w:hAnsi="宋体" w:cs="宋体"/>
          <w:szCs w:val="21"/>
          <w:highlight w:val="none"/>
        </w:rPr>
        <w:t>月</w:t>
      </w:r>
      <w:r>
        <w:rPr>
          <w:rFonts w:hint="eastAsia" w:ascii="宋体" w:hAnsi="宋体" w:cs="宋体"/>
          <w:szCs w:val="21"/>
          <w:highlight w:val="none"/>
          <w:lang w:val="en-US" w:eastAsia="zh-CN"/>
        </w:rPr>
        <w:t>14</w:t>
      </w:r>
      <w:r>
        <w:rPr>
          <w:rFonts w:hint="eastAsia" w:ascii="宋体" w:hAnsi="宋体" w:cs="宋体"/>
          <w:szCs w:val="21"/>
          <w:highlight w:val="none"/>
        </w:rPr>
        <w:t>日8点00分（北京时间）前递交投标文件。</w:t>
      </w:r>
    </w:p>
    <w:p w14:paraId="7ED3759B">
      <w:pPr>
        <w:pStyle w:val="3"/>
        <w:pageBreakBefore w:val="0"/>
        <w:numPr>
          <w:ilvl w:val="0"/>
          <w:numId w:val="0"/>
        </w:numPr>
        <w:kinsoku/>
        <w:overflowPunct/>
        <w:topLinePunct w:val="0"/>
        <w:autoSpaceDE/>
        <w:autoSpaceDN/>
        <w:bidi w:val="0"/>
        <w:snapToGrid/>
        <w:spacing w:line="400" w:lineRule="exact"/>
        <w:ind w:left="431"/>
        <w:rPr>
          <w:rFonts w:hint="eastAsia" w:ascii="宋体" w:hAnsi="宋体" w:cs="宋体"/>
          <w:sz w:val="21"/>
          <w:szCs w:val="21"/>
          <w:highlight w:val="none"/>
        </w:rPr>
      </w:pPr>
      <w:r>
        <w:rPr>
          <w:rFonts w:hint="eastAsia" w:ascii="宋体" w:hAnsi="宋体" w:cs="宋体"/>
          <w:b/>
          <w:sz w:val="21"/>
          <w:szCs w:val="21"/>
          <w:highlight w:val="none"/>
        </w:rPr>
        <w:t>一、项目基本情况</w:t>
      </w:r>
      <w:bookmarkEnd w:id="3"/>
      <w:bookmarkEnd w:id="4"/>
      <w:bookmarkEnd w:id="5"/>
      <w:bookmarkEnd w:id="6"/>
      <w:bookmarkEnd w:id="7"/>
    </w:p>
    <w:p w14:paraId="15C10F85">
      <w:pPr>
        <w:pageBreakBefore w:val="0"/>
        <w:kinsoku/>
        <w:overflowPunct/>
        <w:topLinePunct w:val="0"/>
        <w:autoSpaceDE/>
        <w:autoSpaceDN/>
        <w:bidi w:val="0"/>
        <w:snapToGrid/>
        <w:spacing w:line="400" w:lineRule="exact"/>
        <w:ind w:firstLine="420" w:firstLineChars="200"/>
        <w:rPr>
          <w:rFonts w:hint="default" w:ascii="宋体" w:hAnsi="宋体" w:cs="宋体"/>
          <w:szCs w:val="21"/>
          <w:highlight w:val="none"/>
        </w:rPr>
      </w:pPr>
      <w:r>
        <w:rPr>
          <w:rFonts w:hint="eastAsia" w:ascii="宋体" w:hAnsi="宋体" w:cs="宋体"/>
          <w:szCs w:val="21"/>
          <w:highlight w:val="none"/>
        </w:rPr>
        <w:t>项</w:t>
      </w:r>
      <w:r>
        <w:rPr>
          <w:rFonts w:hint="eastAsia" w:ascii="宋体" w:hAnsi="宋体" w:cs="宋体"/>
          <w:szCs w:val="21"/>
          <w:highlight w:val="none"/>
          <w:lang w:val="en-US" w:eastAsia="zh-CN"/>
        </w:rPr>
        <w:t>目编号：</w:t>
      </w:r>
      <w:r>
        <w:rPr>
          <w:rFonts w:hint="default" w:ascii="宋体" w:hAnsi="宋体" w:cs="宋体"/>
          <w:szCs w:val="21"/>
          <w:highlight w:val="none"/>
          <w:lang w:val="en-US" w:eastAsia="zh-CN"/>
        </w:rPr>
        <w:t>czsjqt202506-010</w:t>
      </w:r>
    </w:p>
    <w:p w14:paraId="5FC588B6">
      <w:pPr>
        <w:pageBreakBefore w:val="0"/>
        <w:kinsoku/>
        <w:overflowPunct/>
        <w:topLinePunct w:val="0"/>
        <w:autoSpaceDE/>
        <w:autoSpaceDN/>
        <w:bidi w:val="0"/>
        <w:snapToGrid/>
        <w:spacing w:line="400" w:lineRule="exact"/>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项目名称：</w:t>
      </w:r>
      <w:bookmarkEnd w:id="8"/>
      <w:r>
        <w:rPr>
          <w:rFonts w:hint="eastAsia" w:ascii="宋体" w:hAnsi="宋体" w:eastAsia="宋体" w:cs="宋体"/>
          <w:szCs w:val="21"/>
          <w:highlight w:val="none"/>
          <w:lang w:val="en-US" w:eastAsia="zh-CN"/>
        </w:rPr>
        <w:t>2025年滁州轨道运营消防器材采购项目</w:t>
      </w:r>
    </w:p>
    <w:p w14:paraId="25CB908C">
      <w:pPr>
        <w:pageBreakBefore w:val="0"/>
        <w:kinsoku/>
        <w:overflowPunct/>
        <w:topLinePunct w:val="0"/>
        <w:autoSpaceDE/>
        <w:autoSpaceDN/>
        <w:bidi w:val="0"/>
        <w:snapToGrid/>
        <w:spacing w:line="400" w:lineRule="exact"/>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预算金额：</w:t>
      </w:r>
      <w:r>
        <w:rPr>
          <w:rFonts w:hint="eastAsia" w:ascii="宋体" w:hAnsi="宋体" w:cs="宋体"/>
          <w:szCs w:val="21"/>
          <w:highlight w:val="none"/>
          <w:lang w:val="en-US" w:eastAsia="zh-CN"/>
        </w:rPr>
        <w:t>三年</w:t>
      </w:r>
      <w:r>
        <w:rPr>
          <w:rFonts w:hint="eastAsia" w:ascii="宋体" w:hAnsi="宋体" w:eastAsia="宋体" w:cs="宋体"/>
          <w:szCs w:val="21"/>
          <w:highlight w:val="none"/>
          <w:lang w:val="en-US" w:eastAsia="zh-CN"/>
        </w:rPr>
        <w:t>479000元</w:t>
      </w:r>
    </w:p>
    <w:p w14:paraId="5BDD22DB">
      <w:pPr>
        <w:pageBreakBefore w:val="0"/>
        <w:kinsoku/>
        <w:overflowPunct/>
        <w:topLinePunct w:val="0"/>
        <w:autoSpaceDE/>
        <w:autoSpaceDN/>
        <w:bidi w:val="0"/>
        <w:snapToGrid/>
        <w:spacing w:line="4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rPr>
        <w:t>最高限价：</w:t>
      </w:r>
      <w:r>
        <w:rPr>
          <w:rFonts w:hint="eastAsia" w:ascii="宋体" w:hAnsi="宋体" w:eastAsia="宋体" w:cs="宋体"/>
          <w:szCs w:val="21"/>
          <w:highlight w:val="none"/>
          <w:lang w:val="en-US" w:eastAsia="zh-CN"/>
        </w:rPr>
        <w:t>本项目最高投标限价479000元；</w:t>
      </w:r>
    </w:p>
    <w:p w14:paraId="41D289D1">
      <w:pPr>
        <w:pageBreakBefore w:val="0"/>
        <w:kinsoku/>
        <w:overflowPunct/>
        <w:topLinePunct w:val="0"/>
        <w:autoSpaceDE/>
        <w:autoSpaceDN/>
        <w:bidi w:val="0"/>
        <w:snapToGrid/>
        <w:spacing w:line="4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采购内容：2025年滁州轨道运营消防器材采购包括但不限于消防器材及配套产品的供应和出厂测试、检测、运输、质保等，详见用户需求书</w:t>
      </w:r>
    </w:p>
    <w:p w14:paraId="53E08953">
      <w:pPr>
        <w:pageBreakBefore w:val="0"/>
        <w:kinsoku/>
        <w:overflowPunct/>
        <w:topLinePunct w:val="0"/>
        <w:autoSpaceDE/>
        <w:autoSpaceDN/>
        <w:bidi w:val="0"/>
        <w:snapToGrid/>
        <w:spacing w:line="400" w:lineRule="exact"/>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服务期：三年（2025年-2028年）；</w:t>
      </w:r>
      <w:r>
        <w:rPr>
          <w:rFonts w:hint="eastAsia" w:ascii="宋体" w:hAnsi="宋体" w:eastAsia="宋体" w:cs="宋体"/>
          <w:color w:val="auto"/>
          <w:sz w:val="21"/>
          <w:szCs w:val="21"/>
          <w:highlight w:val="none"/>
          <w:lang w:val="en-US" w:eastAsia="zh-CN"/>
        </w:rPr>
        <w:t>按照招标人要求分批次供货，自接到招标人订货通知起30个日历天内完成该批次供货。</w:t>
      </w:r>
    </w:p>
    <w:p w14:paraId="3BE7E53B">
      <w:pPr>
        <w:pageBreakBefore w:val="0"/>
        <w:kinsoku/>
        <w:overflowPunct/>
        <w:topLinePunct w:val="0"/>
        <w:autoSpaceDE/>
        <w:autoSpaceDN/>
        <w:bidi w:val="0"/>
        <w:snapToGrid/>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本项目不接受联合体投标</w:t>
      </w:r>
    </w:p>
    <w:p w14:paraId="12B40335">
      <w:pPr>
        <w:pStyle w:val="3"/>
        <w:pageBreakBefore w:val="0"/>
        <w:numPr>
          <w:ilvl w:val="0"/>
          <w:numId w:val="0"/>
        </w:numPr>
        <w:kinsoku/>
        <w:overflowPunct/>
        <w:topLinePunct w:val="0"/>
        <w:autoSpaceDE/>
        <w:autoSpaceDN/>
        <w:bidi w:val="0"/>
        <w:snapToGrid/>
        <w:spacing w:line="400" w:lineRule="exact"/>
        <w:ind w:left="851" w:hanging="420"/>
        <w:rPr>
          <w:rFonts w:hint="eastAsia" w:ascii="宋体" w:hAnsi="宋体" w:cs="宋体"/>
          <w:sz w:val="21"/>
          <w:szCs w:val="21"/>
          <w:highlight w:val="none"/>
        </w:rPr>
      </w:pPr>
      <w:bookmarkStart w:id="9" w:name="_Toc28359003"/>
      <w:bookmarkStart w:id="10" w:name="_Toc35393622"/>
      <w:bookmarkStart w:id="11" w:name="_Toc28359080"/>
      <w:bookmarkStart w:id="12" w:name="_Toc58430306"/>
      <w:bookmarkStart w:id="13" w:name="_Toc35393791"/>
      <w:r>
        <w:rPr>
          <w:rFonts w:hint="eastAsia" w:ascii="宋体" w:hAnsi="宋体" w:cs="宋体"/>
          <w:b/>
          <w:sz w:val="21"/>
          <w:szCs w:val="21"/>
          <w:highlight w:val="none"/>
        </w:rPr>
        <w:t>二、投标人要求</w:t>
      </w:r>
      <w:bookmarkEnd w:id="9"/>
      <w:bookmarkEnd w:id="10"/>
      <w:bookmarkEnd w:id="11"/>
      <w:bookmarkEnd w:id="12"/>
      <w:bookmarkEnd w:id="13"/>
    </w:p>
    <w:p w14:paraId="2446A1EB">
      <w:pPr>
        <w:pageBreakBefore w:val="0"/>
        <w:widowControl/>
        <w:kinsoku/>
        <w:overflowPunct/>
        <w:topLinePunct w:val="0"/>
        <w:autoSpaceDE/>
        <w:autoSpaceDN/>
        <w:bidi w:val="0"/>
        <w:snapToGrid/>
        <w:spacing w:line="400" w:lineRule="exact"/>
        <w:ind w:firstLine="420" w:firstLineChars="200"/>
        <w:jc w:val="left"/>
        <w:rPr>
          <w:rFonts w:hint="eastAsia" w:ascii="宋体" w:hAnsi="宋体" w:eastAsia="宋体" w:cs="宋体"/>
          <w:szCs w:val="21"/>
          <w:highlight w:val="none"/>
        </w:rPr>
      </w:pPr>
      <w:bookmarkStart w:id="14" w:name="_Toc28359081"/>
      <w:bookmarkStart w:id="15" w:name="_Toc28359004"/>
      <w:r>
        <w:rPr>
          <w:rFonts w:hint="eastAsia" w:ascii="宋体" w:hAnsi="宋体" w:eastAsia="宋体" w:cs="宋体"/>
          <w:szCs w:val="21"/>
          <w:highlight w:val="none"/>
          <w:lang w:val="en-US" w:eastAsia="zh-CN"/>
        </w:rPr>
        <w:t>1.投标人须在中华人民共和国境内注册（不含港澳台）并取得营业执照且具有相应供货服务能力；</w:t>
      </w:r>
    </w:p>
    <w:p w14:paraId="2CC8E267">
      <w:pPr>
        <w:pageBreakBefore w:val="0"/>
        <w:widowControl/>
        <w:kinsoku/>
        <w:overflowPunct/>
        <w:topLinePunct w:val="0"/>
        <w:autoSpaceDE/>
        <w:autoSpaceDN/>
        <w:bidi w:val="0"/>
        <w:snapToGrid/>
        <w:spacing w:line="400" w:lineRule="exact"/>
        <w:ind w:firstLine="420" w:firstLineChars="200"/>
        <w:jc w:val="left"/>
        <w:rPr>
          <w:rFonts w:hint="eastAsia"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.信誉要求：投标人不得存在以下情形：</w:t>
      </w:r>
    </w:p>
    <w:p w14:paraId="38E16491">
      <w:pPr>
        <w:keepNext w:val="0"/>
        <w:keepLines w:val="0"/>
        <w:pageBreakBefore w:val="0"/>
        <w:widowControl/>
        <w:suppressLineNumbers w:val="0"/>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①被列入“信用中国”网站“失信被执行人”的；</w:t>
      </w:r>
    </w:p>
    <w:p w14:paraId="69C874DF">
      <w:pPr>
        <w:keepNext w:val="0"/>
        <w:keepLines w:val="0"/>
        <w:pageBreakBefore w:val="0"/>
        <w:widowControl/>
        <w:suppressLineNumbers w:val="0"/>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②被列入“信用中国”网站“重大税收违法失信主体”的；</w:t>
      </w:r>
    </w:p>
    <w:p w14:paraId="18D1F910">
      <w:pPr>
        <w:keepNext w:val="0"/>
        <w:keepLines w:val="0"/>
        <w:pageBreakBefore w:val="0"/>
        <w:widowControl/>
        <w:suppressLineNumbers w:val="0"/>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③被列入“信用中国”网站“拖欠农民工工资失信联合惩戒对象名单”的；</w:t>
      </w:r>
    </w:p>
    <w:p w14:paraId="26E6CE15">
      <w:pPr>
        <w:keepNext w:val="0"/>
        <w:keepLines w:val="0"/>
        <w:pageBreakBefore w:val="0"/>
        <w:widowControl/>
        <w:suppressLineNumbers w:val="0"/>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④被列入“信用中国”网站 “严重失信主体名单”的；</w:t>
      </w:r>
    </w:p>
    <w:p w14:paraId="4712478B">
      <w:pPr>
        <w:keepNext w:val="0"/>
        <w:keepLines w:val="0"/>
        <w:pageBreakBefore w:val="0"/>
        <w:widowControl/>
        <w:suppressLineNumbers w:val="0"/>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⑤在“信用中国”网站上披露的仍在公示期的严重失信行为(具体行为类别及判定依据见附件2)的；</w:t>
      </w:r>
    </w:p>
    <w:p w14:paraId="2CB3470F">
      <w:pPr>
        <w:keepNext w:val="0"/>
        <w:keepLines w:val="0"/>
        <w:pageBreakBefore w:val="0"/>
        <w:widowControl/>
        <w:suppressLineNumbers w:val="0"/>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⑥被列入国家企业信用信息公示系统网站“经营异常名录”或者“严重违法失信名单”的；</w:t>
      </w:r>
    </w:p>
    <w:p w14:paraId="324C0315">
      <w:pPr>
        <w:keepNext w:val="0"/>
        <w:keepLines w:val="0"/>
        <w:pageBreakBefore w:val="0"/>
        <w:widowControl/>
        <w:suppressLineNumbers w:val="0"/>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⑦前三年有行贿犯罪行为的单位和个人；</w:t>
      </w:r>
    </w:p>
    <w:p w14:paraId="22785710">
      <w:pPr>
        <w:keepNext w:val="0"/>
        <w:keepLines w:val="0"/>
        <w:pageBreakBefore w:val="0"/>
        <w:widowControl/>
        <w:suppressLineNumbers w:val="0"/>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⑧被滁州市县两级公管部门及各行业主管部门取消在一定期限内的投标资格且在取消期限内的；</w:t>
      </w:r>
    </w:p>
    <w:p w14:paraId="7A4F080F">
      <w:pPr>
        <w:keepNext w:val="0"/>
        <w:keepLines w:val="0"/>
        <w:pageBreakBefore w:val="0"/>
        <w:widowControl/>
        <w:suppressLineNumbers w:val="0"/>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⑨因拖欠农民工工资被县级及以上有关行政主管部门限制投标资格且在限制期限内的；</w:t>
      </w:r>
    </w:p>
    <w:p w14:paraId="3D19EA61">
      <w:pPr>
        <w:pageBreakBefore w:val="0"/>
        <w:widowControl/>
        <w:kinsoku/>
        <w:overflowPunct/>
        <w:topLinePunct w:val="0"/>
        <w:autoSpaceDE/>
        <w:autoSpaceDN/>
        <w:bidi w:val="0"/>
        <w:snapToGrid/>
        <w:spacing w:line="40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08BC48C7">
      <w:pPr>
        <w:pageBreakBefore w:val="0"/>
        <w:widowControl/>
        <w:kinsoku/>
        <w:overflowPunct/>
        <w:topLinePunct w:val="0"/>
        <w:autoSpaceDE/>
        <w:autoSpaceDN/>
        <w:bidi w:val="0"/>
        <w:snapToGrid/>
        <w:spacing w:line="400" w:lineRule="exact"/>
        <w:ind w:firstLine="420" w:firstLineChars="200"/>
        <w:jc w:val="left"/>
        <w:rPr>
          <w:rFonts w:hint="eastAsia" w:ascii="宋体" w:hAnsi="宋体" w:eastAsia="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.投标人所属分公司、办事处等分支机构存在第</w:t>
      </w:r>
      <w:r>
        <w:rPr>
          <w:rFonts w:hint="eastAsia" w:ascii="宋体" w:hAnsi="宋体" w:cs="宋体"/>
          <w:szCs w:val="21"/>
          <w:highlight w:val="none"/>
          <w:lang w:val="en-US" w:eastAsia="zh-CN"/>
        </w:rPr>
        <w:t>2</w:t>
      </w:r>
      <w:r>
        <w:rPr>
          <w:rFonts w:hint="eastAsia" w:ascii="宋体" w:hAnsi="宋体" w:cs="宋体"/>
          <w:szCs w:val="21"/>
          <w:highlight w:val="none"/>
        </w:rPr>
        <w:t>条信誉要求①-</w:t>
      </w:r>
      <w:r>
        <w:rPr>
          <w:rFonts w:hint="eastAsia" w:ascii="宋体" w:hAnsi="宋体" w:eastAsia="宋体" w:cs="宋体"/>
          <w:color w:val="auto"/>
          <w:sz w:val="21"/>
          <w:szCs w:val="21"/>
          <w:highlight w:val="none"/>
          <w:lang w:val="en-US" w:eastAsia="zh-CN"/>
        </w:rPr>
        <w:t>⑩</w:t>
      </w:r>
      <w:r>
        <w:rPr>
          <w:rFonts w:hint="eastAsia" w:ascii="宋体" w:hAnsi="宋体" w:cs="宋体"/>
          <w:szCs w:val="21"/>
          <w:highlight w:val="none"/>
        </w:rPr>
        <w:t>项情形之一的，</w:t>
      </w:r>
      <w:r>
        <w:rPr>
          <w:rFonts w:hint="eastAsia" w:ascii="宋体" w:hAnsi="宋体" w:eastAsia="宋体" w:cs="宋体"/>
          <w:szCs w:val="21"/>
          <w:highlight w:val="none"/>
          <w:lang w:val="en-US" w:eastAsia="zh-CN"/>
        </w:rPr>
        <w:t>拒绝其被确定为中标人</w:t>
      </w:r>
      <w:r>
        <w:rPr>
          <w:rFonts w:hint="eastAsia" w:ascii="宋体" w:hAnsi="宋体" w:eastAsia="宋体" w:cs="宋体"/>
          <w:szCs w:val="21"/>
          <w:highlight w:val="none"/>
        </w:rPr>
        <w:t>。</w:t>
      </w:r>
    </w:p>
    <w:p w14:paraId="55A0659F">
      <w:pPr>
        <w:pStyle w:val="13"/>
        <w:pageBreakBefore w:val="0"/>
        <w:kinsoku/>
        <w:overflowPunct/>
        <w:topLinePunct w:val="0"/>
        <w:autoSpaceDE/>
        <w:autoSpaceDN/>
        <w:bidi w:val="0"/>
        <w:snapToGrid/>
        <w:spacing w:line="400" w:lineRule="exact"/>
        <w:ind w:left="0" w:leftChars="0"/>
        <w:rPr>
          <w:rFonts w:hint="eastAsia" w:ascii="宋体" w:hAnsi="宋体" w:cs="宋体"/>
          <w:szCs w:val="21"/>
          <w:highlight w:val="none"/>
        </w:rPr>
      </w:pPr>
      <w:r>
        <w:rPr>
          <w:rFonts w:hint="eastAsia" w:ascii="宋体" w:hAnsi="宋体" w:cs="宋体"/>
          <w:szCs w:val="21"/>
          <w:highlight w:val="none"/>
        </w:rPr>
        <w:t>备注：第</w:t>
      </w: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条按照附件1“关于联合惩戒失信行为加强信用查询管理的通知”查询或承诺。</w:t>
      </w:r>
    </w:p>
    <w:p w14:paraId="4E3E54F2">
      <w:pPr>
        <w:pStyle w:val="3"/>
        <w:pageBreakBefore w:val="0"/>
        <w:numPr>
          <w:ilvl w:val="0"/>
          <w:numId w:val="0"/>
        </w:numPr>
        <w:kinsoku/>
        <w:overflowPunct/>
        <w:topLinePunct w:val="0"/>
        <w:autoSpaceDE/>
        <w:autoSpaceDN/>
        <w:bidi w:val="0"/>
        <w:snapToGrid/>
        <w:spacing w:line="400" w:lineRule="exact"/>
        <w:ind w:firstLine="422" w:firstLineChars="200"/>
        <w:rPr>
          <w:rFonts w:hint="eastAsia" w:ascii="宋体" w:hAnsi="宋体" w:cs="宋体"/>
          <w:sz w:val="21"/>
          <w:szCs w:val="21"/>
          <w:highlight w:val="none"/>
        </w:rPr>
      </w:pPr>
      <w:bookmarkStart w:id="16" w:name="_Toc35393623"/>
      <w:bookmarkStart w:id="17" w:name="_Toc35393792"/>
      <w:bookmarkStart w:id="18" w:name="_Toc58430307"/>
      <w:r>
        <w:rPr>
          <w:rFonts w:hint="eastAsia" w:ascii="宋体" w:hAnsi="宋体" w:cs="宋体"/>
          <w:b/>
          <w:sz w:val="21"/>
          <w:szCs w:val="21"/>
          <w:highlight w:val="none"/>
        </w:rPr>
        <w:t>三、获取招标文件</w:t>
      </w:r>
      <w:bookmarkEnd w:id="14"/>
      <w:bookmarkEnd w:id="15"/>
      <w:bookmarkEnd w:id="16"/>
      <w:bookmarkEnd w:id="17"/>
      <w:bookmarkEnd w:id="18"/>
    </w:p>
    <w:p w14:paraId="2A22D6FA">
      <w:pPr>
        <w:pageBreakBefore w:val="0"/>
        <w:kinsoku/>
        <w:overflowPunct/>
        <w:topLinePunct w:val="0"/>
        <w:autoSpaceDE/>
        <w:autoSpaceDN/>
        <w:bidi w:val="0"/>
        <w:snapToGrid/>
        <w:spacing w:line="400" w:lineRule="exact"/>
        <w:ind w:firstLine="420" w:firstLineChars="200"/>
        <w:textAlignment w:val="baseline"/>
        <w:rPr>
          <w:rFonts w:hint="eastAsia" w:ascii="宋体" w:hAnsi="宋体" w:cs="宋体"/>
          <w:iCs/>
          <w:szCs w:val="21"/>
          <w:highlight w:val="none"/>
          <w:u w:val="single"/>
        </w:rPr>
      </w:pPr>
      <w:r>
        <w:rPr>
          <w:rFonts w:hint="eastAsia" w:ascii="宋体" w:hAnsi="宋体" w:cs="宋体"/>
          <w:szCs w:val="21"/>
          <w:highlight w:val="none"/>
        </w:rPr>
        <w:t>时间：</w:t>
      </w:r>
      <w:r>
        <w:rPr>
          <w:rFonts w:hint="eastAsia" w:ascii="宋体" w:hAnsi="宋体" w:cs="宋体"/>
          <w:szCs w:val="21"/>
          <w:highlight w:val="none"/>
          <w:u w:val="single"/>
        </w:rPr>
        <w:t>202</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6</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17</w:t>
      </w:r>
      <w:r>
        <w:rPr>
          <w:rFonts w:hint="eastAsia" w:ascii="宋体" w:hAnsi="宋体" w:cs="宋体"/>
          <w:szCs w:val="21"/>
          <w:highlight w:val="none"/>
          <w:u w:val="single"/>
        </w:rPr>
        <w:t>日</w:t>
      </w:r>
      <w:r>
        <w:rPr>
          <w:rFonts w:hint="eastAsia" w:ascii="宋体" w:hAnsi="宋体" w:cs="宋体"/>
          <w:szCs w:val="21"/>
          <w:highlight w:val="none"/>
        </w:rPr>
        <w:t>至</w:t>
      </w:r>
      <w:r>
        <w:rPr>
          <w:rFonts w:hint="eastAsia" w:ascii="宋体" w:hAnsi="宋体" w:cs="宋体"/>
          <w:szCs w:val="21"/>
          <w:highlight w:val="none"/>
          <w:u w:val="single"/>
        </w:rPr>
        <w:t xml:space="preserve"> 202</w:t>
      </w:r>
      <w:r>
        <w:rPr>
          <w:rFonts w:hint="eastAsia" w:ascii="宋体" w:hAnsi="宋体" w:cs="宋体"/>
          <w:szCs w:val="21"/>
          <w:highlight w:val="none"/>
          <w:u w:val="single"/>
          <w:lang w:val="en-US" w:eastAsia="zh-CN"/>
        </w:rPr>
        <w:t>5</w:t>
      </w:r>
      <w:r>
        <w:rPr>
          <w:rFonts w:hint="eastAsia" w:ascii="宋体" w:hAnsi="宋体" w:cs="宋体"/>
          <w:szCs w:val="21"/>
          <w:highlight w:val="none"/>
          <w:u w:val="single"/>
        </w:rPr>
        <w:t>年</w:t>
      </w:r>
      <w:r>
        <w:rPr>
          <w:rFonts w:hint="eastAsia" w:ascii="宋体" w:hAnsi="宋体" w:cs="宋体"/>
          <w:szCs w:val="21"/>
          <w:highlight w:val="none"/>
          <w:u w:val="single"/>
          <w:lang w:val="en-US" w:eastAsia="zh-CN"/>
        </w:rPr>
        <w:t>7</w:t>
      </w:r>
      <w:r>
        <w:rPr>
          <w:rFonts w:hint="eastAsia" w:ascii="宋体" w:hAnsi="宋体" w:cs="宋体"/>
          <w:szCs w:val="21"/>
          <w:highlight w:val="none"/>
          <w:u w:val="single"/>
        </w:rPr>
        <w:t>月</w:t>
      </w:r>
      <w:r>
        <w:rPr>
          <w:rFonts w:hint="eastAsia" w:ascii="宋体" w:hAnsi="宋体" w:cs="宋体"/>
          <w:szCs w:val="21"/>
          <w:highlight w:val="none"/>
          <w:u w:val="single"/>
          <w:lang w:val="en-US" w:eastAsia="zh-CN"/>
        </w:rPr>
        <w:t>14</w:t>
      </w:r>
      <w:r>
        <w:rPr>
          <w:rFonts w:hint="eastAsia" w:ascii="宋体" w:hAnsi="宋体" w:cs="宋体"/>
          <w:szCs w:val="21"/>
          <w:highlight w:val="none"/>
          <w:u w:val="single"/>
        </w:rPr>
        <w:t>日（提供期限自本公告发布之日起不得少于5个工作日）</w:t>
      </w:r>
    </w:p>
    <w:p w14:paraId="5E2A0564">
      <w:pPr>
        <w:pageBreakBefore w:val="0"/>
        <w:kinsoku/>
        <w:overflowPunct/>
        <w:topLinePunct w:val="0"/>
        <w:autoSpaceDE/>
        <w:autoSpaceDN/>
        <w:bidi w:val="0"/>
        <w:snapToGrid/>
        <w:spacing w:line="400" w:lineRule="exact"/>
        <w:ind w:firstLine="420" w:firstLineChars="200"/>
        <w:textAlignment w:val="baseline"/>
        <w:rPr>
          <w:rFonts w:hint="eastAsia" w:ascii="宋体" w:hAnsi="宋体" w:cs="宋体"/>
          <w:szCs w:val="21"/>
          <w:highlight w:val="none"/>
          <w:u w:val="single"/>
        </w:rPr>
      </w:pPr>
      <w:r>
        <w:rPr>
          <w:rFonts w:hint="eastAsia" w:ascii="宋体" w:hAnsi="宋体" w:cs="宋体"/>
          <w:szCs w:val="21"/>
          <w:highlight w:val="none"/>
        </w:rPr>
        <w:t>地点：滁州市公共资源交易中心网</w:t>
      </w:r>
    </w:p>
    <w:p w14:paraId="7243EA81">
      <w:pPr>
        <w:pageBreakBefore w:val="0"/>
        <w:kinsoku/>
        <w:overflowPunct/>
        <w:topLinePunct w:val="0"/>
        <w:autoSpaceDE/>
        <w:autoSpaceDN/>
        <w:bidi w:val="0"/>
        <w:snapToGrid/>
        <w:spacing w:line="400" w:lineRule="exact"/>
        <w:ind w:firstLine="420" w:firstLineChars="200"/>
        <w:textAlignment w:val="baseline"/>
        <w:rPr>
          <w:rFonts w:hint="eastAsia" w:ascii="宋体" w:hAnsi="宋体" w:cs="宋体"/>
          <w:szCs w:val="21"/>
          <w:highlight w:val="none"/>
          <w:u w:val="single"/>
        </w:rPr>
      </w:pPr>
      <w:r>
        <w:rPr>
          <w:rFonts w:hint="eastAsia" w:ascii="宋体" w:hAnsi="宋体" w:cs="宋体"/>
          <w:szCs w:val="21"/>
          <w:highlight w:val="none"/>
        </w:rPr>
        <w:t>方式：网上下载</w:t>
      </w:r>
    </w:p>
    <w:p w14:paraId="2EE800B6">
      <w:pPr>
        <w:pageBreakBefore w:val="0"/>
        <w:kinsoku/>
        <w:overflowPunct/>
        <w:topLinePunct w:val="0"/>
        <w:autoSpaceDE/>
        <w:autoSpaceDN/>
        <w:bidi w:val="0"/>
        <w:snapToGrid/>
        <w:spacing w:line="400" w:lineRule="exact"/>
        <w:ind w:firstLine="420" w:firstLineChars="200"/>
        <w:textAlignment w:val="baseline"/>
        <w:rPr>
          <w:rFonts w:hint="eastAsia" w:ascii="宋体" w:hAnsi="宋体" w:cs="宋体"/>
          <w:szCs w:val="21"/>
          <w:highlight w:val="none"/>
        </w:rPr>
      </w:pPr>
      <w:r>
        <w:rPr>
          <w:rFonts w:hint="eastAsia" w:ascii="宋体" w:hAnsi="宋体" w:cs="宋体"/>
          <w:szCs w:val="21"/>
          <w:highlight w:val="none"/>
        </w:rPr>
        <w:t>售价：0元</w:t>
      </w:r>
    </w:p>
    <w:p w14:paraId="45595958">
      <w:pPr>
        <w:pStyle w:val="3"/>
        <w:pageBreakBefore w:val="0"/>
        <w:numPr>
          <w:ilvl w:val="0"/>
          <w:numId w:val="0"/>
        </w:numPr>
        <w:kinsoku/>
        <w:overflowPunct/>
        <w:topLinePunct w:val="0"/>
        <w:autoSpaceDE/>
        <w:autoSpaceDN/>
        <w:bidi w:val="0"/>
        <w:snapToGrid/>
        <w:spacing w:line="400" w:lineRule="exact"/>
        <w:ind w:left="851" w:hanging="420"/>
        <w:rPr>
          <w:rFonts w:hint="eastAsia" w:ascii="宋体" w:hAnsi="宋体" w:cs="宋体"/>
          <w:sz w:val="21"/>
          <w:szCs w:val="21"/>
          <w:highlight w:val="none"/>
        </w:rPr>
      </w:pPr>
      <w:bookmarkStart w:id="19" w:name="_Toc28359082"/>
      <w:bookmarkStart w:id="20" w:name="_Toc28359005"/>
      <w:bookmarkStart w:id="21" w:name="_Toc35393624"/>
      <w:bookmarkStart w:id="22" w:name="_Toc35393793"/>
      <w:bookmarkStart w:id="23" w:name="_Toc58430308"/>
      <w:r>
        <w:rPr>
          <w:rFonts w:hint="eastAsia" w:ascii="宋体" w:hAnsi="宋体" w:cs="宋体"/>
          <w:b/>
          <w:sz w:val="21"/>
          <w:szCs w:val="21"/>
          <w:highlight w:val="none"/>
        </w:rPr>
        <w:t>四、提交投标文件</w:t>
      </w:r>
      <w:bookmarkEnd w:id="19"/>
      <w:bookmarkEnd w:id="20"/>
      <w:r>
        <w:rPr>
          <w:rFonts w:hint="eastAsia" w:ascii="宋体" w:hAnsi="宋体" w:cs="宋体"/>
          <w:b/>
          <w:sz w:val="21"/>
          <w:szCs w:val="21"/>
          <w:highlight w:val="none"/>
        </w:rPr>
        <w:t>截止时间、开标时间和地点</w:t>
      </w:r>
      <w:bookmarkEnd w:id="21"/>
      <w:bookmarkEnd w:id="22"/>
      <w:bookmarkEnd w:id="23"/>
    </w:p>
    <w:p w14:paraId="12214E4E">
      <w:pPr>
        <w:pageBreakBefore w:val="0"/>
        <w:kinsoku/>
        <w:overflowPunct/>
        <w:topLinePunct w:val="0"/>
        <w:autoSpaceDE/>
        <w:autoSpaceDN/>
        <w:bidi w:val="0"/>
        <w:snapToGrid/>
        <w:spacing w:line="400" w:lineRule="exact"/>
        <w:ind w:firstLine="420" w:firstLineChars="200"/>
        <w:rPr>
          <w:rFonts w:hint="eastAsia" w:ascii="宋体" w:hAnsi="宋体" w:cs="宋体"/>
          <w:bCs/>
          <w:szCs w:val="21"/>
          <w:highlight w:val="none"/>
          <w:u w:val="single"/>
        </w:rPr>
      </w:pPr>
      <w:r>
        <w:rPr>
          <w:rFonts w:hint="eastAsia" w:ascii="宋体" w:hAnsi="宋体" w:cs="宋体"/>
          <w:bCs/>
          <w:szCs w:val="21"/>
          <w:highlight w:val="none"/>
          <w:u w:val="single"/>
        </w:rPr>
        <w:t xml:space="preserve"> 202</w:t>
      </w:r>
      <w:r>
        <w:rPr>
          <w:rFonts w:hint="eastAsia" w:ascii="宋体" w:hAnsi="宋体" w:cs="宋体"/>
          <w:bCs/>
          <w:szCs w:val="21"/>
          <w:highlight w:val="none"/>
          <w:u w:val="single"/>
          <w:lang w:val="en-US" w:eastAsia="zh-CN"/>
        </w:rPr>
        <w:t>5</w:t>
      </w:r>
      <w:r>
        <w:rPr>
          <w:rFonts w:hint="eastAsia" w:ascii="宋体" w:hAnsi="宋体" w:cs="宋体"/>
          <w:bCs/>
          <w:szCs w:val="21"/>
          <w:highlight w:val="none"/>
          <w:u w:val="single"/>
        </w:rPr>
        <w:t>年</w:t>
      </w:r>
      <w:r>
        <w:rPr>
          <w:rFonts w:hint="eastAsia" w:ascii="宋体" w:hAnsi="宋体" w:cs="宋体"/>
          <w:bCs/>
          <w:szCs w:val="21"/>
          <w:highlight w:val="none"/>
          <w:u w:val="single"/>
          <w:lang w:val="en-US" w:eastAsia="zh-CN"/>
        </w:rPr>
        <w:t>7</w:t>
      </w:r>
      <w:r>
        <w:rPr>
          <w:rFonts w:hint="eastAsia" w:ascii="宋体" w:hAnsi="宋体" w:cs="宋体"/>
          <w:bCs/>
          <w:szCs w:val="21"/>
          <w:highlight w:val="none"/>
          <w:u w:val="single"/>
        </w:rPr>
        <w:t>月</w:t>
      </w:r>
      <w:r>
        <w:rPr>
          <w:rFonts w:hint="eastAsia" w:ascii="宋体" w:hAnsi="宋体" w:cs="宋体"/>
          <w:bCs/>
          <w:szCs w:val="21"/>
          <w:highlight w:val="none"/>
          <w:u w:val="single"/>
          <w:lang w:val="en-US" w:eastAsia="zh-CN"/>
        </w:rPr>
        <w:t>14</w:t>
      </w:r>
      <w:r>
        <w:rPr>
          <w:rFonts w:hint="eastAsia" w:ascii="宋体" w:hAnsi="宋体" w:cs="宋体"/>
          <w:bCs/>
          <w:szCs w:val="21"/>
          <w:highlight w:val="none"/>
          <w:u w:val="single"/>
        </w:rPr>
        <w:t>日</w:t>
      </w:r>
      <w:r>
        <w:rPr>
          <w:rFonts w:hint="eastAsia" w:ascii="宋体" w:hAnsi="宋体" w:cs="宋体"/>
          <w:bCs/>
          <w:szCs w:val="21"/>
          <w:highlight w:val="none"/>
          <w:u w:val="single"/>
          <w:lang w:val="en-US" w:eastAsia="zh-CN"/>
        </w:rPr>
        <w:t>8</w:t>
      </w:r>
      <w:r>
        <w:rPr>
          <w:rFonts w:hint="eastAsia" w:ascii="宋体" w:hAnsi="宋体" w:cs="宋体"/>
          <w:bCs/>
          <w:szCs w:val="21"/>
          <w:highlight w:val="none"/>
          <w:u w:val="single"/>
        </w:rPr>
        <w:t>点00分</w:t>
      </w:r>
      <w:r>
        <w:rPr>
          <w:rFonts w:hint="eastAsia" w:ascii="宋体" w:hAnsi="宋体" w:cs="宋体"/>
          <w:bCs/>
          <w:szCs w:val="21"/>
          <w:highlight w:val="none"/>
        </w:rPr>
        <w:t>（北京时间）</w:t>
      </w:r>
      <w:r>
        <w:rPr>
          <w:rFonts w:hint="eastAsia" w:ascii="宋体" w:hAnsi="宋体" w:cs="宋体"/>
          <w:szCs w:val="21"/>
          <w:highlight w:val="none"/>
          <w:u w:val="single"/>
        </w:rPr>
        <w:t>（自招标文件开始发出之日起至投标人提交投标文件截止之日止，不得少于20日）</w:t>
      </w:r>
    </w:p>
    <w:p w14:paraId="49612A0B">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baseline"/>
        <w:rPr>
          <w:rFonts w:hint="eastAsia" w:ascii="宋体" w:hAnsi="宋体" w:eastAsia="宋体" w:cs="宋体"/>
          <w:szCs w:val="21"/>
          <w:highlight w:val="none"/>
        </w:rPr>
      </w:pPr>
      <w:r>
        <w:rPr>
          <w:rFonts w:hint="eastAsia" w:ascii="宋体" w:hAnsi="宋体" w:eastAsia="宋体" w:cs="宋体"/>
          <w:szCs w:val="21"/>
          <w:highlight w:val="none"/>
        </w:rPr>
        <w:t>地点：网上开标，投标人登录滁州市不见面开标系统参与网上开标（网址：</w:t>
      </w:r>
      <w:r>
        <w:rPr>
          <w:rFonts w:hint="eastAsia" w:ascii="宋体" w:hAnsi="宋体" w:eastAsia="宋体" w:cs="宋体"/>
          <w:szCs w:val="21"/>
          <w:highlight w:val="none"/>
        </w:rPr>
        <w:fldChar w:fldCharType="begin"/>
      </w:r>
      <w:r>
        <w:rPr>
          <w:rFonts w:hint="eastAsia" w:ascii="宋体" w:hAnsi="宋体" w:eastAsia="宋体" w:cs="宋体"/>
          <w:szCs w:val="21"/>
          <w:highlight w:val="none"/>
        </w:rPr>
        <w:instrText xml:space="preserve"> HYPERLINK "https://ggzy.chuzhou.gov.cn/BidOpening/bidopeninghallaction/hall/login）。操作手册见" </w:instrText>
      </w:r>
      <w:r>
        <w:rPr>
          <w:rFonts w:hint="eastAsia" w:ascii="宋体" w:hAnsi="宋体" w:eastAsia="宋体" w:cs="宋体"/>
          <w:szCs w:val="21"/>
          <w:highlight w:val="none"/>
        </w:rPr>
        <w:fldChar w:fldCharType="separate"/>
      </w:r>
      <w:r>
        <w:rPr>
          <w:rFonts w:hint="eastAsia" w:ascii="宋体" w:hAnsi="宋体" w:eastAsia="宋体" w:cs="宋体"/>
          <w:szCs w:val="21"/>
          <w:highlight w:val="none"/>
        </w:rPr>
        <w:t>https://ggzy.chuzhou.gov.cn/BidOpening/bidopeninghallaction/hall/login）。操作手册见</w:t>
      </w:r>
      <w:r>
        <w:rPr>
          <w:rFonts w:hint="eastAsia" w:ascii="宋体" w:hAnsi="宋体" w:eastAsia="宋体" w:cs="宋体"/>
          <w:szCs w:val="21"/>
          <w:highlight w:val="none"/>
        </w:rPr>
        <w:fldChar w:fldCharType="end"/>
      </w:r>
      <w:r>
        <w:rPr>
          <w:rFonts w:hint="eastAsia" w:ascii="宋体" w:hAnsi="宋体" w:eastAsia="宋体" w:cs="宋体"/>
          <w:szCs w:val="21"/>
          <w:highlight w:val="none"/>
        </w:rPr>
        <w:t>https://ggzy.chuzhou.gov.cn/fwzn/011006/20240510/f0637388-583d-4c69-8331-05b6adfcf24d.html。</w:t>
      </w:r>
    </w:p>
    <w:p w14:paraId="6387C34C">
      <w:pPr>
        <w:pStyle w:val="3"/>
        <w:pageBreakBefore w:val="0"/>
        <w:numPr>
          <w:ilvl w:val="0"/>
          <w:numId w:val="0"/>
        </w:numPr>
        <w:kinsoku/>
        <w:overflowPunct/>
        <w:topLinePunct w:val="0"/>
        <w:autoSpaceDE/>
        <w:autoSpaceDN/>
        <w:bidi w:val="0"/>
        <w:snapToGrid/>
        <w:spacing w:line="400" w:lineRule="exact"/>
        <w:ind w:left="851" w:hanging="420"/>
        <w:rPr>
          <w:rFonts w:hint="eastAsia" w:ascii="宋体" w:hAnsi="宋体" w:cs="宋体"/>
          <w:bCs/>
          <w:sz w:val="21"/>
          <w:szCs w:val="21"/>
          <w:highlight w:val="none"/>
        </w:rPr>
      </w:pPr>
      <w:bookmarkStart w:id="24" w:name="_Toc28359084"/>
      <w:bookmarkStart w:id="25" w:name="_Toc35393794"/>
      <w:bookmarkStart w:id="26" w:name="_Toc58430309"/>
      <w:bookmarkStart w:id="27" w:name="_Toc35393625"/>
      <w:bookmarkStart w:id="28" w:name="_Toc28359007"/>
      <w:r>
        <w:rPr>
          <w:rFonts w:hint="eastAsia" w:ascii="宋体" w:hAnsi="宋体" w:cs="宋体"/>
          <w:b/>
          <w:sz w:val="21"/>
          <w:szCs w:val="21"/>
          <w:highlight w:val="none"/>
        </w:rPr>
        <w:t>五、公告期限</w:t>
      </w:r>
      <w:bookmarkEnd w:id="24"/>
      <w:bookmarkEnd w:id="25"/>
      <w:bookmarkEnd w:id="26"/>
      <w:bookmarkEnd w:id="27"/>
      <w:bookmarkEnd w:id="28"/>
    </w:p>
    <w:p w14:paraId="1205F7EB">
      <w:pPr>
        <w:pageBreakBefore w:val="0"/>
        <w:kinsoku/>
        <w:overflowPunct/>
        <w:topLinePunct w:val="0"/>
        <w:autoSpaceDE/>
        <w:autoSpaceDN/>
        <w:bidi w:val="0"/>
        <w:snapToGrid/>
        <w:spacing w:line="400" w:lineRule="exact"/>
        <w:ind w:firstLine="420" w:firstLineChars="200"/>
        <w:rPr>
          <w:rFonts w:hint="eastAsia" w:ascii="宋体" w:hAnsi="宋体" w:cs="宋体"/>
          <w:kern w:val="0"/>
          <w:szCs w:val="21"/>
          <w:highlight w:val="none"/>
        </w:rPr>
      </w:pPr>
      <w:r>
        <w:rPr>
          <w:rFonts w:hint="eastAsia" w:ascii="宋体" w:hAnsi="宋体" w:cs="宋体"/>
          <w:kern w:val="0"/>
          <w:szCs w:val="21"/>
          <w:highlight w:val="none"/>
        </w:rPr>
        <w:t>自本公告发布之日起5个工作日。</w:t>
      </w:r>
    </w:p>
    <w:p w14:paraId="2351BFCD">
      <w:pPr>
        <w:pStyle w:val="3"/>
        <w:pageBreakBefore w:val="0"/>
        <w:numPr>
          <w:ilvl w:val="0"/>
          <w:numId w:val="0"/>
        </w:numPr>
        <w:kinsoku/>
        <w:overflowPunct/>
        <w:topLinePunct w:val="0"/>
        <w:autoSpaceDE/>
        <w:autoSpaceDN/>
        <w:bidi w:val="0"/>
        <w:snapToGrid/>
        <w:spacing w:line="400" w:lineRule="exact"/>
        <w:ind w:left="851" w:hanging="420"/>
        <w:rPr>
          <w:rFonts w:hint="eastAsia" w:ascii="宋体" w:hAnsi="宋体" w:cs="宋体"/>
          <w:b/>
          <w:sz w:val="21"/>
          <w:szCs w:val="21"/>
          <w:highlight w:val="none"/>
        </w:rPr>
      </w:pPr>
      <w:bookmarkStart w:id="29" w:name="_Toc58430310"/>
      <w:r>
        <w:rPr>
          <w:rFonts w:hint="eastAsia" w:ascii="宋体" w:hAnsi="宋体" w:cs="宋体"/>
          <w:b/>
          <w:sz w:val="21"/>
          <w:szCs w:val="21"/>
          <w:highlight w:val="none"/>
        </w:rPr>
        <w:t>六、投标保证金金额及缴纳账户</w:t>
      </w:r>
      <w:bookmarkEnd w:id="29"/>
    </w:p>
    <w:p w14:paraId="1A0F4005">
      <w:pPr>
        <w:pageBreakBefore w:val="0"/>
        <w:kinsoku/>
        <w:overflowPunct/>
        <w:topLinePunct w:val="0"/>
        <w:autoSpaceDE/>
        <w:autoSpaceDN/>
        <w:bidi w:val="0"/>
        <w:snapToGrid/>
        <w:spacing w:line="400" w:lineRule="exact"/>
        <w:ind w:firstLine="420" w:firstLineChars="200"/>
        <w:jc w:val="left"/>
        <w:rPr>
          <w:rFonts w:hint="eastAsia" w:ascii="宋体" w:hAnsi="宋体" w:cs="宋体"/>
          <w:color w:val="000000"/>
          <w:szCs w:val="21"/>
          <w:highlight w:val="none"/>
        </w:rPr>
      </w:pPr>
      <w:bookmarkStart w:id="30" w:name="_Toc58430311"/>
      <w:bookmarkStart w:id="31" w:name="_Toc35393626"/>
      <w:bookmarkStart w:id="32" w:name="_Toc35393795"/>
      <w:r>
        <w:rPr>
          <w:rFonts w:hint="eastAsia" w:ascii="宋体" w:hAnsi="宋体" w:cs="宋体"/>
          <w:color w:val="000000"/>
          <w:szCs w:val="21"/>
          <w:highlight w:val="none"/>
        </w:rPr>
        <w:t>1.投标保证金的金额</w:t>
      </w:r>
      <w:r>
        <w:rPr>
          <w:rFonts w:hint="eastAsia" w:ascii="宋体" w:hAnsi="宋体" w:cs="宋体"/>
          <w:color w:val="000000"/>
          <w:szCs w:val="21"/>
          <w:highlight w:val="none"/>
          <w:lang w:val="en-US" w:eastAsia="zh-CN"/>
        </w:rPr>
        <w:t>0.9</w:t>
      </w:r>
      <w:r>
        <w:rPr>
          <w:rFonts w:hint="eastAsia" w:ascii="宋体" w:hAnsi="宋体" w:cs="宋体"/>
          <w:color w:val="000000"/>
          <w:szCs w:val="21"/>
          <w:highlight w:val="none"/>
        </w:rPr>
        <w:t>万元</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要求投标人提交投标保证金。</w:t>
      </w:r>
    </w:p>
    <w:p w14:paraId="4BFC7684">
      <w:pPr>
        <w:pageBreakBefore w:val="0"/>
        <w:kinsoku/>
        <w:overflowPunct/>
        <w:topLinePunct w:val="0"/>
        <w:autoSpaceDE/>
        <w:autoSpaceDN/>
        <w:bidi w:val="0"/>
        <w:snapToGrid/>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投标保证金的形式：支持现金（银行转账、银行电汇）、银行保函、保证保险、担保机构担保。  </w:t>
      </w:r>
    </w:p>
    <w:p w14:paraId="61780542">
      <w:pPr>
        <w:pageBreakBefore w:val="0"/>
        <w:kinsoku/>
        <w:overflowPunct/>
        <w:topLinePunct w:val="0"/>
        <w:autoSpaceDE/>
        <w:autoSpaceDN/>
        <w:bidi w:val="0"/>
        <w:snapToGrid/>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2.接收投标保证金的账户信息：</w:t>
      </w:r>
    </w:p>
    <w:p w14:paraId="22BEFCF3">
      <w:pPr>
        <w:pageBreakBefore w:val="0"/>
        <w:kinsoku/>
        <w:overflowPunct/>
        <w:topLinePunct w:val="0"/>
        <w:autoSpaceDE/>
        <w:autoSpaceDN/>
        <w:bidi w:val="0"/>
        <w:snapToGrid/>
        <w:spacing w:line="400" w:lineRule="exact"/>
        <w:rPr>
          <w:rFonts w:hint="eastAsia" w:ascii="宋体" w:hAnsi="宋体" w:cs="宋体"/>
          <w:color w:val="000000"/>
          <w:szCs w:val="21"/>
          <w:highlight w:val="none"/>
        </w:rPr>
      </w:pPr>
      <w:r>
        <w:rPr>
          <w:rFonts w:hint="eastAsia" w:ascii="宋体" w:hAnsi="宋体" w:cs="宋体"/>
          <w:color w:val="000000"/>
          <w:szCs w:val="21"/>
          <w:highlight w:val="none"/>
        </w:rPr>
        <w:t xml:space="preserve">    银行转账缴纳的投标保证金须投标截止时间前交纳完毕；投标保证金须从投标人基本账户转入交易中心下列账户之一，投标保证金付款人的账户名称必须与投标人名称一致，不接受汇票和结算卡汇入，以资金到账时间为确认保证金交纳完毕时间。</w:t>
      </w:r>
    </w:p>
    <w:p w14:paraId="132F17C7">
      <w:pPr>
        <w:pageBreakBefore w:val="0"/>
        <w:kinsoku/>
        <w:overflowPunct/>
        <w:topLinePunct w:val="0"/>
        <w:autoSpaceDE/>
        <w:autoSpaceDN/>
        <w:bidi w:val="0"/>
        <w:snapToGrid/>
        <w:spacing w:line="400" w:lineRule="exact"/>
        <w:jc w:val="left"/>
        <w:rPr>
          <w:rFonts w:hint="eastAsia" w:ascii="宋体" w:hAnsi="宋体" w:cs="宋体"/>
          <w:bCs/>
          <w:color w:val="000000"/>
          <w:kern w:val="0"/>
          <w:szCs w:val="21"/>
          <w:highlight w:val="none"/>
        </w:rPr>
      </w:pPr>
      <w:r>
        <w:rPr>
          <w:rFonts w:hint="eastAsia" w:ascii="宋体" w:hAnsi="宋体" w:cs="宋体"/>
          <w:color w:val="000000"/>
          <w:szCs w:val="21"/>
          <w:highlight w:val="none"/>
        </w:rPr>
        <w:t xml:space="preserve">    (1)</w:t>
      </w:r>
      <w:r>
        <w:rPr>
          <w:rFonts w:hint="eastAsia" w:ascii="宋体" w:hAnsi="宋体" w:cs="宋体"/>
          <w:bCs/>
          <w:color w:val="000000"/>
          <w:kern w:val="0"/>
          <w:szCs w:val="21"/>
          <w:highlight w:val="none"/>
        </w:rPr>
        <w:t>户  名：滁州市公共资源交易中心</w:t>
      </w:r>
    </w:p>
    <w:p w14:paraId="55F4340F">
      <w:pPr>
        <w:pageBreakBefore w:val="0"/>
        <w:kinsoku/>
        <w:overflowPunct/>
        <w:topLinePunct w:val="0"/>
        <w:autoSpaceDE/>
        <w:autoSpaceDN/>
        <w:bidi w:val="0"/>
        <w:snapToGrid/>
        <w:spacing w:line="400" w:lineRule="exact"/>
        <w:ind w:firstLine="630" w:firstLineChars="300"/>
        <w:rPr>
          <w:rFonts w:hint="eastAsia" w:ascii="宋体" w:hAnsi="宋体" w:eastAsia="宋体" w:cs="宋体"/>
          <w:bCs/>
          <w:color w:val="000000"/>
          <w:kern w:val="0"/>
          <w:szCs w:val="21"/>
          <w:highlight w:val="none"/>
          <w:lang w:eastAsia="zh-CN"/>
        </w:rPr>
      </w:pPr>
      <w:r>
        <w:rPr>
          <w:rFonts w:hint="eastAsia" w:ascii="宋体" w:hAnsi="宋体" w:eastAsia="宋体" w:cs="宋体"/>
          <w:bCs/>
          <w:color w:val="000000"/>
          <w:kern w:val="0"/>
          <w:szCs w:val="21"/>
          <w:highlight w:val="none"/>
        </w:rPr>
        <w:t xml:space="preserve"> 开户行：</w:t>
      </w:r>
      <w:r>
        <w:rPr>
          <w:rFonts w:hint="eastAsia" w:ascii="宋体" w:hAnsi="宋体" w:eastAsia="宋体" w:cs="宋体"/>
          <w:bCs/>
          <w:color w:val="000000"/>
          <w:kern w:val="0"/>
          <w:szCs w:val="21"/>
          <w:highlight w:val="none"/>
          <w:lang w:eastAsia="zh-CN"/>
        </w:rPr>
        <w:t>中国建设银行股份有限公司滁州南谯支行</w:t>
      </w:r>
    </w:p>
    <w:p w14:paraId="1D09ECB5">
      <w:pPr>
        <w:pageBreakBefore w:val="0"/>
        <w:kinsoku/>
        <w:overflowPunct/>
        <w:topLinePunct w:val="0"/>
        <w:autoSpaceDE/>
        <w:autoSpaceDN/>
        <w:bidi w:val="0"/>
        <w:snapToGrid/>
        <w:spacing w:line="400" w:lineRule="exact"/>
        <w:ind w:firstLine="630" w:firstLineChars="300"/>
        <w:rPr>
          <w:rFonts w:hint="eastAsia"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 xml:space="preserve"> 账  号：</w:t>
      </w:r>
      <w:r>
        <w:rPr>
          <w:rFonts w:hint="default" w:ascii="宋体" w:hAnsi="宋体" w:eastAsia="宋体" w:cs="宋体"/>
          <w:bCs/>
          <w:color w:val="000000"/>
          <w:kern w:val="0"/>
          <w:szCs w:val="21"/>
          <w:highlight w:val="none"/>
          <w:lang w:val="en-US" w:eastAsia="zh-CN"/>
        </w:rPr>
        <w:t>6232811720000037114</w:t>
      </w:r>
      <w:r>
        <w:rPr>
          <w:rFonts w:hint="eastAsia" w:ascii="宋体" w:hAnsi="宋体" w:eastAsia="宋体" w:cs="宋体"/>
          <w:bCs/>
          <w:color w:val="000000"/>
          <w:kern w:val="0"/>
          <w:szCs w:val="21"/>
          <w:highlight w:val="none"/>
          <w:lang w:val="en-US" w:eastAsia="zh-CN"/>
        </w:rPr>
        <w:t xml:space="preserve">；                     </w:t>
      </w:r>
    </w:p>
    <w:p w14:paraId="5C42052B">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 xml:space="preserve">(2)户  名：滁州市公共资源交易中心 </w:t>
      </w:r>
    </w:p>
    <w:p w14:paraId="65A1DD55">
      <w:pPr>
        <w:pageBreakBefore w:val="0"/>
        <w:kinsoku/>
        <w:overflowPunct/>
        <w:topLinePunct w:val="0"/>
        <w:autoSpaceDE/>
        <w:autoSpaceDN/>
        <w:bidi w:val="0"/>
        <w:snapToGrid/>
        <w:spacing w:line="400" w:lineRule="exact"/>
        <w:ind w:firstLine="630" w:firstLineChars="300"/>
        <w:rPr>
          <w:rFonts w:hint="eastAsia" w:ascii="宋体" w:hAnsi="宋体" w:eastAsia="宋体" w:cs="宋体"/>
          <w:bCs/>
          <w:color w:val="000000"/>
          <w:kern w:val="0"/>
          <w:szCs w:val="21"/>
          <w:highlight w:val="none"/>
        </w:rPr>
      </w:pPr>
      <w:r>
        <w:rPr>
          <w:rFonts w:hint="eastAsia" w:ascii="宋体" w:hAnsi="宋体" w:eastAsia="宋体" w:cs="宋体"/>
          <w:bCs/>
          <w:color w:val="000000"/>
          <w:kern w:val="0"/>
          <w:szCs w:val="21"/>
          <w:highlight w:val="none"/>
        </w:rPr>
        <w:t xml:space="preserve"> 开户行：中国农业银行滁州中都支行</w:t>
      </w:r>
    </w:p>
    <w:p w14:paraId="67D30E16">
      <w:pPr>
        <w:pageBreakBefore w:val="0"/>
        <w:kinsoku/>
        <w:overflowPunct/>
        <w:topLinePunct w:val="0"/>
        <w:autoSpaceDE/>
        <w:autoSpaceDN/>
        <w:bidi w:val="0"/>
        <w:snapToGrid/>
        <w:spacing w:line="400" w:lineRule="exact"/>
        <w:ind w:firstLine="630" w:firstLineChars="300"/>
        <w:rPr>
          <w:rFonts w:hint="eastAsia"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 xml:space="preserve"> 账  号：</w:t>
      </w:r>
      <w:r>
        <w:rPr>
          <w:rFonts w:hint="default" w:ascii="宋体" w:hAnsi="宋体" w:eastAsia="宋体" w:cs="宋体"/>
          <w:bCs/>
          <w:color w:val="000000"/>
          <w:kern w:val="0"/>
          <w:szCs w:val="21"/>
          <w:highlight w:val="none"/>
          <w:lang w:val="en-US" w:eastAsia="zh-CN"/>
        </w:rPr>
        <w:t>123340010400044210000001207</w:t>
      </w:r>
      <w:r>
        <w:rPr>
          <w:rFonts w:hint="eastAsia" w:ascii="宋体" w:hAnsi="宋体" w:eastAsia="宋体" w:cs="宋体"/>
          <w:bCs/>
          <w:color w:val="000000"/>
          <w:kern w:val="0"/>
          <w:szCs w:val="21"/>
          <w:highlight w:val="none"/>
          <w:lang w:val="en-US" w:eastAsia="zh-CN"/>
        </w:rPr>
        <w:t>；</w:t>
      </w:r>
    </w:p>
    <w:p w14:paraId="21324CF5">
      <w:pPr>
        <w:pageBreakBefore w:val="0"/>
        <w:kinsoku/>
        <w:overflowPunct/>
        <w:topLinePunct w:val="0"/>
        <w:autoSpaceDE/>
        <w:autoSpaceDN/>
        <w:bidi w:val="0"/>
        <w:snapToGrid/>
        <w:spacing w:line="400" w:lineRule="exact"/>
        <w:ind w:firstLine="420" w:firstLineChars="200"/>
        <w:rPr>
          <w:rFonts w:hint="eastAsia"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 xml:space="preserve">(3)户  名：滁州市公共资源交易中心              </w:t>
      </w:r>
    </w:p>
    <w:p w14:paraId="3CA7372E">
      <w:pPr>
        <w:pageBreakBefore w:val="0"/>
        <w:kinsoku/>
        <w:overflowPunct/>
        <w:topLinePunct w:val="0"/>
        <w:autoSpaceDE/>
        <w:autoSpaceDN/>
        <w:bidi w:val="0"/>
        <w:snapToGrid/>
        <w:spacing w:line="400" w:lineRule="exact"/>
        <w:ind w:firstLine="630" w:firstLineChars="300"/>
        <w:rPr>
          <w:rFonts w:hint="eastAsia" w:ascii="宋体" w:hAnsi="宋体" w:eastAsia="宋体" w:cs="宋体"/>
          <w:bCs/>
          <w:color w:val="000000"/>
          <w:kern w:val="0"/>
          <w:szCs w:val="21"/>
          <w:highlight w:val="none"/>
          <w:lang w:val="en-US" w:eastAsia="zh-CN"/>
        </w:rPr>
      </w:pPr>
      <w:r>
        <w:rPr>
          <w:rFonts w:hint="eastAsia" w:ascii="宋体" w:hAnsi="宋体" w:eastAsia="宋体" w:cs="宋体"/>
          <w:bCs/>
          <w:color w:val="000000"/>
          <w:kern w:val="0"/>
          <w:szCs w:val="21"/>
          <w:highlight w:val="none"/>
          <w:lang w:val="en-US" w:eastAsia="zh-CN"/>
        </w:rPr>
        <w:t>开户行：中国银行滁州分行</w:t>
      </w:r>
    </w:p>
    <w:p w14:paraId="6A5D4B3D">
      <w:pPr>
        <w:pageBreakBefore w:val="0"/>
        <w:kinsoku/>
        <w:overflowPunct/>
        <w:topLinePunct w:val="0"/>
        <w:autoSpaceDE/>
        <w:autoSpaceDN/>
        <w:bidi w:val="0"/>
        <w:snapToGrid/>
        <w:spacing w:line="400" w:lineRule="exact"/>
        <w:ind w:firstLine="630" w:firstLineChars="300"/>
        <w:rPr>
          <w:rFonts w:hint="eastAsia" w:ascii="宋体" w:hAnsi="宋体" w:cs="宋体"/>
          <w:color w:val="000000"/>
          <w:szCs w:val="21"/>
          <w:highlight w:val="none"/>
        </w:rPr>
      </w:pPr>
      <w:r>
        <w:rPr>
          <w:rFonts w:hint="eastAsia" w:ascii="宋体" w:hAnsi="宋体" w:eastAsia="宋体" w:cs="宋体"/>
          <w:bCs/>
          <w:color w:val="000000"/>
          <w:kern w:val="0"/>
          <w:szCs w:val="21"/>
          <w:highlight w:val="none"/>
          <w:lang w:val="en-US" w:eastAsia="zh-CN"/>
        </w:rPr>
        <w:t>账  号：</w:t>
      </w:r>
      <w:r>
        <w:rPr>
          <w:rFonts w:hint="default" w:ascii="宋体" w:hAnsi="宋体" w:eastAsia="宋体" w:cs="宋体"/>
          <w:bCs/>
          <w:color w:val="000000"/>
          <w:kern w:val="0"/>
          <w:szCs w:val="21"/>
          <w:highlight w:val="none"/>
          <w:lang w:val="en-US" w:eastAsia="zh-CN"/>
        </w:rPr>
        <w:t>184249195605</w:t>
      </w:r>
      <w:r>
        <w:rPr>
          <w:rFonts w:hint="eastAsia" w:ascii="宋体" w:hAnsi="宋体" w:eastAsia="宋体" w:cs="宋体"/>
          <w:bCs/>
          <w:color w:val="000000"/>
          <w:kern w:val="0"/>
          <w:szCs w:val="21"/>
          <w:highlight w:val="none"/>
          <w:lang w:val="en-US" w:eastAsia="zh-CN"/>
        </w:rPr>
        <w:t xml:space="preserve">；                        </w:t>
      </w:r>
      <w:r>
        <w:rPr>
          <w:rFonts w:hint="eastAsia" w:ascii="宋体" w:hAnsi="宋体" w:cs="宋体"/>
          <w:color w:val="000000"/>
          <w:szCs w:val="21"/>
          <w:highlight w:val="none"/>
        </w:rPr>
        <w:t xml:space="preserve">           </w:t>
      </w:r>
      <w:r>
        <w:rPr>
          <w:rFonts w:hint="eastAsia" w:ascii="宋体" w:hAnsi="宋体" w:eastAsia="宋体" w:cs="宋体"/>
          <w:bCs/>
          <w:color w:val="000000"/>
          <w:kern w:val="0"/>
          <w:szCs w:val="21"/>
          <w:highlight w:val="none"/>
          <w:lang w:val="en-US" w:eastAsia="zh-CN"/>
        </w:rPr>
        <w:t xml:space="preserve">                   </w:t>
      </w:r>
      <w:r>
        <w:rPr>
          <w:rFonts w:hint="eastAsia" w:ascii="宋体" w:hAnsi="宋体" w:cs="宋体"/>
          <w:color w:val="000000"/>
          <w:szCs w:val="21"/>
          <w:highlight w:val="none"/>
        </w:rPr>
        <w:t xml:space="preserve">      </w:t>
      </w:r>
    </w:p>
    <w:p w14:paraId="2C02C732">
      <w:pPr>
        <w:pageBreakBefore w:val="0"/>
        <w:kinsoku/>
        <w:overflowPunct/>
        <w:topLinePunct w:val="0"/>
        <w:autoSpaceDE/>
        <w:autoSpaceDN/>
        <w:bidi w:val="0"/>
        <w:snapToGrid/>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保证金到账截止时间同投标文件递交截止时间，交纳保证金时须在交易附言中注明：“</w:t>
      </w:r>
      <w:r>
        <w:rPr>
          <w:rFonts w:hint="eastAsia" w:ascii="宋体" w:hAnsi="宋体" w:cs="宋体"/>
          <w:color w:val="000000"/>
          <w:szCs w:val="21"/>
          <w:highlight w:val="none"/>
          <w:lang w:eastAsia="zh-CN"/>
        </w:rPr>
        <w:t>2025年滁州轨道运营消防器材采购项目</w:t>
      </w:r>
      <w:r>
        <w:rPr>
          <w:rFonts w:hint="eastAsia" w:ascii="宋体" w:hAnsi="宋体" w:cs="宋体"/>
          <w:color w:val="000000"/>
          <w:szCs w:val="21"/>
          <w:highlight w:val="none"/>
        </w:rPr>
        <w:t>投标保证金”（备注可自行简写）。</w:t>
      </w:r>
    </w:p>
    <w:p w14:paraId="0403BB1C">
      <w:pPr>
        <w:pageBreakBefore w:val="0"/>
        <w:widowControl/>
        <w:kinsoku/>
        <w:overflowPunct/>
        <w:topLinePunct w:val="0"/>
        <w:autoSpaceDE/>
        <w:autoSpaceDN/>
        <w:bidi w:val="0"/>
        <w:snapToGrid/>
        <w:spacing w:line="400" w:lineRule="exact"/>
        <w:jc w:val="left"/>
        <w:rPr>
          <w:rFonts w:hint="eastAsia" w:ascii="宋体" w:hAnsi="宋体" w:cs="宋体"/>
          <w:b/>
          <w:bCs/>
          <w:color w:val="000000"/>
          <w:spacing w:val="-6"/>
          <w:szCs w:val="21"/>
          <w:highlight w:val="none"/>
        </w:rPr>
      </w:pPr>
      <w:r>
        <w:rPr>
          <w:rFonts w:hint="eastAsia" w:ascii="宋体" w:hAnsi="宋体" w:cs="宋体"/>
          <w:b/>
          <w:bCs/>
          <w:color w:val="000000"/>
          <w:spacing w:val="-6"/>
          <w:szCs w:val="21"/>
          <w:highlight w:val="none"/>
        </w:rPr>
        <w:t xml:space="preserve">     </w:t>
      </w:r>
      <w:r>
        <w:rPr>
          <w:rFonts w:hint="eastAsia" w:ascii="宋体" w:hAnsi="宋体" w:cs="宋体"/>
          <w:b/>
          <w:bCs/>
          <w:kern w:val="0"/>
          <w:szCs w:val="21"/>
          <w:highlight w:val="none"/>
        </w:rPr>
        <w:t>各投标人请严格按照招标公告和招标文件载明的银行、账户汇入投标保证金，否则在开标时无法查询保证金是否到账将导致评标委员会否决其投标。</w:t>
      </w:r>
    </w:p>
    <w:p w14:paraId="7FF82FF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3.投标保函要求：</w:t>
      </w:r>
    </w:p>
    <w:p w14:paraId="779176EB">
      <w:pPr>
        <w:pageBreakBefore w:val="0"/>
        <w:kinsoku/>
        <w:overflowPunct/>
        <w:topLinePunct w:val="0"/>
        <w:autoSpaceDE/>
        <w:autoSpaceDN/>
        <w:bidi w:val="0"/>
        <w:snapToGrid/>
        <w:spacing w:line="400" w:lineRule="exact"/>
        <w:ind w:firstLine="420" w:firstLineChars="20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lang w:eastAsia="zh-CN"/>
        </w:rPr>
        <w:t>根据《国务院办公厅关于创新完善体制机制推动招标投标市场规范健康发展的意见》文件精神，本项目投标保证金保函只接受电子保函。投标人可登录滁州市公共资源交易中心网站“滁州市公共资源交易中心网站金融服务平台”，在线办理电子投标保函。操作手册见“滁州市公共资源交易中心-金融服务平台-通知公告”。</w:t>
      </w:r>
    </w:p>
    <w:p w14:paraId="60678260">
      <w:pPr>
        <w:pageBreakBefore w:val="0"/>
        <w:kinsoku/>
        <w:overflowPunct/>
        <w:topLinePunct w:val="0"/>
        <w:autoSpaceDE/>
        <w:autoSpaceDN/>
        <w:bidi w:val="0"/>
        <w:snapToGrid/>
        <w:spacing w:line="400" w:lineRule="exact"/>
        <w:ind w:firstLine="420" w:firstLineChars="20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lang w:eastAsia="zh-CN"/>
        </w:rPr>
        <w:t>投标保函的保证期截止时间不得早于该项目投标有效期的截止时间，否则资格审查不通过。</w:t>
      </w:r>
    </w:p>
    <w:p w14:paraId="26FC6BDE">
      <w:pPr>
        <w:pageBreakBefore w:val="0"/>
        <w:kinsoku/>
        <w:overflowPunct/>
        <w:topLinePunct w:val="0"/>
        <w:autoSpaceDE/>
        <w:autoSpaceDN/>
        <w:bidi w:val="0"/>
        <w:snapToGrid/>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.备注：</w:t>
      </w:r>
    </w:p>
    <w:p w14:paraId="05525FE9">
      <w:pPr>
        <w:pageBreakBefore w:val="0"/>
        <w:kinsoku/>
        <w:overflowPunct/>
        <w:topLinePunct w:val="0"/>
        <w:autoSpaceDE/>
        <w:autoSpaceDN/>
        <w:bidi w:val="0"/>
        <w:snapToGrid/>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（1）本项目不缴纳投标保证金条款仅针对在投标过程中未违反</w:t>
      </w:r>
      <w:r>
        <w:rPr>
          <w:rFonts w:hint="eastAsia" w:ascii="宋体" w:hAnsi="宋体" w:cs="宋体"/>
          <w:color w:val="000000"/>
          <w:szCs w:val="21"/>
          <w:highlight w:val="none"/>
          <w:lang w:val="en-US" w:eastAsia="zh-CN"/>
        </w:rPr>
        <w:t>本招标文件</w:t>
      </w:r>
      <w:r>
        <w:rPr>
          <w:rFonts w:hint="eastAsia" w:ascii="宋体" w:hAnsi="宋体" w:cs="宋体"/>
          <w:color w:val="000000"/>
          <w:szCs w:val="21"/>
          <w:highlight w:val="none"/>
        </w:rPr>
        <w:t>第二章“投标人须知”中第24.4项约定的投标人。如在投标过程中投标人存在</w:t>
      </w:r>
      <w:r>
        <w:rPr>
          <w:rFonts w:hint="eastAsia" w:ascii="宋体" w:hAnsi="宋体" w:cs="宋体"/>
          <w:color w:val="000000"/>
          <w:szCs w:val="21"/>
          <w:highlight w:val="none"/>
          <w:lang w:val="en-US" w:eastAsia="zh-CN"/>
        </w:rPr>
        <w:t>本</w:t>
      </w:r>
      <w:r>
        <w:rPr>
          <w:rFonts w:hint="eastAsia" w:ascii="宋体" w:hAnsi="宋体" w:cs="宋体"/>
          <w:color w:val="000000"/>
          <w:szCs w:val="21"/>
          <w:highlight w:val="none"/>
        </w:rPr>
        <w:t>招标文件第二章“投标人须知”中第24.4项约定情形，则无条件按招标人要求的金额、时间、账号缴纳投标保证金。投标人采用银行保函、担保机构担保、保证保险方式提交投标保证金的，如出现</w:t>
      </w:r>
      <w:r>
        <w:rPr>
          <w:rFonts w:hint="eastAsia" w:ascii="宋体" w:hAnsi="宋体" w:cs="宋体"/>
          <w:color w:val="000000"/>
          <w:szCs w:val="21"/>
          <w:highlight w:val="none"/>
          <w:lang w:val="en-US" w:eastAsia="zh-CN"/>
        </w:rPr>
        <w:t>本招标文件</w:t>
      </w:r>
      <w:r>
        <w:rPr>
          <w:rFonts w:hint="eastAsia" w:ascii="宋体" w:hAnsi="宋体" w:cs="宋体"/>
          <w:color w:val="000000"/>
          <w:szCs w:val="21"/>
          <w:highlight w:val="none"/>
        </w:rPr>
        <w:t xml:space="preserve"> “投标人须知”第24.4项所列情形的，提供担保的银行、担保机构及保险机构将无条件向招标人支付保函所列的全部投标保证金金额，该支付行为视同投标保证金不予退还。</w:t>
      </w:r>
    </w:p>
    <w:p w14:paraId="5D8C7F73">
      <w:pPr>
        <w:pageBreakBefore w:val="0"/>
        <w:kinsoku/>
        <w:overflowPunct/>
        <w:topLinePunct w:val="0"/>
        <w:autoSpaceDE/>
        <w:autoSpaceDN/>
        <w:bidi w:val="0"/>
        <w:snapToGrid/>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（2）投标人采用虚假银行保函、担保机构担保、保证保险方式提交投标保证金的，应依法承担弄虚作假、骗取中标的法律责任。</w:t>
      </w:r>
    </w:p>
    <w:p w14:paraId="733524A3">
      <w:pPr>
        <w:pageBreakBefore w:val="0"/>
        <w:kinsoku/>
        <w:overflowPunct/>
        <w:topLinePunct w:val="0"/>
        <w:autoSpaceDE/>
        <w:autoSpaceDN/>
        <w:bidi w:val="0"/>
        <w:snapToGrid/>
        <w:spacing w:line="400" w:lineRule="exact"/>
        <w:ind w:firstLine="422" w:firstLineChars="200"/>
        <w:rPr>
          <w:rFonts w:hint="eastAsia" w:ascii="宋体" w:hAnsi="宋体" w:cs="宋体"/>
          <w:i/>
          <w:szCs w:val="21"/>
          <w:highlight w:val="none"/>
        </w:rPr>
      </w:pPr>
      <w:r>
        <w:rPr>
          <w:rFonts w:hint="eastAsia" w:ascii="宋体" w:hAnsi="宋体" w:cs="宋体"/>
          <w:b/>
          <w:szCs w:val="21"/>
          <w:highlight w:val="none"/>
        </w:rPr>
        <w:t>七、其他补充事宜</w:t>
      </w:r>
      <w:bookmarkEnd w:id="30"/>
      <w:bookmarkEnd w:id="31"/>
      <w:bookmarkEnd w:id="32"/>
    </w:p>
    <w:p w14:paraId="3441205A">
      <w:pPr>
        <w:keepNext w:val="0"/>
        <w:keepLines w:val="0"/>
        <w:pageBreakBefore w:val="0"/>
        <w:widowControl w:val="0"/>
        <w:kinsoku/>
        <w:wordWrap w:val="0"/>
        <w:overflowPunct/>
        <w:topLinePunct w:val="0"/>
        <w:autoSpaceDE/>
        <w:autoSpaceDN/>
        <w:bidi w:val="0"/>
        <w:adjustRightInd/>
        <w:snapToGrid/>
        <w:spacing w:line="400" w:lineRule="exact"/>
        <w:ind w:firstLine="420" w:firstLineChars="200"/>
        <w:textAlignment w:val="auto"/>
        <w:rPr>
          <w:rFonts w:hint="eastAsia" w:ascii="宋体" w:hAnsi="宋体" w:cs="宋体"/>
          <w:color w:val="000000"/>
          <w:szCs w:val="21"/>
          <w:highlight w:val="none"/>
        </w:rPr>
      </w:pPr>
      <w:bookmarkStart w:id="33" w:name="_Toc58430312"/>
      <w:r>
        <w:rPr>
          <w:rFonts w:hint="eastAsia" w:ascii="宋体" w:hAnsi="宋体" w:cs="宋体"/>
          <w:color w:val="000000"/>
          <w:szCs w:val="21"/>
          <w:highlight w:val="none"/>
        </w:rPr>
        <w:t>1、本项目只接受在安徽省公共资源交易市场主体库（http://ggzy.ah.gov.cn/ahggfwpt-zhutiku/dengludenglu）登记并进行信息确认提交的投标人投标，未登记的投标人请及时办理CA数字证书并登录安徽省公共资源交易市场主体库进行信息填写及确认提交；已办理过CA数字证书视为已在省库登记，进行信息更新及确认提交即可。办理流程为登录滁州市公共资源交易中心网&gt;服务指南&gt;办事指南中的“CA数字证书和电子签章”及“市场主体登记”。相关服务电话：（1）安徽省公共资源交易市场主体库使用相关问题（系统登录、信息登记、录入及提交、数字证书关联等）：010-86483801转5-2 ；（2） CA数字证书有关问题：安徽CA客服400-880-4959、0550-3019013（工作日）,CFCA客服025-66085508 、0550-3801669（工作日）；（3）市场主体招标环节和投标环节系统使用问题：</w:t>
      </w:r>
      <w:r>
        <w:rPr>
          <w:rFonts w:hint="eastAsia" w:ascii="宋体" w:hAnsi="宋体" w:cs="宋体"/>
          <w:color w:val="000000"/>
          <w:szCs w:val="21"/>
          <w:highlight w:val="none"/>
          <w:lang w:eastAsia="zh-CN"/>
        </w:rPr>
        <w:t>0512-58188516</w:t>
      </w:r>
      <w:r>
        <w:rPr>
          <w:rFonts w:hint="eastAsia" w:ascii="宋体" w:hAnsi="宋体" w:cs="宋体"/>
          <w:color w:val="000000"/>
          <w:szCs w:val="21"/>
          <w:highlight w:val="none"/>
        </w:rPr>
        <w:t>（8:00-21:00）、0550-3801701（工作日）。因未及时通过CA数字证书登录省主体库对相关信息进行补充完善并确认提交，导致无法投标的，责任自负。为保证系统使用过程中产生的问题能够及时得到解决，请各主体在工作时间进行主体信息登记、更新、投标文件制作等相关操作。</w:t>
      </w:r>
    </w:p>
    <w:p w14:paraId="07CC629E">
      <w:pPr>
        <w:pageBreakBefore w:val="0"/>
        <w:kinsoku/>
        <w:overflowPunct/>
        <w:topLinePunct w:val="0"/>
        <w:autoSpaceDE/>
        <w:autoSpaceDN/>
        <w:bidi w:val="0"/>
        <w:snapToGrid/>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2、请投标人登录滁州市公共资源交易中心网站查看参加本项目的程序（具体操作步骤和程序请参见服务指南&gt;交易须知&gt;投标人填写投标信息、下载文件及网上提问操作手册）。</w:t>
      </w:r>
    </w:p>
    <w:p w14:paraId="3A4F8A18">
      <w:pPr>
        <w:pageBreakBefore w:val="0"/>
        <w:kinsoku/>
        <w:overflowPunct/>
        <w:topLinePunct w:val="0"/>
        <w:autoSpaceDE/>
        <w:autoSpaceDN/>
        <w:bidi w:val="0"/>
        <w:snapToGrid/>
        <w:spacing w:line="40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3、本项目采用不见面开标(远程解密)方式，开标时投标人无须至开标现场进行解密，开标采取远程解密方式解密投标文件，投标人远程解密方式：投标人在开标时间前使用CA数字证书登录滁州市“不见面开标系统”，网址为https://ggzy.chuzhou.gov.cn/BidOpening,等待开标并按系统提示进行相应的投标人解密等事项，无需到开标现场。采用本方式可以观看开标现场音视频直播并进行互动交流。具体操作方法见中心网站&gt;服务指南&gt;交易须知中的《滁州市不见面开标系统操作手册》。解密时间要求为：从本项目解密程序开始时计时，至完成投标文件解密时间，不得超过60分钟，否则投标文件将被拒绝。</w:t>
      </w:r>
    </w:p>
    <w:p w14:paraId="6A01CB1D">
      <w:pPr>
        <w:pageBreakBefore w:val="0"/>
        <w:widowControl/>
        <w:kinsoku/>
        <w:wordWrap w:val="0"/>
        <w:overflowPunct/>
        <w:topLinePunct w:val="0"/>
        <w:autoSpaceDE/>
        <w:autoSpaceDN/>
        <w:bidi w:val="0"/>
        <w:snapToGrid/>
        <w:spacing w:line="400" w:lineRule="exact"/>
        <w:ind w:firstLine="420" w:firstLineChars="200"/>
        <w:jc w:val="left"/>
        <w:rPr>
          <w:rFonts w:hint="eastAsia" w:ascii="宋体" w:hAnsi="宋体" w:cs="宋体"/>
          <w:szCs w:val="21"/>
          <w:highlight w:val="none"/>
        </w:rPr>
      </w:pPr>
      <w:r>
        <w:rPr>
          <w:rFonts w:hint="eastAsia" w:ascii="宋体" w:hAnsi="宋体" w:cs="宋体"/>
          <w:kern w:val="0"/>
          <w:szCs w:val="21"/>
          <w:highlight w:val="none"/>
        </w:rPr>
        <w:t>4、投标文件格式、内容和制作要求以招标文件为准，投标文件制作工具中提供的相关格式及内容仅供参考，投标企业可根据招标文件要求自行调整。</w:t>
      </w:r>
    </w:p>
    <w:p w14:paraId="2D62846E">
      <w:pPr>
        <w:pageBreakBefore w:val="0"/>
        <w:widowControl/>
        <w:kinsoku/>
        <w:wordWrap w:val="0"/>
        <w:overflowPunct/>
        <w:topLinePunct w:val="0"/>
        <w:autoSpaceDE/>
        <w:autoSpaceDN/>
        <w:bidi w:val="0"/>
        <w:snapToGrid/>
        <w:spacing w:line="400" w:lineRule="exact"/>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5、投标人提出异议的截止时间及方式：如投标人对招标文件有异议，请于202</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rPr>
        <w:t>年</w:t>
      </w:r>
      <w:r>
        <w:rPr>
          <w:rFonts w:hint="eastAsia" w:ascii="宋体" w:hAnsi="宋体" w:cs="宋体"/>
          <w:kern w:val="0"/>
          <w:szCs w:val="21"/>
          <w:highlight w:val="none"/>
          <w:lang w:val="en-US" w:eastAsia="zh-CN"/>
        </w:rPr>
        <w:t>6</w:t>
      </w:r>
      <w:r>
        <w:rPr>
          <w:rFonts w:hint="eastAsia" w:ascii="宋体" w:hAnsi="宋体" w:eastAsia="宋体" w:cs="宋体"/>
          <w:kern w:val="0"/>
          <w:szCs w:val="21"/>
          <w:highlight w:val="none"/>
        </w:rPr>
        <w:t>月</w:t>
      </w:r>
      <w:r>
        <w:rPr>
          <w:rFonts w:hint="eastAsia" w:ascii="宋体" w:hAnsi="宋体" w:cs="宋体"/>
          <w:kern w:val="0"/>
          <w:szCs w:val="21"/>
          <w:highlight w:val="none"/>
          <w:lang w:val="en-US" w:eastAsia="zh-CN"/>
        </w:rPr>
        <w:t>28</w:t>
      </w:r>
      <w:r>
        <w:rPr>
          <w:rFonts w:hint="eastAsia" w:ascii="宋体" w:hAnsi="宋体" w:eastAsia="宋体" w:cs="宋体"/>
          <w:kern w:val="0"/>
          <w:szCs w:val="21"/>
          <w:highlight w:val="none"/>
        </w:rPr>
        <w:t>日8时（投标截止10日）前在滁州市公共资源交易中心网电子交易系统中进行异议，具体操作步骤和程序请参见服务指南&gt;交易须知&gt;在线异议、质疑和投诉操作手册。</w:t>
      </w:r>
    </w:p>
    <w:p w14:paraId="151859B1">
      <w:pPr>
        <w:pageBreakBefore w:val="0"/>
        <w:widowControl/>
        <w:kinsoku/>
        <w:wordWrap w:val="0"/>
        <w:overflowPunct/>
        <w:topLinePunct w:val="0"/>
        <w:autoSpaceDE/>
        <w:autoSpaceDN/>
        <w:bidi w:val="0"/>
        <w:snapToGrid/>
        <w:spacing w:line="400" w:lineRule="exact"/>
        <w:ind w:firstLine="420" w:firstLineChars="200"/>
        <w:jc w:val="left"/>
        <w:rPr>
          <w:rFonts w:hint="eastAsia"/>
          <w:highlight w:val="none"/>
        </w:rPr>
      </w:pPr>
      <w:r>
        <w:rPr>
          <w:rFonts w:hint="eastAsia" w:ascii="宋体" w:hAnsi="宋体" w:cs="宋体"/>
          <w:szCs w:val="21"/>
          <w:highlight w:val="none"/>
        </w:rPr>
        <w:t>6、受理异议的联系人及联系方式：联系人：</w:t>
      </w:r>
      <w:r>
        <w:rPr>
          <w:rFonts w:hint="eastAsia" w:ascii="宋体" w:hAnsi="宋体" w:cs="宋体"/>
          <w:szCs w:val="21"/>
          <w:highlight w:val="none"/>
          <w:lang w:eastAsia="zh-CN"/>
        </w:rPr>
        <w:t>范家鑫</w:t>
      </w:r>
      <w:r>
        <w:rPr>
          <w:rFonts w:hint="eastAsia" w:ascii="宋体" w:hAnsi="宋体" w:cs="宋体"/>
          <w:szCs w:val="21"/>
          <w:highlight w:val="none"/>
        </w:rPr>
        <w:t>、周蓓蕾；联系方式：</w:t>
      </w:r>
      <w:r>
        <w:rPr>
          <w:rFonts w:hint="eastAsia" w:ascii="宋体" w:hAnsi="宋体" w:cs="宋体"/>
          <w:szCs w:val="21"/>
          <w:highlight w:val="none"/>
          <w:lang w:eastAsia="zh-CN"/>
        </w:rPr>
        <w:t>0550-3352129</w:t>
      </w:r>
      <w:r>
        <w:rPr>
          <w:rFonts w:hint="eastAsia" w:ascii="宋体" w:hAnsi="宋体" w:cs="宋体"/>
          <w:szCs w:val="21"/>
          <w:highlight w:val="none"/>
        </w:rPr>
        <w:t>、0550-3519519、18005505728。</w:t>
      </w:r>
    </w:p>
    <w:p w14:paraId="139B4D75">
      <w:pPr>
        <w:pStyle w:val="3"/>
        <w:pageBreakBefore w:val="0"/>
        <w:numPr>
          <w:ilvl w:val="0"/>
          <w:numId w:val="0"/>
        </w:numPr>
        <w:kinsoku/>
        <w:overflowPunct/>
        <w:topLinePunct w:val="0"/>
        <w:autoSpaceDE/>
        <w:autoSpaceDN/>
        <w:bidi w:val="0"/>
        <w:snapToGrid/>
        <w:spacing w:line="400" w:lineRule="exact"/>
        <w:ind w:left="851" w:hanging="420"/>
        <w:rPr>
          <w:rFonts w:hint="eastAsia" w:ascii="宋体" w:hAnsi="宋体" w:cs="宋体"/>
          <w:sz w:val="21"/>
          <w:szCs w:val="21"/>
          <w:highlight w:val="none"/>
        </w:rPr>
      </w:pPr>
      <w:r>
        <w:rPr>
          <w:rFonts w:hint="eastAsia" w:ascii="宋体" w:hAnsi="宋体" w:cs="宋体"/>
          <w:b/>
          <w:sz w:val="21"/>
          <w:szCs w:val="21"/>
          <w:highlight w:val="none"/>
        </w:rPr>
        <w:t>八、对本次招标提出询问，请按以下方式联系</w:t>
      </w:r>
      <w:bookmarkEnd w:id="33"/>
    </w:p>
    <w:p w14:paraId="6284271C">
      <w:pPr>
        <w:pageBreakBefore w:val="0"/>
        <w:kinsoku/>
        <w:overflowPunct/>
        <w:topLinePunct w:val="0"/>
        <w:autoSpaceDE/>
        <w:autoSpaceDN/>
        <w:bidi w:val="0"/>
        <w:snapToGrid/>
        <w:spacing w:line="400" w:lineRule="exact"/>
        <w:ind w:firstLine="570"/>
        <w:rPr>
          <w:rFonts w:hint="eastAsia" w:ascii="宋体" w:hAnsi="宋体" w:cs="宋体"/>
          <w:szCs w:val="21"/>
          <w:highlight w:val="none"/>
        </w:rPr>
      </w:pPr>
      <w:r>
        <w:rPr>
          <w:rFonts w:hint="eastAsia" w:ascii="宋体" w:hAnsi="宋体" w:cs="宋体"/>
          <w:szCs w:val="21"/>
          <w:highlight w:val="none"/>
        </w:rPr>
        <w:t>1.招标人信息</w:t>
      </w:r>
    </w:p>
    <w:p w14:paraId="7BB4B5A5">
      <w:pPr>
        <w:pageBreakBefore w:val="0"/>
        <w:kinsoku/>
        <w:overflowPunct/>
        <w:topLinePunct w:val="0"/>
        <w:autoSpaceDE/>
        <w:autoSpaceDN/>
        <w:bidi w:val="0"/>
        <w:snapToGrid/>
        <w:spacing w:line="400" w:lineRule="exact"/>
        <w:ind w:firstLine="570"/>
        <w:rPr>
          <w:rFonts w:hint="eastAsia" w:ascii="宋体" w:hAnsi="宋体" w:eastAsia="宋体" w:cs="宋体"/>
          <w:szCs w:val="21"/>
          <w:highlight w:val="none"/>
          <w:lang w:eastAsia="zh-CN"/>
        </w:rPr>
      </w:pPr>
      <w:bookmarkStart w:id="34" w:name="_Toc28359087"/>
      <w:bookmarkStart w:id="35" w:name="_Toc28359010"/>
      <w:r>
        <w:rPr>
          <w:rFonts w:hint="eastAsia" w:ascii="宋体" w:hAnsi="宋体" w:cs="宋体"/>
          <w:szCs w:val="21"/>
          <w:highlight w:val="none"/>
        </w:rPr>
        <w:t>名称：</w:t>
      </w:r>
      <w:r>
        <w:rPr>
          <w:rFonts w:hint="eastAsia" w:ascii="宋体" w:hAnsi="宋体" w:cs="宋体"/>
          <w:szCs w:val="21"/>
          <w:highlight w:val="none"/>
          <w:lang w:eastAsia="zh-CN"/>
        </w:rPr>
        <w:t>滁州市轨道交通运营有限公司</w:t>
      </w:r>
    </w:p>
    <w:p w14:paraId="7B4D6DAE">
      <w:pPr>
        <w:pageBreakBefore w:val="0"/>
        <w:kinsoku/>
        <w:overflowPunct/>
        <w:topLinePunct w:val="0"/>
        <w:autoSpaceDE/>
        <w:autoSpaceDN/>
        <w:bidi w:val="0"/>
        <w:snapToGrid/>
        <w:spacing w:line="400" w:lineRule="exact"/>
        <w:ind w:firstLine="570"/>
        <w:rPr>
          <w:rFonts w:hint="eastAsia" w:ascii="宋体" w:hAnsi="宋体" w:eastAsia="宋体" w:cs="宋体"/>
          <w:szCs w:val="21"/>
          <w:highlight w:val="none"/>
          <w:lang w:eastAsia="zh-CN"/>
        </w:rPr>
      </w:pPr>
      <w:r>
        <w:rPr>
          <w:rFonts w:hint="eastAsia" w:ascii="宋体" w:hAnsi="宋体" w:cs="宋体"/>
          <w:szCs w:val="21"/>
          <w:highlight w:val="none"/>
        </w:rPr>
        <w:t>地址：</w:t>
      </w:r>
      <w:r>
        <w:rPr>
          <w:rFonts w:hint="eastAsia" w:ascii="宋体" w:hAnsi="宋体" w:cs="宋体"/>
          <w:szCs w:val="21"/>
          <w:highlight w:val="none"/>
          <w:lang w:eastAsia="zh-CN"/>
        </w:rPr>
        <w:t>滁州市徽州路与扬子路交叉口东南侧5楼</w:t>
      </w:r>
    </w:p>
    <w:p w14:paraId="25250A13">
      <w:pPr>
        <w:pageBreakBefore w:val="0"/>
        <w:kinsoku/>
        <w:overflowPunct/>
        <w:topLinePunct w:val="0"/>
        <w:autoSpaceDE/>
        <w:autoSpaceDN/>
        <w:bidi w:val="0"/>
        <w:snapToGrid/>
        <w:spacing w:line="400" w:lineRule="exact"/>
        <w:ind w:firstLine="570"/>
        <w:rPr>
          <w:rFonts w:hint="eastAsia" w:ascii="宋体" w:hAnsi="宋体" w:cs="宋体"/>
          <w:szCs w:val="21"/>
          <w:highlight w:val="none"/>
        </w:rPr>
      </w:pPr>
      <w:r>
        <w:rPr>
          <w:rFonts w:hint="eastAsia" w:ascii="宋体" w:hAnsi="宋体" w:cs="宋体"/>
          <w:szCs w:val="21"/>
          <w:highlight w:val="none"/>
        </w:rPr>
        <w:t>联系方式：</w:t>
      </w:r>
      <w:r>
        <w:rPr>
          <w:rFonts w:hint="eastAsia" w:ascii="宋体" w:hAnsi="宋体" w:cs="宋体"/>
          <w:szCs w:val="21"/>
          <w:highlight w:val="none"/>
          <w:lang w:eastAsia="zh-CN"/>
        </w:rPr>
        <w:t>0550-3352129</w:t>
      </w:r>
      <w:r>
        <w:rPr>
          <w:rFonts w:hint="eastAsia" w:ascii="宋体" w:hAnsi="宋体" w:cs="宋体"/>
          <w:szCs w:val="21"/>
          <w:highlight w:val="none"/>
        </w:rPr>
        <w:t xml:space="preserve">  </w:t>
      </w:r>
      <w:bookmarkStart w:id="36" w:name="_Toc28359009"/>
      <w:bookmarkStart w:id="37" w:name="_Toc28359086"/>
    </w:p>
    <w:bookmarkEnd w:id="36"/>
    <w:bookmarkEnd w:id="37"/>
    <w:p w14:paraId="61943814">
      <w:pPr>
        <w:pageBreakBefore w:val="0"/>
        <w:kinsoku/>
        <w:overflowPunct/>
        <w:topLinePunct w:val="0"/>
        <w:autoSpaceDE/>
        <w:autoSpaceDN/>
        <w:bidi w:val="0"/>
        <w:snapToGrid/>
        <w:spacing w:line="400" w:lineRule="exact"/>
        <w:ind w:firstLine="570"/>
        <w:rPr>
          <w:rFonts w:hint="eastAsia" w:ascii="宋体" w:hAnsi="宋体" w:cs="宋体"/>
          <w:szCs w:val="21"/>
          <w:highlight w:val="none"/>
        </w:rPr>
      </w:pPr>
      <w:r>
        <w:rPr>
          <w:rFonts w:hint="eastAsia" w:ascii="宋体" w:hAnsi="宋体" w:cs="宋体"/>
          <w:szCs w:val="21"/>
          <w:highlight w:val="none"/>
        </w:rPr>
        <w:t>2.代理机构信息</w:t>
      </w:r>
    </w:p>
    <w:p w14:paraId="6E59ACA1">
      <w:pPr>
        <w:pageBreakBefore w:val="0"/>
        <w:kinsoku/>
        <w:overflowPunct/>
        <w:topLinePunct w:val="0"/>
        <w:autoSpaceDE/>
        <w:autoSpaceDN/>
        <w:bidi w:val="0"/>
        <w:snapToGrid/>
        <w:spacing w:line="400" w:lineRule="exact"/>
        <w:ind w:firstLine="570"/>
        <w:rPr>
          <w:rFonts w:hint="eastAsia" w:ascii="宋体" w:hAnsi="宋体" w:cs="宋体"/>
          <w:szCs w:val="21"/>
          <w:highlight w:val="none"/>
        </w:rPr>
      </w:pPr>
      <w:r>
        <w:rPr>
          <w:rFonts w:hint="eastAsia" w:ascii="宋体" w:hAnsi="宋体" w:cs="宋体"/>
          <w:szCs w:val="21"/>
          <w:highlight w:val="none"/>
        </w:rPr>
        <w:t>名称：滁州市城投工程咨询管理有限公司</w:t>
      </w:r>
    </w:p>
    <w:p w14:paraId="77079747">
      <w:pPr>
        <w:pageBreakBefore w:val="0"/>
        <w:kinsoku/>
        <w:overflowPunct/>
        <w:topLinePunct w:val="0"/>
        <w:autoSpaceDE/>
        <w:autoSpaceDN/>
        <w:bidi w:val="0"/>
        <w:snapToGrid/>
        <w:spacing w:line="400" w:lineRule="exact"/>
        <w:ind w:firstLine="570"/>
        <w:rPr>
          <w:rFonts w:hint="eastAsia" w:ascii="宋体" w:hAnsi="宋体" w:cs="宋体"/>
          <w:szCs w:val="21"/>
          <w:highlight w:val="none"/>
        </w:rPr>
      </w:pPr>
      <w:r>
        <w:rPr>
          <w:rFonts w:hint="eastAsia" w:ascii="宋体" w:hAnsi="宋体" w:cs="宋体"/>
          <w:szCs w:val="21"/>
          <w:highlight w:val="none"/>
        </w:rPr>
        <w:t>地址：滁州市龙蟠大道109号房产大厦六楼</w:t>
      </w:r>
    </w:p>
    <w:p w14:paraId="1B318CDF">
      <w:pPr>
        <w:pageBreakBefore w:val="0"/>
        <w:kinsoku/>
        <w:overflowPunct/>
        <w:topLinePunct w:val="0"/>
        <w:autoSpaceDE/>
        <w:autoSpaceDN/>
        <w:bidi w:val="0"/>
        <w:snapToGrid/>
        <w:spacing w:line="400" w:lineRule="exact"/>
        <w:ind w:firstLine="570"/>
        <w:rPr>
          <w:rFonts w:ascii="宋体" w:hAnsi="宋体" w:cs="宋体"/>
          <w:szCs w:val="21"/>
          <w:highlight w:val="none"/>
        </w:rPr>
      </w:pPr>
      <w:r>
        <w:rPr>
          <w:rFonts w:hint="eastAsia" w:ascii="宋体" w:hAnsi="宋体" w:cs="宋体"/>
          <w:szCs w:val="21"/>
          <w:highlight w:val="none"/>
        </w:rPr>
        <w:t>联系方式：0550-3519519、18005505728</w:t>
      </w:r>
    </w:p>
    <w:p w14:paraId="216ACDF4">
      <w:pPr>
        <w:pageBreakBefore w:val="0"/>
        <w:kinsoku/>
        <w:overflowPunct/>
        <w:topLinePunct w:val="0"/>
        <w:autoSpaceDE/>
        <w:autoSpaceDN/>
        <w:bidi w:val="0"/>
        <w:snapToGrid/>
        <w:spacing w:line="400" w:lineRule="exact"/>
        <w:ind w:firstLine="570"/>
        <w:rPr>
          <w:rFonts w:hint="eastAsia" w:ascii="宋体" w:hAnsi="宋体" w:cs="宋体"/>
          <w:szCs w:val="21"/>
          <w:highlight w:val="none"/>
        </w:rPr>
      </w:pPr>
      <w:r>
        <w:rPr>
          <w:rFonts w:hint="eastAsia" w:ascii="宋体" w:hAnsi="宋体" w:cs="宋体"/>
          <w:szCs w:val="21"/>
          <w:highlight w:val="none"/>
        </w:rPr>
        <w:t>3.项目联系方式</w:t>
      </w:r>
      <w:bookmarkEnd w:id="34"/>
      <w:bookmarkEnd w:id="35"/>
      <w:r>
        <w:rPr>
          <w:rFonts w:hint="eastAsia" w:ascii="宋体" w:hAnsi="宋体" w:cs="宋体"/>
          <w:szCs w:val="21"/>
          <w:highlight w:val="none"/>
        </w:rPr>
        <w:t xml:space="preserve"> </w:t>
      </w:r>
    </w:p>
    <w:p w14:paraId="04ACEEB0">
      <w:pPr>
        <w:pageBreakBefore w:val="0"/>
        <w:kinsoku/>
        <w:overflowPunct/>
        <w:topLinePunct w:val="0"/>
        <w:autoSpaceDE/>
        <w:autoSpaceDN/>
        <w:bidi w:val="0"/>
        <w:snapToGrid/>
        <w:spacing w:line="400" w:lineRule="exact"/>
        <w:ind w:firstLine="570"/>
        <w:rPr>
          <w:rFonts w:ascii="宋体" w:hAnsi="宋体" w:cs="宋体"/>
          <w:szCs w:val="21"/>
          <w:highlight w:val="none"/>
        </w:rPr>
      </w:pPr>
      <w:r>
        <w:rPr>
          <w:rFonts w:hint="eastAsia" w:ascii="宋体" w:hAnsi="宋体" w:cs="宋体"/>
          <w:szCs w:val="21"/>
          <w:highlight w:val="none"/>
        </w:rPr>
        <w:t>项目联系人：</w:t>
      </w:r>
      <w:r>
        <w:rPr>
          <w:rFonts w:hint="eastAsia" w:ascii="宋体" w:hAnsi="宋体" w:cs="宋体"/>
          <w:szCs w:val="21"/>
          <w:highlight w:val="none"/>
          <w:lang w:eastAsia="zh-CN"/>
        </w:rPr>
        <w:t>范家鑫</w:t>
      </w:r>
      <w:r>
        <w:rPr>
          <w:rFonts w:hint="eastAsia" w:ascii="宋体" w:hAnsi="宋体" w:cs="宋体"/>
          <w:szCs w:val="21"/>
          <w:highlight w:val="none"/>
        </w:rPr>
        <w:t xml:space="preserve">、周蓓蕾     </w:t>
      </w:r>
    </w:p>
    <w:p w14:paraId="7D810F87">
      <w:pPr>
        <w:pageBreakBefore w:val="0"/>
        <w:kinsoku/>
        <w:overflowPunct/>
        <w:topLinePunct w:val="0"/>
        <w:autoSpaceDE/>
        <w:autoSpaceDN/>
        <w:bidi w:val="0"/>
        <w:snapToGrid/>
        <w:spacing w:line="400" w:lineRule="exact"/>
        <w:ind w:firstLine="570"/>
        <w:rPr>
          <w:rFonts w:hint="eastAsia" w:ascii="宋体" w:hAnsi="宋体" w:cs="宋体"/>
          <w:szCs w:val="21"/>
          <w:highlight w:val="none"/>
        </w:rPr>
      </w:pPr>
      <w:r>
        <w:rPr>
          <w:rFonts w:hint="eastAsia" w:ascii="宋体" w:hAnsi="宋体" w:cs="宋体"/>
          <w:szCs w:val="21"/>
          <w:highlight w:val="none"/>
        </w:rPr>
        <w:t>电话：</w:t>
      </w:r>
      <w:r>
        <w:rPr>
          <w:rFonts w:hint="eastAsia" w:ascii="宋体" w:hAnsi="宋体" w:cs="宋体"/>
          <w:szCs w:val="21"/>
          <w:highlight w:val="none"/>
          <w:lang w:eastAsia="zh-CN"/>
        </w:rPr>
        <w:t>0550-3352129</w:t>
      </w:r>
      <w:r>
        <w:rPr>
          <w:rFonts w:hint="eastAsia" w:ascii="宋体" w:hAnsi="宋体" w:cs="宋体"/>
          <w:szCs w:val="21"/>
          <w:highlight w:val="none"/>
        </w:rPr>
        <w:t>、0550-3519519、18005505728</w:t>
      </w:r>
    </w:p>
    <w:p w14:paraId="1F2DD29F">
      <w:pPr>
        <w:spacing w:line="400" w:lineRule="exact"/>
        <w:jc w:val="center"/>
        <w:rPr>
          <w:rFonts w:hint="eastAsia" w:ascii="宋体"/>
          <w:b/>
          <w:sz w:val="32"/>
          <w:szCs w:val="32"/>
          <w:highlight w:val="none"/>
        </w:rPr>
      </w:pPr>
      <w:r>
        <w:rPr>
          <w:rFonts w:hint="eastAsia" w:ascii="宋体"/>
          <w:b/>
          <w:sz w:val="32"/>
          <w:szCs w:val="32"/>
          <w:highlight w:val="none"/>
        </w:rPr>
        <w:br w:type="page"/>
      </w:r>
      <w:r>
        <w:rPr>
          <w:rFonts w:hint="eastAsia" w:ascii="宋体"/>
          <w:b/>
          <w:sz w:val="32"/>
          <w:szCs w:val="32"/>
          <w:highlight w:val="none"/>
        </w:rPr>
        <w:t>第二章 投标人须知</w:t>
      </w:r>
      <w:bookmarkEnd w:id="2"/>
    </w:p>
    <w:p w14:paraId="6710BCB1">
      <w:pPr>
        <w:snapToGrid w:val="0"/>
        <w:spacing w:line="360" w:lineRule="exact"/>
        <w:jc w:val="center"/>
        <w:outlineLvl w:val="1"/>
        <w:rPr>
          <w:rFonts w:hint="eastAsia" w:ascii="宋体"/>
          <w:b/>
          <w:sz w:val="28"/>
          <w:szCs w:val="28"/>
          <w:highlight w:val="none"/>
        </w:rPr>
      </w:pPr>
      <w:bookmarkStart w:id="38" w:name="_Toc449028865"/>
      <w:bookmarkStart w:id="39" w:name="_Toc58430314"/>
      <w:r>
        <w:rPr>
          <w:rFonts w:hint="eastAsia" w:ascii="宋体"/>
          <w:b/>
          <w:sz w:val="32"/>
          <w:szCs w:val="32"/>
          <w:highlight w:val="none"/>
        </w:rPr>
        <w:t>一、</w:t>
      </w:r>
      <w:r>
        <w:rPr>
          <w:rFonts w:hint="eastAsia" w:ascii="宋体"/>
          <w:b/>
          <w:sz w:val="28"/>
          <w:szCs w:val="28"/>
          <w:highlight w:val="none"/>
        </w:rPr>
        <w:t>投标人须知前附表</w:t>
      </w:r>
      <w:bookmarkEnd w:id="38"/>
      <w:bookmarkEnd w:id="39"/>
    </w:p>
    <w:tbl>
      <w:tblPr>
        <w:tblStyle w:val="36"/>
        <w:tblW w:w="9813"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1036"/>
        <w:gridCol w:w="2300"/>
        <w:gridCol w:w="6477"/>
      </w:tblGrid>
      <w:tr w14:paraId="656ABC5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6" w:hRule="atLeast"/>
          <w:jc w:val="center"/>
        </w:trPr>
        <w:tc>
          <w:tcPr>
            <w:tcW w:w="1036" w:type="dxa"/>
            <w:noWrap w:val="0"/>
            <w:vAlign w:val="center"/>
          </w:tcPr>
          <w:p w14:paraId="09E4EA1C">
            <w:pPr>
              <w:jc w:val="center"/>
              <w:rPr>
                <w:rFonts w:hint="eastAsia" w:ascii="宋体" w:hAnsi="宋体" w:eastAsia="宋体" w:cs="宋体"/>
                <w:highlight w:val="none"/>
              </w:rPr>
            </w:pPr>
            <w:r>
              <w:rPr>
                <w:rFonts w:hint="eastAsia" w:ascii="宋体" w:hAnsi="宋体" w:eastAsia="宋体" w:cs="宋体"/>
                <w:highlight w:val="none"/>
              </w:rPr>
              <w:t>序号</w:t>
            </w:r>
          </w:p>
        </w:tc>
        <w:tc>
          <w:tcPr>
            <w:tcW w:w="2300" w:type="dxa"/>
            <w:noWrap w:val="0"/>
            <w:vAlign w:val="center"/>
          </w:tcPr>
          <w:p w14:paraId="006AE19A">
            <w:pPr>
              <w:jc w:val="center"/>
              <w:rPr>
                <w:rFonts w:hint="eastAsia" w:ascii="宋体" w:hAnsi="宋体" w:eastAsia="宋体" w:cs="宋体"/>
                <w:highlight w:val="none"/>
              </w:rPr>
            </w:pPr>
            <w:r>
              <w:rPr>
                <w:rFonts w:hint="eastAsia" w:ascii="宋体" w:hAnsi="宋体" w:eastAsia="宋体" w:cs="宋体"/>
                <w:highlight w:val="none"/>
              </w:rPr>
              <w:t>条款名称</w:t>
            </w:r>
          </w:p>
        </w:tc>
        <w:tc>
          <w:tcPr>
            <w:tcW w:w="6477" w:type="dxa"/>
            <w:noWrap w:val="0"/>
            <w:vAlign w:val="center"/>
          </w:tcPr>
          <w:p w14:paraId="247C3846">
            <w:pPr>
              <w:jc w:val="center"/>
              <w:rPr>
                <w:rFonts w:hint="eastAsia" w:ascii="宋体" w:hAnsi="宋体" w:eastAsia="宋体" w:cs="宋体"/>
                <w:highlight w:val="none"/>
              </w:rPr>
            </w:pPr>
            <w:r>
              <w:rPr>
                <w:rFonts w:hint="eastAsia" w:ascii="宋体" w:hAnsi="宋体" w:eastAsia="宋体" w:cs="宋体"/>
                <w:highlight w:val="none"/>
              </w:rPr>
              <w:t>说明与要求</w:t>
            </w:r>
          </w:p>
        </w:tc>
      </w:tr>
      <w:tr w14:paraId="306013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49" w:hRule="atLeast"/>
          <w:jc w:val="center"/>
        </w:trPr>
        <w:tc>
          <w:tcPr>
            <w:tcW w:w="1036" w:type="dxa"/>
            <w:noWrap w:val="0"/>
            <w:vAlign w:val="center"/>
          </w:tcPr>
          <w:p w14:paraId="02012DB6">
            <w:pPr>
              <w:rPr>
                <w:rFonts w:hint="eastAsia" w:ascii="宋体" w:hAnsi="宋体" w:eastAsia="宋体" w:cs="宋体"/>
                <w:highlight w:val="none"/>
              </w:rPr>
            </w:pPr>
            <w:r>
              <w:rPr>
                <w:rFonts w:hint="eastAsia" w:ascii="宋体" w:hAnsi="宋体" w:eastAsia="宋体" w:cs="宋体"/>
                <w:highlight w:val="none"/>
              </w:rPr>
              <w:t>1.1</w:t>
            </w:r>
          </w:p>
        </w:tc>
        <w:tc>
          <w:tcPr>
            <w:tcW w:w="2300" w:type="dxa"/>
            <w:noWrap w:val="0"/>
            <w:vAlign w:val="center"/>
          </w:tcPr>
          <w:p w14:paraId="72DDAC97">
            <w:pPr>
              <w:rPr>
                <w:rFonts w:hint="eastAsia" w:ascii="宋体" w:hAnsi="宋体" w:eastAsia="宋体" w:cs="宋体"/>
                <w:highlight w:val="none"/>
              </w:rPr>
            </w:pPr>
            <w:r>
              <w:rPr>
                <w:rFonts w:hint="eastAsia" w:ascii="宋体" w:hAnsi="宋体" w:eastAsia="宋体" w:cs="宋体"/>
                <w:highlight w:val="none"/>
              </w:rPr>
              <w:t>项目名称</w:t>
            </w:r>
          </w:p>
        </w:tc>
        <w:tc>
          <w:tcPr>
            <w:tcW w:w="6477" w:type="dxa"/>
            <w:noWrap w:val="0"/>
            <w:vAlign w:val="center"/>
          </w:tcPr>
          <w:p w14:paraId="22F383B8">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2025年滁州轨道运营消防器材采购项目</w:t>
            </w:r>
          </w:p>
        </w:tc>
      </w:tr>
      <w:tr w14:paraId="3E9A32D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9" w:hRule="atLeast"/>
          <w:jc w:val="center"/>
        </w:trPr>
        <w:tc>
          <w:tcPr>
            <w:tcW w:w="1036" w:type="dxa"/>
            <w:noWrap w:val="0"/>
            <w:vAlign w:val="center"/>
          </w:tcPr>
          <w:p w14:paraId="40CFC230">
            <w:pPr>
              <w:rPr>
                <w:rFonts w:hint="eastAsia" w:ascii="宋体" w:hAnsi="宋体" w:eastAsia="宋体" w:cs="宋体"/>
                <w:highlight w:val="none"/>
              </w:rPr>
            </w:pPr>
            <w:r>
              <w:rPr>
                <w:rFonts w:hint="eastAsia" w:ascii="宋体" w:hAnsi="宋体" w:eastAsia="宋体" w:cs="宋体"/>
                <w:highlight w:val="none"/>
              </w:rPr>
              <w:t>1.1</w:t>
            </w:r>
          </w:p>
        </w:tc>
        <w:tc>
          <w:tcPr>
            <w:tcW w:w="2300" w:type="dxa"/>
            <w:noWrap w:val="0"/>
            <w:vAlign w:val="center"/>
          </w:tcPr>
          <w:p w14:paraId="40FD644E">
            <w:pPr>
              <w:rPr>
                <w:rFonts w:hint="eastAsia" w:ascii="宋体" w:hAnsi="宋体" w:eastAsia="宋体" w:cs="宋体"/>
                <w:highlight w:val="none"/>
              </w:rPr>
            </w:pPr>
            <w:r>
              <w:rPr>
                <w:rFonts w:hint="eastAsia" w:ascii="宋体" w:hAnsi="宋体" w:eastAsia="宋体" w:cs="宋体"/>
                <w:highlight w:val="none"/>
              </w:rPr>
              <w:t>项目编号</w:t>
            </w:r>
          </w:p>
        </w:tc>
        <w:tc>
          <w:tcPr>
            <w:tcW w:w="6477" w:type="dxa"/>
            <w:noWrap w:val="0"/>
            <w:vAlign w:val="center"/>
          </w:tcPr>
          <w:p w14:paraId="34CDD461">
            <w:pPr>
              <w:rPr>
                <w:rFonts w:hint="eastAsia" w:ascii="宋体" w:hAnsi="宋体" w:eastAsia="宋体" w:cs="宋体"/>
                <w:highlight w:val="none"/>
              </w:rPr>
            </w:pPr>
            <w:r>
              <w:rPr>
                <w:rFonts w:hint="default" w:ascii="宋体" w:hAnsi="宋体" w:eastAsia="宋体" w:cs="宋体"/>
                <w:highlight w:val="none"/>
                <w:lang w:val="en-US" w:eastAsia="zh-CN"/>
              </w:rPr>
              <w:t>czsjqt202506-010</w:t>
            </w:r>
          </w:p>
        </w:tc>
      </w:tr>
      <w:tr w14:paraId="6E23A0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96" w:hRule="atLeast"/>
          <w:jc w:val="center"/>
        </w:trPr>
        <w:tc>
          <w:tcPr>
            <w:tcW w:w="1036" w:type="dxa"/>
            <w:noWrap w:val="0"/>
            <w:vAlign w:val="center"/>
          </w:tcPr>
          <w:p w14:paraId="65CB51A4">
            <w:pPr>
              <w:rPr>
                <w:rFonts w:hint="eastAsia" w:ascii="宋体" w:hAnsi="宋体" w:eastAsia="宋体" w:cs="宋体"/>
                <w:highlight w:val="none"/>
              </w:rPr>
            </w:pPr>
            <w:r>
              <w:rPr>
                <w:rFonts w:hint="eastAsia" w:ascii="宋体" w:hAnsi="宋体" w:eastAsia="宋体" w:cs="宋体"/>
                <w:highlight w:val="none"/>
              </w:rPr>
              <w:t>1.1</w:t>
            </w:r>
          </w:p>
        </w:tc>
        <w:tc>
          <w:tcPr>
            <w:tcW w:w="2300" w:type="dxa"/>
            <w:noWrap w:val="0"/>
            <w:vAlign w:val="center"/>
          </w:tcPr>
          <w:p w14:paraId="06048B0E">
            <w:pPr>
              <w:rPr>
                <w:rFonts w:hint="eastAsia" w:ascii="宋体" w:hAnsi="宋体" w:eastAsia="宋体" w:cs="宋体"/>
                <w:highlight w:val="none"/>
              </w:rPr>
            </w:pPr>
            <w:r>
              <w:rPr>
                <w:rFonts w:hint="eastAsia" w:ascii="宋体" w:hAnsi="宋体" w:eastAsia="宋体" w:cs="宋体"/>
                <w:highlight w:val="none"/>
                <w:lang w:val="en-US" w:eastAsia="zh-CN"/>
              </w:rPr>
              <w:t>服务期</w:t>
            </w:r>
          </w:p>
        </w:tc>
        <w:tc>
          <w:tcPr>
            <w:tcW w:w="6477" w:type="dxa"/>
            <w:noWrap w:val="0"/>
            <w:vAlign w:val="center"/>
          </w:tcPr>
          <w:p w14:paraId="0354E4A7">
            <w:pPr>
              <w:rPr>
                <w:rFonts w:hint="eastAsia" w:ascii="宋体" w:hAnsi="宋体" w:eastAsia="宋体" w:cs="宋体"/>
                <w:highlight w:val="none"/>
              </w:rPr>
            </w:pPr>
            <w:r>
              <w:rPr>
                <w:rFonts w:hint="eastAsia" w:ascii="宋体" w:hAnsi="宋体" w:eastAsia="宋体" w:cs="宋体"/>
                <w:highlight w:val="none"/>
              </w:rPr>
              <w:t>详见第一章“招标公告”</w:t>
            </w:r>
          </w:p>
        </w:tc>
      </w:tr>
      <w:tr w14:paraId="1D83AC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9" w:hRule="atLeast"/>
          <w:jc w:val="center"/>
        </w:trPr>
        <w:tc>
          <w:tcPr>
            <w:tcW w:w="1036" w:type="dxa"/>
            <w:noWrap w:val="0"/>
            <w:vAlign w:val="center"/>
          </w:tcPr>
          <w:p w14:paraId="7C527D85">
            <w:pPr>
              <w:rPr>
                <w:rFonts w:hint="eastAsia" w:ascii="宋体" w:hAnsi="宋体" w:eastAsia="宋体" w:cs="宋体"/>
                <w:highlight w:val="none"/>
              </w:rPr>
            </w:pPr>
            <w:r>
              <w:rPr>
                <w:rFonts w:hint="eastAsia" w:ascii="宋体" w:hAnsi="宋体" w:eastAsia="宋体" w:cs="宋体"/>
                <w:highlight w:val="none"/>
              </w:rPr>
              <w:t>1.1</w:t>
            </w:r>
          </w:p>
        </w:tc>
        <w:tc>
          <w:tcPr>
            <w:tcW w:w="2300" w:type="dxa"/>
            <w:noWrap w:val="0"/>
            <w:vAlign w:val="center"/>
          </w:tcPr>
          <w:p w14:paraId="2C092895">
            <w:pPr>
              <w:rPr>
                <w:rFonts w:hint="eastAsia" w:ascii="宋体" w:hAnsi="宋体" w:eastAsia="宋体" w:cs="宋体"/>
                <w:highlight w:val="none"/>
              </w:rPr>
            </w:pPr>
            <w:r>
              <w:rPr>
                <w:rFonts w:hint="eastAsia" w:ascii="宋体" w:hAnsi="宋体" w:eastAsia="宋体" w:cs="宋体"/>
                <w:highlight w:val="none"/>
                <w:lang w:val="en-US" w:eastAsia="zh-CN"/>
              </w:rPr>
              <w:t>服务</w:t>
            </w:r>
            <w:r>
              <w:rPr>
                <w:rFonts w:hint="eastAsia" w:ascii="宋体" w:hAnsi="宋体" w:eastAsia="宋体" w:cs="宋体"/>
                <w:highlight w:val="none"/>
              </w:rPr>
              <w:t>地点</w:t>
            </w:r>
          </w:p>
        </w:tc>
        <w:tc>
          <w:tcPr>
            <w:tcW w:w="6477" w:type="dxa"/>
            <w:noWrap w:val="0"/>
            <w:vAlign w:val="center"/>
          </w:tcPr>
          <w:p w14:paraId="163E875F">
            <w:pPr>
              <w:rPr>
                <w:rFonts w:hint="eastAsia" w:ascii="宋体" w:hAnsi="宋体" w:eastAsia="宋体" w:cs="宋体"/>
                <w:highlight w:val="none"/>
                <w:lang w:eastAsia="zh-CN"/>
              </w:rPr>
            </w:pPr>
            <w:r>
              <w:rPr>
                <w:rFonts w:hint="eastAsia" w:ascii="宋体" w:hAnsi="宋体" w:eastAsia="宋体" w:cs="宋体"/>
                <w:highlight w:val="none"/>
              </w:rPr>
              <w:t>招标人指定地点</w:t>
            </w:r>
          </w:p>
        </w:tc>
      </w:tr>
      <w:tr w14:paraId="71B029E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jc w:val="center"/>
        </w:trPr>
        <w:tc>
          <w:tcPr>
            <w:tcW w:w="1036" w:type="dxa"/>
            <w:noWrap w:val="0"/>
            <w:vAlign w:val="center"/>
          </w:tcPr>
          <w:p w14:paraId="1BAD43D7">
            <w:pPr>
              <w:rPr>
                <w:rFonts w:hint="eastAsia" w:ascii="宋体" w:hAnsi="宋体" w:eastAsia="宋体" w:cs="宋体"/>
                <w:highlight w:val="none"/>
              </w:rPr>
            </w:pPr>
            <w:r>
              <w:rPr>
                <w:rFonts w:hint="eastAsia" w:ascii="宋体" w:hAnsi="宋体" w:eastAsia="宋体" w:cs="宋体"/>
                <w:highlight w:val="none"/>
              </w:rPr>
              <w:t>1.2</w:t>
            </w:r>
          </w:p>
        </w:tc>
        <w:tc>
          <w:tcPr>
            <w:tcW w:w="2300" w:type="dxa"/>
            <w:noWrap w:val="0"/>
            <w:vAlign w:val="center"/>
          </w:tcPr>
          <w:p w14:paraId="7BBCA93E">
            <w:pPr>
              <w:rPr>
                <w:rFonts w:hint="eastAsia" w:ascii="宋体" w:hAnsi="宋体" w:eastAsia="宋体" w:cs="宋体"/>
                <w:highlight w:val="none"/>
              </w:rPr>
            </w:pPr>
            <w:r>
              <w:rPr>
                <w:rFonts w:hint="eastAsia" w:ascii="宋体" w:hAnsi="宋体" w:eastAsia="宋体" w:cs="宋体"/>
                <w:highlight w:val="none"/>
              </w:rPr>
              <w:t>招标人联系人及电话</w:t>
            </w:r>
          </w:p>
        </w:tc>
        <w:tc>
          <w:tcPr>
            <w:tcW w:w="6477" w:type="dxa"/>
            <w:noWrap w:val="0"/>
            <w:vAlign w:val="center"/>
          </w:tcPr>
          <w:p w14:paraId="2A65920C">
            <w:pPr>
              <w:rPr>
                <w:rFonts w:hint="eastAsia" w:ascii="宋体" w:hAnsi="宋体" w:eastAsia="宋体" w:cs="宋体"/>
                <w:highlight w:val="none"/>
                <w:lang w:eastAsia="zh-CN"/>
              </w:rPr>
            </w:pPr>
            <w:r>
              <w:rPr>
                <w:rFonts w:hint="eastAsia" w:ascii="宋体" w:hAnsi="宋体" w:eastAsia="宋体" w:cs="宋体"/>
                <w:highlight w:val="none"/>
              </w:rPr>
              <w:t>联系人：</w:t>
            </w:r>
            <w:r>
              <w:rPr>
                <w:rFonts w:hint="eastAsia" w:ascii="宋体" w:hAnsi="宋体" w:eastAsia="宋体" w:cs="宋体"/>
                <w:highlight w:val="none"/>
                <w:lang w:eastAsia="zh-CN"/>
              </w:rPr>
              <w:t>范家鑫</w:t>
            </w:r>
          </w:p>
          <w:p w14:paraId="62A6979D">
            <w:pPr>
              <w:rPr>
                <w:rFonts w:hint="eastAsia" w:ascii="宋体" w:hAnsi="宋体" w:eastAsia="宋体" w:cs="宋体"/>
                <w:highlight w:val="none"/>
                <w:lang w:eastAsia="zh-CN"/>
              </w:rPr>
            </w:pPr>
            <w:r>
              <w:rPr>
                <w:rFonts w:hint="eastAsia" w:ascii="宋体" w:hAnsi="宋体" w:eastAsia="宋体" w:cs="宋体"/>
                <w:highlight w:val="none"/>
              </w:rPr>
              <w:t>电话：</w:t>
            </w:r>
            <w:r>
              <w:rPr>
                <w:rFonts w:hint="eastAsia" w:ascii="宋体" w:hAnsi="宋体" w:eastAsia="宋体" w:cs="宋体"/>
                <w:highlight w:val="none"/>
                <w:lang w:eastAsia="zh-CN"/>
              </w:rPr>
              <w:t>0550-3352129</w:t>
            </w:r>
          </w:p>
        </w:tc>
      </w:tr>
      <w:tr w14:paraId="25B631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63" w:hRule="atLeast"/>
          <w:jc w:val="center"/>
        </w:trPr>
        <w:tc>
          <w:tcPr>
            <w:tcW w:w="1036" w:type="dxa"/>
            <w:noWrap w:val="0"/>
            <w:vAlign w:val="center"/>
          </w:tcPr>
          <w:p w14:paraId="7A818837">
            <w:pPr>
              <w:rPr>
                <w:rFonts w:hint="eastAsia" w:ascii="宋体" w:hAnsi="宋体" w:eastAsia="宋体" w:cs="宋体"/>
                <w:highlight w:val="none"/>
              </w:rPr>
            </w:pPr>
            <w:r>
              <w:rPr>
                <w:rFonts w:hint="eastAsia" w:ascii="宋体" w:hAnsi="宋体" w:eastAsia="宋体" w:cs="宋体"/>
                <w:highlight w:val="none"/>
              </w:rPr>
              <w:t>1.2</w:t>
            </w:r>
          </w:p>
        </w:tc>
        <w:tc>
          <w:tcPr>
            <w:tcW w:w="2300" w:type="dxa"/>
            <w:noWrap w:val="0"/>
            <w:vAlign w:val="center"/>
          </w:tcPr>
          <w:p w14:paraId="24DA29B9">
            <w:pPr>
              <w:rPr>
                <w:rFonts w:hint="eastAsia" w:ascii="宋体" w:hAnsi="宋体" w:eastAsia="宋体" w:cs="宋体"/>
                <w:highlight w:val="none"/>
              </w:rPr>
            </w:pPr>
            <w:r>
              <w:rPr>
                <w:rFonts w:hint="eastAsia" w:ascii="宋体" w:hAnsi="宋体" w:eastAsia="宋体" w:cs="宋体"/>
                <w:highlight w:val="none"/>
              </w:rPr>
              <w:t>代理机构联系人及电话</w:t>
            </w:r>
          </w:p>
        </w:tc>
        <w:tc>
          <w:tcPr>
            <w:tcW w:w="6477" w:type="dxa"/>
            <w:noWrap w:val="0"/>
            <w:vAlign w:val="center"/>
          </w:tcPr>
          <w:p w14:paraId="78A3BC9E">
            <w:pPr>
              <w:rPr>
                <w:rFonts w:hint="eastAsia" w:ascii="宋体" w:hAnsi="宋体" w:eastAsia="宋体" w:cs="宋体"/>
                <w:highlight w:val="none"/>
              </w:rPr>
            </w:pPr>
            <w:r>
              <w:rPr>
                <w:rFonts w:hint="eastAsia" w:ascii="宋体" w:hAnsi="宋体" w:eastAsia="宋体" w:cs="宋体"/>
                <w:highlight w:val="none"/>
              </w:rPr>
              <w:t xml:space="preserve">联系人：周蓓蕾               </w:t>
            </w:r>
          </w:p>
          <w:p w14:paraId="3E04BAE4">
            <w:pPr>
              <w:rPr>
                <w:rFonts w:hint="eastAsia" w:ascii="宋体" w:hAnsi="宋体" w:eastAsia="宋体" w:cs="宋体"/>
                <w:highlight w:val="none"/>
              </w:rPr>
            </w:pPr>
            <w:r>
              <w:rPr>
                <w:rFonts w:hint="eastAsia" w:ascii="宋体" w:hAnsi="宋体" w:eastAsia="宋体" w:cs="宋体"/>
                <w:highlight w:val="none"/>
              </w:rPr>
              <w:t>电话：0550-3519519  18005505728</w:t>
            </w:r>
          </w:p>
        </w:tc>
      </w:tr>
      <w:tr w14:paraId="217705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57" w:hRule="atLeast"/>
          <w:jc w:val="center"/>
        </w:trPr>
        <w:tc>
          <w:tcPr>
            <w:tcW w:w="1036" w:type="dxa"/>
            <w:noWrap w:val="0"/>
            <w:vAlign w:val="center"/>
          </w:tcPr>
          <w:p w14:paraId="72DD60C9">
            <w:pPr>
              <w:rPr>
                <w:rFonts w:hint="eastAsia" w:ascii="宋体" w:hAnsi="宋体" w:eastAsia="宋体" w:cs="宋体"/>
                <w:highlight w:val="none"/>
              </w:rPr>
            </w:pPr>
            <w:r>
              <w:rPr>
                <w:rFonts w:hint="eastAsia" w:ascii="宋体" w:hAnsi="宋体" w:eastAsia="宋体" w:cs="宋体"/>
                <w:highlight w:val="none"/>
              </w:rPr>
              <w:t>1.3</w:t>
            </w:r>
          </w:p>
        </w:tc>
        <w:tc>
          <w:tcPr>
            <w:tcW w:w="2300" w:type="dxa"/>
            <w:noWrap w:val="0"/>
            <w:vAlign w:val="center"/>
          </w:tcPr>
          <w:p w14:paraId="1C0B908F">
            <w:pPr>
              <w:rPr>
                <w:rFonts w:hint="eastAsia" w:ascii="宋体" w:hAnsi="宋体" w:eastAsia="宋体" w:cs="宋体"/>
                <w:highlight w:val="none"/>
              </w:rPr>
            </w:pPr>
            <w:r>
              <w:rPr>
                <w:rFonts w:hint="eastAsia" w:ascii="宋体" w:hAnsi="宋体" w:eastAsia="宋体" w:cs="宋体"/>
                <w:highlight w:val="none"/>
              </w:rPr>
              <w:t xml:space="preserve">资金来源                                                                                                                                                                 </w:t>
            </w:r>
          </w:p>
        </w:tc>
        <w:tc>
          <w:tcPr>
            <w:tcW w:w="6477" w:type="dxa"/>
            <w:noWrap w:val="0"/>
            <w:vAlign w:val="center"/>
          </w:tcPr>
          <w:p w14:paraId="3AFE1EC4">
            <w:pPr>
              <w:rPr>
                <w:rFonts w:hint="eastAsia" w:ascii="宋体" w:hAnsi="宋体" w:eastAsia="宋体" w:cs="宋体"/>
                <w:highlight w:val="none"/>
              </w:rPr>
            </w:pPr>
            <w:r>
              <w:rPr>
                <w:rFonts w:hint="eastAsia" w:ascii="宋体" w:hAnsi="宋体" w:eastAsia="宋体" w:cs="宋体"/>
                <w:highlight w:val="none"/>
              </w:rPr>
              <w:t>自筹资金</w:t>
            </w:r>
          </w:p>
        </w:tc>
      </w:tr>
      <w:tr w14:paraId="6D9D45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82" w:hRule="atLeast"/>
          <w:jc w:val="center"/>
        </w:trPr>
        <w:tc>
          <w:tcPr>
            <w:tcW w:w="1036" w:type="dxa"/>
            <w:noWrap w:val="0"/>
            <w:vAlign w:val="center"/>
          </w:tcPr>
          <w:p w14:paraId="0F970885">
            <w:pPr>
              <w:rPr>
                <w:rFonts w:hint="eastAsia" w:ascii="宋体" w:hAnsi="宋体" w:eastAsia="宋体" w:cs="宋体"/>
                <w:highlight w:val="none"/>
              </w:rPr>
            </w:pPr>
            <w:r>
              <w:rPr>
                <w:rFonts w:hint="eastAsia" w:ascii="宋体" w:hAnsi="宋体" w:eastAsia="宋体" w:cs="宋体"/>
                <w:highlight w:val="none"/>
              </w:rPr>
              <w:t>1.4</w:t>
            </w:r>
          </w:p>
        </w:tc>
        <w:tc>
          <w:tcPr>
            <w:tcW w:w="2300" w:type="dxa"/>
            <w:noWrap w:val="0"/>
            <w:vAlign w:val="center"/>
          </w:tcPr>
          <w:p w14:paraId="48E81D36">
            <w:pPr>
              <w:rPr>
                <w:rFonts w:hint="eastAsia" w:ascii="宋体" w:hAnsi="宋体" w:eastAsia="宋体" w:cs="宋体"/>
                <w:highlight w:val="none"/>
              </w:rPr>
            </w:pPr>
            <w:r>
              <w:rPr>
                <w:rFonts w:hint="eastAsia" w:ascii="宋体" w:hAnsi="宋体" w:eastAsia="宋体" w:cs="宋体"/>
                <w:highlight w:val="none"/>
              </w:rPr>
              <w:t>采购预算</w:t>
            </w:r>
          </w:p>
        </w:tc>
        <w:tc>
          <w:tcPr>
            <w:tcW w:w="6477" w:type="dxa"/>
            <w:noWrap w:val="0"/>
            <w:vAlign w:val="center"/>
          </w:tcPr>
          <w:p w14:paraId="22B1F3E7">
            <w:pPr>
              <w:rPr>
                <w:rFonts w:hint="eastAsia" w:ascii="宋体" w:hAnsi="宋体" w:eastAsia="宋体" w:cs="宋体"/>
                <w:highlight w:val="none"/>
              </w:rPr>
            </w:pPr>
            <w:r>
              <w:rPr>
                <w:rFonts w:hint="eastAsia" w:ascii="宋体" w:hAnsi="宋体" w:eastAsia="宋体" w:cs="宋体"/>
                <w:highlight w:val="none"/>
              </w:rPr>
              <w:t>详见第一章“招标公告”</w:t>
            </w:r>
          </w:p>
        </w:tc>
      </w:tr>
      <w:tr w14:paraId="459F7E8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95" w:hRule="atLeast"/>
          <w:jc w:val="center"/>
        </w:trPr>
        <w:tc>
          <w:tcPr>
            <w:tcW w:w="1036" w:type="dxa"/>
            <w:noWrap w:val="0"/>
            <w:vAlign w:val="center"/>
          </w:tcPr>
          <w:p w14:paraId="2D4C256A">
            <w:pPr>
              <w:rPr>
                <w:rFonts w:hint="eastAsia" w:ascii="宋体" w:hAnsi="宋体" w:eastAsia="宋体" w:cs="宋体"/>
                <w:highlight w:val="none"/>
              </w:rPr>
            </w:pPr>
            <w:r>
              <w:rPr>
                <w:rFonts w:hint="eastAsia" w:ascii="宋体" w:hAnsi="宋体" w:eastAsia="宋体" w:cs="宋体"/>
                <w:highlight w:val="none"/>
              </w:rPr>
              <w:t>1.5</w:t>
            </w:r>
          </w:p>
        </w:tc>
        <w:tc>
          <w:tcPr>
            <w:tcW w:w="2300" w:type="dxa"/>
            <w:noWrap w:val="0"/>
            <w:vAlign w:val="center"/>
          </w:tcPr>
          <w:p w14:paraId="6EB16896">
            <w:pPr>
              <w:rPr>
                <w:rFonts w:hint="eastAsia" w:ascii="宋体" w:hAnsi="宋体" w:eastAsia="宋体" w:cs="宋体"/>
                <w:highlight w:val="none"/>
              </w:rPr>
            </w:pPr>
            <w:r>
              <w:rPr>
                <w:rFonts w:hint="eastAsia" w:ascii="宋体" w:hAnsi="宋体" w:eastAsia="宋体" w:cs="宋体"/>
                <w:highlight w:val="none"/>
              </w:rPr>
              <w:t>最高限价</w:t>
            </w:r>
          </w:p>
        </w:tc>
        <w:tc>
          <w:tcPr>
            <w:tcW w:w="6477" w:type="dxa"/>
            <w:noWrap w:val="0"/>
            <w:vAlign w:val="center"/>
          </w:tcPr>
          <w:p w14:paraId="244811D7">
            <w:pPr>
              <w:rPr>
                <w:rFonts w:hint="eastAsia" w:ascii="宋体" w:hAnsi="宋体" w:eastAsia="宋体" w:cs="宋体"/>
                <w:highlight w:val="none"/>
              </w:rPr>
            </w:pPr>
            <w:r>
              <w:rPr>
                <w:rFonts w:hint="eastAsia" w:ascii="宋体" w:hAnsi="宋体" w:eastAsia="宋体" w:cs="宋体"/>
                <w:highlight w:val="none"/>
                <w:lang w:val="en-US" w:eastAsia="zh-CN"/>
              </w:rPr>
              <w:t>本项目最高投标限价为（人民币）479000元。投标报价不得高于最高限价，否则，其投标文件按无效标处理。</w:t>
            </w:r>
          </w:p>
        </w:tc>
      </w:tr>
      <w:tr w14:paraId="384626B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jc w:val="center"/>
        </w:trPr>
        <w:tc>
          <w:tcPr>
            <w:tcW w:w="1036" w:type="dxa"/>
            <w:noWrap w:val="0"/>
            <w:vAlign w:val="center"/>
          </w:tcPr>
          <w:p w14:paraId="1E85E15E">
            <w:pPr>
              <w:rPr>
                <w:rFonts w:hint="eastAsia" w:ascii="宋体" w:hAnsi="宋体" w:eastAsia="宋体" w:cs="宋体"/>
                <w:highlight w:val="none"/>
              </w:rPr>
            </w:pPr>
            <w:r>
              <w:rPr>
                <w:rFonts w:hint="eastAsia" w:ascii="宋体" w:hAnsi="宋体" w:eastAsia="宋体" w:cs="宋体"/>
                <w:highlight w:val="none"/>
              </w:rPr>
              <w:t>2.1</w:t>
            </w:r>
          </w:p>
        </w:tc>
        <w:tc>
          <w:tcPr>
            <w:tcW w:w="2300" w:type="dxa"/>
            <w:noWrap w:val="0"/>
            <w:vAlign w:val="center"/>
          </w:tcPr>
          <w:p w14:paraId="480C06C5">
            <w:pPr>
              <w:rPr>
                <w:rFonts w:hint="eastAsia" w:ascii="宋体" w:hAnsi="宋体" w:eastAsia="宋体" w:cs="宋体"/>
                <w:highlight w:val="none"/>
              </w:rPr>
            </w:pPr>
            <w:r>
              <w:rPr>
                <w:rFonts w:hint="eastAsia" w:ascii="宋体" w:hAnsi="宋体" w:eastAsia="宋体" w:cs="宋体"/>
                <w:highlight w:val="none"/>
              </w:rPr>
              <w:t>采购内容</w:t>
            </w:r>
          </w:p>
        </w:tc>
        <w:tc>
          <w:tcPr>
            <w:tcW w:w="6477" w:type="dxa"/>
            <w:noWrap w:val="0"/>
            <w:vAlign w:val="center"/>
          </w:tcPr>
          <w:p w14:paraId="7CD7957E">
            <w:pPr>
              <w:rPr>
                <w:rFonts w:hint="eastAsia" w:ascii="宋体" w:hAnsi="宋体" w:eastAsia="宋体" w:cs="宋体"/>
                <w:highlight w:val="none"/>
              </w:rPr>
            </w:pPr>
            <w:r>
              <w:rPr>
                <w:rFonts w:hint="eastAsia" w:ascii="宋体" w:hAnsi="宋体" w:eastAsia="宋体" w:cs="宋体"/>
                <w:highlight w:val="none"/>
              </w:rPr>
              <w:t>详见《</w:t>
            </w:r>
            <w:r>
              <w:rPr>
                <w:rFonts w:hint="eastAsia" w:ascii="宋体" w:hAnsi="宋体" w:eastAsia="宋体" w:cs="宋体"/>
                <w:highlight w:val="none"/>
                <w:lang w:eastAsia="zh-CN"/>
              </w:rPr>
              <w:t>用户需求书</w:t>
            </w:r>
            <w:r>
              <w:rPr>
                <w:rFonts w:hint="eastAsia" w:ascii="宋体" w:hAnsi="宋体" w:eastAsia="宋体" w:cs="宋体"/>
                <w:highlight w:val="none"/>
              </w:rPr>
              <w:t>》</w:t>
            </w:r>
          </w:p>
        </w:tc>
      </w:tr>
      <w:tr w14:paraId="693A36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32" w:hRule="atLeast"/>
          <w:jc w:val="center"/>
        </w:trPr>
        <w:tc>
          <w:tcPr>
            <w:tcW w:w="1036" w:type="dxa"/>
            <w:noWrap w:val="0"/>
            <w:vAlign w:val="center"/>
          </w:tcPr>
          <w:p w14:paraId="7213A9D0">
            <w:pPr>
              <w:rPr>
                <w:rFonts w:hint="eastAsia" w:ascii="宋体" w:hAnsi="宋体" w:eastAsia="宋体" w:cs="宋体"/>
                <w:highlight w:val="none"/>
              </w:rPr>
            </w:pPr>
            <w:r>
              <w:rPr>
                <w:rFonts w:hint="eastAsia" w:ascii="宋体" w:hAnsi="宋体" w:eastAsia="宋体" w:cs="宋体"/>
                <w:highlight w:val="none"/>
              </w:rPr>
              <w:t>3.1</w:t>
            </w:r>
          </w:p>
        </w:tc>
        <w:tc>
          <w:tcPr>
            <w:tcW w:w="2300" w:type="dxa"/>
            <w:noWrap w:val="0"/>
            <w:vAlign w:val="center"/>
          </w:tcPr>
          <w:p w14:paraId="35D56E59">
            <w:pPr>
              <w:rPr>
                <w:rFonts w:hint="eastAsia" w:ascii="宋体" w:hAnsi="宋体" w:eastAsia="宋体" w:cs="宋体"/>
                <w:highlight w:val="none"/>
              </w:rPr>
            </w:pPr>
            <w:r>
              <w:rPr>
                <w:rFonts w:hint="eastAsia" w:ascii="宋体" w:hAnsi="宋体" w:eastAsia="宋体" w:cs="宋体"/>
                <w:highlight w:val="none"/>
              </w:rPr>
              <w:t>标段划分</w:t>
            </w:r>
          </w:p>
        </w:tc>
        <w:tc>
          <w:tcPr>
            <w:tcW w:w="6477" w:type="dxa"/>
            <w:noWrap w:val="0"/>
            <w:vAlign w:val="center"/>
          </w:tcPr>
          <w:p w14:paraId="0270EEEF">
            <w:pPr>
              <w:rPr>
                <w:rFonts w:hint="eastAsia" w:ascii="宋体" w:hAnsi="宋体" w:eastAsia="宋体" w:cs="宋体"/>
                <w:highlight w:val="none"/>
              </w:rPr>
            </w:pPr>
            <w:r>
              <w:rPr>
                <w:rFonts w:hint="eastAsia" w:ascii="宋体" w:hAnsi="宋体" w:eastAsia="宋体" w:cs="宋体"/>
                <w:highlight w:val="none"/>
              </w:rPr>
              <w:t>本项目划分为 1 个标段</w:t>
            </w:r>
          </w:p>
        </w:tc>
      </w:tr>
      <w:tr w14:paraId="1134281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036" w:type="dxa"/>
            <w:noWrap w:val="0"/>
            <w:vAlign w:val="center"/>
          </w:tcPr>
          <w:p w14:paraId="0710CF0B">
            <w:pPr>
              <w:rPr>
                <w:rFonts w:hint="eastAsia" w:ascii="宋体" w:hAnsi="宋体" w:eastAsia="宋体" w:cs="宋体"/>
                <w:highlight w:val="none"/>
              </w:rPr>
            </w:pPr>
            <w:r>
              <w:rPr>
                <w:rFonts w:hint="eastAsia" w:ascii="宋体" w:hAnsi="宋体" w:eastAsia="宋体" w:cs="宋体"/>
                <w:highlight w:val="none"/>
              </w:rPr>
              <w:t>4.1</w:t>
            </w:r>
          </w:p>
        </w:tc>
        <w:tc>
          <w:tcPr>
            <w:tcW w:w="2300" w:type="dxa"/>
            <w:noWrap w:val="0"/>
            <w:vAlign w:val="center"/>
          </w:tcPr>
          <w:p w14:paraId="7F864451">
            <w:pPr>
              <w:rPr>
                <w:rFonts w:hint="eastAsia" w:ascii="宋体" w:hAnsi="宋体" w:eastAsia="宋体" w:cs="宋体"/>
                <w:highlight w:val="none"/>
              </w:rPr>
            </w:pPr>
            <w:r>
              <w:rPr>
                <w:rFonts w:hint="eastAsia" w:ascii="宋体" w:hAnsi="宋体" w:eastAsia="宋体" w:cs="宋体"/>
                <w:highlight w:val="none"/>
              </w:rPr>
              <w:t>招标方式</w:t>
            </w:r>
          </w:p>
        </w:tc>
        <w:tc>
          <w:tcPr>
            <w:tcW w:w="6477" w:type="dxa"/>
            <w:noWrap w:val="0"/>
            <w:vAlign w:val="center"/>
          </w:tcPr>
          <w:p w14:paraId="08F469EE">
            <w:pPr>
              <w:rPr>
                <w:rFonts w:hint="eastAsia" w:ascii="宋体" w:hAnsi="宋体" w:eastAsia="宋体" w:cs="宋体"/>
                <w:highlight w:val="none"/>
              </w:rPr>
            </w:pPr>
            <w:r>
              <w:rPr>
                <w:rFonts w:hint="eastAsia" w:ascii="宋体" w:hAnsi="宋体" w:eastAsia="宋体" w:cs="宋体"/>
                <w:highlight w:val="none"/>
              </w:rPr>
              <w:t>公开招标(本项目采用网上电子招投标)</w:t>
            </w:r>
          </w:p>
        </w:tc>
      </w:tr>
      <w:tr w14:paraId="1C1C45E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503" w:hRule="atLeast"/>
          <w:jc w:val="center"/>
        </w:trPr>
        <w:tc>
          <w:tcPr>
            <w:tcW w:w="1036" w:type="dxa"/>
            <w:noWrap w:val="0"/>
            <w:vAlign w:val="center"/>
          </w:tcPr>
          <w:p w14:paraId="4E46FFB1">
            <w:pPr>
              <w:rPr>
                <w:rFonts w:hint="eastAsia" w:ascii="宋体" w:hAnsi="宋体" w:eastAsia="宋体" w:cs="宋体"/>
                <w:highlight w:val="none"/>
              </w:rPr>
            </w:pPr>
            <w:r>
              <w:rPr>
                <w:rFonts w:hint="eastAsia" w:ascii="宋体" w:hAnsi="宋体" w:eastAsia="宋体" w:cs="宋体"/>
                <w:highlight w:val="none"/>
              </w:rPr>
              <w:t>7.2</w:t>
            </w:r>
          </w:p>
        </w:tc>
        <w:tc>
          <w:tcPr>
            <w:tcW w:w="2300" w:type="dxa"/>
            <w:noWrap w:val="0"/>
            <w:vAlign w:val="center"/>
          </w:tcPr>
          <w:p w14:paraId="20C29C8E">
            <w:pPr>
              <w:rPr>
                <w:rFonts w:hint="eastAsia" w:ascii="宋体" w:hAnsi="宋体" w:eastAsia="宋体" w:cs="宋体"/>
                <w:highlight w:val="none"/>
              </w:rPr>
            </w:pPr>
            <w:r>
              <w:rPr>
                <w:rFonts w:hint="eastAsia" w:ascii="宋体" w:hAnsi="宋体" w:eastAsia="宋体" w:cs="宋体"/>
                <w:highlight w:val="none"/>
              </w:rPr>
              <w:t>投标人资格条件及其他要求</w:t>
            </w:r>
          </w:p>
        </w:tc>
        <w:tc>
          <w:tcPr>
            <w:tcW w:w="6477" w:type="dxa"/>
            <w:noWrap w:val="0"/>
            <w:vAlign w:val="center"/>
          </w:tcPr>
          <w:p w14:paraId="3A12E192">
            <w:pPr>
              <w:rPr>
                <w:rFonts w:hint="eastAsia" w:ascii="宋体" w:hAnsi="宋体" w:eastAsia="宋体" w:cs="宋体"/>
                <w:highlight w:val="none"/>
              </w:rPr>
            </w:pPr>
            <w:r>
              <w:rPr>
                <w:rFonts w:hint="eastAsia" w:ascii="宋体" w:hAnsi="宋体" w:eastAsia="宋体" w:cs="宋体"/>
                <w:highlight w:val="none"/>
              </w:rPr>
              <w:t>详见第一章“招标公告”</w:t>
            </w:r>
          </w:p>
        </w:tc>
      </w:tr>
      <w:tr w14:paraId="5D48644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36" w:type="dxa"/>
            <w:noWrap w:val="0"/>
            <w:vAlign w:val="center"/>
          </w:tcPr>
          <w:p w14:paraId="2AF9EA17">
            <w:pPr>
              <w:rPr>
                <w:rFonts w:hint="eastAsia" w:ascii="宋体" w:hAnsi="宋体" w:eastAsia="宋体" w:cs="宋体"/>
                <w:highlight w:val="none"/>
              </w:rPr>
            </w:pPr>
            <w:r>
              <w:rPr>
                <w:rFonts w:hint="eastAsia" w:ascii="宋体" w:hAnsi="宋体" w:eastAsia="宋体" w:cs="宋体"/>
                <w:highlight w:val="none"/>
              </w:rPr>
              <w:t>9.1</w:t>
            </w:r>
          </w:p>
        </w:tc>
        <w:tc>
          <w:tcPr>
            <w:tcW w:w="2300" w:type="dxa"/>
            <w:noWrap w:val="0"/>
            <w:vAlign w:val="center"/>
          </w:tcPr>
          <w:p w14:paraId="6D38054B">
            <w:pPr>
              <w:rPr>
                <w:rFonts w:hint="eastAsia" w:ascii="宋体" w:hAnsi="宋体" w:eastAsia="宋体" w:cs="宋体"/>
                <w:highlight w:val="none"/>
              </w:rPr>
            </w:pPr>
            <w:r>
              <w:rPr>
                <w:rFonts w:hint="eastAsia" w:ascii="宋体" w:hAnsi="宋体" w:eastAsia="宋体" w:cs="宋体"/>
                <w:highlight w:val="none"/>
              </w:rPr>
              <w:t>踏勘现场</w:t>
            </w:r>
          </w:p>
        </w:tc>
        <w:tc>
          <w:tcPr>
            <w:tcW w:w="6477" w:type="dxa"/>
            <w:noWrap w:val="0"/>
            <w:vAlign w:val="center"/>
          </w:tcPr>
          <w:p w14:paraId="35DEE39A">
            <w:pPr>
              <w:rPr>
                <w:rFonts w:hint="eastAsia" w:ascii="宋体" w:hAnsi="宋体" w:eastAsia="宋体" w:cs="宋体"/>
                <w:highlight w:val="none"/>
              </w:rPr>
            </w:pPr>
            <w:r>
              <w:rPr>
                <w:rFonts w:hint="eastAsia" w:ascii="宋体" w:hAnsi="宋体" w:eastAsia="宋体" w:cs="宋体"/>
                <w:highlight w:val="none"/>
              </w:rPr>
              <w:t>不组织,投标人自行踏勘现场</w:t>
            </w:r>
          </w:p>
        </w:tc>
      </w:tr>
      <w:tr w14:paraId="7CA60C2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36" w:type="dxa"/>
            <w:noWrap w:val="0"/>
            <w:vAlign w:val="center"/>
          </w:tcPr>
          <w:p w14:paraId="73A87EF0">
            <w:pPr>
              <w:rPr>
                <w:rFonts w:hint="eastAsia" w:ascii="宋体" w:hAnsi="宋体" w:eastAsia="宋体" w:cs="宋体"/>
                <w:highlight w:val="none"/>
              </w:rPr>
            </w:pPr>
            <w:r>
              <w:rPr>
                <w:rFonts w:hint="eastAsia" w:ascii="宋体" w:hAnsi="宋体" w:eastAsia="宋体" w:cs="宋体"/>
                <w:highlight w:val="none"/>
              </w:rPr>
              <w:t>10.1</w:t>
            </w:r>
          </w:p>
        </w:tc>
        <w:tc>
          <w:tcPr>
            <w:tcW w:w="2300" w:type="dxa"/>
            <w:noWrap w:val="0"/>
            <w:vAlign w:val="center"/>
          </w:tcPr>
          <w:p w14:paraId="32213A90">
            <w:pPr>
              <w:rPr>
                <w:rFonts w:hint="eastAsia" w:ascii="宋体" w:hAnsi="宋体" w:eastAsia="宋体" w:cs="宋体"/>
                <w:highlight w:val="none"/>
              </w:rPr>
            </w:pPr>
            <w:r>
              <w:rPr>
                <w:rFonts w:hint="eastAsia" w:ascii="宋体" w:hAnsi="宋体" w:eastAsia="宋体" w:cs="宋体"/>
                <w:highlight w:val="none"/>
              </w:rPr>
              <w:t>投标预备会</w:t>
            </w:r>
          </w:p>
        </w:tc>
        <w:tc>
          <w:tcPr>
            <w:tcW w:w="6477" w:type="dxa"/>
            <w:noWrap w:val="0"/>
            <w:vAlign w:val="center"/>
          </w:tcPr>
          <w:p w14:paraId="6F23E6BE">
            <w:pPr>
              <w:rPr>
                <w:rFonts w:hint="eastAsia" w:ascii="宋体" w:hAnsi="宋体" w:eastAsia="宋体" w:cs="宋体"/>
                <w:highlight w:val="none"/>
              </w:rPr>
            </w:pPr>
            <w:r>
              <w:rPr>
                <w:rFonts w:hint="eastAsia" w:ascii="宋体" w:hAnsi="宋体" w:eastAsia="宋体" w:cs="宋体"/>
                <w:highlight w:val="none"/>
              </w:rPr>
              <w:t>不召开</w:t>
            </w:r>
          </w:p>
        </w:tc>
      </w:tr>
      <w:tr w14:paraId="226FA1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7" w:hRule="atLeast"/>
          <w:jc w:val="center"/>
        </w:trPr>
        <w:tc>
          <w:tcPr>
            <w:tcW w:w="1036" w:type="dxa"/>
            <w:noWrap w:val="0"/>
            <w:vAlign w:val="center"/>
          </w:tcPr>
          <w:p w14:paraId="465D8F17">
            <w:pPr>
              <w:rPr>
                <w:rFonts w:hint="eastAsia" w:ascii="宋体" w:hAnsi="宋体" w:eastAsia="宋体" w:cs="宋体"/>
                <w:highlight w:val="none"/>
              </w:rPr>
            </w:pPr>
            <w:r>
              <w:rPr>
                <w:rFonts w:hint="eastAsia" w:ascii="宋体" w:hAnsi="宋体" w:eastAsia="宋体" w:cs="宋体"/>
                <w:highlight w:val="none"/>
              </w:rPr>
              <w:t>11.1</w:t>
            </w:r>
          </w:p>
        </w:tc>
        <w:tc>
          <w:tcPr>
            <w:tcW w:w="2300" w:type="dxa"/>
            <w:noWrap w:val="0"/>
            <w:vAlign w:val="center"/>
          </w:tcPr>
          <w:p w14:paraId="62DE2B3E">
            <w:pPr>
              <w:rPr>
                <w:rFonts w:hint="eastAsia" w:ascii="宋体" w:hAnsi="宋体" w:eastAsia="宋体" w:cs="宋体"/>
                <w:highlight w:val="none"/>
              </w:rPr>
            </w:pPr>
            <w:r>
              <w:rPr>
                <w:rFonts w:hint="eastAsia" w:ascii="宋体" w:hAnsi="宋体" w:eastAsia="宋体" w:cs="宋体"/>
                <w:highlight w:val="none"/>
              </w:rPr>
              <w:t>联合体投标</w:t>
            </w:r>
          </w:p>
        </w:tc>
        <w:tc>
          <w:tcPr>
            <w:tcW w:w="6477" w:type="dxa"/>
            <w:noWrap w:val="0"/>
            <w:vAlign w:val="center"/>
          </w:tcPr>
          <w:p w14:paraId="6975D77F">
            <w:pPr>
              <w:rPr>
                <w:rFonts w:hint="eastAsia" w:ascii="宋体" w:hAnsi="宋体" w:eastAsia="宋体" w:cs="宋体"/>
                <w:highlight w:val="none"/>
              </w:rPr>
            </w:pPr>
            <w:r>
              <w:rPr>
                <w:rFonts w:hint="eastAsia" w:ascii="宋体" w:hAnsi="宋体" w:eastAsia="宋体" w:cs="宋体"/>
                <w:highlight w:val="none"/>
              </w:rPr>
              <w:t xml:space="preserve">本次招标不接受联合体投标。 </w:t>
            </w:r>
          </w:p>
        </w:tc>
      </w:tr>
      <w:tr w14:paraId="7F8AF99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jc w:val="center"/>
        </w:trPr>
        <w:tc>
          <w:tcPr>
            <w:tcW w:w="1036" w:type="dxa"/>
            <w:noWrap w:val="0"/>
            <w:vAlign w:val="center"/>
          </w:tcPr>
          <w:p w14:paraId="464EAF84">
            <w:pPr>
              <w:rPr>
                <w:rFonts w:hint="eastAsia" w:ascii="宋体" w:hAnsi="宋体" w:eastAsia="宋体" w:cs="宋体"/>
                <w:highlight w:val="none"/>
              </w:rPr>
            </w:pPr>
            <w:r>
              <w:rPr>
                <w:rFonts w:hint="eastAsia" w:ascii="宋体" w:hAnsi="宋体" w:eastAsia="宋体" w:cs="宋体"/>
                <w:highlight w:val="none"/>
              </w:rPr>
              <w:t>12.1</w:t>
            </w:r>
          </w:p>
        </w:tc>
        <w:tc>
          <w:tcPr>
            <w:tcW w:w="2300" w:type="dxa"/>
            <w:noWrap w:val="0"/>
            <w:vAlign w:val="center"/>
          </w:tcPr>
          <w:p w14:paraId="3DE2CD1F">
            <w:pPr>
              <w:rPr>
                <w:rFonts w:hint="eastAsia" w:ascii="宋体" w:hAnsi="宋体" w:eastAsia="宋体" w:cs="宋体"/>
                <w:highlight w:val="none"/>
              </w:rPr>
            </w:pPr>
            <w:r>
              <w:rPr>
                <w:rFonts w:hint="eastAsia" w:ascii="宋体" w:hAnsi="宋体" w:eastAsia="宋体" w:cs="宋体"/>
                <w:highlight w:val="none"/>
              </w:rPr>
              <w:t>招标代理服务费</w:t>
            </w:r>
          </w:p>
        </w:tc>
        <w:tc>
          <w:tcPr>
            <w:tcW w:w="6477" w:type="dxa"/>
            <w:noWrap w:val="0"/>
            <w:vAlign w:val="center"/>
          </w:tcPr>
          <w:p w14:paraId="71B4E0BF">
            <w:pPr>
              <w:rPr>
                <w:rFonts w:hint="eastAsia" w:ascii="宋体" w:hAnsi="宋体" w:eastAsia="宋体" w:cs="宋体"/>
                <w:highlight w:val="none"/>
              </w:rPr>
            </w:pPr>
            <w:r>
              <w:rPr>
                <w:rFonts w:hint="eastAsia" w:ascii="宋体" w:hAnsi="宋体" w:eastAsia="宋体" w:cs="宋体"/>
                <w:highlight w:val="none"/>
              </w:rPr>
              <w:t>代理服务费具体金额</w:t>
            </w:r>
            <w:r>
              <w:rPr>
                <w:rFonts w:hint="eastAsia" w:ascii="宋体" w:hAnsi="宋体" w:eastAsia="宋体" w:cs="宋体"/>
                <w:szCs w:val="21"/>
                <w:highlight w:val="none"/>
                <w:lang w:val="en-US" w:eastAsia="zh-CN"/>
              </w:rPr>
              <w:t>8093</w:t>
            </w:r>
            <w:r>
              <w:rPr>
                <w:rFonts w:hint="eastAsia" w:ascii="宋体" w:hAnsi="宋体" w:eastAsia="宋体" w:cs="宋体"/>
                <w:highlight w:val="none"/>
              </w:rPr>
              <w:t>元；</w:t>
            </w:r>
          </w:p>
          <w:p w14:paraId="0912C11C">
            <w:pPr>
              <w:rPr>
                <w:rFonts w:hint="eastAsia" w:ascii="宋体" w:hAnsi="宋体" w:eastAsia="宋体" w:cs="宋体"/>
                <w:highlight w:val="none"/>
              </w:rPr>
            </w:pPr>
            <w:r>
              <w:rPr>
                <w:rFonts w:hint="eastAsia" w:ascii="宋体" w:hAnsi="宋体" w:eastAsia="宋体" w:cs="宋体"/>
                <w:highlight w:val="none"/>
              </w:rPr>
              <w:t>代理服务费支付主体：中标单位，中标单位在获取中标通知书时一次性支付给代理机构。</w:t>
            </w:r>
          </w:p>
        </w:tc>
      </w:tr>
      <w:tr w14:paraId="52013E0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658" w:hRule="atLeast"/>
          <w:jc w:val="center"/>
        </w:trPr>
        <w:tc>
          <w:tcPr>
            <w:tcW w:w="1036" w:type="dxa"/>
            <w:noWrap w:val="0"/>
            <w:vAlign w:val="center"/>
          </w:tcPr>
          <w:p w14:paraId="79235C73">
            <w:pPr>
              <w:rPr>
                <w:rFonts w:hint="eastAsia" w:ascii="宋体" w:hAnsi="宋体" w:eastAsia="宋体" w:cs="宋体"/>
                <w:highlight w:val="none"/>
              </w:rPr>
            </w:pPr>
            <w:r>
              <w:rPr>
                <w:rFonts w:hint="eastAsia" w:ascii="宋体" w:hAnsi="宋体" w:eastAsia="宋体" w:cs="宋体"/>
                <w:highlight w:val="none"/>
              </w:rPr>
              <w:t>12.2</w:t>
            </w:r>
          </w:p>
        </w:tc>
        <w:tc>
          <w:tcPr>
            <w:tcW w:w="2300" w:type="dxa"/>
            <w:noWrap w:val="0"/>
            <w:vAlign w:val="center"/>
          </w:tcPr>
          <w:p w14:paraId="3AF2D32E">
            <w:pPr>
              <w:rPr>
                <w:rFonts w:hint="eastAsia" w:ascii="宋体" w:hAnsi="宋体" w:eastAsia="宋体" w:cs="宋体"/>
                <w:highlight w:val="none"/>
              </w:rPr>
            </w:pPr>
            <w:r>
              <w:rPr>
                <w:rFonts w:hint="eastAsia" w:ascii="宋体" w:hAnsi="宋体" w:eastAsia="宋体" w:cs="宋体"/>
                <w:highlight w:val="none"/>
              </w:rPr>
              <w:t>专家评审劳务费</w:t>
            </w:r>
          </w:p>
        </w:tc>
        <w:tc>
          <w:tcPr>
            <w:tcW w:w="6477" w:type="dxa"/>
            <w:noWrap w:val="0"/>
            <w:vAlign w:val="center"/>
          </w:tcPr>
          <w:p w14:paraId="44FF99A8">
            <w:pPr>
              <w:rPr>
                <w:rFonts w:hint="eastAsia" w:ascii="宋体" w:hAnsi="宋体" w:eastAsia="宋体" w:cs="宋体"/>
                <w:highlight w:val="none"/>
              </w:rPr>
            </w:pPr>
            <w:r>
              <w:rPr>
                <w:rFonts w:hint="eastAsia" w:ascii="宋体" w:hAnsi="宋体" w:eastAsia="宋体" w:cs="宋体"/>
                <w:highlight w:val="none"/>
              </w:rPr>
              <w:t>费用或支付标准：按实结算；</w:t>
            </w:r>
          </w:p>
          <w:p w14:paraId="231D45B6">
            <w:pPr>
              <w:rPr>
                <w:rFonts w:hint="eastAsia" w:ascii="宋体" w:hAnsi="宋体" w:eastAsia="宋体" w:cs="宋体"/>
                <w:highlight w:val="none"/>
              </w:rPr>
            </w:pPr>
            <w:r>
              <w:rPr>
                <w:rFonts w:hint="eastAsia" w:ascii="宋体" w:hAnsi="宋体" w:eastAsia="宋体" w:cs="宋体"/>
                <w:highlight w:val="none"/>
              </w:rPr>
              <w:t>支付主体：招标代理机构。</w:t>
            </w:r>
          </w:p>
        </w:tc>
      </w:tr>
      <w:tr w14:paraId="6A39E8A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036" w:type="dxa"/>
            <w:noWrap w:val="0"/>
            <w:vAlign w:val="center"/>
          </w:tcPr>
          <w:p w14:paraId="184BE78F">
            <w:pPr>
              <w:rPr>
                <w:rFonts w:hint="eastAsia" w:ascii="宋体" w:hAnsi="宋体" w:eastAsia="宋体" w:cs="宋体"/>
                <w:highlight w:val="none"/>
              </w:rPr>
            </w:pPr>
            <w:r>
              <w:rPr>
                <w:rFonts w:hint="eastAsia" w:ascii="宋体" w:hAnsi="宋体" w:eastAsia="宋体" w:cs="宋体"/>
                <w:highlight w:val="none"/>
              </w:rPr>
              <w:t>17.1</w:t>
            </w:r>
          </w:p>
        </w:tc>
        <w:tc>
          <w:tcPr>
            <w:tcW w:w="2300" w:type="dxa"/>
            <w:noWrap w:val="0"/>
            <w:vAlign w:val="center"/>
          </w:tcPr>
          <w:p w14:paraId="589089A6">
            <w:pPr>
              <w:rPr>
                <w:rFonts w:hint="eastAsia" w:ascii="宋体" w:hAnsi="宋体" w:eastAsia="宋体" w:cs="宋体"/>
                <w:highlight w:val="none"/>
              </w:rPr>
            </w:pPr>
            <w:r>
              <w:rPr>
                <w:rFonts w:hint="eastAsia" w:ascii="宋体" w:hAnsi="宋体" w:eastAsia="宋体" w:cs="宋体"/>
                <w:highlight w:val="none"/>
              </w:rPr>
              <w:t>投标人提出异议的截止时间及方式</w:t>
            </w:r>
          </w:p>
        </w:tc>
        <w:tc>
          <w:tcPr>
            <w:tcW w:w="6477" w:type="dxa"/>
            <w:noWrap w:val="0"/>
            <w:vAlign w:val="center"/>
          </w:tcPr>
          <w:p w14:paraId="7F49AC4A">
            <w:pPr>
              <w:rPr>
                <w:rFonts w:hint="eastAsia" w:ascii="宋体" w:hAnsi="宋体" w:eastAsia="宋体" w:cs="宋体"/>
                <w:highlight w:val="none"/>
              </w:rPr>
            </w:pPr>
            <w:r>
              <w:rPr>
                <w:rFonts w:hint="eastAsia" w:ascii="宋体" w:hAnsi="宋体" w:eastAsia="宋体" w:cs="宋体"/>
                <w:highlight w:val="none"/>
              </w:rPr>
              <w:t>如投标人对招标文件有异议，请于202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ascii="宋体" w:hAnsi="宋体" w:cs="宋体"/>
                <w:highlight w:val="none"/>
                <w:lang w:val="en-US" w:eastAsia="zh-CN"/>
              </w:rPr>
              <w:t>6</w:t>
            </w:r>
            <w:r>
              <w:rPr>
                <w:rFonts w:hint="eastAsia" w:ascii="宋体" w:hAnsi="宋体" w:eastAsia="宋体" w:cs="宋体"/>
                <w:highlight w:val="none"/>
              </w:rPr>
              <w:t>月</w:t>
            </w:r>
            <w:r>
              <w:rPr>
                <w:rFonts w:hint="eastAsia" w:ascii="宋体" w:hAnsi="宋体" w:cs="宋体"/>
                <w:highlight w:val="none"/>
                <w:lang w:val="en-US" w:eastAsia="zh-CN"/>
              </w:rPr>
              <w:t>28</w:t>
            </w:r>
            <w:r>
              <w:rPr>
                <w:rFonts w:hint="eastAsia" w:ascii="宋体" w:hAnsi="宋体" w:eastAsia="宋体" w:cs="宋体"/>
                <w:highlight w:val="none"/>
              </w:rPr>
              <w:t>日8时（投标截止10日）前在滁州市公共资源交易中心网电子交易系统中进行异议，具体操作步骤和程序请参见服务指南&gt;交易须知&gt;在线异议、质疑和投诉操作手册。</w:t>
            </w:r>
          </w:p>
        </w:tc>
      </w:tr>
      <w:tr w14:paraId="17C8BE0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036" w:type="dxa"/>
            <w:noWrap w:val="0"/>
            <w:vAlign w:val="center"/>
          </w:tcPr>
          <w:p w14:paraId="64A43D4B">
            <w:pPr>
              <w:rPr>
                <w:rFonts w:hint="eastAsia" w:ascii="宋体" w:hAnsi="宋体" w:eastAsia="宋体" w:cs="宋体"/>
                <w:highlight w:val="none"/>
              </w:rPr>
            </w:pPr>
            <w:r>
              <w:rPr>
                <w:rFonts w:hint="eastAsia" w:ascii="宋体" w:hAnsi="宋体" w:eastAsia="宋体" w:cs="宋体"/>
                <w:highlight w:val="none"/>
              </w:rPr>
              <w:t>17.2</w:t>
            </w:r>
          </w:p>
        </w:tc>
        <w:tc>
          <w:tcPr>
            <w:tcW w:w="2300" w:type="dxa"/>
            <w:noWrap w:val="0"/>
            <w:vAlign w:val="center"/>
          </w:tcPr>
          <w:p w14:paraId="1981DE1C">
            <w:pPr>
              <w:rPr>
                <w:rFonts w:hint="eastAsia" w:ascii="宋体" w:hAnsi="宋体" w:eastAsia="宋体" w:cs="宋体"/>
                <w:highlight w:val="none"/>
              </w:rPr>
            </w:pPr>
            <w:r>
              <w:rPr>
                <w:rFonts w:hint="eastAsia" w:ascii="宋体" w:hAnsi="宋体" w:eastAsia="宋体" w:cs="宋体"/>
                <w:highlight w:val="none"/>
              </w:rPr>
              <w:t>招标人澄清的时间及方式</w:t>
            </w:r>
          </w:p>
        </w:tc>
        <w:tc>
          <w:tcPr>
            <w:tcW w:w="6477" w:type="dxa"/>
            <w:noWrap w:val="0"/>
            <w:vAlign w:val="center"/>
          </w:tcPr>
          <w:p w14:paraId="45F17890">
            <w:pPr>
              <w:rPr>
                <w:rFonts w:hint="eastAsia" w:ascii="宋体" w:hAnsi="宋体" w:eastAsia="宋体" w:cs="宋体"/>
                <w:highlight w:val="none"/>
              </w:rPr>
            </w:pPr>
            <w:r>
              <w:rPr>
                <w:rFonts w:hint="eastAsia" w:ascii="宋体" w:hAnsi="宋体" w:eastAsia="宋体" w:cs="宋体"/>
                <w:highlight w:val="none"/>
              </w:rPr>
              <w:t>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ascii="宋体" w:hAnsi="宋体" w:cs="宋体"/>
                <w:highlight w:val="none"/>
                <w:lang w:val="en-US" w:eastAsia="zh-CN"/>
              </w:rPr>
              <w:t>6</w:t>
            </w:r>
            <w:r>
              <w:rPr>
                <w:rFonts w:hint="eastAsia" w:ascii="宋体" w:hAnsi="宋体" w:eastAsia="宋体" w:cs="宋体"/>
                <w:highlight w:val="none"/>
              </w:rPr>
              <w:t>月</w:t>
            </w:r>
            <w:r>
              <w:rPr>
                <w:rFonts w:hint="eastAsia" w:ascii="宋体" w:hAnsi="宋体" w:cs="宋体"/>
                <w:highlight w:val="none"/>
                <w:lang w:val="en-US" w:eastAsia="zh-CN"/>
              </w:rPr>
              <w:t>30</w:t>
            </w:r>
            <w:r>
              <w:rPr>
                <w:rFonts w:hint="eastAsia" w:ascii="宋体" w:hAnsi="宋体" w:eastAsia="宋体" w:cs="宋体"/>
                <w:highlight w:val="none"/>
              </w:rPr>
              <w:t>日17时前在滁州市公共资源交易中心网站 “答疑澄清文件”栏目予以公告。</w:t>
            </w:r>
          </w:p>
        </w:tc>
      </w:tr>
      <w:tr w14:paraId="005E673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36" w:type="dxa"/>
            <w:noWrap w:val="0"/>
            <w:vAlign w:val="center"/>
          </w:tcPr>
          <w:p w14:paraId="3F780EBC">
            <w:pPr>
              <w:rPr>
                <w:rFonts w:hint="eastAsia" w:ascii="宋体" w:hAnsi="宋体" w:eastAsia="宋体" w:cs="宋体"/>
                <w:highlight w:val="none"/>
              </w:rPr>
            </w:pPr>
            <w:r>
              <w:rPr>
                <w:rFonts w:hint="eastAsia" w:ascii="宋体" w:hAnsi="宋体" w:eastAsia="宋体" w:cs="宋体"/>
                <w:highlight w:val="none"/>
              </w:rPr>
              <w:t>23.1</w:t>
            </w:r>
          </w:p>
        </w:tc>
        <w:tc>
          <w:tcPr>
            <w:tcW w:w="2300" w:type="dxa"/>
            <w:noWrap w:val="0"/>
            <w:vAlign w:val="center"/>
          </w:tcPr>
          <w:p w14:paraId="22B93CC2">
            <w:pPr>
              <w:rPr>
                <w:rFonts w:hint="eastAsia" w:ascii="宋体" w:hAnsi="宋体" w:eastAsia="宋体" w:cs="宋体"/>
                <w:highlight w:val="none"/>
              </w:rPr>
            </w:pPr>
            <w:r>
              <w:rPr>
                <w:rFonts w:hint="eastAsia" w:ascii="宋体" w:hAnsi="宋体" w:eastAsia="宋体" w:cs="宋体"/>
                <w:highlight w:val="none"/>
              </w:rPr>
              <w:t>投标有效期</w:t>
            </w:r>
          </w:p>
        </w:tc>
        <w:tc>
          <w:tcPr>
            <w:tcW w:w="6477" w:type="dxa"/>
            <w:noWrap w:val="0"/>
            <w:vAlign w:val="center"/>
          </w:tcPr>
          <w:p w14:paraId="4BB4BE86">
            <w:pPr>
              <w:rPr>
                <w:rFonts w:hint="eastAsia" w:ascii="宋体" w:hAnsi="宋体" w:eastAsia="宋体" w:cs="宋体"/>
                <w:highlight w:val="none"/>
                <w:lang w:eastAsia="zh-CN"/>
              </w:rPr>
            </w:pPr>
            <w:r>
              <w:rPr>
                <w:rFonts w:hint="eastAsia" w:ascii="宋体" w:hAnsi="宋体" w:eastAsia="宋体" w:cs="宋体"/>
                <w:highlight w:val="none"/>
                <w:lang w:eastAsia="zh-CN"/>
              </w:rPr>
              <w:t>自投标人递交投标文件截止之日起计算90日历天。在此期限内，凡符合本招标文件要求的投标文件均保持有效。</w:t>
            </w:r>
          </w:p>
        </w:tc>
      </w:tr>
      <w:tr w14:paraId="520511F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91" w:hRule="atLeast"/>
          <w:jc w:val="center"/>
        </w:trPr>
        <w:tc>
          <w:tcPr>
            <w:tcW w:w="1036" w:type="dxa"/>
            <w:noWrap w:val="0"/>
            <w:vAlign w:val="center"/>
          </w:tcPr>
          <w:p w14:paraId="0277D46C">
            <w:pPr>
              <w:rPr>
                <w:rFonts w:hint="eastAsia" w:ascii="宋体" w:hAnsi="宋体" w:eastAsia="宋体" w:cs="宋体"/>
                <w:highlight w:val="none"/>
              </w:rPr>
            </w:pPr>
            <w:r>
              <w:rPr>
                <w:rFonts w:hint="eastAsia" w:ascii="宋体" w:hAnsi="宋体" w:eastAsia="宋体" w:cs="宋体"/>
                <w:highlight w:val="none"/>
              </w:rPr>
              <w:t>24</w:t>
            </w:r>
          </w:p>
        </w:tc>
        <w:tc>
          <w:tcPr>
            <w:tcW w:w="2300" w:type="dxa"/>
            <w:noWrap w:val="0"/>
            <w:vAlign w:val="center"/>
          </w:tcPr>
          <w:p w14:paraId="6E535461">
            <w:pPr>
              <w:rPr>
                <w:rFonts w:hint="eastAsia" w:ascii="宋体" w:hAnsi="宋体" w:eastAsia="宋体" w:cs="宋体"/>
                <w:highlight w:val="none"/>
              </w:rPr>
            </w:pPr>
            <w:r>
              <w:rPr>
                <w:rFonts w:hint="eastAsia" w:ascii="宋体" w:hAnsi="宋体" w:eastAsia="宋体" w:cs="宋体"/>
                <w:highlight w:val="none"/>
              </w:rPr>
              <w:t>投标保证金</w:t>
            </w:r>
          </w:p>
        </w:tc>
        <w:tc>
          <w:tcPr>
            <w:tcW w:w="6477" w:type="dxa"/>
            <w:noWrap w:val="0"/>
            <w:vAlign w:val="center"/>
          </w:tcPr>
          <w:p w14:paraId="18CCB595">
            <w:pPr>
              <w:rPr>
                <w:rFonts w:hint="eastAsia" w:ascii="宋体" w:hAnsi="宋体" w:eastAsia="宋体" w:cs="宋体"/>
                <w:highlight w:val="none"/>
              </w:rPr>
            </w:pPr>
            <w:r>
              <w:rPr>
                <w:rFonts w:hint="eastAsia" w:ascii="宋体" w:hAnsi="宋体" w:eastAsia="宋体" w:cs="宋体"/>
                <w:highlight w:val="none"/>
              </w:rPr>
              <w:t>详见第一章“招标公告”</w:t>
            </w:r>
          </w:p>
        </w:tc>
      </w:tr>
      <w:tr w14:paraId="0EE6218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18" w:hRule="atLeast"/>
          <w:jc w:val="center"/>
        </w:trPr>
        <w:tc>
          <w:tcPr>
            <w:tcW w:w="1036" w:type="dxa"/>
            <w:noWrap w:val="0"/>
            <w:vAlign w:val="center"/>
          </w:tcPr>
          <w:p w14:paraId="75B6A24D">
            <w:pPr>
              <w:rPr>
                <w:rFonts w:hint="eastAsia" w:ascii="宋体" w:hAnsi="宋体" w:eastAsia="宋体" w:cs="宋体"/>
                <w:highlight w:val="none"/>
              </w:rPr>
            </w:pPr>
            <w:r>
              <w:rPr>
                <w:rFonts w:hint="eastAsia" w:ascii="宋体" w:hAnsi="宋体" w:eastAsia="宋体" w:cs="宋体"/>
                <w:highlight w:val="none"/>
              </w:rPr>
              <w:t>25.1</w:t>
            </w:r>
          </w:p>
        </w:tc>
        <w:tc>
          <w:tcPr>
            <w:tcW w:w="2300" w:type="dxa"/>
            <w:noWrap w:val="0"/>
            <w:vAlign w:val="center"/>
          </w:tcPr>
          <w:p w14:paraId="0499A044">
            <w:pPr>
              <w:rPr>
                <w:rFonts w:hint="eastAsia" w:ascii="宋体" w:hAnsi="宋体" w:eastAsia="宋体" w:cs="宋体"/>
                <w:highlight w:val="none"/>
              </w:rPr>
            </w:pPr>
            <w:r>
              <w:rPr>
                <w:rFonts w:hint="eastAsia" w:ascii="宋体" w:hAnsi="宋体" w:eastAsia="宋体" w:cs="宋体"/>
                <w:highlight w:val="none"/>
              </w:rPr>
              <w:t>投标文件份数</w:t>
            </w:r>
          </w:p>
        </w:tc>
        <w:tc>
          <w:tcPr>
            <w:tcW w:w="6477" w:type="dxa"/>
            <w:noWrap w:val="0"/>
            <w:vAlign w:val="center"/>
          </w:tcPr>
          <w:p w14:paraId="6E47CE5D">
            <w:pPr>
              <w:rPr>
                <w:rFonts w:hint="eastAsia" w:ascii="宋体" w:hAnsi="宋体" w:eastAsia="宋体" w:cs="宋体"/>
                <w:highlight w:val="none"/>
              </w:rPr>
            </w:pPr>
            <w:r>
              <w:rPr>
                <w:rFonts w:hint="eastAsia" w:ascii="宋体" w:hAnsi="宋体" w:eastAsia="宋体" w:cs="宋体"/>
                <w:highlight w:val="none"/>
              </w:rPr>
              <w:t>加密电子投标文件应在投标截止时间前通过交易中心电子交易系统上传。</w:t>
            </w:r>
          </w:p>
          <w:p w14:paraId="56808454">
            <w:pPr>
              <w:rPr>
                <w:rFonts w:hint="eastAsia" w:ascii="宋体" w:hAnsi="宋体" w:eastAsia="宋体" w:cs="宋体"/>
                <w:highlight w:val="none"/>
              </w:rPr>
            </w:pPr>
            <w:r>
              <w:rPr>
                <w:rFonts w:hint="eastAsia" w:ascii="宋体" w:hAnsi="宋体" w:eastAsia="宋体" w:cs="宋体"/>
                <w:highlight w:val="none"/>
              </w:rPr>
              <w:t>（投标人中标后须递交与网上电子投标文件完全一致的纸质版投标文件，并按要求加盖单位章；份数：正本1份，副本2份；中标单位领取中标通知书时，一并递交给代理机构）</w:t>
            </w:r>
          </w:p>
        </w:tc>
      </w:tr>
      <w:tr w14:paraId="644F1CC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36" w:type="dxa"/>
            <w:noWrap w:val="0"/>
            <w:vAlign w:val="center"/>
          </w:tcPr>
          <w:p w14:paraId="795C23F4">
            <w:pPr>
              <w:rPr>
                <w:rFonts w:hint="eastAsia" w:ascii="宋体" w:hAnsi="宋体" w:eastAsia="宋体" w:cs="宋体"/>
                <w:highlight w:val="none"/>
              </w:rPr>
            </w:pPr>
            <w:r>
              <w:rPr>
                <w:rFonts w:hint="eastAsia" w:ascii="宋体" w:hAnsi="宋体" w:eastAsia="宋体" w:cs="宋体"/>
                <w:highlight w:val="none"/>
              </w:rPr>
              <w:t>26.1</w:t>
            </w:r>
          </w:p>
        </w:tc>
        <w:tc>
          <w:tcPr>
            <w:tcW w:w="2300" w:type="dxa"/>
            <w:noWrap w:val="0"/>
            <w:vAlign w:val="center"/>
          </w:tcPr>
          <w:p w14:paraId="32414CC3">
            <w:pPr>
              <w:rPr>
                <w:rFonts w:hint="eastAsia" w:ascii="宋体" w:hAnsi="宋体" w:eastAsia="宋体" w:cs="宋体"/>
                <w:highlight w:val="none"/>
              </w:rPr>
            </w:pPr>
            <w:r>
              <w:rPr>
                <w:rFonts w:hint="eastAsia" w:ascii="宋体" w:hAnsi="宋体" w:eastAsia="宋体" w:cs="宋体"/>
                <w:highlight w:val="none"/>
              </w:rPr>
              <w:t>投标文件提交截止时间</w:t>
            </w:r>
          </w:p>
        </w:tc>
        <w:tc>
          <w:tcPr>
            <w:tcW w:w="6477" w:type="dxa"/>
            <w:noWrap w:val="0"/>
            <w:vAlign w:val="center"/>
          </w:tcPr>
          <w:p w14:paraId="1D222AF7">
            <w:pPr>
              <w:rPr>
                <w:rFonts w:hint="eastAsia" w:ascii="宋体" w:hAnsi="宋体" w:eastAsia="宋体" w:cs="宋体"/>
                <w:highlight w:val="none"/>
              </w:rPr>
            </w:pPr>
            <w:r>
              <w:rPr>
                <w:rFonts w:hint="eastAsia" w:ascii="宋体" w:hAnsi="宋体" w:eastAsia="宋体" w:cs="宋体"/>
                <w:highlight w:val="none"/>
              </w:rPr>
              <w:t>网上递交投标文件截止时间：202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ascii="宋体" w:hAnsi="宋体" w:cs="宋体"/>
                <w:highlight w:val="none"/>
                <w:lang w:val="en-US" w:eastAsia="zh-CN"/>
              </w:rPr>
              <w:t>7</w:t>
            </w:r>
            <w:r>
              <w:rPr>
                <w:rFonts w:hint="eastAsia" w:ascii="宋体" w:hAnsi="宋体" w:eastAsia="宋体" w:cs="宋体"/>
                <w:highlight w:val="none"/>
              </w:rPr>
              <w:t>月</w:t>
            </w:r>
            <w:r>
              <w:rPr>
                <w:rFonts w:hint="eastAsia" w:ascii="宋体" w:hAnsi="宋体" w:cs="宋体"/>
                <w:highlight w:val="none"/>
                <w:lang w:val="en-US" w:eastAsia="zh-CN"/>
              </w:rPr>
              <w:t>14</w:t>
            </w:r>
            <w:r>
              <w:rPr>
                <w:rFonts w:hint="eastAsia" w:ascii="宋体" w:hAnsi="宋体" w:eastAsia="宋体" w:cs="宋体"/>
                <w:highlight w:val="none"/>
              </w:rPr>
              <w:t>日8点00分（北京时间）</w:t>
            </w:r>
          </w:p>
          <w:p w14:paraId="0FE3D425">
            <w:pPr>
              <w:rPr>
                <w:rFonts w:hint="eastAsia" w:ascii="宋体" w:hAnsi="宋体" w:eastAsia="宋体" w:cs="宋体"/>
                <w:highlight w:val="none"/>
              </w:rPr>
            </w:pPr>
            <w:r>
              <w:rPr>
                <w:rFonts w:hint="eastAsia" w:ascii="宋体" w:hAnsi="宋体" w:eastAsia="宋体" w:cs="宋体"/>
                <w:highlight w:val="none"/>
              </w:rPr>
              <w:t>注：以投标人在投标截止时间前网上递交的电子投标文件为准，逾期提交的，投标文件将被拒绝。</w:t>
            </w:r>
          </w:p>
        </w:tc>
      </w:tr>
      <w:tr w14:paraId="6B577F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93" w:hRule="atLeast"/>
          <w:jc w:val="center"/>
        </w:trPr>
        <w:tc>
          <w:tcPr>
            <w:tcW w:w="1036" w:type="dxa"/>
            <w:noWrap w:val="0"/>
            <w:vAlign w:val="center"/>
          </w:tcPr>
          <w:p w14:paraId="26B5BB87">
            <w:pPr>
              <w:rPr>
                <w:rFonts w:hint="eastAsia" w:ascii="宋体" w:hAnsi="宋体" w:eastAsia="宋体" w:cs="宋体"/>
                <w:highlight w:val="none"/>
              </w:rPr>
            </w:pPr>
            <w:r>
              <w:rPr>
                <w:rFonts w:hint="eastAsia" w:ascii="宋体" w:hAnsi="宋体" w:eastAsia="宋体" w:cs="宋体"/>
                <w:highlight w:val="none"/>
              </w:rPr>
              <w:t>27</w:t>
            </w:r>
          </w:p>
        </w:tc>
        <w:tc>
          <w:tcPr>
            <w:tcW w:w="2300" w:type="dxa"/>
            <w:noWrap w:val="0"/>
            <w:vAlign w:val="center"/>
          </w:tcPr>
          <w:p w14:paraId="1989F9B1">
            <w:pPr>
              <w:rPr>
                <w:rFonts w:hint="eastAsia" w:ascii="宋体" w:hAnsi="宋体" w:eastAsia="宋体" w:cs="宋体"/>
                <w:highlight w:val="none"/>
              </w:rPr>
            </w:pPr>
            <w:r>
              <w:rPr>
                <w:rFonts w:hint="eastAsia" w:ascii="宋体" w:hAnsi="宋体" w:eastAsia="宋体" w:cs="宋体"/>
                <w:highlight w:val="none"/>
              </w:rPr>
              <w:t>是否退还投标文件</w:t>
            </w:r>
          </w:p>
        </w:tc>
        <w:tc>
          <w:tcPr>
            <w:tcW w:w="6477" w:type="dxa"/>
            <w:noWrap w:val="0"/>
            <w:vAlign w:val="center"/>
          </w:tcPr>
          <w:p w14:paraId="33D50016">
            <w:pPr>
              <w:rPr>
                <w:rFonts w:hint="eastAsia" w:ascii="宋体" w:hAnsi="宋体" w:eastAsia="宋体" w:cs="宋体"/>
                <w:highlight w:val="none"/>
              </w:rPr>
            </w:pPr>
            <w:r>
              <w:rPr>
                <w:rFonts w:hint="eastAsia" w:ascii="宋体" w:hAnsi="宋体" w:eastAsia="宋体" w:cs="宋体"/>
                <w:highlight w:val="none"/>
              </w:rPr>
              <w:t>否</w:t>
            </w:r>
          </w:p>
        </w:tc>
      </w:tr>
      <w:tr w14:paraId="42F6FEA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36" w:type="dxa"/>
            <w:noWrap w:val="0"/>
            <w:vAlign w:val="center"/>
          </w:tcPr>
          <w:p w14:paraId="4EADBB4A">
            <w:pPr>
              <w:rPr>
                <w:rFonts w:hint="eastAsia" w:ascii="宋体" w:hAnsi="宋体" w:eastAsia="宋体" w:cs="宋体"/>
                <w:highlight w:val="none"/>
              </w:rPr>
            </w:pPr>
            <w:r>
              <w:rPr>
                <w:rFonts w:hint="eastAsia" w:ascii="宋体" w:hAnsi="宋体" w:eastAsia="宋体" w:cs="宋体"/>
                <w:highlight w:val="none"/>
              </w:rPr>
              <w:t>29.1</w:t>
            </w:r>
          </w:p>
        </w:tc>
        <w:tc>
          <w:tcPr>
            <w:tcW w:w="2300" w:type="dxa"/>
            <w:noWrap w:val="0"/>
            <w:vAlign w:val="center"/>
          </w:tcPr>
          <w:p w14:paraId="518B2835">
            <w:pPr>
              <w:rPr>
                <w:rFonts w:hint="eastAsia" w:ascii="宋体" w:hAnsi="宋体" w:eastAsia="宋体" w:cs="宋体"/>
                <w:highlight w:val="none"/>
              </w:rPr>
            </w:pPr>
            <w:r>
              <w:rPr>
                <w:rFonts w:hint="eastAsia" w:ascii="宋体" w:hAnsi="宋体" w:eastAsia="宋体" w:cs="宋体"/>
                <w:highlight w:val="none"/>
              </w:rPr>
              <w:t>开标时间和地点</w:t>
            </w:r>
          </w:p>
        </w:tc>
        <w:tc>
          <w:tcPr>
            <w:tcW w:w="6477" w:type="dxa"/>
            <w:noWrap w:val="0"/>
            <w:vAlign w:val="center"/>
          </w:tcPr>
          <w:p w14:paraId="06A84F6D">
            <w:pPr>
              <w:rPr>
                <w:rFonts w:hint="eastAsia" w:ascii="宋体" w:hAnsi="宋体" w:eastAsia="宋体" w:cs="宋体"/>
                <w:highlight w:val="none"/>
              </w:rPr>
            </w:pPr>
            <w:r>
              <w:rPr>
                <w:rFonts w:hint="eastAsia" w:ascii="宋体" w:hAnsi="宋体" w:eastAsia="宋体" w:cs="宋体"/>
                <w:highlight w:val="none"/>
              </w:rPr>
              <w:t>开标时间：同投标截止时间</w:t>
            </w:r>
          </w:p>
          <w:p w14:paraId="4B1EE7E0">
            <w:pPr>
              <w:rPr>
                <w:rFonts w:hint="eastAsia" w:ascii="宋体" w:hAnsi="宋体" w:eastAsia="宋体" w:cs="宋体"/>
                <w:highlight w:val="none"/>
              </w:rPr>
            </w:pPr>
            <w:r>
              <w:rPr>
                <w:rFonts w:hint="eastAsia" w:ascii="宋体" w:hAnsi="宋体" w:eastAsia="宋体" w:cs="宋体"/>
                <w:highlight w:val="none"/>
              </w:rPr>
              <w:t>开标地点：详见第一章“招标公告”</w:t>
            </w:r>
          </w:p>
        </w:tc>
      </w:tr>
      <w:tr w14:paraId="04BFADB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6" w:hRule="atLeast"/>
          <w:jc w:val="center"/>
        </w:trPr>
        <w:tc>
          <w:tcPr>
            <w:tcW w:w="1036" w:type="dxa"/>
            <w:noWrap w:val="0"/>
            <w:vAlign w:val="center"/>
          </w:tcPr>
          <w:p w14:paraId="57332EF3">
            <w:pPr>
              <w:rPr>
                <w:rFonts w:hint="eastAsia" w:ascii="宋体" w:hAnsi="宋体" w:eastAsia="宋体" w:cs="宋体"/>
                <w:highlight w:val="none"/>
              </w:rPr>
            </w:pPr>
            <w:r>
              <w:rPr>
                <w:rFonts w:hint="eastAsia" w:ascii="宋体" w:hAnsi="宋体" w:eastAsia="宋体" w:cs="宋体"/>
                <w:highlight w:val="none"/>
              </w:rPr>
              <w:t>29.3</w:t>
            </w:r>
          </w:p>
        </w:tc>
        <w:tc>
          <w:tcPr>
            <w:tcW w:w="2300" w:type="dxa"/>
            <w:noWrap w:val="0"/>
            <w:vAlign w:val="center"/>
          </w:tcPr>
          <w:p w14:paraId="4BDC0A67">
            <w:pPr>
              <w:rPr>
                <w:rFonts w:hint="eastAsia" w:ascii="宋体" w:hAnsi="宋体" w:eastAsia="宋体" w:cs="宋体"/>
                <w:highlight w:val="none"/>
              </w:rPr>
            </w:pPr>
            <w:r>
              <w:rPr>
                <w:rFonts w:hint="eastAsia" w:ascii="宋体" w:hAnsi="宋体" w:eastAsia="宋体" w:cs="宋体"/>
                <w:highlight w:val="none"/>
              </w:rPr>
              <w:t>开标程序</w:t>
            </w:r>
          </w:p>
        </w:tc>
        <w:tc>
          <w:tcPr>
            <w:tcW w:w="6477" w:type="dxa"/>
            <w:noWrap w:val="0"/>
            <w:vAlign w:val="center"/>
          </w:tcPr>
          <w:p w14:paraId="6AD753B1">
            <w:pPr>
              <w:rPr>
                <w:rFonts w:hint="eastAsia" w:ascii="宋体" w:hAnsi="宋体" w:eastAsia="宋体" w:cs="宋体"/>
                <w:highlight w:val="none"/>
              </w:rPr>
            </w:pPr>
            <w:r>
              <w:rPr>
                <w:rFonts w:hint="eastAsia" w:ascii="宋体" w:hAnsi="宋体" w:eastAsia="宋体" w:cs="宋体"/>
                <w:highlight w:val="none"/>
              </w:rPr>
              <w:t>（1）解密时间：解密程序开始后60分钟内（以电子交易系统解密倒计时为准），解密时间为202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ascii="宋体" w:hAnsi="宋体" w:cs="宋体"/>
                <w:highlight w:val="none"/>
                <w:lang w:val="en-US" w:eastAsia="zh-CN"/>
              </w:rPr>
              <w:t>7</w:t>
            </w:r>
            <w:r>
              <w:rPr>
                <w:rFonts w:hint="eastAsia" w:ascii="宋体" w:hAnsi="宋体" w:eastAsia="宋体" w:cs="宋体"/>
                <w:highlight w:val="none"/>
              </w:rPr>
              <w:t>月</w:t>
            </w:r>
            <w:r>
              <w:rPr>
                <w:rFonts w:hint="eastAsia" w:ascii="宋体" w:hAnsi="宋体" w:cs="宋体"/>
                <w:highlight w:val="none"/>
                <w:lang w:val="en-US" w:eastAsia="zh-CN"/>
              </w:rPr>
              <w:t>14</w:t>
            </w:r>
            <w:r>
              <w:rPr>
                <w:rFonts w:hint="eastAsia" w:ascii="宋体" w:hAnsi="宋体" w:eastAsia="宋体" w:cs="宋体"/>
                <w:highlight w:val="none"/>
              </w:rPr>
              <w:t>日8时00分至202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ascii="宋体" w:hAnsi="宋体" w:cs="宋体"/>
                <w:highlight w:val="none"/>
                <w:lang w:val="en-US" w:eastAsia="zh-CN"/>
              </w:rPr>
              <w:t>7</w:t>
            </w:r>
            <w:r>
              <w:rPr>
                <w:rFonts w:hint="eastAsia" w:ascii="宋体" w:hAnsi="宋体" w:eastAsia="宋体" w:cs="宋体"/>
                <w:highlight w:val="none"/>
              </w:rPr>
              <w:t>月</w:t>
            </w:r>
            <w:r>
              <w:rPr>
                <w:rFonts w:hint="eastAsia" w:ascii="宋体" w:hAnsi="宋体" w:cs="宋体"/>
                <w:highlight w:val="none"/>
                <w:lang w:val="en-US" w:eastAsia="zh-CN"/>
              </w:rPr>
              <w:t>14</w:t>
            </w:r>
            <w:r>
              <w:rPr>
                <w:rFonts w:hint="eastAsia" w:ascii="宋体" w:hAnsi="宋体" w:eastAsia="宋体" w:cs="宋体"/>
                <w:highlight w:val="none"/>
              </w:rPr>
              <w:t>日9时00分。</w:t>
            </w:r>
          </w:p>
          <w:p w14:paraId="70001F17">
            <w:pPr>
              <w:rPr>
                <w:rFonts w:hint="eastAsia" w:ascii="宋体" w:hAnsi="宋体" w:eastAsia="宋体" w:cs="宋体"/>
                <w:highlight w:val="none"/>
              </w:rPr>
            </w:pPr>
            <w:r>
              <w:rPr>
                <w:rFonts w:hint="eastAsia" w:ascii="宋体" w:hAnsi="宋体" w:eastAsia="宋体" w:cs="宋体"/>
                <w:highlight w:val="none"/>
              </w:rPr>
              <w:t>（2）开标顺序：解密电子投标文件后，由评标委员会评审。</w:t>
            </w:r>
          </w:p>
        </w:tc>
      </w:tr>
      <w:tr w14:paraId="75B3ED7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4" w:hRule="atLeast"/>
          <w:jc w:val="center"/>
        </w:trPr>
        <w:tc>
          <w:tcPr>
            <w:tcW w:w="1036" w:type="dxa"/>
            <w:noWrap w:val="0"/>
            <w:vAlign w:val="center"/>
          </w:tcPr>
          <w:p w14:paraId="7C9547FA">
            <w:pPr>
              <w:rPr>
                <w:rFonts w:hint="eastAsia" w:ascii="宋体" w:hAnsi="宋体" w:eastAsia="宋体" w:cs="宋体"/>
                <w:highlight w:val="none"/>
              </w:rPr>
            </w:pPr>
            <w:r>
              <w:rPr>
                <w:rFonts w:hint="eastAsia" w:ascii="宋体" w:hAnsi="宋体" w:eastAsia="宋体" w:cs="宋体"/>
                <w:highlight w:val="none"/>
              </w:rPr>
              <w:t>30.1</w:t>
            </w:r>
          </w:p>
        </w:tc>
        <w:tc>
          <w:tcPr>
            <w:tcW w:w="2300" w:type="dxa"/>
            <w:noWrap w:val="0"/>
            <w:vAlign w:val="center"/>
          </w:tcPr>
          <w:p w14:paraId="71D738DB">
            <w:pPr>
              <w:rPr>
                <w:rFonts w:hint="eastAsia" w:ascii="宋体" w:hAnsi="宋体" w:eastAsia="宋体" w:cs="宋体"/>
                <w:highlight w:val="none"/>
              </w:rPr>
            </w:pPr>
            <w:r>
              <w:rPr>
                <w:rFonts w:hint="eastAsia" w:ascii="宋体" w:hAnsi="宋体" w:eastAsia="宋体" w:cs="宋体"/>
                <w:highlight w:val="none"/>
              </w:rPr>
              <w:t>评标委员会的组建</w:t>
            </w:r>
          </w:p>
        </w:tc>
        <w:tc>
          <w:tcPr>
            <w:tcW w:w="6477" w:type="dxa"/>
            <w:noWrap w:val="0"/>
            <w:vAlign w:val="top"/>
          </w:tcPr>
          <w:p w14:paraId="6893413A">
            <w:pPr>
              <w:rPr>
                <w:rFonts w:hint="eastAsia" w:ascii="宋体" w:hAnsi="宋体" w:eastAsia="宋体" w:cs="宋体"/>
                <w:highlight w:val="none"/>
              </w:rPr>
            </w:pPr>
            <w:r>
              <w:rPr>
                <w:rFonts w:hint="eastAsia" w:ascii="宋体" w:hAnsi="宋体" w:eastAsia="宋体" w:cs="宋体"/>
                <w:highlight w:val="none"/>
              </w:rPr>
              <w:t>评标委员会构成：</w:t>
            </w:r>
            <w:r>
              <w:rPr>
                <w:rFonts w:hint="eastAsia" w:ascii="宋体" w:hAnsi="宋体" w:eastAsia="宋体" w:cs="宋体"/>
                <w:highlight w:val="none"/>
                <w:lang w:val="en-US" w:eastAsia="zh-CN"/>
              </w:rPr>
              <w:t>5</w:t>
            </w:r>
            <w:r>
              <w:rPr>
                <w:rFonts w:hint="eastAsia" w:ascii="宋体" w:hAnsi="宋体" w:eastAsia="宋体" w:cs="宋体"/>
                <w:highlight w:val="none"/>
                <w:lang w:eastAsia="zh-CN"/>
              </w:rPr>
              <w:t>人，其中招标人代表</w:t>
            </w:r>
            <w:r>
              <w:rPr>
                <w:rFonts w:hint="eastAsia" w:ascii="宋体" w:hAnsi="宋体" w:eastAsia="宋体" w:cs="宋体"/>
                <w:highlight w:val="none"/>
                <w:lang w:val="en-US" w:eastAsia="zh-CN"/>
              </w:rPr>
              <w:t>0</w:t>
            </w:r>
            <w:r>
              <w:rPr>
                <w:rFonts w:hint="eastAsia" w:ascii="宋体" w:hAnsi="宋体" w:eastAsia="宋体" w:cs="宋体"/>
                <w:highlight w:val="none"/>
                <w:lang w:eastAsia="zh-CN"/>
              </w:rPr>
              <w:t>人，评标专家</w:t>
            </w:r>
            <w:r>
              <w:rPr>
                <w:rFonts w:hint="eastAsia" w:ascii="宋体" w:hAnsi="宋体" w:eastAsia="宋体" w:cs="宋体"/>
                <w:highlight w:val="none"/>
                <w:lang w:val="en-US" w:eastAsia="zh-CN"/>
              </w:rPr>
              <w:t>5</w:t>
            </w:r>
            <w:r>
              <w:rPr>
                <w:rFonts w:hint="eastAsia" w:ascii="宋体" w:hAnsi="宋体" w:eastAsia="宋体" w:cs="宋体"/>
                <w:highlight w:val="none"/>
                <w:lang w:eastAsia="zh-CN"/>
              </w:rPr>
              <w:t>人。</w:t>
            </w:r>
          </w:p>
          <w:p w14:paraId="46CF3EED">
            <w:pPr>
              <w:rPr>
                <w:rFonts w:hint="eastAsia" w:ascii="宋体" w:hAnsi="宋体" w:eastAsia="宋体" w:cs="宋体"/>
                <w:highlight w:val="none"/>
              </w:rPr>
            </w:pPr>
            <w:r>
              <w:rPr>
                <w:rFonts w:hint="eastAsia" w:ascii="宋体" w:hAnsi="宋体" w:eastAsia="宋体" w:cs="宋体"/>
                <w:highlight w:val="none"/>
              </w:rPr>
              <w:t>评标专家确定方式：评标专家由招标人在开标前从专家库中随机抽取。</w:t>
            </w:r>
          </w:p>
        </w:tc>
      </w:tr>
      <w:tr w14:paraId="573BF56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1036" w:type="dxa"/>
            <w:noWrap w:val="0"/>
            <w:vAlign w:val="center"/>
          </w:tcPr>
          <w:p w14:paraId="62A1A336">
            <w:pPr>
              <w:rPr>
                <w:rFonts w:hint="eastAsia" w:ascii="宋体" w:hAnsi="宋体" w:eastAsia="宋体" w:cs="宋体"/>
                <w:highlight w:val="none"/>
              </w:rPr>
            </w:pPr>
            <w:r>
              <w:rPr>
                <w:rFonts w:hint="eastAsia" w:ascii="宋体" w:hAnsi="宋体" w:eastAsia="宋体" w:cs="宋体"/>
                <w:highlight w:val="none"/>
              </w:rPr>
              <w:t>32.1.1</w:t>
            </w:r>
          </w:p>
        </w:tc>
        <w:tc>
          <w:tcPr>
            <w:tcW w:w="2300" w:type="dxa"/>
            <w:noWrap w:val="0"/>
            <w:vAlign w:val="center"/>
          </w:tcPr>
          <w:p w14:paraId="312716D0">
            <w:pPr>
              <w:rPr>
                <w:rFonts w:hint="eastAsia" w:ascii="宋体" w:hAnsi="宋体" w:eastAsia="宋体" w:cs="宋体"/>
                <w:highlight w:val="none"/>
              </w:rPr>
            </w:pPr>
            <w:r>
              <w:rPr>
                <w:rFonts w:hint="eastAsia" w:ascii="宋体" w:hAnsi="宋体" w:eastAsia="宋体" w:cs="宋体"/>
                <w:highlight w:val="none"/>
              </w:rPr>
              <w:t>评标委员会确定中标候选人的人数</w:t>
            </w:r>
          </w:p>
        </w:tc>
        <w:tc>
          <w:tcPr>
            <w:tcW w:w="6477" w:type="dxa"/>
            <w:noWrap w:val="0"/>
            <w:vAlign w:val="center"/>
          </w:tcPr>
          <w:p w14:paraId="36682AC4">
            <w:pPr>
              <w:rPr>
                <w:rFonts w:hint="eastAsia" w:ascii="宋体" w:hAnsi="宋体" w:eastAsia="宋体" w:cs="宋体"/>
                <w:highlight w:val="none"/>
              </w:rPr>
            </w:pPr>
            <w:r>
              <w:rPr>
                <w:rFonts w:hint="eastAsia" w:ascii="宋体" w:hAnsi="宋体" w:eastAsia="宋体" w:cs="宋体"/>
                <w:highlight w:val="none"/>
              </w:rPr>
              <w:t>3名，并标明排序。</w:t>
            </w:r>
          </w:p>
        </w:tc>
      </w:tr>
      <w:tr w14:paraId="6CAC6B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94" w:hRule="atLeast"/>
          <w:jc w:val="center"/>
        </w:trPr>
        <w:tc>
          <w:tcPr>
            <w:tcW w:w="1036" w:type="dxa"/>
            <w:noWrap w:val="0"/>
            <w:vAlign w:val="center"/>
          </w:tcPr>
          <w:p w14:paraId="1E364676">
            <w:pPr>
              <w:rPr>
                <w:rFonts w:hint="eastAsia" w:ascii="宋体" w:hAnsi="宋体" w:eastAsia="宋体" w:cs="宋体"/>
                <w:highlight w:val="none"/>
              </w:rPr>
            </w:pPr>
            <w:r>
              <w:rPr>
                <w:rFonts w:hint="eastAsia" w:ascii="宋体" w:hAnsi="宋体" w:eastAsia="宋体" w:cs="宋体"/>
                <w:highlight w:val="none"/>
              </w:rPr>
              <w:t>32.1.2</w:t>
            </w:r>
          </w:p>
        </w:tc>
        <w:tc>
          <w:tcPr>
            <w:tcW w:w="2300" w:type="dxa"/>
            <w:noWrap w:val="0"/>
            <w:vAlign w:val="center"/>
          </w:tcPr>
          <w:p w14:paraId="69DE43FF">
            <w:pPr>
              <w:rPr>
                <w:rFonts w:hint="eastAsia" w:ascii="宋体" w:hAnsi="宋体" w:eastAsia="宋体" w:cs="宋体"/>
                <w:highlight w:val="none"/>
              </w:rPr>
            </w:pPr>
            <w:r>
              <w:rPr>
                <w:rFonts w:hint="eastAsia" w:ascii="宋体" w:hAnsi="宋体" w:eastAsia="宋体" w:cs="宋体"/>
                <w:highlight w:val="none"/>
              </w:rPr>
              <w:t>中标结果公告媒介</w:t>
            </w:r>
          </w:p>
        </w:tc>
        <w:tc>
          <w:tcPr>
            <w:tcW w:w="6477" w:type="dxa"/>
            <w:noWrap w:val="0"/>
            <w:vAlign w:val="top"/>
          </w:tcPr>
          <w:p w14:paraId="1650B013">
            <w:pPr>
              <w:rPr>
                <w:rFonts w:hint="eastAsia" w:ascii="宋体" w:hAnsi="宋体" w:eastAsia="宋体" w:cs="宋体"/>
                <w:highlight w:val="none"/>
              </w:rPr>
            </w:pPr>
            <w:r>
              <w:rPr>
                <w:rFonts w:hint="eastAsia" w:ascii="宋体" w:hAnsi="宋体" w:eastAsia="宋体" w:cs="宋体"/>
                <w:highlight w:val="none"/>
              </w:rPr>
              <w:t>公示媒介：同招标公告发布媒介</w:t>
            </w:r>
          </w:p>
          <w:p w14:paraId="33E375E9">
            <w:pPr>
              <w:rPr>
                <w:rFonts w:hint="eastAsia" w:ascii="宋体" w:hAnsi="宋体" w:eastAsia="宋体" w:cs="宋体"/>
                <w:highlight w:val="none"/>
              </w:rPr>
            </w:pPr>
            <w:r>
              <w:rPr>
                <w:rFonts w:hint="eastAsia" w:ascii="宋体" w:hAnsi="宋体" w:eastAsia="宋体" w:cs="宋体"/>
                <w:highlight w:val="none"/>
              </w:rPr>
              <w:t>公示期限：公示发布次日起3日（如公示第三日为休息日或节假日，则顺延至休息日或节假日后第一个工作日）</w:t>
            </w:r>
          </w:p>
        </w:tc>
      </w:tr>
      <w:tr w14:paraId="623B583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06" w:hRule="atLeast"/>
          <w:jc w:val="center"/>
        </w:trPr>
        <w:tc>
          <w:tcPr>
            <w:tcW w:w="1036" w:type="dxa"/>
            <w:noWrap w:val="0"/>
            <w:vAlign w:val="center"/>
          </w:tcPr>
          <w:p w14:paraId="70DCE1E7">
            <w:pPr>
              <w:rPr>
                <w:rFonts w:hint="eastAsia" w:ascii="宋体" w:hAnsi="宋体" w:eastAsia="宋体" w:cs="宋体"/>
                <w:highlight w:val="none"/>
              </w:rPr>
            </w:pPr>
            <w:r>
              <w:rPr>
                <w:rFonts w:hint="eastAsia" w:ascii="宋体" w:hAnsi="宋体" w:eastAsia="宋体" w:cs="宋体"/>
                <w:highlight w:val="none"/>
              </w:rPr>
              <w:t>32.2</w:t>
            </w:r>
          </w:p>
        </w:tc>
        <w:tc>
          <w:tcPr>
            <w:tcW w:w="2300" w:type="dxa"/>
            <w:noWrap w:val="0"/>
            <w:vAlign w:val="center"/>
          </w:tcPr>
          <w:p w14:paraId="53A522D4">
            <w:pPr>
              <w:rPr>
                <w:rFonts w:hint="eastAsia" w:ascii="宋体" w:hAnsi="宋体" w:eastAsia="宋体" w:cs="宋体"/>
                <w:highlight w:val="none"/>
              </w:rPr>
            </w:pPr>
            <w:r>
              <w:rPr>
                <w:rFonts w:hint="eastAsia" w:ascii="宋体" w:hAnsi="宋体" w:eastAsia="宋体" w:cs="宋体"/>
                <w:highlight w:val="none"/>
              </w:rPr>
              <w:t>中标通知书发出形式</w:t>
            </w:r>
          </w:p>
        </w:tc>
        <w:tc>
          <w:tcPr>
            <w:tcW w:w="6477" w:type="dxa"/>
            <w:noWrap w:val="0"/>
            <w:vAlign w:val="center"/>
          </w:tcPr>
          <w:p w14:paraId="2313CF9F">
            <w:pPr>
              <w:rPr>
                <w:rFonts w:hint="eastAsia" w:ascii="宋体" w:hAnsi="宋体" w:eastAsia="宋体" w:cs="宋体"/>
                <w:highlight w:val="none"/>
              </w:rPr>
            </w:pPr>
            <w:r>
              <w:rPr>
                <w:rFonts w:hint="eastAsia" w:ascii="宋体" w:hAnsi="宋体" w:eastAsia="宋体" w:cs="宋体"/>
                <w:highlight w:val="none"/>
              </w:rPr>
              <w:t>数据电文。</w:t>
            </w:r>
          </w:p>
        </w:tc>
      </w:tr>
      <w:tr w14:paraId="022C2BF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036" w:type="dxa"/>
            <w:noWrap w:val="0"/>
            <w:vAlign w:val="center"/>
          </w:tcPr>
          <w:p w14:paraId="068D6E09">
            <w:pPr>
              <w:rPr>
                <w:rFonts w:hint="eastAsia" w:ascii="宋体" w:hAnsi="宋体" w:eastAsia="宋体" w:cs="宋体"/>
                <w:highlight w:val="none"/>
              </w:rPr>
            </w:pPr>
            <w:r>
              <w:rPr>
                <w:rFonts w:hint="eastAsia" w:ascii="宋体" w:hAnsi="宋体" w:eastAsia="宋体" w:cs="宋体"/>
                <w:highlight w:val="none"/>
              </w:rPr>
              <w:t>36</w:t>
            </w:r>
          </w:p>
        </w:tc>
        <w:tc>
          <w:tcPr>
            <w:tcW w:w="2300" w:type="dxa"/>
            <w:noWrap w:val="0"/>
            <w:vAlign w:val="center"/>
          </w:tcPr>
          <w:p w14:paraId="754C30D1">
            <w:pPr>
              <w:rPr>
                <w:rFonts w:hint="eastAsia" w:ascii="宋体" w:hAnsi="宋体" w:eastAsia="宋体" w:cs="宋体"/>
                <w:highlight w:val="none"/>
              </w:rPr>
            </w:pPr>
            <w:r>
              <w:rPr>
                <w:rFonts w:hint="eastAsia" w:ascii="宋体" w:hAnsi="宋体" w:eastAsia="宋体" w:cs="宋体"/>
                <w:highlight w:val="none"/>
              </w:rPr>
              <w:t>履约担保</w:t>
            </w:r>
          </w:p>
        </w:tc>
        <w:tc>
          <w:tcPr>
            <w:tcW w:w="6477" w:type="dxa"/>
            <w:noWrap w:val="0"/>
            <w:vAlign w:val="center"/>
          </w:tcPr>
          <w:p w14:paraId="4B2AF605">
            <w:pPr>
              <w:rPr>
                <w:rFonts w:hint="eastAsia" w:ascii="宋体" w:hAnsi="宋体" w:eastAsia="宋体" w:cs="宋体"/>
                <w:highlight w:val="none"/>
              </w:rPr>
            </w:pPr>
            <w:r>
              <w:rPr>
                <w:rFonts w:hint="eastAsia" w:ascii="宋体" w:hAnsi="宋体" w:eastAsia="宋体" w:cs="宋体"/>
                <w:highlight w:val="none"/>
              </w:rPr>
              <w:t>要求中标人提交履约</w:t>
            </w:r>
            <w:r>
              <w:rPr>
                <w:rFonts w:hint="eastAsia" w:ascii="宋体" w:hAnsi="宋体" w:eastAsia="宋体" w:cs="宋体"/>
                <w:highlight w:val="none"/>
                <w:lang w:val="en-US" w:eastAsia="zh-CN"/>
              </w:rPr>
              <w:t>担保</w:t>
            </w:r>
            <w:r>
              <w:rPr>
                <w:rFonts w:hint="eastAsia" w:ascii="宋体" w:hAnsi="宋体" w:eastAsia="宋体" w:cs="宋体"/>
                <w:highlight w:val="none"/>
              </w:rPr>
              <w:t>。</w:t>
            </w:r>
          </w:p>
          <w:p w14:paraId="28BF0AFE">
            <w:pPr>
              <w:rPr>
                <w:rFonts w:hint="eastAsia" w:ascii="宋体" w:hAnsi="宋体" w:eastAsia="宋体" w:cs="宋体"/>
                <w:highlight w:val="none"/>
              </w:rPr>
            </w:pPr>
            <w:r>
              <w:rPr>
                <w:rFonts w:hint="eastAsia" w:ascii="宋体" w:hAnsi="宋体" w:eastAsia="宋体" w:cs="宋体"/>
                <w:highlight w:val="none"/>
              </w:rPr>
              <w:t>形式：支持银行转账、银行电汇、银行保函、担保机构担保、保证保险使用。</w:t>
            </w:r>
          </w:p>
          <w:p w14:paraId="4FAC0831">
            <w:pPr>
              <w:rPr>
                <w:rFonts w:hint="eastAsia" w:ascii="宋体" w:hAnsi="宋体" w:eastAsia="宋体" w:cs="宋体"/>
                <w:highlight w:val="none"/>
              </w:rPr>
            </w:pPr>
            <w:r>
              <w:rPr>
                <w:rFonts w:hint="eastAsia" w:ascii="宋体" w:hAnsi="宋体" w:eastAsia="宋体" w:cs="宋体"/>
                <w:highlight w:val="none"/>
              </w:rPr>
              <w:t>金额：中标合同金额×</w:t>
            </w:r>
            <w:r>
              <w:rPr>
                <w:rFonts w:hint="eastAsia" w:ascii="宋体" w:hAnsi="宋体" w:eastAsia="宋体" w:cs="宋体"/>
                <w:highlight w:val="none"/>
                <w:lang w:val="en-US" w:eastAsia="zh-CN"/>
              </w:rPr>
              <w:t>5</w:t>
            </w:r>
            <w:r>
              <w:rPr>
                <w:rFonts w:hint="eastAsia" w:ascii="宋体" w:hAnsi="宋体" w:eastAsia="宋体" w:cs="宋体"/>
                <w:highlight w:val="none"/>
              </w:rPr>
              <w:t>%，取整到千位；</w:t>
            </w:r>
          </w:p>
          <w:p w14:paraId="48DA9B91">
            <w:pPr>
              <w:rPr>
                <w:rFonts w:hint="eastAsia" w:ascii="宋体" w:hAnsi="宋体" w:eastAsia="宋体" w:cs="宋体"/>
                <w:highlight w:val="none"/>
              </w:rPr>
            </w:pPr>
            <w:r>
              <w:rPr>
                <w:rFonts w:hint="eastAsia" w:ascii="宋体" w:hAnsi="宋体" w:eastAsia="宋体" w:cs="宋体"/>
                <w:highlight w:val="none"/>
              </w:rPr>
              <w:t xml:space="preserve">收款单位：另行通知                  </w:t>
            </w:r>
          </w:p>
          <w:p w14:paraId="5D2EAE02">
            <w:pPr>
              <w:rPr>
                <w:rFonts w:hint="eastAsia" w:ascii="宋体" w:hAnsi="宋体" w:eastAsia="宋体" w:cs="宋体"/>
                <w:highlight w:val="none"/>
              </w:rPr>
            </w:pPr>
            <w:r>
              <w:rPr>
                <w:rFonts w:hint="eastAsia" w:ascii="宋体" w:hAnsi="宋体" w:eastAsia="宋体" w:cs="宋体"/>
                <w:highlight w:val="none"/>
              </w:rPr>
              <w:t xml:space="preserve">开户银行：另行通知                 </w:t>
            </w:r>
          </w:p>
          <w:p w14:paraId="4323007F">
            <w:pPr>
              <w:rPr>
                <w:rFonts w:hint="eastAsia" w:ascii="宋体" w:hAnsi="宋体" w:eastAsia="宋体" w:cs="宋体"/>
                <w:highlight w:val="none"/>
              </w:rPr>
            </w:pPr>
            <w:r>
              <w:rPr>
                <w:rFonts w:hint="eastAsia" w:ascii="宋体" w:hAnsi="宋体" w:eastAsia="宋体" w:cs="宋体"/>
                <w:highlight w:val="none"/>
              </w:rPr>
              <w:t xml:space="preserve">银行账号：另行通知  </w:t>
            </w:r>
          </w:p>
          <w:p w14:paraId="1CE6FF25">
            <w:pPr>
              <w:rPr>
                <w:rFonts w:hint="eastAsia" w:ascii="宋体" w:hAnsi="宋体" w:eastAsia="宋体" w:cs="宋体"/>
                <w:highlight w:val="none"/>
              </w:rPr>
            </w:pPr>
            <w:r>
              <w:rPr>
                <w:rFonts w:hint="eastAsia" w:ascii="宋体" w:hAnsi="宋体" w:eastAsia="宋体" w:cs="宋体"/>
                <w:highlight w:val="none"/>
              </w:rPr>
              <w:t>缴纳时限：中标人须在中标通知书发出后30日内完成履约</w:t>
            </w:r>
            <w:r>
              <w:rPr>
                <w:rFonts w:hint="eastAsia" w:ascii="宋体" w:hAnsi="宋体" w:eastAsia="宋体" w:cs="宋体"/>
                <w:highlight w:val="none"/>
                <w:lang w:val="en-US" w:eastAsia="zh-CN"/>
              </w:rPr>
              <w:t>担保</w:t>
            </w:r>
            <w:r>
              <w:rPr>
                <w:rFonts w:hint="eastAsia" w:ascii="宋体" w:hAnsi="宋体" w:eastAsia="宋体" w:cs="宋体"/>
                <w:highlight w:val="none"/>
              </w:rPr>
              <w:t xml:space="preserve">缴纳及合同签订，如未按期交齐履约保证金或未按期签订合同的，视同放弃中标资格，招标人将扣除投标保证金。履约保证金按要求缴纳的，自合同签订之日起5个工作日内退还中标人的投标保证金。 </w:t>
            </w:r>
          </w:p>
          <w:p w14:paraId="5BB4F07E">
            <w:pPr>
              <w:rPr>
                <w:rFonts w:hint="eastAsia" w:ascii="宋体" w:hAnsi="宋体" w:eastAsia="宋体" w:cs="宋体"/>
                <w:highlight w:val="none"/>
              </w:rPr>
            </w:pPr>
            <w:r>
              <w:rPr>
                <w:rFonts w:hint="eastAsia" w:ascii="宋体" w:hAnsi="宋体" w:eastAsia="宋体" w:cs="宋体"/>
                <w:highlight w:val="none"/>
              </w:rPr>
              <w:t>退还时限：履约保证金有效期满30个工作日内。</w:t>
            </w:r>
          </w:p>
          <w:p w14:paraId="67F2245F">
            <w:pPr>
              <w:rPr>
                <w:rFonts w:hint="eastAsia" w:ascii="宋体" w:hAnsi="宋体" w:eastAsia="宋体" w:cs="宋体"/>
                <w:highlight w:val="none"/>
              </w:rPr>
            </w:pPr>
            <w:r>
              <w:rPr>
                <w:rFonts w:hint="eastAsia" w:ascii="宋体" w:hAnsi="宋体" w:eastAsia="宋体" w:cs="宋体"/>
                <w:highlight w:val="none"/>
              </w:rPr>
              <w:t>其他相关要求：</w:t>
            </w:r>
          </w:p>
          <w:p w14:paraId="06EFC056">
            <w:pPr>
              <w:rPr>
                <w:rFonts w:hint="eastAsia" w:ascii="宋体" w:hAnsi="宋体" w:eastAsia="宋体" w:cs="宋体"/>
                <w:highlight w:val="none"/>
              </w:rPr>
            </w:pPr>
            <w:r>
              <w:rPr>
                <w:rFonts w:hint="eastAsia" w:ascii="宋体" w:hAnsi="宋体" w:eastAsia="宋体" w:cs="宋体"/>
                <w:highlight w:val="none"/>
              </w:rPr>
              <w:t>1、采用银行保函的具体要求</w:t>
            </w:r>
          </w:p>
          <w:p w14:paraId="5BF2F947">
            <w:pPr>
              <w:rPr>
                <w:rFonts w:hint="eastAsia" w:ascii="宋体" w:hAnsi="宋体" w:eastAsia="宋体" w:cs="宋体"/>
                <w:highlight w:val="none"/>
              </w:rPr>
            </w:pPr>
            <w:r>
              <w:rPr>
                <w:rFonts w:hint="eastAsia" w:ascii="宋体" w:hAnsi="宋体" w:eastAsia="宋体" w:cs="宋体"/>
                <w:highlight w:val="none"/>
              </w:rPr>
              <w:t>①保函形式须为见索即付型（无条件保函）；</w:t>
            </w:r>
          </w:p>
          <w:p w14:paraId="0F5E5E9A">
            <w:pPr>
              <w:rPr>
                <w:rFonts w:hint="eastAsia" w:ascii="宋体" w:hAnsi="宋体" w:eastAsia="宋体" w:cs="宋体"/>
                <w:highlight w:val="none"/>
              </w:rPr>
            </w:pPr>
            <w:r>
              <w:rPr>
                <w:rFonts w:hint="eastAsia" w:ascii="宋体" w:hAnsi="宋体" w:eastAsia="宋体" w:cs="宋体"/>
                <w:highlight w:val="none"/>
              </w:rPr>
              <w:t>②须经招标人认可。</w:t>
            </w:r>
          </w:p>
          <w:p w14:paraId="76B79172">
            <w:pPr>
              <w:rPr>
                <w:rFonts w:hint="eastAsia" w:ascii="宋体" w:hAnsi="宋体" w:eastAsia="宋体" w:cs="宋体"/>
                <w:highlight w:val="none"/>
              </w:rPr>
            </w:pPr>
            <w:r>
              <w:rPr>
                <w:rFonts w:hint="eastAsia" w:ascii="宋体" w:hAnsi="宋体" w:eastAsia="宋体" w:cs="宋体"/>
                <w:highlight w:val="none"/>
              </w:rPr>
              <w:t>2、采用担保保函的具体要求：须经招标人认可。</w:t>
            </w:r>
          </w:p>
          <w:p w14:paraId="5BD43826">
            <w:pPr>
              <w:rPr>
                <w:rFonts w:hint="eastAsia" w:ascii="宋体" w:hAnsi="宋体" w:eastAsia="宋体" w:cs="宋体"/>
                <w:highlight w:val="none"/>
              </w:rPr>
            </w:pPr>
            <w:r>
              <w:rPr>
                <w:rFonts w:hint="eastAsia" w:ascii="宋体" w:hAnsi="宋体" w:eastAsia="宋体" w:cs="宋体"/>
                <w:highlight w:val="none"/>
              </w:rPr>
              <w:t>3、采用商业保险的具体要求：须经招标人认可。</w:t>
            </w:r>
          </w:p>
          <w:p w14:paraId="62EC6FFC">
            <w:pPr>
              <w:rPr>
                <w:rFonts w:hint="eastAsia" w:ascii="宋体" w:hAnsi="宋体" w:eastAsia="宋体" w:cs="宋体"/>
                <w:highlight w:val="none"/>
              </w:rPr>
            </w:pPr>
            <w:r>
              <w:rPr>
                <w:rFonts w:hint="eastAsia" w:ascii="宋体" w:hAnsi="宋体" w:eastAsia="宋体" w:cs="宋体"/>
                <w:highlight w:val="none"/>
              </w:rPr>
              <w:t>4、采用第三方担保的具体要求：须经招标人认可。</w:t>
            </w:r>
          </w:p>
        </w:tc>
      </w:tr>
      <w:tr w14:paraId="5340E3F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90" w:hRule="atLeast"/>
          <w:jc w:val="center"/>
        </w:trPr>
        <w:tc>
          <w:tcPr>
            <w:tcW w:w="1036" w:type="dxa"/>
            <w:noWrap w:val="0"/>
            <w:vAlign w:val="center"/>
          </w:tcPr>
          <w:p w14:paraId="5A0544F1">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37</w:t>
            </w:r>
          </w:p>
        </w:tc>
        <w:tc>
          <w:tcPr>
            <w:tcW w:w="2300" w:type="dxa"/>
            <w:noWrap w:val="0"/>
            <w:vAlign w:val="center"/>
          </w:tcPr>
          <w:p w14:paraId="15DB8F4A">
            <w:pPr>
              <w:rPr>
                <w:rFonts w:hint="eastAsia" w:ascii="宋体" w:hAnsi="宋体" w:eastAsia="宋体" w:cs="宋体"/>
                <w:highlight w:val="none"/>
                <w:lang w:val="en-US" w:eastAsia="zh-CN"/>
              </w:rPr>
            </w:pPr>
            <w:r>
              <w:rPr>
                <w:rFonts w:hint="eastAsia" w:ascii="宋体" w:hAnsi="宋体" w:eastAsia="宋体" w:cs="宋体"/>
                <w:highlight w:val="none"/>
                <w:lang w:val="en-US" w:eastAsia="zh-CN"/>
              </w:rPr>
              <w:t>签订合同</w:t>
            </w:r>
          </w:p>
        </w:tc>
        <w:tc>
          <w:tcPr>
            <w:tcW w:w="6477" w:type="dxa"/>
            <w:noWrap w:val="0"/>
            <w:vAlign w:val="center"/>
          </w:tcPr>
          <w:p w14:paraId="7F79AE61">
            <w:pPr>
              <w:rPr>
                <w:rFonts w:hint="eastAsia" w:ascii="宋体" w:hAnsi="宋体" w:eastAsia="宋体" w:cs="宋体"/>
                <w:highlight w:val="none"/>
              </w:rPr>
            </w:pPr>
            <w:r>
              <w:rPr>
                <w:rFonts w:hint="eastAsia" w:ascii="宋体" w:hAnsi="宋体" w:eastAsia="宋体" w:cs="宋体"/>
                <w:highlight w:val="none"/>
              </w:rPr>
              <w:t>中标通知书发出之日起</w:t>
            </w:r>
            <w:r>
              <w:rPr>
                <w:rFonts w:hint="eastAsia" w:ascii="宋体" w:hAnsi="宋体" w:eastAsia="宋体" w:cs="宋体"/>
                <w:highlight w:val="none"/>
                <w:lang w:val="en-US" w:eastAsia="zh-CN"/>
              </w:rPr>
              <w:t>7</w:t>
            </w:r>
            <w:r>
              <w:rPr>
                <w:rFonts w:hint="eastAsia" w:ascii="宋体" w:hAnsi="宋体" w:eastAsia="宋体" w:cs="宋体"/>
                <w:highlight w:val="none"/>
              </w:rPr>
              <w:t>日内，应委派代表与招标人联系并商讨书面合同签订事宜。中标人和招标人应在投标有效期内以及中标通知书发出之日起30日内，根据招标文件和中标人的投标文件订立书面合同。</w:t>
            </w:r>
          </w:p>
        </w:tc>
      </w:tr>
      <w:tr w14:paraId="74EDA6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1644" w:hRule="atLeast"/>
          <w:jc w:val="center"/>
        </w:trPr>
        <w:tc>
          <w:tcPr>
            <w:tcW w:w="3336" w:type="dxa"/>
            <w:gridSpan w:val="2"/>
            <w:noWrap w:val="0"/>
            <w:vAlign w:val="center"/>
          </w:tcPr>
          <w:p w14:paraId="1401B2DB">
            <w:pPr>
              <w:rPr>
                <w:rFonts w:hint="eastAsia" w:ascii="宋体" w:hAnsi="宋体" w:eastAsia="宋体" w:cs="宋体"/>
                <w:highlight w:val="none"/>
              </w:rPr>
            </w:pPr>
            <w:r>
              <w:rPr>
                <w:rFonts w:hint="eastAsia" w:ascii="宋体" w:hAnsi="宋体" w:eastAsia="宋体" w:cs="宋体"/>
                <w:highlight w:val="none"/>
              </w:rPr>
              <w:t>付款方式、时间、条件</w:t>
            </w:r>
          </w:p>
        </w:tc>
        <w:tc>
          <w:tcPr>
            <w:tcW w:w="6477" w:type="dxa"/>
            <w:noWrap w:val="0"/>
            <w:vAlign w:val="center"/>
          </w:tcPr>
          <w:p w14:paraId="20640A1C">
            <w:pPr>
              <w:rPr>
                <w:rFonts w:hint="eastAsia" w:ascii="宋体" w:hAnsi="宋体" w:eastAsia="宋体" w:cs="宋体"/>
                <w:highlight w:val="none"/>
                <w:lang w:eastAsia="zh-CN"/>
              </w:rPr>
            </w:pPr>
            <w:r>
              <w:rPr>
                <w:rFonts w:hint="eastAsia" w:ascii="宋体" w:hAnsi="宋体" w:cs="宋体"/>
                <w:color w:val="auto"/>
                <w:szCs w:val="21"/>
                <w:highlight w:val="none"/>
                <w:lang w:val="en-US" w:eastAsia="zh-CN"/>
              </w:rPr>
              <w:t>本项目货物到货经招标人验收合格、中标人开具的增值税专用发票经招标人审核无误以及货物明细清单经双方确认无异后，招标人按合同价款全额（或交付货物金额）的95%在90个工作日内予以支付，余款自货物验收合格之日起（从次日起算）一年内无任何质量问题，由招标人90个工作日内向中标人支付。如果中标人未能及时开具发票，招标人有权拒绝支付相应货款而不承担任何责任。</w:t>
            </w:r>
          </w:p>
        </w:tc>
      </w:tr>
      <w:tr w14:paraId="7FFD84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jc w:val="center"/>
        </w:trPr>
        <w:tc>
          <w:tcPr>
            <w:tcW w:w="3336" w:type="dxa"/>
            <w:gridSpan w:val="2"/>
            <w:noWrap w:val="0"/>
            <w:vAlign w:val="center"/>
          </w:tcPr>
          <w:p w14:paraId="2174418D">
            <w:pPr>
              <w:rPr>
                <w:rFonts w:hint="eastAsia" w:ascii="宋体" w:hAnsi="宋体" w:eastAsia="宋体" w:cs="宋体"/>
                <w:highlight w:val="none"/>
              </w:rPr>
            </w:pPr>
            <w:r>
              <w:rPr>
                <w:rFonts w:hint="eastAsia" w:ascii="宋体" w:hAnsi="宋体" w:eastAsia="宋体" w:cs="宋体"/>
                <w:highlight w:val="none"/>
              </w:rPr>
              <w:t>电子招投标</w:t>
            </w:r>
          </w:p>
        </w:tc>
        <w:tc>
          <w:tcPr>
            <w:tcW w:w="6477" w:type="dxa"/>
            <w:noWrap w:val="0"/>
            <w:vAlign w:val="center"/>
          </w:tcPr>
          <w:p w14:paraId="64C3D089">
            <w:pPr>
              <w:rPr>
                <w:rFonts w:hint="eastAsia" w:ascii="宋体" w:hAnsi="宋体" w:eastAsia="宋体" w:cs="宋体"/>
                <w:highlight w:val="none"/>
              </w:rPr>
            </w:pPr>
            <w:r>
              <w:rPr>
                <w:rFonts w:hint="eastAsia" w:ascii="宋体" w:hAnsi="宋体" w:eastAsia="宋体" w:cs="宋体"/>
                <w:highlight w:val="none"/>
              </w:rPr>
              <w:t>本项目采用电子招标投标方式。</w:t>
            </w:r>
          </w:p>
        </w:tc>
      </w:tr>
      <w:tr w14:paraId="02BCC2E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jc w:val="center"/>
        </w:trPr>
        <w:tc>
          <w:tcPr>
            <w:tcW w:w="3336" w:type="dxa"/>
            <w:gridSpan w:val="2"/>
            <w:noWrap w:val="0"/>
            <w:vAlign w:val="center"/>
          </w:tcPr>
          <w:p w14:paraId="3E286D03">
            <w:pPr>
              <w:rPr>
                <w:rFonts w:hint="eastAsia" w:ascii="宋体" w:hAnsi="宋体" w:eastAsia="宋体" w:cs="宋体"/>
                <w:highlight w:val="none"/>
              </w:rPr>
            </w:pPr>
            <w:r>
              <w:rPr>
                <w:rFonts w:hint="eastAsia" w:ascii="宋体" w:hAnsi="宋体" w:eastAsia="宋体" w:cs="宋体"/>
                <w:highlight w:val="none"/>
              </w:rPr>
              <w:t>获取与查看通知</w:t>
            </w:r>
          </w:p>
        </w:tc>
        <w:tc>
          <w:tcPr>
            <w:tcW w:w="6477" w:type="dxa"/>
            <w:noWrap w:val="0"/>
            <w:vAlign w:val="center"/>
          </w:tcPr>
          <w:p w14:paraId="42BE8029">
            <w:pPr>
              <w:rPr>
                <w:rFonts w:hint="eastAsia" w:ascii="宋体" w:hAnsi="宋体" w:eastAsia="宋体" w:cs="宋体"/>
                <w:highlight w:val="none"/>
              </w:rPr>
            </w:pPr>
            <w:r>
              <w:rPr>
                <w:rFonts w:hint="eastAsia" w:ascii="宋体" w:hAnsi="宋体" w:eastAsia="宋体" w:cs="宋体"/>
                <w:highlight w:val="none"/>
              </w:rPr>
              <w:t>本项目的招标文件等相关资料均通过滁州市公共资源交易中心网站发布，投标人应自行下载。投标人应当及时登录滁州市公共资源交易中心交易系统查看。</w:t>
            </w:r>
          </w:p>
        </w:tc>
      </w:tr>
      <w:tr w14:paraId="0D6EF03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jc w:val="center"/>
        </w:trPr>
        <w:tc>
          <w:tcPr>
            <w:tcW w:w="3336" w:type="dxa"/>
            <w:gridSpan w:val="2"/>
            <w:noWrap w:val="0"/>
            <w:vAlign w:val="center"/>
          </w:tcPr>
          <w:p w14:paraId="4D24322D">
            <w:pPr>
              <w:rPr>
                <w:rFonts w:hint="eastAsia" w:ascii="宋体" w:hAnsi="宋体" w:eastAsia="宋体" w:cs="宋体"/>
                <w:highlight w:val="none"/>
              </w:rPr>
            </w:pPr>
            <w:bookmarkStart w:id="40" w:name="_Toc58430315"/>
            <w:bookmarkStart w:id="41" w:name="_Toc449028866"/>
            <w:r>
              <w:rPr>
                <w:rFonts w:hint="eastAsia" w:ascii="宋体" w:hAnsi="宋体" w:eastAsia="宋体" w:cs="宋体"/>
                <w:highlight w:val="none"/>
              </w:rPr>
              <w:t>相关要求</w:t>
            </w:r>
          </w:p>
        </w:tc>
        <w:tc>
          <w:tcPr>
            <w:tcW w:w="6477" w:type="dxa"/>
            <w:noWrap w:val="0"/>
            <w:vAlign w:val="center"/>
          </w:tcPr>
          <w:p w14:paraId="08068F4B">
            <w:pPr>
              <w:rPr>
                <w:rFonts w:hint="eastAsia" w:ascii="宋体" w:hAnsi="宋体" w:eastAsia="宋体" w:cs="宋体"/>
                <w:highlight w:val="none"/>
              </w:rPr>
            </w:pPr>
            <w:r>
              <w:rPr>
                <w:rFonts w:hint="eastAsia" w:ascii="宋体" w:hAnsi="宋体" w:eastAsia="宋体" w:cs="宋体"/>
                <w:highlight w:val="none"/>
              </w:rPr>
              <w:t xml:space="preserve">1、本项目投标保证金、履约保证金、工程质量保证金、农民工工资保证金均支持保函使用。以现金形式提交保证金的，应当同时退还保证金本金和银行同期存款利息。 </w:t>
            </w:r>
          </w:p>
          <w:p w14:paraId="15F526DB">
            <w:pPr>
              <w:rPr>
                <w:rFonts w:hint="eastAsia" w:ascii="宋体" w:hAnsi="宋体" w:eastAsia="宋体" w:cs="宋体"/>
                <w:highlight w:val="none"/>
              </w:rPr>
            </w:pPr>
            <w:r>
              <w:rPr>
                <w:rFonts w:hint="eastAsia" w:ascii="宋体" w:hAnsi="宋体" w:eastAsia="宋体" w:cs="宋体"/>
                <w:highlight w:val="none"/>
              </w:rPr>
              <w:t>2、保证保险产品应按《中国银保监会办公厅关于进一步加强和改进财产保险公司产品监管有关问题的通知》执行。</w:t>
            </w:r>
          </w:p>
        </w:tc>
      </w:tr>
      <w:tr w14:paraId="3915E0D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jc w:val="center"/>
        </w:trPr>
        <w:tc>
          <w:tcPr>
            <w:tcW w:w="3336" w:type="dxa"/>
            <w:gridSpan w:val="2"/>
            <w:noWrap w:val="0"/>
            <w:vAlign w:val="center"/>
          </w:tcPr>
          <w:p w14:paraId="6512C0CC">
            <w:pPr>
              <w:rPr>
                <w:rFonts w:hint="eastAsia" w:ascii="宋体" w:hAnsi="宋体" w:eastAsia="宋体" w:cs="宋体"/>
                <w:highlight w:val="none"/>
              </w:rPr>
            </w:pPr>
            <w:r>
              <w:rPr>
                <w:rFonts w:hint="eastAsia" w:ascii="宋体" w:hAnsi="宋体" w:eastAsia="宋体" w:cs="宋体"/>
                <w:highlight w:val="none"/>
              </w:rPr>
              <w:t>评标过程中的澄清、说明或补正</w:t>
            </w:r>
          </w:p>
        </w:tc>
        <w:tc>
          <w:tcPr>
            <w:tcW w:w="6477" w:type="dxa"/>
            <w:noWrap w:val="0"/>
            <w:vAlign w:val="center"/>
          </w:tcPr>
          <w:p w14:paraId="3C3EB33E">
            <w:pPr>
              <w:rPr>
                <w:rFonts w:hint="eastAsia" w:ascii="宋体" w:hAnsi="宋体" w:eastAsia="宋体" w:cs="宋体"/>
                <w:highlight w:val="none"/>
              </w:rPr>
            </w:pPr>
            <w:r>
              <w:rPr>
                <w:rFonts w:hint="eastAsia" w:ascii="宋体" w:hAnsi="宋体" w:eastAsia="宋体" w:cs="宋体"/>
                <w:highlight w:val="none"/>
              </w:rPr>
              <w:t>1、评标委员会通过网上招投标系统将需要澄清、说明或补正的内容以询标函的形式发送给投标人，投标人应安排专人登录网上招投标系统并保持在线状态，并确保联系方式有效，以便及时接收评标委员会可能发出的询标函。</w:t>
            </w:r>
          </w:p>
          <w:p w14:paraId="6B2ECDC0">
            <w:pPr>
              <w:rPr>
                <w:rFonts w:hint="eastAsia" w:ascii="宋体" w:hAnsi="宋体" w:eastAsia="宋体" w:cs="宋体"/>
                <w:highlight w:val="none"/>
              </w:rPr>
            </w:pPr>
            <w:r>
              <w:rPr>
                <w:rFonts w:hint="eastAsia" w:ascii="宋体" w:hAnsi="宋体" w:eastAsia="宋体" w:cs="宋体"/>
                <w:highlight w:val="none"/>
              </w:rPr>
              <w:t>2、因投标人未登录网上招投标系统导致无法及时接收询标函（远程网上询标）或未在规定时间内按评标委员会要求进行澄清、说明或补正内容的视同投标人放弃澄清、说明或补正内容的权利，评标委员会可按对投标人不利的解释进行判定。</w:t>
            </w:r>
          </w:p>
        </w:tc>
      </w:tr>
      <w:tr w14:paraId="6C9B2FB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jc w:val="center"/>
        </w:trPr>
        <w:tc>
          <w:tcPr>
            <w:tcW w:w="3336" w:type="dxa"/>
            <w:gridSpan w:val="2"/>
            <w:noWrap w:val="0"/>
            <w:vAlign w:val="center"/>
          </w:tcPr>
          <w:p w14:paraId="01248DFA">
            <w:pPr>
              <w:rPr>
                <w:rFonts w:hint="eastAsia" w:ascii="宋体" w:hAnsi="宋体" w:eastAsia="宋体" w:cs="宋体"/>
                <w:highlight w:val="none"/>
              </w:rPr>
            </w:pPr>
            <w:r>
              <w:rPr>
                <w:rFonts w:hint="eastAsia" w:ascii="宋体" w:hAnsi="宋体" w:eastAsia="宋体" w:cs="宋体"/>
                <w:highlight w:val="none"/>
              </w:rPr>
              <w:t>解释权</w:t>
            </w:r>
          </w:p>
        </w:tc>
        <w:tc>
          <w:tcPr>
            <w:tcW w:w="6477" w:type="dxa"/>
            <w:noWrap w:val="0"/>
            <w:vAlign w:val="center"/>
          </w:tcPr>
          <w:p w14:paraId="38F06D7A">
            <w:pPr>
              <w:rPr>
                <w:rFonts w:hint="eastAsia" w:ascii="宋体" w:hAnsi="宋体" w:eastAsia="宋体" w:cs="宋体"/>
                <w:highlight w:val="none"/>
              </w:rPr>
            </w:pPr>
            <w:r>
              <w:rPr>
                <w:rFonts w:hint="eastAsia" w:ascii="宋体" w:hAnsi="宋体" w:eastAsia="宋体" w:cs="宋体"/>
                <w:highlight w:val="none"/>
              </w:rPr>
              <w:t>1、构成本招标文件的各个组成文件应互为解释，互为说明；</w:t>
            </w:r>
          </w:p>
          <w:p w14:paraId="56B8762C">
            <w:pPr>
              <w:rPr>
                <w:rFonts w:hint="eastAsia" w:ascii="宋体" w:hAnsi="宋体" w:eastAsia="宋体" w:cs="宋体"/>
                <w:highlight w:val="none"/>
              </w:rPr>
            </w:pPr>
            <w:r>
              <w:rPr>
                <w:rFonts w:hint="eastAsia" w:ascii="宋体" w:hAnsi="宋体" w:eastAsia="宋体" w:cs="宋体"/>
                <w:highlight w:val="none"/>
              </w:rPr>
              <w:t>2、同一组成文件中就同一事项的规定或约定不一致的，以编排顺序在后者为准；</w:t>
            </w:r>
          </w:p>
          <w:p w14:paraId="56D2A6C6">
            <w:pPr>
              <w:rPr>
                <w:rFonts w:hint="eastAsia" w:ascii="宋体" w:hAnsi="宋体" w:eastAsia="宋体" w:cs="宋体"/>
                <w:highlight w:val="none"/>
              </w:rPr>
            </w:pPr>
            <w:r>
              <w:rPr>
                <w:rFonts w:hint="eastAsia" w:ascii="宋体" w:hAnsi="宋体" w:eastAsia="宋体" w:cs="宋体"/>
                <w:highlight w:val="none"/>
              </w:rPr>
              <w:t>3、如有不明确或不一致，构成合同文件组成内容的，以合同文件约定内容为准，且以专用合同条款约定的合同文件优先顺序解释；</w:t>
            </w:r>
          </w:p>
          <w:p w14:paraId="59C8CDC3">
            <w:pPr>
              <w:rPr>
                <w:rFonts w:hint="eastAsia" w:ascii="宋体" w:hAnsi="宋体" w:eastAsia="宋体" w:cs="宋体"/>
                <w:highlight w:val="none"/>
              </w:rPr>
            </w:pPr>
            <w:r>
              <w:rPr>
                <w:rFonts w:hint="eastAsia" w:ascii="宋体" w:hAnsi="宋体" w:eastAsia="宋体" w:cs="宋体"/>
                <w:highlight w:val="none"/>
              </w:rPr>
              <w:t>4、系统中提供的表格（或格式文件）与招标文件中不一致时，以招标文件中提供的为准；</w:t>
            </w:r>
          </w:p>
          <w:p w14:paraId="6F457E65">
            <w:pPr>
              <w:rPr>
                <w:rFonts w:hint="eastAsia" w:ascii="宋体" w:hAnsi="宋体" w:eastAsia="宋体" w:cs="宋体"/>
                <w:highlight w:val="none"/>
              </w:rPr>
            </w:pPr>
            <w:r>
              <w:rPr>
                <w:rFonts w:hint="eastAsia" w:ascii="宋体" w:hAnsi="宋体" w:eastAsia="宋体" w:cs="宋体"/>
                <w:highlight w:val="none"/>
              </w:rPr>
              <w:t>5、按本款前述规定仍不能形成结论的，由招标人负责解释。</w:t>
            </w:r>
          </w:p>
        </w:tc>
      </w:tr>
      <w:tr w14:paraId="4977546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jc w:val="center"/>
        </w:trPr>
        <w:tc>
          <w:tcPr>
            <w:tcW w:w="3336" w:type="dxa"/>
            <w:gridSpan w:val="2"/>
            <w:noWrap w:val="0"/>
            <w:vAlign w:val="center"/>
          </w:tcPr>
          <w:p w14:paraId="5E54A7A7">
            <w:pPr>
              <w:rPr>
                <w:rFonts w:hint="eastAsia" w:ascii="宋体" w:hAnsi="宋体" w:eastAsia="宋体" w:cs="宋体"/>
                <w:highlight w:val="none"/>
              </w:rPr>
            </w:pPr>
            <w:r>
              <w:rPr>
                <w:rFonts w:hint="eastAsia" w:ascii="宋体" w:hAnsi="宋体" w:eastAsia="宋体" w:cs="宋体"/>
                <w:highlight w:val="none"/>
              </w:rPr>
              <w:t>同义词语</w:t>
            </w:r>
          </w:p>
        </w:tc>
        <w:tc>
          <w:tcPr>
            <w:tcW w:w="6477" w:type="dxa"/>
            <w:noWrap w:val="0"/>
            <w:vAlign w:val="center"/>
          </w:tcPr>
          <w:p w14:paraId="0CC1F1DB">
            <w:pPr>
              <w:rPr>
                <w:rFonts w:hint="eastAsia" w:ascii="宋体" w:hAnsi="宋体" w:eastAsia="宋体" w:cs="宋体"/>
                <w:highlight w:val="none"/>
              </w:rPr>
            </w:pPr>
            <w:r>
              <w:rPr>
                <w:rFonts w:hint="eastAsia" w:ascii="宋体" w:hAnsi="宋体" w:eastAsia="宋体" w:cs="宋体"/>
                <w:highlight w:val="none"/>
              </w:rPr>
              <w:t>构成招标文件组成部分的“通用合同条款”、“专用合同条款”、“技术标准和要求”等章节中 “发包人”和“承包人”，等同于招标投标阶段的“招标人”和“投标人/中标人”。</w:t>
            </w:r>
          </w:p>
        </w:tc>
      </w:tr>
      <w:tr w14:paraId="09F6D06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jc w:val="center"/>
        </w:trPr>
        <w:tc>
          <w:tcPr>
            <w:tcW w:w="3336" w:type="dxa"/>
            <w:gridSpan w:val="2"/>
            <w:noWrap w:val="0"/>
            <w:vAlign w:val="center"/>
          </w:tcPr>
          <w:p w14:paraId="4EACC723">
            <w:pPr>
              <w:rPr>
                <w:rFonts w:hint="eastAsia" w:ascii="宋体" w:hAnsi="宋体" w:eastAsia="宋体" w:cs="宋体"/>
                <w:highlight w:val="none"/>
              </w:rPr>
            </w:pPr>
            <w:r>
              <w:rPr>
                <w:rFonts w:hint="eastAsia" w:ascii="宋体" w:hAnsi="宋体" w:eastAsia="宋体" w:cs="宋体"/>
                <w:highlight w:val="none"/>
              </w:rPr>
              <w:t>变更招标方式</w:t>
            </w:r>
          </w:p>
        </w:tc>
        <w:tc>
          <w:tcPr>
            <w:tcW w:w="6477" w:type="dxa"/>
            <w:noWrap w:val="0"/>
            <w:vAlign w:val="center"/>
          </w:tcPr>
          <w:p w14:paraId="359A5579">
            <w:pPr>
              <w:rPr>
                <w:rFonts w:hint="eastAsia" w:ascii="宋体" w:hAnsi="宋体" w:eastAsia="宋体" w:cs="宋体"/>
                <w:highlight w:val="none"/>
              </w:rPr>
            </w:pPr>
            <w:r>
              <w:rPr>
                <w:rFonts w:hint="eastAsia" w:ascii="宋体" w:hAnsi="宋体" w:eastAsia="宋体" w:cs="宋体"/>
                <w:highlight w:val="none"/>
              </w:rPr>
              <w:t>按照滁州市公共资源交易监督管理局现行规定执行。</w:t>
            </w:r>
          </w:p>
        </w:tc>
      </w:tr>
      <w:tr w14:paraId="3BF0FAB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620" w:hRule="atLeast"/>
          <w:jc w:val="center"/>
        </w:trPr>
        <w:tc>
          <w:tcPr>
            <w:tcW w:w="3336" w:type="dxa"/>
            <w:gridSpan w:val="2"/>
            <w:noWrap w:val="0"/>
            <w:vAlign w:val="center"/>
          </w:tcPr>
          <w:p w14:paraId="53012355">
            <w:pPr>
              <w:rPr>
                <w:rFonts w:hint="eastAsia" w:ascii="宋体" w:hAnsi="宋体" w:eastAsia="宋体" w:cs="宋体"/>
                <w:highlight w:val="none"/>
              </w:rPr>
            </w:pPr>
            <w:r>
              <w:rPr>
                <w:rFonts w:hint="eastAsia" w:ascii="宋体" w:hAnsi="宋体" w:eastAsia="宋体" w:cs="宋体"/>
                <w:highlight w:val="none"/>
              </w:rPr>
              <w:t>其他</w:t>
            </w:r>
          </w:p>
        </w:tc>
        <w:tc>
          <w:tcPr>
            <w:tcW w:w="6477" w:type="dxa"/>
            <w:noWrap w:val="0"/>
            <w:vAlign w:val="center"/>
          </w:tcPr>
          <w:p w14:paraId="06D4DF06">
            <w:pPr>
              <w:rPr>
                <w:rFonts w:hint="eastAsia" w:ascii="宋体" w:hAnsi="宋体" w:eastAsia="宋体" w:cs="宋体"/>
                <w:highlight w:val="none"/>
              </w:rPr>
            </w:pPr>
            <w:r>
              <w:rPr>
                <w:rFonts w:hint="eastAsia" w:ascii="宋体" w:hAnsi="宋体" w:eastAsia="宋体" w:cs="宋体"/>
                <w:highlight w:val="none"/>
              </w:rPr>
              <w:t>1、投标人对所提交的投标人业绩、投标人资质等证明资料承担缔约过失责任和法律责任。若投诉人或举报人对前述资料或证明资料存在争议，进行有效投诉或举报，被投诉人、被举报人应当主动配合执法机关调查，并在规定的期限内举证，提供有关证明资料的原件；拒不配合执法机构调查，且未在规定期限内举证、提供证明资料原件的，执法机构滁州市公共资源交易监督管理局依法处理。</w:t>
            </w:r>
          </w:p>
          <w:p w14:paraId="547539D5">
            <w:pPr>
              <w:rPr>
                <w:rFonts w:hint="eastAsia" w:ascii="宋体" w:hAnsi="宋体" w:eastAsia="宋体" w:cs="宋体"/>
                <w:highlight w:val="none"/>
              </w:rPr>
            </w:pPr>
            <w:r>
              <w:rPr>
                <w:rFonts w:hint="eastAsia" w:ascii="宋体" w:hAnsi="宋体" w:eastAsia="宋体" w:cs="宋体"/>
                <w:highlight w:val="none"/>
              </w:rPr>
              <w:t>2、中标人未履行下述义务的，</w:t>
            </w:r>
            <w:r>
              <w:rPr>
                <w:rFonts w:hint="eastAsia" w:ascii="宋体" w:hAnsi="宋体" w:eastAsia="宋体" w:cs="宋体"/>
                <w:highlight w:val="none"/>
                <w:lang w:val="en-US"/>
              </w:rPr>
              <w:t>滁州市</w:t>
            </w:r>
            <w:r>
              <w:rPr>
                <w:rFonts w:hint="eastAsia" w:ascii="宋体" w:hAnsi="宋体" w:eastAsia="宋体" w:cs="宋体"/>
                <w:highlight w:val="none"/>
              </w:rPr>
              <w:t>公共资源交易监督管理局或各县（市、区）公管局）将依法对中标人进行处理，追究相关责任：</w:t>
            </w:r>
          </w:p>
          <w:p w14:paraId="5A4D2EB9">
            <w:pPr>
              <w:rPr>
                <w:rFonts w:hint="eastAsia" w:ascii="宋体" w:hAnsi="宋体" w:eastAsia="宋体" w:cs="宋体"/>
                <w:highlight w:val="none"/>
              </w:rPr>
            </w:pPr>
            <w:r>
              <w:rPr>
                <w:rFonts w:hint="eastAsia" w:ascii="宋体" w:hAnsi="宋体" w:eastAsia="宋体" w:cs="宋体"/>
                <w:highlight w:val="none"/>
              </w:rPr>
              <w:t>①中标人无正当理由不与招标人订立合同，在签订合同时向招标人提出附加条件，或者不按照招标文件要求提交履约保证金的，招标人有权取消中标人中标资格，并将相关违约行为报送监管部门处理；</w:t>
            </w:r>
          </w:p>
          <w:p w14:paraId="455B8820">
            <w:pPr>
              <w:rPr>
                <w:rFonts w:hint="eastAsia" w:ascii="宋体" w:hAnsi="宋体" w:eastAsia="宋体" w:cs="宋体"/>
                <w:highlight w:val="none"/>
              </w:rPr>
            </w:pPr>
            <w:r>
              <w:rPr>
                <w:rFonts w:hint="eastAsia" w:ascii="宋体" w:hAnsi="宋体" w:eastAsia="宋体" w:cs="宋体"/>
                <w:highlight w:val="none"/>
              </w:rPr>
              <w:t>②合同签订后，中标人存在规定时间内不组织人员进场开工、不履行供货安装义务等情况，招标人有权解除合同，并追究违约责任，同时将相关违约行为报送监管部门，记不良行为记录， 实施信用惩戒。</w:t>
            </w:r>
          </w:p>
          <w:p w14:paraId="05832081">
            <w:pPr>
              <w:rPr>
                <w:rFonts w:hint="eastAsia" w:ascii="宋体" w:hAnsi="宋体" w:eastAsia="宋体" w:cs="宋体"/>
                <w:highlight w:val="none"/>
              </w:rPr>
            </w:pPr>
            <w:r>
              <w:rPr>
                <w:rFonts w:hint="eastAsia" w:ascii="宋体" w:hAnsi="宋体" w:eastAsia="宋体" w:cs="宋体"/>
                <w:highlight w:val="none"/>
              </w:rPr>
              <w:t>3、本项目严禁非法转包，一经发现，招标人依法处理。</w:t>
            </w:r>
          </w:p>
        </w:tc>
      </w:tr>
      <w:tr w14:paraId="28AC6BC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10" w:hRule="atLeast"/>
          <w:jc w:val="center"/>
        </w:trPr>
        <w:tc>
          <w:tcPr>
            <w:tcW w:w="3336" w:type="dxa"/>
            <w:gridSpan w:val="2"/>
            <w:noWrap w:val="0"/>
            <w:vAlign w:val="center"/>
          </w:tcPr>
          <w:p w14:paraId="30BF5F86">
            <w:pPr>
              <w:rPr>
                <w:rFonts w:hint="eastAsia" w:ascii="宋体" w:hAnsi="宋体" w:eastAsia="宋体" w:cs="宋体"/>
                <w:highlight w:val="none"/>
              </w:rPr>
            </w:pPr>
            <w:r>
              <w:rPr>
                <w:rFonts w:hint="eastAsia" w:ascii="宋体" w:hAnsi="宋体" w:eastAsia="宋体" w:cs="宋体"/>
                <w:highlight w:val="none"/>
              </w:rPr>
              <w:t>特别提示</w:t>
            </w:r>
          </w:p>
        </w:tc>
        <w:tc>
          <w:tcPr>
            <w:tcW w:w="6477" w:type="dxa"/>
            <w:noWrap w:val="0"/>
            <w:vAlign w:val="center"/>
          </w:tcPr>
          <w:p w14:paraId="65A06E6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1.本项目投标保证金、履约保证金、工程质量保证金、农民工工资保证金均支持保函使用。以现金形式提交保证金的，应当同时退还保证金本金和银行同期存款利息。</w:t>
            </w:r>
          </w:p>
          <w:p w14:paraId="2E86560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2.投标人应填写投标信息并下载招标文件，否则无法上传投标文件。</w:t>
            </w:r>
          </w:p>
          <w:p w14:paraId="5469B34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注：投标人如为联合体的，牵头人必须完善投标人信息，并在上传投标文件环节添加联合体投标信息。</w:t>
            </w:r>
          </w:p>
          <w:p w14:paraId="2803902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3.本项目采用电子招标投标，请投标人在滁州市公共资源交易中心网站&gt;服务指南&gt;软件下载栏目点击下载投标文件制作工具。投标人需采用最新版投标文件制作工具。软件运行需在国际互联网络通畅状态，投标人需注意更新，以免造成投标文件制作错误，如因此导致评标委员会否决其投标，责任自负。如有技术问题请联系0550-3801701，</w:t>
            </w:r>
            <w:r>
              <w:rPr>
                <w:rFonts w:hint="eastAsia" w:ascii="宋体" w:hAnsi="宋体" w:eastAsia="宋体" w:cs="宋体"/>
                <w:highlight w:val="none"/>
                <w:lang w:eastAsia="zh-CN"/>
              </w:rPr>
              <w:t>0512-58188516</w:t>
            </w:r>
            <w:r>
              <w:rPr>
                <w:rFonts w:hint="eastAsia" w:ascii="宋体" w:hAnsi="宋体" w:eastAsia="宋体" w:cs="宋体"/>
                <w:highlight w:val="none"/>
              </w:rPr>
              <w:t>。</w:t>
            </w:r>
          </w:p>
          <w:p w14:paraId="7BDB84C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4.如果过程中出现招标文件更改，应以最后发布的招标答疑澄清文件中的模板制作本项目最新投标文件。</w:t>
            </w:r>
          </w:p>
          <w:p w14:paraId="7B421F7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 xml:space="preserve">5.投标人应当用本单位CA数字证书制作投标文件，制作成功后进行投标文件上传。 </w:t>
            </w:r>
          </w:p>
          <w:p w14:paraId="0DF66A5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6.投标人须用CA数字证书盖章和加密投标文件，建议使用主锁。（如未办理CA数字证书请及时办理，网上办理和窗口办理均可。查看办理所需资料请登录滁州市公共资源交易中心网站&gt;服务指南&gt;办事指南&gt;CA数字证书和电子签章。因未及时办理CA数字证书手续导致无法投标的，责任自负）</w:t>
            </w:r>
          </w:p>
          <w:p w14:paraId="3FE34F9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7.请投标人注意加密投标文件CA数字证书的有效期，不在有效期的CA数字证书无法解密投标文件。</w:t>
            </w:r>
          </w:p>
          <w:p w14:paraId="1E57650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8.投标人投标MAC地址一致或申请开具电子保函MAC地址一致的，由评标委员会否决其投标。</w:t>
            </w:r>
          </w:p>
          <w:p w14:paraId="2DE4911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9.投标人投标文件中单方面出现其他投标人材料的（依法组成联合体投标的除外），由评标委员会否决其投标。</w:t>
            </w:r>
          </w:p>
          <w:p w14:paraId="0D3BD0B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10.评标时查询投标文件制作机器码、文件创建标识码及造价软件加密锁号。若存在投标文件制作机器码或创建标识码或造价软件加密锁号信息与其他投标人雷同的，由评标委员会否决其投标，依法依规予以处理。</w:t>
            </w:r>
          </w:p>
          <w:p w14:paraId="150307C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11.若存在不予退还投标人投标保证金的情形，银行转账的，由公共资源交易中心代为收缴，递交保函的，由招标人予以追缴。</w:t>
            </w:r>
          </w:p>
          <w:p w14:paraId="69D3EBC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12.投标人以联合体名义投标的，其异议投诉应当由联合体全体成员共同提出。联合体成员单独进行异议投诉的，应当书面征得联合体其他成员同意，联合体成员之间投诉的除外。</w:t>
            </w:r>
          </w:p>
          <w:p w14:paraId="5CB45FD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13.投标人联系人或联系电话相同的，由评标委员会否决其投标，并报告监管部门作不良行为处理和进一步调查。</w:t>
            </w:r>
          </w:p>
          <w:p w14:paraId="2648584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highlight w:val="none"/>
              </w:rPr>
            </w:pPr>
            <w:r>
              <w:rPr>
                <w:rFonts w:hint="eastAsia" w:ascii="宋体" w:hAnsi="宋体" w:eastAsia="宋体" w:cs="宋体"/>
                <w:highlight w:val="none"/>
              </w:rPr>
              <w:t>14.注册地在安徽省内且未在安徽省外开展业务、省外无违法违规行为的企业可通过安徽政务服务网开具由安徽省公共信用信息服务中心出具的《公共信用信息报告（无违法违规证明版或核查版）》代替《诚信投标承诺书》，信用报告出具有关问题可咨询滁州市信用办0550-3035032。</w:t>
            </w:r>
          </w:p>
        </w:tc>
      </w:tr>
    </w:tbl>
    <w:p w14:paraId="03000BFA">
      <w:pPr>
        <w:pageBreakBefore/>
        <w:spacing w:before="240" w:beforeLines="100" w:after="240" w:afterLines="100" w:line="440" w:lineRule="exact"/>
        <w:jc w:val="center"/>
        <w:outlineLvl w:val="1"/>
        <w:rPr>
          <w:rFonts w:hint="eastAsia" w:ascii="宋体"/>
          <w:b/>
          <w:sz w:val="28"/>
          <w:szCs w:val="32"/>
          <w:highlight w:val="none"/>
        </w:rPr>
      </w:pPr>
      <w:r>
        <w:rPr>
          <w:rFonts w:hint="eastAsia" w:ascii="宋体"/>
          <w:b/>
          <w:sz w:val="28"/>
          <w:szCs w:val="28"/>
          <w:highlight w:val="none"/>
        </w:rPr>
        <w:t>二、投标人须知</w:t>
      </w:r>
      <w:bookmarkEnd w:id="40"/>
      <w:bookmarkEnd w:id="41"/>
    </w:p>
    <w:p w14:paraId="362EE5C8">
      <w:pPr>
        <w:spacing w:line="440" w:lineRule="exact"/>
        <w:jc w:val="center"/>
        <w:rPr>
          <w:rFonts w:hint="eastAsia" w:ascii="宋体"/>
          <w:sz w:val="28"/>
          <w:szCs w:val="28"/>
          <w:highlight w:val="none"/>
        </w:rPr>
      </w:pPr>
      <w:bookmarkStart w:id="42" w:name="_Toc449028867"/>
      <w:r>
        <w:rPr>
          <w:rFonts w:hint="eastAsia" w:ascii="宋体"/>
          <w:b/>
          <w:sz w:val="28"/>
          <w:szCs w:val="28"/>
          <w:highlight w:val="none"/>
        </w:rPr>
        <w:t>（一）</w:t>
      </w:r>
      <w:r>
        <w:rPr>
          <w:rFonts w:hint="eastAsia" w:ascii="宋体"/>
          <w:b/>
          <w:sz w:val="28"/>
          <w:szCs w:val="32"/>
          <w:highlight w:val="none"/>
        </w:rPr>
        <w:t>总  则</w:t>
      </w:r>
      <w:bookmarkEnd w:id="42"/>
    </w:p>
    <w:p w14:paraId="11A02DFC">
      <w:pPr>
        <w:snapToGrid w:val="0"/>
        <w:spacing w:line="440" w:lineRule="exact"/>
        <w:ind w:firstLine="422" w:firstLineChars="200"/>
        <w:rPr>
          <w:rFonts w:hint="eastAsia" w:ascii="宋体"/>
          <w:b/>
          <w:szCs w:val="21"/>
          <w:highlight w:val="none"/>
        </w:rPr>
      </w:pPr>
      <w:r>
        <w:rPr>
          <w:rFonts w:hint="eastAsia" w:ascii="宋体"/>
          <w:b/>
          <w:szCs w:val="21"/>
          <w:highlight w:val="none"/>
        </w:rPr>
        <w:t>1.项目概况</w:t>
      </w:r>
    </w:p>
    <w:p w14:paraId="7B083D50">
      <w:pPr>
        <w:snapToGrid w:val="0"/>
        <w:spacing w:line="440" w:lineRule="exact"/>
        <w:ind w:firstLine="420" w:firstLineChars="200"/>
        <w:rPr>
          <w:rFonts w:hint="eastAsia" w:ascii="宋体"/>
          <w:szCs w:val="21"/>
          <w:highlight w:val="none"/>
          <w:u w:val="single"/>
        </w:rPr>
      </w:pPr>
      <w:r>
        <w:rPr>
          <w:rFonts w:hint="eastAsia" w:ascii="宋体"/>
          <w:szCs w:val="21"/>
          <w:highlight w:val="none"/>
        </w:rPr>
        <w:t>1.1本次招标项目名称：见投标人须知前附表。</w:t>
      </w:r>
    </w:p>
    <w:p w14:paraId="0FDB32C9">
      <w:pPr>
        <w:snapToGrid w:val="0"/>
        <w:spacing w:line="440" w:lineRule="exact"/>
        <w:ind w:firstLine="420" w:firstLineChars="200"/>
        <w:rPr>
          <w:rFonts w:hint="eastAsia" w:ascii="宋体"/>
          <w:szCs w:val="21"/>
          <w:highlight w:val="none"/>
          <w:u w:val="single"/>
        </w:rPr>
      </w:pPr>
      <w:r>
        <w:rPr>
          <w:rFonts w:hint="eastAsia" w:ascii="宋体"/>
          <w:szCs w:val="21"/>
          <w:highlight w:val="none"/>
        </w:rPr>
        <w:t xml:space="preserve">            项目编号：见投标人须知前附表。</w:t>
      </w:r>
    </w:p>
    <w:p w14:paraId="023AC4E0">
      <w:pPr>
        <w:snapToGrid w:val="0"/>
        <w:spacing w:line="440" w:lineRule="exact"/>
        <w:ind w:firstLine="420" w:firstLineChars="200"/>
        <w:rPr>
          <w:rFonts w:hint="eastAsia" w:ascii="宋体"/>
          <w:szCs w:val="21"/>
          <w:highlight w:val="none"/>
          <w:u w:val="single"/>
        </w:rPr>
      </w:pPr>
      <w:r>
        <w:rPr>
          <w:rFonts w:hint="eastAsia" w:ascii="宋体"/>
          <w:szCs w:val="21"/>
          <w:highlight w:val="none"/>
        </w:rPr>
        <w:t xml:space="preserve">            招标人：见投标人须知前附表。</w:t>
      </w:r>
    </w:p>
    <w:p w14:paraId="14501289">
      <w:pPr>
        <w:snapToGrid w:val="0"/>
        <w:spacing w:line="440" w:lineRule="exact"/>
        <w:ind w:firstLine="420" w:firstLineChars="200"/>
        <w:rPr>
          <w:rFonts w:hint="eastAsia" w:ascii="宋体"/>
          <w:szCs w:val="21"/>
          <w:highlight w:val="none"/>
          <w:u w:val="single"/>
        </w:rPr>
      </w:pPr>
      <w:r>
        <w:rPr>
          <w:rFonts w:hint="eastAsia" w:ascii="宋体"/>
          <w:szCs w:val="21"/>
          <w:highlight w:val="none"/>
        </w:rPr>
        <w:t xml:space="preserve">            </w:t>
      </w:r>
      <w:r>
        <w:rPr>
          <w:rFonts w:hint="eastAsia" w:ascii="宋体"/>
          <w:szCs w:val="21"/>
          <w:highlight w:val="none"/>
          <w:lang w:val="en-US" w:eastAsia="zh-CN"/>
        </w:rPr>
        <w:t>服务期</w:t>
      </w:r>
      <w:r>
        <w:rPr>
          <w:rFonts w:hint="eastAsia" w:ascii="宋体"/>
          <w:szCs w:val="21"/>
          <w:highlight w:val="none"/>
        </w:rPr>
        <w:t>：见投标人须知前附表。</w:t>
      </w:r>
    </w:p>
    <w:p w14:paraId="24C53846">
      <w:pPr>
        <w:snapToGrid w:val="0"/>
        <w:spacing w:line="440" w:lineRule="exact"/>
        <w:ind w:firstLine="420" w:firstLineChars="200"/>
        <w:rPr>
          <w:rFonts w:hint="eastAsia" w:ascii="宋体"/>
          <w:szCs w:val="21"/>
          <w:highlight w:val="none"/>
          <w:u w:val="single"/>
        </w:rPr>
      </w:pPr>
      <w:r>
        <w:rPr>
          <w:rFonts w:hint="eastAsia" w:ascii="宋体"/>
          <w:szCs w:val="21"/>
          <w:highlight w:val="none"/>
        </w:rPr>
        <w:t xml:space="preserve">           </w:t>
      </w:r>
      <w:r>
        <w:rPr>
          <w:rFonts w:hint="eastAsia" w:ascii="宋体"/>
          <w:szCs w:val="21"/>
          <w:highlight w:val="none"/>
          <w:lang w:val="en-US" w:eastAsia="zh-CN"/>
        </w:rPr>
        <w:t xml:space="preserve"> </w:t>
      </w:r>
      <w:r>
        <w:rPr>
          <w:rFonts w:hint="eastAsia"/>
          <w:color w:val="auto"/>
          <w:spacing w:val="-6"/>
          <w:szCs w:val="21"/>
          <w:highlight w:val="none"/>
          <w:lang w:val="en-US" w:eastAsia="zh-CN"/>
        </w:rPr>
        <w:t>服务</w:t>
      </w:r>
      <w:r>
        <w:rPr>
          <w:rFonts w:hint="eastAsia"/>
          <w:color w:val="auto"/>
          <w:spacing w:val="-6"/>
          <w:szCs w:val="21"/>
          <w:highlight w:val="none"/>
        </w:rPr>
        <w:t>地点</w:t>
      </w:r>
      <w:r>
        <w:rPr>
          <w:rFonts w:hint="eastAsia" w:ascii="宋体"/>
          <w:szCs w:val="21"/>
          <w:highlight w:val="none"/>
        </w:rPr>
        <w:t>：见投标人须知前附表。</w:t>
      </w:r>
    </w:p>
    <w:p w14:paraId="28A12FB4">
      <w:pPr>
        <w:snapToGrid w:val="0"/>
        <w:spacing w:line="440" w:lineRule="exact"/>
        <w:ind w:firstLine="420" w:firstLineChars="200"/>
        <w:rPr>
          <w:rFonts w:hint="eastAsia" w:ascii="宋体"/>
          <w:szCs w:val="21"/>
          <w:highlight w:val="none"/>
        </w:rPr>
      </w:pPr>
      <w:r>
        <w:rPr>
          <w:rFonts w:hint="eastAsia" w:ascii="宋体"/>
          <w:szCs w:val="21"/>
          <w:highlight w:val="none"/>
        </w:rPr>
        <w:t>1.2招标人及联系人: 见投标人须知前附表。</w:t>
      </w:r>
    </w:p>
    <w:p w14:paraId="1D597821">
      <w:pPr>
        <w:snapToGrid w:val="0"/>
        <w:spacing w:line="440" w:lineRule="exact"/>
        <w:ind w:firstLine="630" w:firstLineChars="300"/>
        <w:rPr>
          <w:rFonts w:hint="eastAsia" w:ascii="宋体"/>
          <w:szCs w:val="21"/>
          <w:highlight w:val="none"/>
        </w:rPr>
      </w:pPr>
      <w:r>
        <w:rPr>
          <w:rFonts w:hint="eastAsia" w:ascii="宋体"/>
          <w:szCs w:val="21"/>
          <w:highlight w:val="none"/>
        </w:rPr>
        <w:t>代理机构及联系人：见投标人须知前附表。</w:t>
      </w:r>
    </w:p>
    <w:p w14:paraId="3A87C3A6">
      <w:pPr>
        <w:snapToGrid w:val="0"/>
        <w:spacing w:line="440" w:lineRule="exact"/>
        <w:ind w:firstLine="420" w:firstLineChars="200"/>
        <w:rPr>
          <w:rFonts w:hint="eastAsia" w:ascii="宋体"/>
          <w:szCs w:val="21"/>
          <w:highlight w:val="none"/>
        </w:rPr>
      </w:pPr>
      <w:r>
        <w:rPr>
          <w:rFonts w:hint="eastAsia" w:ascii="宋体"/>
          <w:szCs w:val="21"/>
          <w:highlight w:val="none"/>
        </w:rPr>
        <w:t>1.3资金来源：见投标人须知前附表。</w:t>
      </w:r>
    </w:p>
    <w:p w14:paraId="5D7D9E01">
      <w:pPr>
        <w:snapToGrid w:val="0"/>
        <w:spacing w:line="440" w:lineRule="exact"/>
        <w:ind w:firstLine="420" w:firstLineChars="200"/>
        <w:rPr>
          <w:rFonts w:hint="eastAsia" w:ascii="宋体"/>
          <w:szCs w:val="21"/>
          <w:highlight w:val="none"/>
        </w:rPr>
      </w:pPr>
      <w:r>
        <w:rPr>
          <w:rFonts w:hint="eastAsia" w:ascii="宋体"/>
          <w:szCs w:val="21"/>
          <w:highlight w:val="none"/>
        </w:rPr>
        <w:t>1.4本项目预算：见投标人须知前附表。</w:t>
      </w:r>
    </w:p>
    <w:p w14:paraId="23D60880">
      <w:pPr>
        <w:snapToGrid w:val="0"/>
        <w:spacing w:line="440" w:lineRule="exact"/>
        <w:ind w:firstLine="420" w:firstLineChars="200"/>
        <w:rPr>
          <w:rFonts w:hint="eastAsia" w:ascii="宋体"/>
          <w:szCs w:val="21"/>
          <w:highlight w:val="none"/>
        </w:rPr>
      </w:pPr>
      <w:r>
        <w:rPr>
          <w:rFonts w:hint="eastAsia" w:ascii="宋体"/>
          <w:szCs w:val="21"/>
          <w:highlight w:val="none"/>
        </w:rPr>
        <w:t>1.5本项目最高限价：见投标人须知前附表。</w:t>
      </w:r>
    </w:p>
    <w:p w14:paraId="305A1843">
      <w:pPr>
        <w:snapToGrid w:val="0"/>
        <w:spacing w:line="440" w:lineRule="exact"/>
        <w:ind w:firstLine="422" w:firstLineChars="200"/>
        <w:rPr>
          <w:rFonts w:hint="eastAsia" w:ascii="宋体"/>
          <w:b/>
          <w:szCs w:val="21"/>
          <w:highlight w:val="none"/>
        </w:rPr>
      </w:pPr>
      <w:r>
        <w:rPr>
          <w:rFonts w:hint="eastAsia" w:ascii="宋体"/>
          <w:b/>
          <w:szCs w:val="21"/>
          <w:highlight w:val="none"/>
        </w:rPr>
        <w:t>2.招标范围：</w:t>
      </w:r>
    </w:p>
    <w:p w14:paraId="7E5D994E">
      <w:pPr>
        <w:snapToGrid w:val="0"/>
        <w:spacing w:line="440" w:lineRule="exact"/>
        <w:ind w:firstLine="420" w:firstLineChars="200"/>
        <w:rPr>
          <w:rFonts w:ascii="宋体"/>
          <w:szCs w:val="21"/>
          <w:highlight w:val="none"/>
          <w:u w:val="single"/>
        </w:rPr>
      </w:pPr>
      <w:r>
        <w:rPr>
          <w:rFonts w:hint="eastAsia" w:ascii="宋体"/>
          <w:szCs w:val="21"/>
          <w:highlight w:val="none"/>
        </w:rPr>
        <w:t>2.1 采购内容：</w:t>
      </w:r>
      <w:r>
        <w:rPr>
          <w:rFonts w:hint="eastAsia"/>
          <w:highlight w:val="none"/>
        </w:rPr>
        <w:t>详见《</w:t>
      </w:r>
      <w:r>
        <w:rPr>
          <w:rFonts w:hint="eastAsia" w:ascii="宋体" w:hAnsi="宋体" w:cs="宋体"/>
          <w:szCs w:val="21"/>
          <w:highlight w:val="none"/>
          <w:lang w:eastAsia="zh-CN"/>
        </w:rPr>
        <w:t>用户需求书</w:t>
      </w:r>
      <w:r>
        <w:rPr>
          <w:rFonts w:hint="eastAsia"/>
          <w:highlight w:val="none"/>
        </w:rPr>
        <w:t>》</w:t>
      </w:r>
      <w:r>
        <w:rPr>
          <w:rFonts w:hint="eastAsia" w:ascii="宋体"/>
          <w:szCs w:val="21"/>
          <w:highlight w:val="none"/>
        </w:rPr>
        <w:t>。</w:t>
      </w:r>
    </w:p>
    <w:p w14:paraId="3C70533C">
      <w:pPr>
        <w:snapToGrid w:val="0"/>
        <w:spacing w:line="440" w:lineRule="exact"/>
        <w:ind w:firstLine="420" w:firstLineChars="200"/>
        <w:rPr>
          <w:rFonts w:hint="eastAsia" w:ascii="宋体"/>
          <w:szCs w:val="21"/>
          <w:highlight w:val="none"/>
        </w:rPr>
      </w:pPr>
      <w:r>
        <w:rPr>
          <w:rFonts w:hint="eastAsia" w:ascii="宋体"/>
          <w:szCs w:val="21"/>
          <w:highlight w:val="none"/>
        </w:rPr>
        <w:t>2.2 技术要求：</w:t>
      </w:r>
      <w:r>
        <w:rPr>
          <w:rFonts w:hint="eastAsia"/>
          <w:highlight w:val="none"/>
        </w:rPr>
        <w:t>详见《</w:t>
      </w:r>
      <w:r>
        <w:rPr>
          <w:rFonts w:hint="eastAsia" w:ascii="宋体" w:hAnsi="宋体" w:cs="宋体"/>
          <w:szCs w:val="21"/>
          <w:highlight w:val="none"/>
          <w:lang w:eastAsia="zh-CN"/>
        </w:rPr>
        <w:t>用户需求书</w:t>
      </w:r>
      <w:r>
        <w:rPr>
          <w:rFonts w:hint="eastAsia"/>
          <w:highlight w:val="none"/>
        </w:rPr>
        <w:t>》</w:t>
      </w:r>
      <w:r>
        <w:rPr>
          <w:rFonts w:hint="eastAsia" w:ascii="宋体"/>
          <w:szCs w:val="21"/>
          <w:highlight w:val="none"/>
        </w:rPr>
        <w:t>。</w:t>
      </w:r>
    </w:p>
    <w:p w14:paraId="73368E50">
      <w:pPr>
        <w:snapToGrid w:val="0"/>
        <w:spacing w:line="440" w:lineRule="exact"/>
        <w:ind w:firstLine="422" w:firstLineChars="200"/>
        <w:rPr>
          <w:rFonts w:hint="eastAsia" w:ascii="宋体"/>
          <w:b/>
          <w:szCs w:val="21"/>
          <w:highlight w:val="none"/>
        </w:rPr>
      </w:pPr>
      <w:r>
        <w:rPr>
          <w:rFonts w:hint="eastAsia" w:ascii="宋体"/>
          <w:b/>
          <w:szCs w:val="21"/>
          <w:highlight w:val="none"/>
        </w:rPr>
        <w:t>3.标包划分：</w:t>
      </w:r>
    </w:p>
    <w:p w14:paraId="4B5EF406">
      <w:pPr>
        <w:snapToGrid w:val="0"/>
        <w:spacing w:line="440" w:lineRule="exact"/>
        <w:ind w:firstLine="420" w:firstLineChars="200"/>
        <w:rPr>
          <w:rFonts w:hint="eastAsia" w:ascii="宋体"/>
          <w:szCs w:val="21"/>
          <w:highlight w:val="none"/>
        </w:rPr>
      </w:pPr>
      <w:r>
        <w:rPr>
          <w:rFonts w:hint="eastAsia" w:ascii="宋体"/>
          <w:szCs w:val="21"/>
          <w:highlight w:val="none"/>
        </w:rPr>
        <w:t>3.1本项目划分：见投标人须知前附表。</w:t>
      </w:r>
    </w:p>
    <w:p w14:paraId="5556198F">
      <w:pPr>
        <w:snapToGrid w:val="0"/>
        <w:spacing w:line="440" w:lineRule="exact"/>
        <w:ind w:firstLine="422" w:firstLineChars="200"/>
        <w:rPr>
          <w:rFonts w:hint="eastAsia" w:ascii="宋体"/>
          <w:b/>
          <w:szCs w:val="21"/>
          <w:highlight w:val="none"/>
        </w:rPr>
      </w:pPr>
      <w:r>
        <w:rPr>
          <w:rFonts w:hint="eastAsia" w:ascii="宋体"/>
          <w:b/>
          <w:szCs w:val="21"/>
          <w:highlight w:val="none"/>
        </w:rPr>
        <w:t>4.招标方式：</w:t>
      </w:r>
    </w:p>
    <w:p w14:paraId="6562A9B7">
      <w:pPr>
        <w:snapToGrid w:val="0"/>
        <w:spacing w:line="440" w:lineRule="exact"/>
        <w:ind w:firstLine="420" w:firstLineChars="200"/>
        <w:rPr>
          <w:rFonts w:hint="eastAsia" w:ascii="宋体"/>
          <w:szCs w:val="21"/>
          <w:highlight w:val="none"/>
        </w:rPr>
      </w:pPr>
      <w:r>
        <w:rPr>
          <w:rFonts w:hint="eastAsia" w:ascii="宋体"/>
          <w:szCs w:val="21"/>
          <w:highlight w:val="none"/>
        </w:rPr>
        <w:t>4.1本项目招标方式：见投标人须知前附表。</w:t>
      </w:r>
    </w:p>
    <w:p w14:paraId="7F489FFA">
      <w:pPr>
        <w:snapToGrid w:val="0"/>
        <w:spacing w:line="440" w:lineRule="exact"/>
        <w:ind w:firstLine="422" w:firstLineChars="200"/>
        <w:rPr>
          <w:rFonts w:hint="eastAsia" w:ascii="宋体"/>
          <w:b/>
          <w:szCs w:val="21"/>
          <w:highlight w:val="none"/>
        </w:rPr>
      </w:pPr>
      <w:r>
        <w:rPr>
          <w:rFonts w:hint="eastAsia" w:ascii="宋体"/>
          <w:b/>
          <w:szCs w:val="21"/>
          <w:highlight w:val="none"/>
        </w:rPr>
        <w:t>5.计价方式：</w:t>
      </w:r>
    </w:p>
    <w:p w14:paraId="5F513039">
      <w:pPr>
        <w:snapToGrid w:val="0"/>
        <w:spacing w:line="440" w:lineRule="exact"/>
        <w:ind w:firstLine="420" w:firstLineChars="200"/>
        <w:rPr>
          <w:rFonts w:hint="eastAsia" w:ascii="宋体"/>
          <w:szCs w:val="21"/>
          <w:highlight w:val="none"/>
        </w:rPr>
      </w:pPr>
      <w:r>
        <w:rPr>
          <w:rFonts w:hint="eastAsia" w:ascii="宋体"/>
          <w:szCs w:val="21"/>
          <w:highlight w:val="none"/>
        </w:rPr>
        <w:t>5.1本次招标项目合同采用</w:t>
      </w:r>
      <w:r>
        <w:rPr>
          <w:rFonts w:hint="eastAsia" w:ascii="宋体"/>
          <w:szCs w:val="21"/>
          <w:highlight w:val="none"/>
          <w:u w:val="single"/>
        </w:rPr>
        <w:t xml:space="preserve"> 固定</w:t>
      </w:r>
      <w:r>
        <w:rPr>
          <w:rFonts w:hint="eastAsia" w:ascii="宋体"/>
          <w:szCs w:val="21"/>
          <w:highlight w:val="none"/>
          <w:u w:val="single"/>
          <w:lang w:val="en-US" w:eastAsia="zh-CN"/>
        </w:rPr>
        <w:t>单价</w:t>
      </w:r>
      <w:r>
        <w:rPr>
          <w:rFonts w:hint="eastAsia" w:ascii="宋体"/>
          <w:szCs w:val="21"/>
          <w:highlight w:val="none"/>
          <w:u w:val="single"/>
        </w:rPr>
        <w:t xml:space="preserve"> </w:t>
      </w:r>
      <w:r>
        <w:rPr>
          <w:rFonts w:hint="eastAsia" w:ascii="宋体"/>
          <w:szCs w:val="21"/>
          <w:highlight w:val="none"/>
        </w:rPr>
        <w:t>。招标范围内中标</w:t>
      </w:r>
      <w:r>
        <w:rPr>
          <w:rFonts w:hint="eastAsia" w:ascii="宋体"/>
          <w:szCs w:val="21"/>
          <w:highlight w:val="none"/>
          <w:lang w:val="en-US" w:eastAsia="zh-CN"/>
        </w:rPr>
        <w:t>综合</w:t>
      </w:r>
      <w:r>
        <w:rPr>
          <w:rFonts w:hint="eastAsia" w:ascii="宋体"/>
          <w:szCs w:val="21"/>
          <w:highlight w:val="none"/>
        </w:rPr>
        <w:t>单价一次性包死，结算时不予调整</w:t>
      </w:r>
      <w:r>
        <w:rPr>
          <w:rFonts w:hint="eastAsia" w:ascii="宋体"/>
          <w:szCs w:val="21"/>
          <w:highlight w:val="none"/>
          <w:lang w:eastAsia="zh-CN"/>
        </w:rPr>
        <w:t>。</w:t>
      </w:r>
    </w:p>
    <w:p w14:paraId="02F45489">
      <w:pPr>
        <w:snapToGrid w:val="0"/>
        <w:spacing w:line="440" w:lineRule="exact"/>
        <w:ind w:firstLine="422" w:firstLineChars="200"/>
        <w:rPr>
          <w:rFonts w:hint="eastAsia" w:ascii="宋体"/>
          <w:b/>
          <w:szCs w:val="21"/>
          <w:highlight w:val="none"/>
        </w:rPr>
      </w:pPr>
      <w:r>
        <w:rPr>
          <w:rFonts w:hint="eastAsia" w:ascii="宋体"/>
          <w:b/>
          <w:szCs w:val="21"/>
          <w:highlight w:val="none"/>
        </w:rPr>
        <w:t>6.评标办法：</w:t>
      </w:r>
    </w:p>
    <w:p w14:paraId="45AE7BA1">
      <w:pPr>
        <w:snapToGrid w:val="0"/>
        <w:spacing w:line="440" w:lineRule="exact"/>
        <w:ind w:firstLine="420" w:firstLineChars="200"/>
        <w:rPr>
          <w:rFonts w:hint="eastAsia" w:ascii="宋体"/>
          <w:szCs w:val="21"/>
          <w:highlight w:val="none"/>
        </w:rPr>
      </w:pPr>
      <w:r>
        <w:rPr>
          <w:rFonts w:hint="eastAsia" w:ascii="宋体"/>
          <w:szCs w:val="21"/>
          <w:highlight w:val="none"/>
        </w:rPr>
        <w:t>6.1本次招标评标采用</w:t>
      </w:r>
      <w:r>
        <w:rPr>
          <w:rFonts w:hint="eastAsia" w:ascii="宋体"/>
          <w:szCs w:val="21"/>
          <w:highlight w:val="none"/>
          <w:u w:val="single"/>
        </w:rPr>
        <w:t xml:space="preserve">  </w:t>
      </w:r>
      <w:r>
        <w:rPr>
          <w:rFonts w:hint="eastAsia" w:ascii="宋体"/>
          <w:szCs w:val="21"/>
          <w:highlight w:val="none"/>
          <w:u w:val="single"/>
          <w:lang w:eastAsia="zh-CN"/>
        </w:rPr>
        <w:t>最低评标价法</w:t>
      </w:r>
      <w:r>
        <w:rPr>
          <w:rFonts w:hint="eastAsia" w:ascii="宋体"/>
          <w:szCs w:val="21"/>
          <w:highlight w:val="none"/>
          <w:u w:val="single"/>
        </w:rPr>
        <w:t xml:space="preserve"> 。</w:t>
      </w:r>
      <w:r>
        <w:rPr>
          <w:rFonts w:hint="eastAsia" w:ascii="宋体"/>
          <w:szCs w:val="21"/>
          <w:highlight w:val="none"/>
        </w:rPr>
        <w:t>（详见第四章评标办法）</w:t>
      </w:r>
    </w:p>
    <w:p w14:paraId="353463A6">
      <w:pPr>
        <w:snapToGrid w:val="0"/>
        <w:spacing w:line="440" w:lineRule="exact"/>
        <w:ind w:firstLine="422" w:firstLineChars="200"/>
        <w:rPr>
          <w:rFonts w:hint="eastAsia" w:ascii="宋体"/>
          <w:b/>
          <w:szCs w:val="21"/>
          <w:highlight w:val="none"/>
        </w:rPr>
      </w:pPr>
      <w:r>
        <w:rPr>
          <w:rFonts w:hint="eastAsia" w:ascii="宋体"/>
          <w:b/>
          <w:szCs w:val="21"/>
          <w:highlight w:val="none"/>
        </w:rPr>
        <w:t>7.投标人资格：</w:t>
      </w:r>
    </w:p>
    <w:p w14:paraId="5E4C45C7">
      <w:pPr>
        <w:snapToGrid w:val="0"/>
        <w:spacing w:line="440" w:lineRule="exact"/>
        <w:ind w:firstLine="420" w:firstLineChars="200"/>
        <w:rPr>
          <w:rFonts w:hint="eastAsia" w:ascii="宋体"/>
          <w:szCs w:val="21"/>
          <w:highlight w:val="none"/>
        </w:rPr>
      </w:pPr>
      <w:r>
        <w:rPr>
          <w:rFonts w:hint="eastAsia" w:ascii="宋体"/>
          <w:szCs w:val="21"/>
          <w:highlight w:val="none"/>
        </w:rPr>
        <w:t>7.1详见投标人须知前附表。</w:t>
      </w:r>
    </w:p>
    <w:p w14:paraId="54B1192E">
      <w:pPr>
        <w:snapToGrid w:val="0"/>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lang w:val="en-US" w:eastAsia="zh-CN"/>
        </w:rPr>
        <w:t>7.2</w:t>
      </w:r>
      <w:r>
        <w:rPr>
          <w:rFonts w:hint="eastAsia" w:ascii="宋体" w:hAnsi="Times New Roman" w:eastAsia="宋体" w:cs="Times New Roman"/>
          <w:szCs w:val="21"/>
          <w:highlight w:val="none"/>
        </w:rPr>
        <w:t>投标人须知前附表规定接受联合体投标的，除应符合本章第</w:t>
      </w:r>
      <w:r>
        <w:rPr>
          <w:rFonts w:hint="eastAsia" w:ascii="宋体" w:hAnsi="Times New Roman" w:eastAsia="宋体" w:cs="Times New Roman"/>
          <w:szCs w:val="21"/>
          <w:highlight w:val="none"/>
          <w:lang w:val="en-US" w:eastAsia="zh-CN"/>
        </w:rPr>
        <w:t>7</w:t>
      </w:r>
      <w:r>
        <w:rPr>
          <w:rFonts w:hint="eastAsia" w:ascii="宋体" w:hAnsi="Times New Roman" w:eastAsia="宋体" w:cs="Times New Roman"/>
          <w:szCs w:val="21"/>
          <w:highlight w:val="none"/>
        </w:rPr>
        <w:t xml:space="preserve">.1项和投标人须知前附表的要求外，还应遵守以下规定： </w:t>
      </w:r>
    </w:p>
    <w:p w14:paraId="7EC53AC6">
      <w:pPr>
        <w:snapToGrid w:val="0"/>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（1）联合体各方应按招标文件提供的格式签订联合体协议书，明确联合体各方权利义务，并承诺就中标项目向招标人承担连带责任；</w:t>
      </w:r>
    </w:p>
    <w:p w14:paraId="6F187A35">
      <w:pPr>
        <w:snapToGrid w:val="0"/>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（2）联合体各方不得再以自己名义单独或参加其他联合体在同一标段中投标。</w:t>
      </w:r>
    </w:p>
    <w:p w14:paraId="17C5D056">
      <w:pPr>
        <w:snapToGrid w:val="0"/>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lang w:val="en-US" w:eastAsia="zh-CN"/>
        </w:rPr>
        <w:t>7.3</w:t>
      </w:r>
      <w:r>
        <w:rPr>
          <w:rFonts w:hint="eastAsia" w:ascii="宋体" w:hAnsi="Times New Roman" w:eastAsia="宋体" w:cs="Times New Roman"/>
          <w:szCs w:val="21"/>
          <w:highlight w:val="none"/>
        </w:rPr>
        <w:t>投标人（包括联合体各成员）不得与本标段相关单位存在下列关联关系：</w:t>
      </w:r>
    </w:p>
    <w:p w14:paraId="0612799F">
      <w:pPr>
        <w:snapToGrid w:val="0"/>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（1）为招标人不具有独立法人资格的附属机构（单位）；</w:t>
      </w:r>
    </w:p>
    <w:p w14:paraId="1A5681B5">
      <w:pPr>
        <w:snapToGrid w:val="0"/>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（2）与招标人存在利害关系且可能影响招标公正性；</w:t>
      </w:r>
    </w:p>
    <w:p w14:paraId="23634C4B">
      <w:pPr>
        <w:snapToGrid w:val="0"/>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（3）与本标段的其他投标人同为一个单位负责人；</w:t>
      </w:r>
    </w:p>
    <w:p w14:paraId="1B433AAD">
      <w:pPr>
        <w:snapToGrid w:val="0"/>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（4）与本标段的其他投标人存在控股、管理关系；</w:t>
      </w:r>
    </w:p>
    <w:p w14:paraId="01466A8C">
      <w:pPr>
        <w:snapToGrid w:val="0"/>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（5）为本标段前期准备提供设计或咨询服务的法人或其任何附属机构（单位）；</w:t>
      </w:r>
    </w:p>
    <w:p w14:paraId="015186FE">
      <w:pPr>
        <w:snapToGrid w:val="0"/>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（6）为本标段的监理人；</w:t>
      </w:r>
    </w:p>
    <w:p w14:paraId="48D5D7A6">
      <w:pPr>
        <w:snapToGrid w:val="0"/>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（7）为本标段的代建人；</w:t>
      </w:r>
    </w:p>
    <w:p w14:paraId="70B5E882">
      <w:pPr>
        <w:snapToGrid w:val="0"/>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（8）为本标段的招标代理机构；</w:t>
      </w:r>
    </w:p>
    <w:p w14:paraId="200AE5A3">
      <w:pPr>
        <w:snapToGrid w:val="0"/>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（9）与本标段的监理人或代建人或招标代理机构同为一个法定代表人；</w:t>
      </w:r>
    </w:p>
    <w:p w14:paraId="57A527FC">
      <w:pPr>
        <w:snapToGrid w:val="0"/>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（10）与本标段的监理人或代建人或招标代理机构存在控股或参股关系；</w:t>
      </w:r>
    </w:p>
    <w:p w14:paraId="7085F41F">
      <w:pPr>
        <w:snapToGrid w:val="0"/>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（11）法律法规或投标人须知前附表规定的其他情形。</w:t>
      </w:r>
    </w:p>
    <w:p w14:paraId="48290AFA">
      <w:pPr>
        <w:spacing w:line="440" w:lineRule="exact"/>
        <w:ind w:firstLine="422" w:firstLineChars="200"/>
        <w:rPr>
          <w:rFonts w:hint="eastAsia"/>
          <w:b/>
          <w:szCs w:val="21"/>
          <w:highlight w:val="none"/>
        </w:rPr>
      </w:pPr>
      <w:r>
        <w:rPr>
          <w:rFonts w:hint="eastAsia"/>
          <w:b/>
          <w:szCs w:val="21"/>
          <w:highlight w:val="none"/>
        </w:rPr>
        <w:t>8. 投标费用</w:t>
      </w:r>
    </w:p>
    <w:p w14:paraId="61D03C91">
      <w:pPr>
        <w:snapToGrid w:val="0"/>
        <w:spacing w:line="440" w:lineRule="exact"/>
        <w:ind w:firstLine="420" w:firstLineChars="200"/>
        <w:rPr>
          <w:rFonts w:hint="eastAsia" w:ascii="宋体"/>
          <w:szCs w:val="21"/>
          <w:highlight w:val="none"/>
        </w:rPr>
      </w:pPr>
      <w:r>
        <w:rPr>
          <w:rFonts w:hint="eastAsia" w:ascii="宋体"/>
          <w:szCs w:val="21"/>
          <w:highlight w:val="none"/>
        </w:rPr>
        <w:t>8.1投标人准备和参加投标活动发生的费用自理。</w:t>
      </w:r>
    </w:p>
    <w:p w14:paraId="4D3F5E12">
      <w:pPr>
        <w:spacing w:line="440" w:lineRule="exact"/>
        <w:ind w:firstLine="422" w:firstLineChars="200"/>
        <w:rPr>
          <w:rFonts w:hint="eastAsia"/>
          <w:b/>
          <w:szCs w:val="21"/>
          <w:highlight w:val="none"/>
        </w:rPr>
      </w:pPr>
      <w:r>
        <w:rPr>
          <w:rFonts w:hint="eastAsia"/>
          <w:b/>
          <w:szCs w:val="21"/>
          <w:highlight w:val="none"/>
        </w:rPr>
        <w:t>9.</w:t>
      </w:r>
      <w:bookmarkStart w:id="43" w:name="_Toc247592876"/>
      <w:bookmarkStart w:id="44" w:name="_Toc247513962"/>
      <w:bookmarkStart w:id="45" w:name="_Toc296602429"/>
      <w:bookmarkStart w:id="46" w:name="_Toc144974507"/>
      <w:bookmarkStart w:id="47" w:name="_Toc152042315"/>
      <w:bookmarkStart w:id="48" w:name="_Toc152045539"/>
      <w:bookmarkStart w:id="49" w:name="_Toc247527563"/>
      <w:r>
        <w:rPr>
          <w:rFonts w:hint="eastAsia"/>
          <w:b/>
          <w:szCs w:val="21"/>
          <w:highlight w:val="none"/>
        </w:rPr>
        <w:t xml:space="preserve"> 踏勘现场</w:t>
      </w:r>
      <w:bookmarkEnd w:id="43"/>
      <w:bookmarkEnd w:id="44"/>
      <w:bookmarkEnd w:id="45"/>
      <w:bookmarkEnd w:id="46"/>
      <w:bookmarkEnd w:id="47"/>
      <w:bookmarkEnd w:id="48"/>
      <w:bookmarkEnd w:id="49"/>
    </w:p>
    <w:p w14:paraId="4270F6F3">
      <w:pPr>
        <w:spacing w:line="440" w:lineRule="exact"/>
        <w:ind w:firstLine="409" w:firstLineChars="195"/>
        <w:rPr>
          <w:rFonts w:hint="eastAsia" w:ascii="宋体"/>
          <w:szCs w:val="21"/>
          <w:highlight w:val="none"/>
        </w:rPr>
      </w:pPr>
      <w:r>
        <w:rPr>
          <w:rFonts w:hint="eastAsia" w:ascii="宋体"/>
          <w:szCs w:val="21"/>
          <w:highlight w:val="none"/>
        </w:rPr>
        <w:t xml:space="preserve">9.1 投标人须知前附表规定组织踏勘现场的，招标人按投标人须知前附表规定的时间、地点组织投标人踏勘项目现场。 </w:t>
      </w:r>
    </w:p>
    <w:p w14:paraId="059FCE0B">
      <w:pPr>
        <w:spacing w:line="440" w:lineRule="exact"/>
        <w:ind w:firstLine="409" w:firstLineChars="195"/>
        <w:rPr>
          <w:rFonts w:hint="eastAsia" w:ascii="宋体"/>
          <w:szCs w:val="21"/>
          <w:highlight w:val="none"/>
        </w:rPr>
      </w:pPr>
      <w:r>
        <w:rPr>
          <w:rFonts w:hint="eastAsia" w:ascii="宋体"/>
          <w:szCs w:val="21"/>
          <w:highlight w:val="none"/>
        </w:rPr>
        <w:t>9.2 投标人踏勘现场发生的费用自理。</w:t>
      </w:r>
    </w:p>
    <w:p w14:paraId="735F0F67">
      <w:pPr>
        <w:spacing w:line="440" w:lineRule="exact"/>
        <w:ind w:firstLine="409" w:firstLineChars="195"/>
        <w:rPr>
          <w:rFonts w:hint="eastAsia" w:ascii="宋体"/>
          <w:szCs w:val="21"/>
          <w:highlight w:val="none"/>
        </w:rPr>
      </w:pPr>
      <w:r>
        <w:rPr>
          <w:rFonts w:hint="eastAsia" w:ascii="宋体"/>
          <w:szCs w:val="21"/>
          <w:highlight w:val="none"/>
        </w:rPr>
        <w:t>9.3 除招标人的原因外，投标人自行负责在踏勘现场中所发生的人员伤亡和财产损失。</w:t>
      </w:r>
    </w:p>
    <w:p w14:paraId="27EB6137">
      <w:pPr>
        <w:spacing w:line="440" w:lineRule="exact"/>
        <w:ind w:firstLine="409" w:firstLineChars="195"/>
        <w:rPr>
          <w:rFonts w:hint="eastAsia" w:ascii="宋体"/>
          <w:szCs w:val="21"/>
          <w:highlight w:val="none"/>
        </w:rPr>
      </w:pPr>
      <w:r>
        <w:rPr>
          <w:rFonts w:hint="eastAsia" w:ascii="宋体"/>
          <w:szCs w:val="21"/>
          <w:highlight w:val="none"/>
        </w:rPr>
        <w:t>9.4 招标人在踏勘现场中介绍的场地和相关的周边环境情况，供投标人在编制投标文件时参考，招标人不对投标人据此作出的判断和决策负责。</w:t>
      </w:r>
      <w:bookmarkStart w:id="50" w:name="_Toc144974508"/>
      <w:bookmarkStart w:id="51" w:name="_Toc152042316"/>
      <w:bookmarkStart w:id="52" w:name="_Toc296602430"/>
      <w:bookmarkStart w:id="53" w:name="_Toc247592877"/>
      <w:bookmarkStart w:id="54" w:name="_Toc247527564"/>
      <w:bookmarkStart w:id="55" w:name="_Toc247513963"/>
      <w:bookmarkStart w:id="56" w:name="_Toc152045540"/>
    </w:p>
    <w:p w14:paraId="68B4BC00">
      <w:pPr>
        <w:spacing w:line="440" w:lineRule="exact"/>
        <w:ind w:firstLine="409" w:firstLineChars="195"/>
        <w:rPr>
          <w:rFonts w:hint="eastAsia" w:ascii="宋体"/>
          <w:szCs w:val="21"/>
          <w:highlight w:val="none"/>
        </w:rPr>
      </w:pPr>
      <w:r>
        <w:rPr>
          <w:rFonts w:hint="eastAsia" w:ascii="宋体"/>
          <w:szCs w:val="21"/>
          <w:highlight w:val="none"/>
        </w:rPr>
        <w:t>9.5无论投标人是否到施工现场实地踏勘，中标后签订合同时和履约过程中，投标人不得以不完全了解现场情况或现场情况与招标文件描述不一致等为由，提出任何形式的增加工程造价或索赔的要求。</w:t>
      </w:r>
    </w:p>
    <w:p w14:paraId="4D708E2A">
      <w:pPr>
        <w:spacing w:line="440" w:lineRule="exact"/>
        <w:ind w:firstLine="422" w:firstLineChars="200"/>
        <w:rPr>
          <w:rFonts w:hint="eastAsia"/>
          <w:b/>
          <w:szCs w:val="21"/>
          <w:highlight w:val="none"/>
        </w:rPr>
      </w:pPr>
      <w:r>
        <w:rPr>
          <w:rFonts w:hint="eastAsia"/>
          <w:b/>
          <w:szCs w:val="21"/>
          <w:highlight w:val="none"/>
        </w:rPr>
        <w:t>10. 投标预备会</w:t>
      </w:r>
      <w:bookmarkEnd w:id="50"/>
      <w:bookmarkEnd w:id="51"/>
      <w:bookmarkEnd w:id="52"/>
      <w:bookmarkEnd w:id="53"/>
      <w:bookmarkEnd w:id="54"/>
      <w:bookmarkEnd w:id="55"/>
      <w:bookmarkEnd w:id="56"/>
      <w:r>
        <w:rPr>
          <w:rFonts w:hint="eastAsia"/>
          <w:b/>
          <w:szCs w:val="21"/>
          <w:highlight w:val="none"/>
        </w:rPr>
        <w:t>（本项目不采用）</w:t>
      </w:r>
    </w:p>
    <w:p w14:paraId="1742D3A8">
      <w:pPr>
        <w:spacing w:line="440" w:lineRule="exact"/>
        <w:ind w:firstLine="420" w:firstLineChars="200"/>
        <w:rPr>
          <w:rFonts w:hint="eastAsia" w:ascii="宋体"/>
          <w:color w:val="000000"/>
          <w:szCs w:val="21"/>
          <w:highlight w:val="none"/>
        </w:rPr>
      </w:pPr>
      <w:r>
        <w:rPr>
          <w:rFonts w:hint="eastAsia" w:ascii="宋体"/>
          <w:color w:val="000000"/>
          <w:szCs w:val="21"/>
          <w:highlight w:val="none"/>
        </w:rPr>
        <w:t>10.1投标人须知前附表规定召开投标预备会的，招标人按投标人须知前附表规定的时间和地点召开投标预备会，澄清投标人提出的问题。</w:t>
      </w:r>
    </w:p>
    <w:p w14:paraId="55779FAA">
      <w:pPr>
        <w:spacing w:line="440" w:lineRule="exact"/>
        <w:ind w:firstLine="422" w:firstLineChars="200"/>
        <w:rPr>
          <w:rFonts w:hint="eastAsia"/>
          <w:b/>
          <w:szCs w:val="21"/>
          <w:highlight w:val="none"/>
        </w:rPr>
      </w:pPr>
      <w:r>
        <w:rPr>
          <w:rFonts w:hint="eastAsia"/>
          <w:b/>
          <w:szCs w:val="21"/>
          <w:highlight w:val="none"/>
        </w:rPr>
        <w:t>11. 联合投标</w:t>
      </w:r>
    </w:p>
    <w:p w14:paraId="6E23843C">
      <w:pPr>
        <w:pStyle w:val="14"/>
        <w:spacing w:after="0" w:line="400" w:lineRule="exact"/>
        <w:ind w:left="0" w:leftChars="0" w:firstLine="424" w:firstLineChars="202"/>
        <w:rPr>
          <w:rFonts w:hint="eastAsia"/>
          <w:bCs/>
          <w:szCs w:val="21"/>
          <w:highlight w:val="none"/>
        </w:rPr>
      </w:pPr>
      <w:r>
        <w:rPr>
          <w:rFonts w:hint="eastAsia" w:ascii="宋体"/>
          <w:bCs/>
          <w:szCs w:val="21"/>
          <w:highlight w:val="none"/>
        </w:rPr>
        <w:t>11.1本项</w:t>
      </w:r>
      <w:r>
        <w:rPr>
          <w:rFonts w:hint="eastAsia"/>
          <w:bCs/>
          <w:szCs w:val="21"/>
          <w:highlight w:val="none"/>
        </w:rPr>
        <w:t xml:space="preserve">目不接受联合体投标。 </w:t>
      </w:r>
    </w:p>
    <w:p w14:paraId="7A4682FE">
      <w:pPr>
        <w:spacing w:line="440" w:lineRule="exact"/>
        <w:ind w:firstLine="413" w:firstLineChars="196"/>
        <w:jc w:val="left"/>
        <w:rPr>
          <w:rFonts w:hint="eastAsia" w:ascii="宋体"/>
          <w:b/>
          <w:szCs w:val="21"/>
          <w:highlight w:val="none"/>
        </w:rPr>
      </w:pPr>
      <w:r>
        <w:rPr>
          <w:rFonts w:hint="eastAsia" w:ascii="宋体"/>
          <w:b/>
          <w:szCs w:val="21"/>
          <w:highlight w:val="none"/>
        </w:rPr>
        <w:t>12.招标代理服务费和专家评审劳务费</w:t>
      </w:r>
    </w:p>
    <w:p w14:paraId="49364167">
      <w:pPr>
        <w:spacing w:line="440" w:lineRule="exact"/>
        <w:ind w:firstLine="420" w:firstLineChars="200"/>
        <w:rPr>
          <w:rFonts w:hint="eastAsia" w:ascii="宋体"/>
          <w:color w:val="000000"/>
          <w:szCs w:val="21"/>
          <w:highlight w:val="none"/>
        </w:rPr>
      </w:pPr>
      <w:r>
        <w:rPr>
          <w:rFonts w:hint="eastAsia" w:ascii="宋体"/>
          <w:color w:val="000000"/>
          <w:szCs w:val="21"/>
          <w:highlight w:val="none"/>
        </w:rPr>
        <w:t>12.1 本项目的招标代理服务费详见投标人须知前附表。</w:t>
      </w:r>
    </w:p>
    <w:p w14:paraId="4C3B5D38">
      <w:pPr>
        <w:spacing w:line="440" w:lineRule="exact"/>
        <w:ind w:firstLine="420" w:firstLineChars="200"/>
        <w:rPr>
          <w:rFonts w:hint="eastAsia" w:ascii="宋体"/>
          <w:color w:val="000000"/>
          <w:szCs w:val="21"/>
          <w:highlight w:val="none"/>
        </w:rPr>
      </w:pPr>
      <w:r>
        <w:rPr>
          <w:rFonts w:hint="eastAsia" w:ascii="宋体"/>
          <w:color w:val="000000"/>
          <w:szCs w:val="21"/>
          <w:highlight w:val="none"/>
        </w:rPr>
        <w:t>12.2本项目的专家评审劳务费详见投标人须知前附表。</w:t>
      </w:r>
    </w:p>
    <w:p w14:paraId="62FE3DC9">
      <w:pPr>
        <w:spacing w:line="380" w:lineRule="exact"/>
        <w:ind w:firstLine="422" w:firstLineChars="200"/>
        <w:rPr>
          <w:rFonts w:hint="eastAsia" w:ascii="宋体"/>
          <w:b/>
          <w:szCs w:val="21"/>
          <w:highlight w:val="none"/>
        </w:rPr>
      </w:pPr>
      <w:r>
        <w:rPr>
          <w:rFonts w:hint="eastAsia" w:ascii="宋体"/>
          <w:b/>
          <w:szCs w:val="21"/>
          <w:highlight w:val="none"/>
        </w:rPr>
        <w:t>13.投标人应注意的事项</w:t>
      </w:r>
    </w:p>
    <w:p w14:paraId="12306563">
      <w:pPr>
        <w:spacing w:line="360" w:lineRule="auto"/>
        <w:ind w:firstLine="420" w:firstLineChars="200"/>
        <w:rPr>
          <w:rFonts w:hint="eastAsia" w:ascii="宋体"/>
          <w:szCs w:val="21"/>
          <w:highlight w:val="none"/>
        </w:rPr>
      </w:pPr>
      <w:r>
        <w:rPr>
          <w:rFonts w:hint="eastAsia" w:ascii="宋体"/>
          <w:szCs w:val="21"/>
          <w:highlight w:val="none"/>
        </w:rPr>
        <w:t>13.1投标人一旦按规定参加投标，即被认为接受了本招标文件中的所有条件和规定。投标人必须严格按招标文件的要求编制投标文件，以便评委审核。否则，由此产生的一切后果由投标人承担。</w:t>
      </w:r>
    </w:p>
    <w:p w14:paraId="7CB92464">
      <w:pPr>
        <w:spacing w:line="360" w:lineRule="auto"/>
        <w:ind w:firstLine="420" w:firstLineChars="200"/>
        <w:rPr>
          <w:rFonts w:hint="eastAsia" w:ascii="宋体"/>
          <w:szCs w:val="21"/>
          <w:highlight w:val="none"/>
        </w:rPr>
      </w:pPr>
      <w:r>
        <w:rPr>
          <w:rFonts w:hint="eastAsia" w:ascii="宋体"/>
          <w:szCs w:val="21"/>
          <w:highlight w:val="none"/>
        </w:rPr>
        <w:t>13.2投标人对采购内容中规定的</w:t>
      </w:r>
      <w:r>
        <w:rPr>
          <w:rFonts w:hint="eastAsia" w:ascii="宋体"/>
          <w:szCs w:val="21"/>
          <w:highlight w:val="none"/>
          <w:lang w:eastAsia="zh-CN"/>
        </w:rPr>
        <w:t>用户需求书</w:t>
      </w:r>
      <w:r>
        <w:rPr>
          <w:rFonts w:hint="eastAsia" w:ascii="宋体"/>
          <w:szCs w:val="21"/>
          <w:highlight w:val="none"/>
        </w:rPr>
        <w:t>要求等必须满足招标文件的相关要求。</w:t>
      </w:r>
    </w:p>
    <w:p w14:paraId="0953C8F0">
      <w:pPr>
        <w:spacing w:line="440" w:lineRule="exact"/>
        <w:ind w:firstLine="411" w:firstLineChars="196"/>
        <w:rPr>
          <w:rFonts w:ascii="宋体"/>
          <w:bCs/>
          <w:szCs w:val="21"/>
          <w:highlight w:val="none"/>
        </w:rPr>
      </w:pPr>
      <w:r>
        <w:rPr>
          <w:rFonts w:hint="eastAsia" w:ascii="宋体"/>
          <w:bCs/>
          <w:szCs w:val="21"/>
          <w:highlight w:val="none"/>
        </w:rPr>
        <w:t>13.3 所有投标人的投标保证金都应在招标文件规定的投标保证金缴纳截止日期前缴纳，银行转账形式的以资金到账时间为准。</w:t>
      </w:r>
    </w:p>
    <w:p w14:paraId="4E59F61E">
      <w:pPr>
        <w:spacing w:line="440" w:lineRule="exact"/>
        <w:ind w:firstLine="420" w:firstLineChars="200"/>
        <w:rPr>
          <w:rFonts w:hint="eastAsia" w:ascii="宋体"/>
          <w:szCs w:val="21"/>
          <w:highlight w:val="none"/>
        </w:rPr>
      </w:pPr>
      <w:r>
        <w:rPr>
          <w:rFonts w:hint="eastAsia" w:ascii="宋体"/>
          <w:szCs w:val="21"/>
          <w:highlight w:val="none"/>
        </w:rPr>
        <w:t xml:space="preserve">13.4 </w:t>
      </w:r>
      <w:r>
        <w:rPr>
          <w:rFonts w:ascii="宋体"/>
          <w:bCs/>
          <w:szCs w:val="21"/>
          <w:highlight w:val="none"/>
        </w:rPr>
        <w:t>单位负责人为同一人或者存在直接控股、管理关系的不同</w:t>
      </w:r>
      <w:r>
        <w:rPr>
          <w:rFonts w:hint="eastAsia" w:ascii="宋体"/>
          <w:bCs/>
          <w:szCs w:val="21"/>
          <w:highlight w:val="none"/>
        </w:rPr>
        <w:t>投标人</w:t>
      </w:r>
      <w:r>
        <w:rPr>
          <w:rFonts w:ascii="宋体"/>
          <w:bCs/>
          <w:szCs w:val="21"/>
          <w:highlight w:val="none"/>
        </w:rPr>
        <w:t>，不得参加同一合同项下的采购活动。</w:t>
      </w:r>
      <w:r>
        <w:rPr>
          <w:rFonts w:ascii="宋体" w:hAnsi="宋体" w:cs="宋体"/>
          <w:szCs w:val="21"/>
          <w:highlight w:val="none"/>
        </w:rPr>
        <w:t>为项目提供整体设计、规范编制或者项目管理、监理、检测等服务的</w:t>
      </w:r>
      <w:r>
        <w:rPr>
          <w:rFonts w:hint="eastAsia" w:ascii="宋体" w:hAnsi="宋体" w:cs="宋体"/>
          <w:szCs w:val="21"/>
          <w:highlight w:val="none"/>
        </w:rPr>
        <w:t>投标人</w:t>
      </w:r>
      <w:r>
        <w:rPr>
          <w:rFonts w:ascii="宋体" w:hAnsi="宋体" w:cs="宋体"/>
          <w:szCs w:val="21"/>
          <w:highlight w:val="none"/>
        </w:rPr>
        <w:t>，不得再参加该采购项目的其他采购活动。</w:t>
      </w:r>
    </w:p>
    <w:p w14:paraId="6558697A">
      <w:pPr>
        <w:spacing w:line="400" w:lineRule="exact"/>
        <w:ind w:firstLine="417" w:firstLineChars="199"/>
        <w:jc w:val="left"/>
        <w:rPr>
          <w:rFonts w:hint="eastAsia" w:ascii="宋体"/>
          <w:szCs w:val="21"/>
          <w:highlight w:val="none"/>
        </w:rPr>
      </w:pPr>
      <w:r>
        <w:rPr>
          <w:rFonts w:hint="eastAsia" w:ascii="宋体"/>
          <w:szCs w:val="21"/>
          <w:highlight w:val="none"/>
        </w:rPr>
        <w:t>13.5投标人被视为充分熟悉本招标项目所在地的与履行合同有关的各种情况，包括但不限于：</w:t>
      </w:r>
    </w:p>
    <w:p w14:paraId="5967CD77">
      <w:pPr>
        <w:spacing w:line="400" w:lineRule="exact"/>
        <w:ind w:firstLine="315" w:firstLineChars="150"/>
        <w:rPr>
          <w:rFonts w:hint="eastAsia" w:ascii="宋体"/>
          <w:szCs w:val="21"/>
          <w:highlight w:val="none"/>
        </w:rPr>
      </w:pPr>
      <w:r>
        <w:rPr>
          <w:rFonts w:hint="eastAsia" w:ascii="宋体"/>
          <w:szCs w:val="21"/>
          <w:highlight w:val="none"/>
        </w:rPr>
        <w:t>（1）国家对本次投标货物和服务的生产、安装调试、验收、维修等有关法律、法规及行业管理标准；</w:t>
      </w:r>
    </w:p>
    <w:p w14:paraId="47FBC5BC">
      <w:pPr>
        <w:spacing w:line="400" w:lineRule="exact"/>
        <w:ind w:firstLine="315" w:firstLineChars="150"/>
        <w:rPr>
          <w:rFonts w:hint="eastAsia" w:ascii="宋体"/>
          <w:szCs w:val="21"/>
          <w:highlight w:val="none"/>
        </w:rPr>
      </w:pPr>
      <w:r>
        <w:rPr>
          <w:rFonts w:hint="eastAsia" w:ascii="宋体"/>
          <w:szCs w:val="21"/>
          <w:highlight w:val="none"/>
        </w:rPr>
        <w:t>（2）安徽省及滁州市等有关管理部门的相关规定；</w:t>
      </w:r>
    </w:p>
    <w:p w14:paraId="31116EA1">
      <w:pPr>
        <w:spacing w:line="400" w:lineRule="exact"/>
        <w:ind w:firstLine="315" w:firstLineChars="150"/>
        <w:rPr>
          <w:rFonts w:hint="eastAsia" w:ascii="宋体"/>
          <w:szCs w:val="21"/>
          <w:highlight w:val="none"/>
        </w:rPr>
      </w:pPr>
      <w:r>
        <w:rPr>
          <w:rFonts w:hint="eastAsia" w:ascii="宋体"/>
          <w:szCs w:val="21"/>
          <w:highlight w:val="none"/>
        </w:rPr>
        <w:t>（3）招标人的相关场地情况、基础建设、电力供应情况及相关设计标准。</w:t>
      </w:r>
    </w:p>
    <w:p w14:paraId="6B63DFBE">
      <w:pPr>
        <w:spacing w:line="400" w:lineRule="exact"/>
        <w:ind w:firstLine="315" w:firstLineChars="150"/>
        <w:rPr>
          <w:rFonts w:ascii="宋体"/>
          <w:szCs w:val="21"/>
          <w:highlight w:val="none"/>
        </w:rPr>
      </w:pPr>
      <w:r>
        <w:rPr>
          <w:rFonts w:hint="eastAsia" w:ascii="宋体"/>
          <w:szCs w:val="21"/>
          <w:highlight w:val="none"/>
        </w:rPr>
        <w:t>本招标文件不再对上述情况进行描述。</w:t>
      </w:r>
    </w:p>
    <w:p w14:paraId="36D5A6FE">
      <w:pPr>
        <w:spacing w:line="400" w:lineRule="exact"/>
        <w:ind w:firstLine="420" w:firstLineChars="200"/>
        <w:rPr>
          <w:rFonts w:hint="eastAsia" w:ascii="宋体"/>
          <w:szCs w:val="21"/>
          <w:highlight w:val="none"/>
        </w:rPr>
      </w:pPr>
      <w:r>
        <w:rPr>
          <w:rFonts w:hint="eastAsia" w:ascii="宋体"/>
          <w:szCs w:val="21"/>
          <w:highlight w:val="none"/>
        </w:rPr>
        <w:t>13.6 凡投标人在我市公共资源交易活动中出现违法违规、破坏市场秩序等不良行为且被监管部门处罚的，一律在滁州市公共资源交易网等相关网站曝光。</w:t>
      </w:r>
    </w:p>
    <w:p w14:paraId="7CF41F4A">
      <w:pPr>
        <w:spacing w:line="400" w:lineRule="exact"/>
        <w:ind w:firstLine="420" w:firstLineChars="200"/>
        <w:rPr>
          <w:rFonts w:hint="eastAsia" w:ascii="宋体"/>
          <w:szCs w:val="21"/>
          <w:highlight w:val="none"/>
        </w:rPr>
      </w:pPr>
      <w:r>
        <w:rPr>
          <w:rFonts w:hint="eastAsia" w:ascii="宋体"/>
          <w:szCs w:val="21"/>
          <w:highlight w:val="none"/>
        </w:rPr>
        <w:t>13.7 投标人的不良行为、失信行为及行政处罚等效力不因企业名称的变更而改变。</w:t>
      </w:r>
    </w:p>
    <w:p w14:paraId="311D19ED">
      <w:pPr>
        <w:spacing w:line="440" w:lineRule="exact"/>
        <w:ind w:firstLine="527" w:firstLineChars="250"/>
        <w:rPr>
          <w:rFonts w:ascii="宋体"/>
          <w:bCs/>
          <w:szCs w:val="21"/>
          <w:highlight w:val="none"/>
        </w:rPr>
      </w:pPr>
      <w:r>
        <w:rPr>
          <w:rFonts w:hint="eastAsia" w:ascii="宋体"/>
          <w:b/>
          <w:szCs w:val="21"/>
          <w:highlight w:val="none"/>
        </w:rPr>
        <w:t>14.保密</w:t>
      </w:r>
    </w:p>
    <w:p w14:paraId="59923584">
      <w:pPr>
        <w:spacing w:line="440" w:lineRule="exact"/>
        <w:ind w:firstLine="525" w:firstLineChars="250"/>
        <w:rPr>
          <w:rFonts w:ascii="宋体"/>
          <w:bCs/>
          <w:color w:val="0000FF"/>
          <w:szCs w:val="21"/>
          <w:highlight w:val="none"/>
        </w:rPr>
      </w:pPr>
      <w:r>
        <w:rPr>
          <w:rFonts w:hint="eastAsia" w:ascii="宋体"/>
          <w:bCs/>
          <w:szCs w:val="21"/>
          <w:highlight w:val="none"/>
        </w:rPr>
        <w:t xml:space="preserve">参与招标投标活动的各方应对招标文件和投标文件中的商业和技术等秘密保密，违者应对由此造成的后果承担法律责任。 </w:t>
      </w:r>
    </w:p>
    <w:p w14:paraId="1E6AB90F">
      <w:pPr>
        <w:spacing w:before="240" w:beforeLines="100" w:after="240" w:afterLines="100" w:line="440" w:lineRule="exact"/>
        <w:jc w:val="center"/>
        <w:rPr>
          <w:rFonts w:hint="eastAsia" w:ascii="宋体"/>
          <w:b/>
          <w:sz w:val="28"/>
          <w:szCs w:val="28"/>
          <w:highlight w:val="none"/>
        </w:rPr>
      </w:pPr>
      <w:bookmarkStart w:id="57" w:name="_Toc449028868"/>
      <w:r>
        <w:rPr>
          <w:rFonts w:hint="eastAsia" w:ascii="宋体"/>
          <w:b/>
          <w:sz w:val="28"/>
          <w:szCs w:val="28"/>
          <w:highlight w:val="none"/>
        </w:rPr>
        <w:t>（二）</w:t>
      </w:r>
      <w:bookmarkEnd w:id="57"/>
      <w:r>
        <w:rPr>
          <w:rFonts w:hint="eastAsia" w:ascii="宋体"/>
          <w:b/>
          <w:sz w:val="28"/>
          <w:szCs w:val="28"/>
          <w:highlight w:val="none"/>
        </w:rPr>
        <w:t>招标文件</w:t>
      </w:r>
    </w:p>
    <w:p w14:paraId="3812D317">
      <w:pPr>
        <w:spacing w:line="440" w:lineRule="exact"/>
        <w:ind w:firstLine="422" w:firstLineChars="200"/>
        <w:rPr>
          <w:rFonts w:hint="eastAsia"/>
          <w:b/>
          <w:szCs w:val="21"/>
          <w:highlight w:val="none"/>
        </w:rPr>
      </w:pPr>
      <w:r>
        <w:rPr>
          <w:rFonts w:hint="eastAsia"/>
          <w:b/>
          <w:szCs w:val="21"/>
          <w:highlight w:val="none"/>
        </w:rPr>
        <w:t>15. 招标文件的编制依据</w:t>
      </w:r>
    </w:p>
    <w:p w14:paraId="1D10D63C">
      <w:pPr>
        <w:spacing w:line="440" w:lineRule="exact"/>
        <w:ind w:firstLine="420" w:firstLineChars="200"/>
        <w:rPr>
          <w:rFonts w:hint="eastAsia" w:ascii="宋体"/>
          <w:szCs w:val="21"/>
          <w:highlight w:val="none"/>
        </w:rPr>
      </w:pPr>
      <w:r>
        <w:rPr>
          <w:rFonts w:hint="eastAsia" w:ascii="宋体"/>
          <w:szCs w:val="21"/>
          <w:highlight w:val="none"/>
        </w:rPr>
        <w:t>根据</w:t>
      </w:r>
      <w:r>
        <w:rPr>
          <w:rFonts w:hint="eastAsia"/>
          <w:highlight w:val="none"/>
        </w:rPr>
        <w:t>《中华人民共和国招标投标法》、《中华人民共和国招标投标法实施条例》</w:t>
      </w:r>
      <w:r>
        <w:rPr>
          <w:rFonts w:hint="eastAsia" w:ascii="宋体"/>
          <w:szCs w:val="21"/>
          <w:highlight w:val="none"/>
        </w:rPr>
        <w:t>和</w:t>
      </w:r>
      <w:r>
        <w:rPr>
          <w:rFonts w:hint="eastAsia"/>
          <w:highlight w:val="none"/>
        </w:rPr>
        <w:t>《中华人民共和国民法典》</w:t>
      </w:r>
      <w:r>
        <w:rPr>
          <w:rFonts w:hint="eastAsia" w:ascii="宋体"/>
          <w:spacing w:val="-2"/>
          <w:szCs w:val="21"/>
          <w:highlight w:val="none"/>
        </w:rPr>
        <w:t>等相关法律法规和规章及部、省、市级规范性文件的规定，编制本招标文件。</w:t>
      </w:r>
    </w:p>
    <w:p w14:paraId="62CE4E79">
      <w:pPr>
        <w:spacing w:line="440" w:lineRule="exact"/>
        <w:ind w:firstLine="422" w:firstLineChars="200"/>
        <w:rPr>
          <w:rFonts w:hint="eastAsia"/>
          <w:b/>
          <w:szCs w:val="21"/>
          <w:highlight w:val="none"/>
        </w:rPr>
      </w:pPr>
      <w:r>
        <w:rPr>
          <w:rFonts w:hint="eastAsia"/>
          <w:b/>
          <w:szCs w:val="21"/>
          <w:highlight w:val="none"/>
        </w:rPr>
        <w:t>16. 招标文件的组成</w:t>
      </w:r>
    </w:p>
    <w:p w14:paraId="31B30574">
      <w:pPr>
        <w:spacing w:line="440" w:lineRule="exact"/>
        <w:ind w:firstLine="420" w:firstLineChars="200"/>
        <w:rPr>
          <w:rFonts w:hint="eastAsia" w:ascii="宋体"/>
          <w:szCs w:val="21"/>
          <w:highlight w:val="none"/>
        </w:rPr>
      </w:pPr>
      <w:r>
        <w:rPr>
          <w:rFonts w:hint="eastAsia" w:ascii="宋体"/>
          <w:szCs w:val="21"/>
          <w:highlight w:val="none"/>
        </w:rPr>
        <w:t>16.1 招标文件包括内容：</w:t>
      </w:r>
    </w:p>
    <w:p w14:paraId="56E7DF0A">
      <w:pPr>
        <w:spacing w:line="440" w:lineRule="exact"/>
        <w:ind w:firstLine="1470" w:firstLineChars="700"/>
        <w:rPr>
          <w:rFonts w:hint="eastAsia" w:ascii="宋体"/>
          <w:szCs w:val="21"/>
          <w:highlight w:val="none"/>
        </w:rPr>
      </w:pPr>
      <w:r>
        <w:rPr>
          <w:rFonts w:hint="eastAsia" w:ascii="宋体"/>
          <w:szCs w:val="21"/>
          <w:highlight w:val="none"/>
        </w:rPr>
        <w:t>第一章  招标公告</w:t>
      </w:r>
    </w:p>
    <w:p w14:paraId="5C92A72D">
      <w:pPr>
        <w:spacing w:line="440" w:lineRule="exact"/>
        <w:ind w:firstLine="1470" w:firstLineChars="700"/>
        <w:rPr>
          <w:rFonts w:hint="eastAsia" w:ascii="宋体"/>
          <w:szCs w:val="21"/>
          <w:highlight w:val="none"/>
        </w:rPr>
      </w:pPr>
      <w:r>
        <w:rPr>
          <w:rFonts w:hint="eastAsia" w:ascii="宋体"/>
          <w:szCs w:val="21"/>
          <w:highlight w:val="none"/>
        </w:rPr>
        <w:t>第二章  投标人须知</w:t>
      </w:r>
    </w:p>
    <w:p w14:paraId="12FC4BF6">
      <w:pPr>
        <w:spacing w:line="440" w:lineRule="exact"/>
        <w:ind w:firstLine="1470" w:firstLineChars="700"/>
        <w:rPr>
          <w:rFonts w:hint="eastAsia" w:ascii="宋体"/>
          <w:szCs w:val="21"/>
          <w:highlight w:val="none"/>
        </w:rPr>
      </w:pPr>
      <w:r>
        <w:rPr>
          <w:rFonts w:hint="eastAsia" w:ascii="宋体"/>
          <w:szCs w:val="21"/>
          <w:highlight w:val="none"/>
        </w:rPr>
        <w:t>第三章  资格审查办法</w:t>
      </w:r>
    </w:p>
    <w:p w14:paraId="5DE1D178">
      <w:pPr>
        <w:spacing w:line="440" w:lineRule="exact"/>
        <w:ind w:firstLine="1470" w:firstLineChars="700"/>
        <w:rPr>
          <w:rFonts w:hint="eastAsia" w:ascii="宋体"/>
          <w:szCs w:val="21"/>
          <w:highlight w:val="none"/>
        </w:rPr>
      </w:pPr>
      <w:r>
        <w:rPr>
          <w:rFonts w:hint="eastAsia" w:ascii="宋体"/>
          <w:szCs w:val="21"/>
          <w:highlight w:val="none"/>
        </w:rPr>
        <w:t>第四章  评标办法</w:t>
      </w:r>
    </w:p>
    <w:p w14:paraId="72BE3308">
      <w:pPr>
        <w:spacing w:line="440" w:lineRule="exact"/>
        <w:ind w:firstLine="1470" w:firstLineChars="700"/>
        <w:rPr>
          <w:rFonts w:hint="eastAsia" w:ascii="宋体" w:eastAsia="宋体"/>
          <w:szCs w:val="21"/>
          <w:highlight w:val="none"/>
          <w:lang w:eastAsia="zh-CN"/>
        </w:rPr>
      </w:pPr>
      <w:r>
        <w:rPr>
          <w:rFonts w:hint="eastAsia" w:ascii="宋体"/>
          <w:szCs w:val="21"/>
          <w:highlight w:val="none"/>
        </w:rPr>
        <w:t xml:space="preserve">第五章  </w:t>
      </w:r>
      <w:r>
        <w:rPr>
          <w:rFonts w:hint="eastAsia" w:ascii="宋体" w:hAnsi="宋体" w:cs="宋体"/>
          <w:szCs w:val="21"/>
          <w:highlight w:val="none"/>
          <w:lang w:eastAsia="zh-CN"/>
        </w:rPr>
        <w:t>用户需求书</w:t>
      </w:r>
    </w:p>
    <w:p w14:paraId="79DDC198">
      <w:pPr>
        <w:spacing w:line="440" w:lineRule="exact"/>
        <w:ind w:firstLine="1470" w:firstLineChars="700"/>
        <w:rPr>
          <w:rFonts w:hint="eastAsia" w:ascii="宋体"/>
          <w:szCs w:val="21"/>
          <w:highlight w:val="none"/>
        </w:rPr>
      </w:pPr>
      <w:r>
        <w:rPr>
          <w:rFonts w:hint="eastAsia" w:ascii="宋体"/>
          <w:szCs w:val="21"/>
          <w:highlight w:val="none"/>
        </w:rPr>
        <w:t>第六章  合同条款及格式</w:t>
      </w:r>
    </w:p>
    <w:p w14:paraId="197BEEBF">
      <w:pPr>
        <w:spacing w:line="440" w:lineRule="exact"/>
        <w:ind w:firstLine="1470" w:firstLineChars="700"/>
        <w:rPr>
          <w:rFonts w:hint="eastAsia" w:ascii="宋体"/>
          <w:szCs w:val="21"/>
          <w:highlight w:val="none"/>
        </w:rPr>
      </w:pPr>
      <w:r>
        <w:rPr>
          <w:rFonts w:hint="eastAsia" w:ascii="宋体"/>
          <w:szCs w:val="21"/>
          <w:highlight w:val="none"/>
        </w:rPr>
        <w:t>第七章  投标文件格式</w:t>
      </w:r>
    </w:p>
    <w:p w14:paraId="25DCA4DC">
      <w:pPr>
        <w:spacing w:line="440" w:lineRule="exact"/>
        <w:ind w:firstLine="1470" w:firstLineChars="700"/>
        <w:rPr>
          <w:rFonts w:hint="eastAsia"/>
          <w:highlight w:val="none"/>
        </w:rPr>
      </w:pPr>
      <w:r>
        <w:rPr>
          <w:rFonts w:hint="eastAsia" w:ascii="宋体"/>
          <w:szCs w:val="21"/>
          <w:highlight w:val="none"/>
        </w:rPr>
        <w:t>第八章  招标单位、招标代理机构对本招标文件的确认</w:t>
      </w:r>
    </w:p>
    <w:p w14:paraId="1007DC06">
      <w:pPr>
        <w:spacing w:line="440" w:lineRule="exact"/>
        <w:ind w:firstLine="420" w:firstLineChars="200"/>
        <w:rPr>
          <w:rFonts w:hint="eastAsia" w:ascii="宋体"/>
          <w:szCs w:val="21"/>
          <w:highlight w:val="none"/>
        </w:rPr>
      </w:pPr>
      <w:r>
        <w:rPr>
          <w:rFonts w:hint="eastAsia" w:ascii="宋体"/>
          <w:szCs w:val="21"/>
          <w:highlight w:val="none"/>
        </w:rPr>
        <w:t>16.2 除16.1款内容外，招标答疑亦为招标文件的组成部分，对招标人和投标人起约束作用。</w:t>
      </w:r>
    </w:p>
    <w:p w14:paraId="36A810A0">
      <w:pPr>
        <w:spacing w:line="440" w:lineRule="exact"/>
        <w:ind w:firstLine="420" w:firstLineChars="200"/>
        <w:rPr>
          <w:rFonts w:hint="eastAsia" w:ascii="宋体"/>
          <w:szCs w:val="21"/>
          <w:highlight w:val="none"/>
        </w:rPr>
      </w:pPr>
      <w:r>
        <w:rPr>
          <w:rFonts w:hint="eastAsia" w:ascii="宋体"/>
          <w:szCs w:val="21"/>
          <w:highlight w:val="none"/>
        </w:rPr>
        <w:t>16.3投标人应仔细阅读和检查招标文件的全部内容。如发现缺页或附件不全，应及时向招标人提出，以便补齐。</w:t>
      </w:r>
    </w:p>
    <w:p w14:paraId="289A5B26">
      <w:pPr>
        <w:spacing w:line="440" w:lineRule="exact"/>
        <w:ind w:firstLine="420" w:firstLineChars="200"/>
        <w:rPr>
          <w:rFonts w:hint="eastAsia" w:ascii="宋体"/>
          <w:szCs w:val="21"/>
          <w:highlight w:val="none"/>
        </w:rPr>
      </w:pPr>
      <w:r>
        <w:rPr>
          <w:rFonts w:hint="eastAsia" w:ascii="宋体"/>
          <w:szCs w:val="21"/>
          <w:highlight w:val="none"/>
        </w:rPr>
        <w:t>16.4 当招标文件、招标文件的澄清或修改等在同一内容的表述上不一致时，以最后发出的文件为准。</w:t>
      </w:r>
    </w:p>
    <w:p w14:paraId="0AB54A99">
      <w:pPr>
        <w:spacing w:line="440" w:lineRule="exact"/>
        <w:ind w:firstLine="422" w:firstLineChars="200"/>
        <w:rPr>
          <w:rFonts w:ascii="宋体"/>
          <w:b/>
          <w:bCs/>
          <w:szCs w:val="21"/>
          <w:highlight w:val="none"/>
        </w:rPr>
      </w:pPr>
      <w:r>
        <w:rPr>
          <w:rFonts w:hint="eastAsia" w:ascii="宋体"/>
          <w:b/>
          <w:bCs/>
          <w:szCs w:val="21"/>
          <w:highlight w:val="none"/>
        </w:rPr>
        <w:t>17.招标文件的异议、澄清</w:t>
      </w:r>
    </w:p>
    <w:p w14:paraId="0143EBF2">
      <w:pPr>
        <w:spacing w:line="440" w:lineRule="exact"/>
        <w:ind w:firstLine="420" w:firstLineChars="200"/>
        <w:rPr>
          <w:rFonts w:hint="eastAsia" w:ascii="宋体"/>
          <w:bCs/>
          <w:szCs w:val="21"/>
          <w:highlight w:val="none"/>
        </w:rPr>
      </w:pPr>
      <w:r>
        <w:rPr>
          <w:rFonts w:hint="eastAsia" w:ascii="宋体"/>
          <w:bCs/>
          <w:szCs w:val="21"/>
          <w:highlight w:val="none"/>
        </w:rPr>
        <w:t>17.1投标人或其他利害关系人投标人应仔细阅读和检查招标文件的全部内容，对招标文件有异议的，应在投标截止时间10日前以以投标人须知前附表规定的网上留言或书面形式提出。招标人将在收到异议之日起3日内作出答复；作出答复前，将暂停招标投标活动。</w:t>
      </w:r>
    </w:p>
    <w:p w14:paraId="542A49CB">
      <w:pPr>
        <w:spacing w:line="440" w:lineRule="exact"/>
        <w:ind w:firstLine="420" w:firstLineChars="200"/>
        <w:rPr>
          <w:rFonts w:hint="eastAsia" w:ascii="宋体"/>
          <w:bCs/>
          <w:szCs w:val="21"/>
          <w:highlight w:val="none"/>
        </w:rPr>
      </w:pPr>
      <w:r>
        <w:rPr>
          <w:rFonts w:hint="eastAsia" w:ascii="宋体"/>
          <w:bCs/>
          <w:szCs w:val="21"/>
          <w:highlight w:val="none"/>
        </w:rPr>
        <w:t>17.2 招标人可以澄清招标文件，并以以投标人须知前附表规定澄清的方式在滁州市公共资源交易中心网站发布。但如果修改招标文件的时间距投标截止时间不足15天，并且修改内容影响投标文件编制的，将相应延长投标截止时间。</w:t>
      </w:r>
    </w:p>
    <w:p w14:paraId="5B11A989">
      <w:pPr>
        <w:spacing w:line="440" w:lineRule="exact"/>
        <w:rPr>
          <w:rFonts w:hint="eastAsia" w:ascii="宋体"/>
          <w:b/>
          <w:szCs w:val="21"/>
          <w:highlight w:val="none"/>
        </w:rPr>
      </w:pPr>
      <w:r>
        <w:rPr>
          <w:rFonts w:hint="eastAsia" w:ascii="宋体" w:cs="宋体"/>
          <w:b/>
          <w:szCs w:val="21"/>
          <w:highlight w:val="none"/>
        </w:rPr>
        <w:t xml:space="preserve">    </w:t>
      </w:r>
      <w:r>
        <w:rPr>
          <w:rFonts w:hint="eastAsia"/>
          <w:b/>
          <w:szCs w:val="21"/>
          <w:highlight w:val="none"/>
        </w:rPr>
        <w:t xml:space="preserve">18. </w:t>
      </w:r>
      <w:r>
        <w:rPr>
          <w:rFonts w:hint="eastAsia" w:ascii="宋体"/>
          <w:b/>
          <w:szCs w:val="21"/>
          <w:highlight w:val="none"/>
        </w:rPr>
        <w:t>招标文件的发出</w:t>
      </w:r>
    </w:p>
    <w:p w14:paraId="2C9DED21">
      <w:pPr>
        <w:spacing w:line="440" w:lineRule="exact"/>
        <w:ind w:firstLine="420" w:firstLineChars="200"/>
        <w:rPr>
          <w:rFonts w:hint="eastAsia" w:ascii="宋体"/>
          <w:szCs w:val="21"/>
          <w:highlight w:val="none"/>
        </w:rPr>
      </w:pPr>
      <w:r>
        <w:rPr>
          <w:rFonts w:hint="eastAsia" w:ascii="宋体"/>
          <w:szCs w:val="21"/>
          <w:highlight w:val="none"/>
        </w:rPr>
        <w:t>18.1招标文件、招标文件的澄清、修改、补充及招标答疑等均应报公共资源交易监督管理机构备案后，方可发出。</w:t>
      </w:r>
    </w:p>
    <w:p w14:paraId="0DFAEBE6">
      <w:pPr>
        <w:spacing w:line="440" w:lineRule="exact"/>
        <w:ind w:firstLine="422" w:firstLineChars="200"/>
        <w:outlineLvl w:val="3"/>
        <w:rPr>
          <w:rFonts w:ascii="宋体"/>
          <w:b/>
          <w:bCs/>
          <w:color w:val="auto"/>
          <w:szCs w:val="21"/>
          <w:highlight w:val="none"/>
        </w:rPr>
      </w:pPr>
      <w:r>
        <w:rPr>
          <w:rFonts w:hint="eastAsia" w:ascii="宋体"/>
          <w:b/>
          <w:bCs/>
          <w:color w:val="auto"/>
          <w:szCs w:val="21"/>
          <w:highlight w:val="none"/>
        </w:rPr>
        <w:t>19. 样品（本项目不采用）</w:t>
      </w:r>
    </w:p>
    <w:p w14:paraId="474E1450">
      <w:pPr>
        <w:spacing w:line="440" w:lineRule="exact"/>
        <w:ind w:firstLine="420" w:firstLineChars="200"/>
        <w:rPr>
          <w:rFonts w:hint="eastAsia" w:ascii="宋体"/>
          <w:color w:val="auto"/>
          <w:szCs w:val="21"/>
          <w:highlight w:val="none"/>
        </w:rPr>
      </w:pPr>
      <w:r>
        <w:rPr>
          <w:rFonts w:hint="eastAsia" w:ascii="宋体"/>
          <w:color w:val="auto"/>
          <w:szCs w:val="21"/>
          <w:highlight w:val="none"/>
        </w:rPr>
        <w:t>19.1凡需要设置样品情形时，必须明确是否需要随样品提交检测报告，并明确检测机构的要求、检测内容、中标样品封存等事项。评标委员会无法判断样品是否合格且样品需要提供给第三方权威检测机构检测的,在投标人提供招标人认可的第三方权威检测机构检测报告后，评标委员会推荐的中标候选人方可生效，招标人或代理机构发布中标（成交）结果公告。</w:t>
      </w:r>
    </w:p>
    <w:p w14:paraId="5303A113">
      <w:pPr>
        <w:spacing w:line="440" w:lineRule="exact"/>
        <w:ind w:firstLine="420" w:firstLineChars="200"/>
        <w:rPr>
          <w:rFonts w:hint="eastAsia" w:ascii="宋体"/>
          <w:color w:val="auto"/>
          <w:szCs w:val="21"/>
          <w:highlight w:val="none"/>
        </w:rPr>
      </w:pPr>
      <w:r>
        <w:rPr>
          <w:rFonts w:hint="eastAsia" w:ascii="宋体"/>
          <w:color w:val="auto"/>
          <w:szCs w:val="21"/>
          <w:highlight w:val="none"/>
        </w:rPr>
        <w:t>19.2招标文件中应明确样品送检方式、检测费用支付方法、投标人在规定时间内无法提供第三方权威检测机构检测报告的处理方式。</w:t>
      </w:r>
    </w:p>
    <w:p w14:paraId="7586EE5D">
      <w:pPr>
        <w:spacing w:before="240" w:beforeLines="100" w:after="240" w:afterLines="100" w:line="440" w:lineRule="exact"/>
        <w:jc w:val="center"/>
        <w:rPr>
          <w:rFonts w:hint="eastAsia" w:ascii="宋体"/>
          <w:b/>
          <w:sz w:val="28"/>
          <w:szCs w:val="28"/>
          <w:highlight w:val="none"/>
        </w:rPr>
      </w:pPr>
      <w:bookmarkStart w:id="58" w:name="_Toc449028869"/>
      <w:r>
        <w:rPr>
          <w:rFonts w:hint="eastAsia" w:ascii="宋体"/>
          <w:b/>
          <w:sz w:val="28"/>
          <w:szCs w:val="28"/>
          <w:highlight w:val="none"/>
        </w:rPr>
        <w:t>（三）投标文件的编制</w:t>
      </w:r>
      <w:bookmarkEnd w:id="58"/>
    </w:p>
    <w:p w14:paraId="36F1521C">
      <w:pPr>
        <w:spacing w:line="440" w:lineRule="exact"/>
        <w:ind w:firstLine="422" w:firstLineChars="200"/>
        <w:rPr>
          <w:rFonts w:hint="eastAsia" w:ascii="宋体"/>
          <w:b/>
          <w:bCs/>
          <w:szCs w:val="21"/>
          <w:highlight w:val="none"/>
        </w:rPr>
      </w:pPr>
      <w:r>
        <w:rPr>
          <w:rFonts w:hint="eastAsia" w:ascii="宋体"/>
          <w:b/>
          <w:bCs/>
          <w:szCs w:val="21"/>
          <w:highlight w:val="none"/>
        </w:rPr>
        <w:t>20. 投标的语言及度量衡单位</w:t>
      </w:r>
    </w:p>
    <w:p w14:paraId="3BFBE560">
      <w:pPr>
        <w:spacing w:line="440" w:lineRule="exact"/>
        <w:ind w:firstLine="420" w:firstLineChars="200"/>
        <w:rPr>
          <w:rFonts w:hint="eastAsia" w:ascii="宋体"/>
          <w:szCs w:val="21"/>
          <w:highlight w:val="none"/>
        </w:rPr>
      </w:pPr>
      <w:r>
        <w:rPr>
          <w:rFonts w:hint="eastAsia" w:ascii="宋体"/>
          <w:szCs w:val="21"/>
          <w:highlight w:val="none"/>
        </w:rPr>
        <w:t>20.1投标人的投标文件、以及投标人与招标人就投标的所有往来函电，均须使用简体中文。</w:t>
      </w:r>
    </w:p>
    <w:p w14:paraId="67FF3DAB">
      <w:pPr>
        <w:spacing w:line="440" w:lineRule="exact"/>
        <w:ind w:firstLine="420" w:firstLineChars="200"/>
        <w:rPr>
          <w:rFonts w:hint="eastAsia" w:ascii="宋体"/>
          <w:szCs w:val="21"/>
          <w:highlight w:val="none"/>
        </w:rPr>
      </w:pPr>
      <w:r>
        <w:rPr>
          <w:rFonts w:hint="eastAsia" w:ascii="宋体"/>
          <w:szCs w:val="21"/>
          <w:highlight w:val="none"/>
        </w:rPr>
        <w:t>20.2除招标文件中另有规定外，投标书所使用的度量衡均须采用法定计量单位。</w:t>
      </w:r>
    </w:p>
    <w:p w14:paraId="380DFE23">
      <w:pPr>
        <w:numPr>
          <w:ilvl w:val="0"/>
          <w:numId w:val="8"/>
        </w:numPr>
        <w:spacing w:line="440" w:lineRule="exact"/>
        <w:ind w:firstLine="422" w:firstLineChars="200"/>
        <w:rPr>
          <w:rFonts w:hint="eastAsia" w:ascii="宋体"/>
          <w:b/>
          <w:bCs/>
          <w:szCs w:val="21"/>
          <w:highlight w:val="none"/>
        </w:rPr>
      </w:pPr>
      <w:r>
        <w:rPr>
          <w:rFonts w:hint="eastAsia" w:ascii="宋体"/>
          <w:b/>
          <w:bCs/>
          <w:szCs w:val="21"/>
          <w:highlight w:val="none"/>
        </w:rPr>
        <w:t>投标文件的组成、编制</w:t>
      </w:r>
    </w:p>
    <w:p w14:paraId="44D92DC7">
      <w:pPr>
        <w:spacing w:line="440" w:lineRule="exact"/>
        <w:ind w:firstLine="422" w:firstLineChars="200"/>
        <w:rPr>
          <w:rFonts w:hint="eastAsia" w:ascii="宋体"/>
          <w:b/>
          <w:bCs/>
          <w:szCs w:val="21"/>
          <w:highlight w:val="none"/>
        </w:rPr>
      </w:pPr>
      <w:r>
        <w:rPr>
          <w:rFonts w:hint="eastAsia" w:ascii="宋体"/>
          <w:b/>
          <w:bCs/>
          <w:szCs w:val="21"/>
          <w:highlight w:val="none"/>
        </w:rPr>
        <w:t>21.1投标文件的组成</w:t>
      </w:r>
    </w:p>
    <w:p w14:paraId="755F3F4C">
      <w:pPr>
        <w:spacing w:line="400" w:lineRule="exact"/>
        <w:ind w:firstLine="420" w:firstLineChars="200"/>
        <w:rPr>
          <w:rFonts w:hint="eastAsia" w:ascii="宋体" w:hAnsi="宋体"/>
          <w:b/>
          <w:bCs/>
          <w:szCs w:val="21"/>
          <w:highlight w:val="none"/>
        </w:rPr>
      </w:pPr>
      <w:r>
        <w:rPr>
          <w:rFonts w:hint="eastAsia" w:ascii="宋体" w:hAnsi="宋体"/>
          <w:color w:val="auto"/>
          <w:szCs w:val="21"/>
          <w:highlight w:val="none"/>
        </w:rPr>
        <w:t>投标文件由投标文件一（资信证明文件）</w:t>
      </w:r>
      <w:r>
        <w:rPr>
          <w:rFonts w:hint="eastAsia" w:ascii="宋体" w:hAnsi="宋体"/>
          <w:color w:val="auto"/>
          <w:szCs w:val="21"/>
          <w:highlight w:val="none"/>
          <w:lang w:val="en-US" w:eastAsia="zh-CN"/>
        </w:rPr>
        <w:t>和</w:t>
      </w:r>
      <w:r>
        <w:rPr>
          <w:rFonts w:hint="eastAsia" w:ascii="宋体" w:hAnsi="宋体"/>
          <w:color w:val="auto"/>
          <w:szCs w:val="21"/>
          <w:highlight w:val="none"/>
        </w:rPr>
        <w:t>投标文件</w:t>
      </w:r>
      <w:r>
        <w:rPr>
          <w:rFonts w:hint="eastAsia" w:ascii="宋体" w:hAnsi="宋体"/>
          <w:color w:val="auto"/>
          <w:szCs w:val="21"/>
          <w:highlight w:val="none"/>
          <w:lang w:val="en-US" w:eastAsia="zh-CN"/>
        </w:rPr>
        <w:t>二</w:t>
      </w:r>
      <w:r>
        <w:rPr>
          <w:rFonts w:hint="eastAsia" w:ascii="宋体" w:hAnsi="宋体"/>
          <w:color w:val="auto"/>
          <w:szCs w:val="21"/>
          <w:highlight w:val="none"/>
        </w:rPr>
        <w:t>（商务标）</w:t>
      </w:r>
      <w:r>
        <w:rPr>
          <w:rFonts w:hint="eastAsia" w:ascii="宋体" w:hAnsi="宋体"/>
          <w:color w:val="auto"/>
          <w:szCs w:val="21"/>
          <w:highlight w:val="none"/>
          <w:lang w:val="en-US" w:eastAsia="zh-CN"/>
        </w:rPr>
        <w:t>两</w:t>
      </w:r>
      <w:r>
        <w:rPr>
          <w:rFonts w:hint="eastAsia" w:ascii="宋体" w:hAnsi="宋体"/>
          <w:color w:val="auto"/>
          <w:szCs w:val="21"/>
          <w:highlight w:val="none"/>
        </w:rPr>
        <w:t>部分组成。</w:t>
      </w:r>
      <w:r>
        <w:rPr>
          <w:rFonts w:hint="eastAsia" w:ascii="宋体" w:hAnsi="宋体"/>
          <w:b/>
          <w:bCs/>
          <w:szCs w:val="21"/>
          <w:highlight w:val="none"/>
        </w:rPr>
        <w:t>具体详见第七章投标文件格式内容。</w:t>
      </w:r>
    </w:p>
    <w:p w14:paraId="0CA1FF44">
      <w:pPr>
        <w:spacing w:line="400" w:lineRule="exact"/>
        <w:ind w:firstLine="420" w:firstLineChars="200"/>
        <w:rPr>
          <w:rFonts w:hint="eastAsia" w:ascii="宋体" w:hAnsi="宋体"/>
          <w:szCs w:val="21"/>
          <w:highlight w:val="none"/>
        </w:rPr>
      </w:pPr>
      <w:r>
        <w:rPr>
          <w:rFonts w:hint="eastAsia" w:ascii="宋体" w:hAnsi="宋体"/>
          <w:szCs w:val="21"/>
          <w:highlight w:val="none"/>
        </w:rPr>
        <w:t>21.2投标文件的编制</w:t>
      </w:r>
    </w:p>
    <w:p w14:paraId="28A1A017">
      <w:pPr>
        <w:spacing w:line="400" w:lineRule="exact"/>
        <w:ind w:firstLine="420" w:firstLineChars="200"/>
        <w:rPr>
          <w:rFonts w:hint="eastAsia" w:ascii="宋体" w:hAnsi="宋体"/>
          <w:szCs w:val="21"/>
          <w:highlight w:val="none"/>
        </w:rPr>
      </w:pPr>
      <w:r>
        <w:rPr>
          <w:rFonts w:hint="eastAsia" w:ascii="宋体" w:hAnsi="宋体"/>
          <w:szCs w:val="21"/>
          <w:highlight w:val="none"/>
        </w:rPr>
        <w:t>21.2.1投标文件应按第七章“投标文件格式”进行编写，如有必要，可以增加附页，作为投标文件的组成部分。其中，投标函在满足招标文件实质性要求的基础上，可以提出比招标文件要求更有利于招标人的承诺。</w:t>
      </w:r>
    </w:p>
    <w:p w14:paraId="7CCA704A">
      <w:pPr>
        <w:spacing w:line="400" w:lineRule="exact"/>
        <w:ind w:firstLine="420" w:firstLineChars="200"/>
        <w:rPr>
          <w:rFonts w:hint="eastAsia" w:ascii="宋体" w:hAnsi="宋体"/>
          <w:szCs w:val="21"/>
          <w:highlight w:val="none"/>
        </w:rPr>
      </w:pPr>
      <w:r>
        <w:rPr>
          <w:rFonts w:hint="eastAsia" w:ascii="宋体" w:hAnsi="宋体"/>
          <w:szCs w:val="21"/>
          <w:highlight w:val="none"/>
        </w:rPr>
        <w:t>21.2.2本次投标不需要提供纸质投标文件，投标人应按照电子招标投标的要求，在投标人的电子系统中制作、签章、上传加密的电子投标文件。</w:t>
      </w:r>
    </w:p>
    <w:p w14:paraId="1CAAD8B1">
      <w:pPr>
        <w:spacing w:line="400" w:lineRule="exact"/>
        <w:ind w:firstLine="420" w:firstLineChars="200"/>
        <w:rPr>
          <w:rFonts w:hint="eastAsia" w:ascii="宋体" w:hAnsi="宋体"/>
          <w:szCs w:val="21"/>
          <w:highlight w:val="none"/>
        </w:rPr>
      </w:pPr>
      <w:r>
        <w:rPr>
          <w:rFonts w:hint="eastAsia" w:ascii="宋体" w:hAnsi="宋体"/>
          <w:szCs w:val="21"/>
          <w:highlight w:val="none"/>
        </w:rPr>
        <w:t>21.2.3投标文件应当对招标文件有关工期、投标有效期、质量要求、技术标准和要求、招标范围等实质性内容作出响应。</w:t>
      </w:r>
    </w:p>
    <w:p w14:paraId="0321C3C9">
      <w:pPr>
        <w:spacing w:line="400" w:lineRule="exact"/>
        <w:ind w:firstLine="420" w:firstLineChars="200"/>
        <w:rPr>
          <w:rFonts w:hint="eastAsia" w:ascii="宋体" w:hAnsi="宋体"/>
          <w:szCs w:val="21"/>
          <w:highlight w:val="none"/>
        </w:rPr>
      </w:pPr>
      <w:r>
        <w:rPr>
          <w:rFonts w:hint="eastAsia" w:ascii="宋体" w:hAnsi="宋体"/>
          <w:szCs w:val="21"/>
          <w:highlight w:val="none"/>
        </w:rPr>
        <w:t>21.2.4招标人有权核查投标人在投标文件中提供的资料，若在评标期间发现投标人提供了虚假资料，其投标将被否决；若在签订合同前发现作为中标候选人的投标人提供了虚假资料，招标人有权取消其中标资格；如果签订合同后发现中标人提供了虚假材料，招标人有权解除合同。同时招标人将投标人上述弄虚作假行为上报公共资源交易监督管理部门处理。</w:t>
      </w:r>
    </w:p>
    <w:p w14:paraId="25BD0F79">
      <w:pPr>
        <w:spacing w:line="400" w:lineRule="exact"/>
        <w:ind w:firstLine="420" w:firstLineChars="200"/>
        <w:rPr>
          <w:rFonts w:hint="eastAsia" w:ascii="宋体" w:hAnsi="宋体"/>
          <w:szCs w:val="21"/>
          <w:highlight w:val="none"/>
        </w:rPr>
      </w:pPr>
      <w:r>
        <w:rPr>
          <w:rFonts w:hint="eastAsia" w:ascii="宋体" w:hAnsi="宋体"/>
          <w:szCs w:val="21"/>
          <w:highlight w:val="none"/>
        </w:rPr>
        <w:t>21.2.5投标文件的制作应满足以下规定：</w:t>
      </w:r>
    </w:p>
    <w:p w14:paraId="5D94E56D">
      <w:pPr>
        <w:spacing w:line="400" w:lineRule="exact"/>
        <w:ind w:firstLine="420" w:firstLineChars="200"/>
        <w:rPr>
          <w:rFonts w:hint="eastAsia" w:ascii="宋体" w:hAnsi="宋体"/>
          <w:szCs w:val="21"/>
          <w:highlight w:val="none"/>
        </w:rPr>
      </w:pPr>
      <w:r>
        <w:rPr>
          <w:rFonts w:hint="eastAsia" w:ascii="宋体" w:hAnsi="宋体"/>
          <w:szCs w:val="21"/>
          <w:highlight w:val="none"/>
        </w:rPr>
        <w:t>（1）投标文件由投标人使用电子交易系统提供的“投标文件制作工具”制作生成。“投标文件制作工具”可以通过电子交易系统下载。</w:t>
      </w:r>
    </w:p>
    <w:p w14:paraId="46FF137C">
      <w:pPr>
        <w:spacing w:line="400" w:lineRule="exact"/>
        <w:ind w:firstLine="420" w:firstLineChars="200"/>
        <w:rPr>
          <w:rFonts w:hint="eastAsia" w:ascii="宋体" w:hAnsi="宋体"/>
          <w:szCs w:val="21"/>
          <w:highlight w:val="none"/>
        </w:rPr>
      </w:pPr>
      <w:r>
        <w:rPr>
          <w:rFonts w:hint="eastAsia" w:ascii="宋体" w:hAnsi="宋体"/>
          <w:szCs w:val="21"/>
          <w:highlight w:val="none"/>
        </w:rPr>
        <w:t>（2）招标文件中“签章”是指签字或盖章。在第七章“投标文件格式”中要求签章处，投标人应加盖投标人单位电子印章和法定代表人的个人电子印章/电子签名章或直接上传加盖投标人单位印章和法定代表人的印章（或签字）的原件彩色扫描件。联合体投标的，除联合体协议书外，投标文件由联合体牵头人按上述规定加盖联合体牵头人单位电子印章和法定代表人的个人电子印章/电子签名章或直接上传加盖联合体牵头人单位印章和法定代表人的印章（或签字）的原件彩色扫描件。</w:t>
      </w:r>
    </w:p>
    <w:p w14:paraId="2376E31E">
      <w:pPr>
        <w:spacing w:line="400" w:lineRule="exact"/>
        <w:ind w:firstLine="420" w:firstLineChars="200"/>
        <w:rPr>
          <w:rFonts w:hint="eastAsia" w:ascii="宋体" w:hAnsi="宋体"/>
          <w:szCs w:val="21"/>
          <w:highlight w:val="none"/>
        </w:rPr>
      </w:pPr>
      <w:r>
        <w:rPr>
          <w:rFonts w:hint="eastAsia" w:ascii="宋体" w:hAnsi="宋体"/>
          <w:szCs w:val="21"/>
          <w:highlight w:val="none"/>
        </w:rPr>
        <w:t>（3）投标文件制作完成后，投标人应对投标文件进行文件加密，形成加密的投标文件。采用CA数字证书加密的，加密时投标文件的所有内容均只能使用同一把CA数字证书进行加密，否则引起的解密失败责任由投标人自行承担。</w:t>
      </w:r>
    </w:p>
    <w:p w14:paraId="58921198">
      <w:pPr>
        <w:spacing w:line="400" w:lineRule="exact"/>
        <w:ind w:firstLine="420" w:firstLineChars="200"/>
        <w:rPr>
          <w:rFonts w:hint="eastAsia" w:ascii="宋体" w:hAnsi="宋体"/>
          <w:szCs w:val="21"/>
          <w:highlight w:val="none"/>
        </w:rPr>
      </w:pPr>
      <w:r>
        <w:rPr>
          <w:rFonts w:hint="eastAsia" w:ascii="宋体" w:hAnsi="宋体"/>
          <w:szCs w:val="21"/>
          <w:highlight w:val="none"/>
        </w:rPr>
        <w:t>（4）投标文件制作的具体方法详见“投标文件制作工具”中的帮助文档。</w:t>
      </w:r>
    </w:p>
    <w:p w14:paraId="52342D86">
      <w:pPr>
        <w:spacing w:line="400" w:lineRule="exact"/>
        <w:ind w:firstLine="420" w:firstLineChars="200"/>
        <w:rPr>
          <w:rFonts w:hint="eastAsia" w:ascii="宋体" w:hAnsi="宋体"/>
          <w:szCs w:val="21"/>
          <w:highlight w:val="none"/>
        </w:rPr>
      </w:pPr>
      <w:r>
        <w:rPr>
          <w:rFonts w:hint="eastAsia" w:ascii="宋体" w:hAnsi="宋体"/>
          <w:szCs w:val="21"/>
          <w:highlight w:val="none"/>
        </w:rPr>
        <w:t>21.2.6 因投标人自身原因而导致投标文件无法导入电子交易系统电子开标、评标系统，该投标视为无效投标，投标人自行承担由此导致的全部责任。</w:t>
      </w:r>
    </w:p>
    <w:p w14:paraId="54AB30CC">
      <w:pPr>
        <w:spacing w:line="400" w:lineRule="exact"/>
        <w:ind w:firstLine="420" w:firstLineChars="200"/>
        <w:rPr>
          <w:rFonts w:ascii="宋体"/>
          <w:b/>
          <w:szCs w:val="21"/>
          <w:highlight w:val="none"/>
        </w:rPr>
      </w:pPr>
      <w:r>
        <w:rPr>
          <w:rFonts w:hint="eastAsia" w:ascii="宋体" w:hAnsi="宋体"/>
          <w:szCs w:val="21"/>
          <w:highlight w:val="none"/>
        </w:rPr>
        <w:t>21.2.7 投标人中标后须递交与网上电子投标文件完全一致的纸质版投标文件，在领取中标通知书时，一并递交给招标代理机构。</w:t>
      </w:r>
    </w:p>
    <w:p w14:paraId="36AF38CE">
      <w:pPr>
        <w:spacing w:line="440" w:lineRule="exact"/>
        <w:ind w:firstLine="422" w:firstLineChars="200"/>
        <w:rPr>
          <w:rFonts w:hint="eastAsia" w:ascii="宋体"/>
          <w:szCs w:val="21"/>
          <w:highlight w:val="none"/>
        </w:rPr>
      </w:pPr>
      <w:r>
        <w:rPr>
          <w:rFonts w:hint="eastAsia" w:ascii="宋体"/>
          <w:b/>
          <w:szCs w:val="21"/>
          <w:highlight w:val="none"/>
        </w:rPr>
        <w:t>22</w:t>
      </w:r>
      <w:r>
        <w:rPr>
          <w:rFonts w:hint="eastAsia" w:ascii="宋体"/>
          <w:szCs w:val="21"/>
          <w:highlight w:val="none"/>
        </w:rPr>
        <w:t>.</w:t>
      </w:r>
      <w:r>
        <w:rPr>
          <w:rFonts w:hint="eastAsia" w:ascii="宋体"/>
          <w:b/>
          <w:szCs w:val="21"/>
          <w:highlight w:val="none"/>
        </w:rPr>
        <w:t>投标报价</w:t>
      </w:r>
    </w:p>
    <w:p w14:paraId="2B09C7CD">
      <w:pPr>
        <w:spacing w:line="400" w:lineRule="exact"/>
        <w:ind w:firstLine="403" w:firstLineChars="192"/>
        <w:rPr>
          <w:rFonts w:hint="eastAsia" w:ascii="宋体"/>
          <w:szCs w:val="21"/>
          <w:highlight w:val="none"/>
        </w:rPr>
      </w:pPr>
      <w:r>
        <w:rPr>
          <w:rFonts w:hint="eastAsia" w:ascii="宋体"/>
          <w:szCs w:val="21"/>
          <w:highlight w:val="none"/>
        </w:rPr>
        <w:t>22.1</w:t>
      </w:r>
      <w:r>
        <w:rPr>
          <w:rFonts w:hint="eastAsia" w:ascii="宋体"/>
          <w:color w:val="000000"/>
          <w:szCs w:val="21"/>
          <w:highlight w:val="none"/>
        </w:rPr>
        <w:t>投标报价文件中的单价和总价全部采用人民币表示。投标人的报价应含有</w:t>
      </w:r>
      <w:r>
        <w:rPr>
          <w:rFonts w:hint="eastAsia" w:ascii="宋体"/>
          <w:color w:val="000000"/>
          <w:szCs w:val="21"/>
          <w:highlight w:val="none"/>
          <w:lang w:val="en-US" w:eastAsia="zh-CN"/>
        </w:rPr>
        <w:t>服务</w:t>
      </w:r>
      <w:r>
        <w:rPr>
          <w:rFonts w:hint="eastAsia" w:ascii="宋体"/>
          <w:color w:val="000000"/>
          <w:szCs w:val="21"/>
          <w:highlight w:val="none"/>
        </w:rPr>
        <w:t>、利润、税金、政策性文件规定及合同包含的所有风险、责任、义务等，即为完成招标文件要求的</w:t>
      </w:r>
      <w:r>
        <w:rPr>
          <w:rFonts w:hint="eastAsia" w:ascii="宋体"/>
          <w:color w:val="000000"/>
          <w:szCs w:val="21"/>
          <w:highlight w:val="none"/>
          <w:lang w:val="en-US" w:eastAsia="zh-CN"/>
        </w:rPr>
        <w:t>服务</w:t>
      </w:r>
      <w:r>
        <w:rPr>
          <w:rFonts w:hint="eastAsia" w:ascii="宋体"/>
          <w:color w:val="000000"/>
          <w:szCs w:val="21"/>
          <w:highlight w:val="none"/>
        </w:rPr>
        <w:t>内容所包含的一切应有费用，</w:t>
      </w:r>
      <w:r>
        <w:rPr>
          <w:rFonts w:hint="eastAsia" w:ascii="宋体" w:hAnsi="宋体" w:eastAsia="宋体" w:cs="Times New Roman"/>
          <w:color w:val="000000"/>
          <w:szCs w:val="21"/>
          <w:highlight w:val="none"/>
          <w:lang w:val="en-US" w:eastAsia="zh-CN"/>
        </w:rPr>
        <w:t>中标价格除合同约定调整内容以外的</w:t>
      </w:r>
      <w:r>
        <w:rPr>
          <w:rFonts w:hint="eastAsia" w:ascii="宋体" w:hAnsi="宋体" w:eastAsia="宋体" w:cs="Times New Roman"/>
          <w:color w:val="000000"/>
          <w:szCs w:val="21"/>
          <w:highlight w:val="none"/>
        </w:rPr>
        <w:t>今后将不作任何调整</w:t>
      </w:r>
      <w:r>
        <w:rPr>
          <w:rFonts w:hint="eastAsia" w:ascii="宋体" w:hAnsi="宋体" w:eastAsia="宋体" w:cs="Times New Roman"/>
          <w:color w:val="000000"/>
          <w:szCs w:val="21"/>
          <w:highlight w:val="none"/>
          <w:lang w:eastAsia="zh-CN"/>
        </w:rPr>
        <w:t>，</w:t>
      </w:r>
      <w:r>
        <w:rPr>
          <w:rFonts w:hint="eastAsia" w:ascii="宋体" w:eastAsia="宋体"/>
          <w:color w:val="000000"/>
          <w:szCs w:val="21"/>
          <w:highlight w:val="none"/>
          <w:lang w:val="en-US" w:eastAsia="zh-CN"/>
        </w:rPr>
        <w:t>招标人</w:t>
      </w:r>
      <w:r>
        <w:rPr>
          <w:rFonts w:hint="eastAsia" w:ascii="宋体"/>
          <w:color w:val="000000"/>
          <w:szCs w:val="21"/>
          <w:highlight w:val="none"/>
        </w:rPr>
        <w:t>后期不再追加费用，投标</w:t>
      </w:r>
      <w:r>
        <w:rPr>
          <w:rFonts w:hint="eastAsia" w:ascii="宋体"/>
          <w:color w:val="000000"/>
          <w:szCs w:val="21"/>
          <w:highlight w:val="none"/>
          <w:lang w:val="en-US" w:eastAsia="zh-CN"/>
        </w:rPr>
        <w:t>人</w:t>
      </w:r>
      <w:r>
        <w:rPr>
          <w:rFonts w:hint="eastAsia" w:ascii="宋体"/>
          <w:color w:val="000000"/>
          <w:szCs w:val="21"/>
          <w:highlight w:val="none"/>
        </w:rPr>
        <w:t>自行考虑投标风险。</w:t>
      </w:r>
    </w:p>
    <w:p w14:paraId="7BE45388">
      <w:pPr>
        <w:spacing w:line="440" w:lineRule="exact"/>
        <w:ind w:firstLine="420" w:firstLineChars="200"/>
        <w:rPr>
          <w:rFonts w:hint="eastAsia" w:ascii="宋体"/>
          <w:szCs w:val="21"/>
          <w:highlight w:val="none"/>
        </w:rPr>
      </w:pPr>
      <w:r>
        <w:rPr>
          <w:rFonts w:hint="eastAsia" w:ascii="宋体"/>
          <w:szCs w:val="21"/>
          <w:highlight w:val="none"/>
        </w:rPr>
        <w:t>22.2</w:t>
      </w:r>
      <w:r>
        <w:rPr>
          <w:rFonts w:hint="eastAsia" w:ascii="宋体"/>
          <w:color w:val="000000"/>
          <w:szCs w:val="21"/>
          <w:highlight w:val="none"/>
          <w:lang w:eastAsia="zh-CN"/>
        </w:rPr>
        <w:t>分项报价清单</w:t>
      </w:r>
      <w:r>
        <w:rPr>
          <w:rFonts w:hint="eastAsia" w:ascii="宋体"/>
          <w:color w:val="000000"/>
          <w:szCs w:val="21"/>
          <w:highlight w:val="none"/>
        </w:rPr>
        <w:t>上应清楚地标明投标人拟提供货物的名称、型号、生产厂家、数量、单价和总价</w:t>
      </w:r>
      <w:r>
        <w:rPr>
          <w:rFonts w:hint="eastAsia" w:ascii="宋体"/>
          <w:szCs w:val="21"/>
          <w:highlight w:val="none"/>
        </w:rPr>
        <w:t>。</w:t>
      </w:r>
    </w:p>
    <w:p w14:paraId="2B8EEF45">
      <w:pPr>
        <w:spacing w:line="440" w:lineRule="exact"/>
        <w:ind w:firstLine="420" w:firstLineChars="200"/>
        <w:rPr>
          <w:rFonts w:hint="eastAsia" w:ascii="宋体"/>
          <w:szCs w:val="21"/>
          <w:highlight w:val="none"/>
        </w:rPr>
      </w:pPr>
      <w:r>
        <w:rPr>
          <w:rFonts w:hint="eastAsia" w:ascii="宋体"/>
          <w:szCs w:val="21"/>
          <w:highlight w:val="none"/>
        </w:rPr>
        <w:t>22.3</w:t>
      </w:r>
      <w:r>
        <w:rPr>
          <w:rFonts w:hint="eastAsia" w:ascii="宋体"/>
          <w:color w:val="000000"/>
          <w:szCs w:val="21"/>
          <w:highlight w:val="none"/>
        </w:rPr>
        <w:t>投标人只允许有一个方案、一个报价。</w:t>
      </w:r>
    </w:p>
    <w:p w14:paraId="2C418710">
      <w:pPr>
        <w:spacing w:line="440" w:lineRule="exact"/>
        <w:ind w:firstLine="420" w:firstLineChars="200"/>
        <w:rPr>
          <w:rFonts w:hint="eastAsia" w:ascii="宋体"/>
          <w:color w:val="000000"/>
          <w:szCs w:val="21"/>
          <w:highlight w:val="none"/>
        </w:rPr>
      </w:pPr>
      <w:r>
        <w:rPr>
          <w:rFonts w:hint="eastAsia" w:ascii="宋体"/>
          <w:szCs w:val="21"/>
          <w:highlight w:val="none"/>
        </w:rPr>
        <w:t>22.4</w:t>
      </w:r>
      <w:r>
        <w:rPr>
          <w:rFonts w:hint="eastAsia" w:ascii="宋体"/>
          <w:color w:val="000000"/>
          <w:szCs w:val="21"/>
          <w:highlight w:val="none"/>
        </w:rPr>
        <w:t>投标人应按“采购</w:t>
      </w:r>
      <w:r>
        <w:rPr>
          <w:rFonts w:hint="eastAsia" w:ascii="宋体"/>
          <w:color w:val="000000"/>
          <w:szCs w:val="21"/>
          <w:highlight w:val="none"/>
          <w:lang w:val="en-US" w:eastAsia="zh-CN"/>
        </w:rPr>
        <w:t>清单</w:t>
      </w:r>
      <w:r>
        <w:rPr>
          <w:rFonts w:hint="eastAsia" w:ascii="宋体"/>
          <w:color w:val="000000"/>
          <w:szCs w:val="21"/>
          <w:highlight w:val="none"/>
        </w:rPr>
        <w:t>”所列货物逐项进行单价报价，并最终按货物总量乘以货物单价报总价，不得采用总价下浮的方式进行报价。</w:t>
      </w:r>
      <w:r>
        <w:rPr>
          <w:rFonts w:hint="eastAsia" w:ascii="宋体" w:hAnsi="宋体"/>
          <w:color w:val="000000"/>
          <w:szCs w:val="21"/>
          <w:highlight w:val="none"/>
          <w:lang w:val="en-US" w:eastAsia="zh-CN"/>
        </w:rPr>
        <w:t>投标报价</w:t>
      </w:r>
      <w:r>
        <w:rPr>
          <w:rFonts w:hint="eastAsia" w:ascii="宋体" w:hAnsi="宋体"/>
          <w:color w:val="000000"/>
          <w:szCs w:val="21"/>
          <w:highlight w:val="none"/>
        </w:rPr>
        <w:t>包括国家对中标单位征收的各种税费等所有一切费用，综合单价今后将不作任何调整。投标人应当保持单项价格的合理性，严禁出现不平衡报价的情况，项目采购结束后，采购人有权对各单项价格进行核查，对于严重超过市场价格的单价，将在正式合同中明确：对于认定为不平衡报价的单项，如果发生数量变动，将按照有利于</w:t>
      </w:r>
      <w:r>
        <w:rPr>
          <w:rFonts w:hint="eastAsia" w:ascii="宋体" w:hAnsi="宋体"/>
          <w:color w:val="000000"/>
          <w:szCs w:val="21"/>
          <w:highlight w:val="none"/>
          <w:lang w:val="en-US" w:eastAsia="zh-CN"/>
        </w:rPr>
        <w:t>招标人</w:t>
      </w:r>
      <w:r>
        <w:rPr>
          <w:rFonts w:hint="eastAsia" w:ascii="宋体" w:hAnsi="宋体"/>
          <w:color w:val="000000"/>
          <w:szCs w:val="21"/>
          <w:highlight w:val="none"/>
        </w:rPr>
        <w:t>的单价进行认价。</w:t>
      </w:r>
    </w:p>
    <w:p w14:paraId="6C7582BD">
      <w:pPr>
        <w:spacing w:line="440" w:lineRule="exact"/>
        <w:ind w:firstLine="420" w:firstLineChars="200"/>
        <w:rPr>
          <w:rFonts w:hint="eastAsia" w:ascii="宋体"/>
          <w:color w:val="000000"/>
          <w:szCs w:val="21"/>
          <w:highlight w:val="none"/>
        </w:rPr>
      </w:pPr>
      <w:r>
        <w:rPr>
          <w:rFonts w:hint="eastAsia" w:ascii="宋体"/>
          <w:szCs w:val="21"/>
          <w:highlight w:val="none"/>
        </w:rPr>
        <w:t>22.5</w:t>
      </w:r>
      <w:r>
        <w:rPr>
          <w:rFonts w:hint="eastAsia" w:ascii="宋体"/>
          <w:color w:val="000000"/>
          <w:szCs w:val="21"/>
          <w:highlight w:val="none"/>
        </w:rPr>
        <w:t>投标报价的价格是完成项目全部内容（包括后期的相关服务）交付验收的价格，其</w:t>
      </w:r>
      <w:r>
        <w:rPr>
          <w:rFonts w:hint="eastAsia" w:ascii="宋体"/>
          <w:color w:val="000000"/>
          <w:szCs w:val="21"/>
          <w:highlight w:val="none"/>
          <w:lang w:val="en-US" w:eastAsia="zh-CN"/>
        </w:rPr>
        <w:t>单</w:t>
      </w:r>
      <w:r>
        <w:rPr>
          <w:rFonts w:hint="eastAsia" w:ascii="宋体"/>
          <w:color w:val="000000"/>
          <w:szCs w:val="21"/>
          <w:highlight w:val="none"/>
        </w:rPr>
        <w:t>价即为履行合同的固定</w:t>
      </w:r>
      <w:r>
        <w:rPr>
          <w:rFonts w:hint="eastAsia" w:ascii="宋体"/>
          <w:color w:val="000000"/>
          <w:szCs w:val="21"/>
          <w:highlight w:val="none"/>
          <w:lang w:val="en-US" w:eastAsia="zh-CN"/>
        </w:rPr>
        <w:t>单</w:t>
      </w:r>
      <w:r>
        <w:rPr>
          <w:rFonts w:hint="eastAsia" w:ascii="宋体"/>
          <w:color w:val="000000"/>
          <w:szCs w:val="21"/>
          <w:highlight w:val="none"/>
        </w:rPr>
        <w:t>价。</w:t>
      </w:r>
    </w:p>
    <w:p w14:paraId="5633907C">
      <w:pPr>
        <w:keepNext w:val="0"/>
        <w:keepLines w:val="0"/>
        <w:widowControl w:val="0"/>
        <w:kinsoku/>
        <w:wordWrap/>
        <w:overflowPunct/>
        <w:topLinePunct w:val="0"/>
        <w:autoSpaceDE/>
        <w:autoSpaceDN/>
        <w:bidi w:val="0"/>
        <w:spacing w:line="440" w:lineRule="exact"/>
        <w:ind w:firstLine="420" w:firstLineChars="200"/>
        <w:textAlignment w:val="auto"/>
        <w:rPr>
          <w:rFonts w:hint="eastAsia"/>
          <w:highlight w:val="none"/>
        </w:rPr>
      </w:pPr>
      <w:r>
        <w:rPr>
          <w:rFonts w:hint="eastAsia" w:ascii="宋体" w:hAnsi="Times New Roman" w:eastAsia="宋体" w:cs="Times New Roman"/>
          <w:color w:val="000000"/>
          <w:szCs w:val="21"/>
          <w:highlight w:val="none"/>
        </w:rPr>
        <w:t>22.6</w:t>
      </w:r>
      <w:r>
        <w:rPr>
          <w:rFonts w:hint="eastAsia" w:ascii="宋体"/>
          <w:color w:val="auto"/>
          <w:szCs w:val="21"/>
          <w:highlight w:val="none"/>
        </w:rPr>
        <w:t>技术要求中规定的安装、调试和培训费用应包括在投标价格中。投标文件报价为含税价，</w:t>
      </w:r>
      <w:r>
        <w:rPr>
          <w:rFonts w:hint="eastAsia" w:ascii="宋体"/>
          <w:color w:val="auto"/>
          <w:szCs w:val="21"/>
          <w:highlight w:val="none"/>
          <w:lang w:eastAsia="zh-CN"/>
        </w:rPr>
        <w:t>招标人</w:t>
      </w:r>
      <w:r>
        <w:rPr>
          <w:rFonts w:hint="eastAsia" w:ascii="宋体"/>
          <w:color w:val="auto"/>
          <w:szCs w:val="21"/>
          <w:highlight w:val="none"/>
        </w:rPr>
        <w:t>不再为此次招标支付任何费用。</w:t>
      </w:r>
    </w:p>
    <w:p w14:paraId="34CEC42F">
      <w:pPr>
        <w:spacing w:line="440" w:lineRule="exact"/>
        <w:ind w:firstLine="420" w:firstLineChars="200"/>
        <w:rPr>
          <w:rFonts w:hint="eastAsia" w:ascii="宋体"/>
          <w:bCs/>
          <w:szCs w:val="21"/>
          <w:highlight w:val="none"/>
        </w:rPr>
      </w:pPr>
      <w:r>
        <w:rPr>
          <w:rFonts w:hint="eastAsia" w:ascii="宋体"/>
          <w:bCs/>
          <w:szCs w:val="21"/>
          <w:highlight w:val="none"/>
        </w:rPr>
        <w:t>22.7</w:t>
      </w:r>
      <w:r>
        <w:rPr>
          <w:rFonts w:hint="eastAsia" w:ascii="宋体"/>
          <w:color w:val="000000"/>
          <w:szCs w:val="21"/>
          <w:highlight w:val="none"/>
        </w:rPr>
        <w:t>投标报价应由法定代表人或被授权人签署。</w:t>
      </w:r>
    </w:p>
    <w:p w14:paraId="599453F3">
      <w:pPr>
        <w:spacing w:line="440" w:lineRule="exact"/>
        <w:ind w:firstLine="420" w:firstLineChars="200"/>
        <w:rPr>
          <w:rFonts w:hint="eastAsia" w:ascii="宋体"/>
          <w:szCs w:val="21"/>
          <w:highlight w:val="none"/>
        </w:rPr>
      </w:pPr>
      <w:r>
        <w:rPr>
          <w:rFonts w:hint="eastAsia" w:ascii="宋体"/>
          <w:szCs w:val="21"/>
          <w:highlight w:val="none"/>
        </w:rPr>
        <w:t>22.8</w:t>
      </w:r>
      <w:r>
        <w:rPr>
          <w:rFonts w:hint="eastAsia" w:ascii="宋体"/>
          <w:bCs/>
          <w:color w:val="000000"/>
          <w:szCs w:val="21"/>
          <w:highlight w:val="none"/>
        </w:rPr>
        <w:t>投标人的报价不得高于本次招标最高限价</w:t>
      </w:r>
      <w:r>
        <w:rPr>
          <w:rFonts w:hint="eastAsia" w:ascii="宋体" w:hAnsi="宋体"/>
          <w:b/>
          <w:color w:val="000000"/>
          <w:szCs w:val="21"/>
          <w:highlight w:val="none"/>
        </w:rPr>
        <w:t>，</w:t>
      </w:r>
      <w:r>
        <w:rPr>
          <w:rFonts w:hint="eastAsia" w:ascii="宋体" w:hAnsi="宋体"/>
          <w:b/>
          <w:bCs/>
          <w:color w:val="000000"/>
          <w:szCs w:val="21"/>
          <w:highlight w:val="none"/>
        </w:rPr>
        <w:t>否则将作为无效投标处理。</w:t>
      </w:r>
    </w:p>
    <w:p w14:paraId="3C31F49B">
      <w:pPr>
        <w:spacing w:line="440" w:lineRule="exact"/>
        <w:ind w:firstLine="420" w:firstLineChars="200"/>
        <w:rPr>
          <w:rFonts w:hint="eastAsia" w:ascii="宋体"/>
          <w:szCs w:val="21"/>
          <w:highlight w:val="none"/>
        </w:rPr>
      </w:pPr>
      <w:r>
        <w:rPr>
          <w:rFonts w:hint="eastAsia" w:ascii="宋体"/>
          <w:szCs w:val="21"/>
          <w:highlight w:val="none"/>
        </w:rPr>
        <w:t>22.9</w:t>
      </w:r>
      <w:r>
        <w:rPr>
          <w:rFonts w:hint="eastAsia" w:ascii="宋体"/>
          <w:color w:val="000000"/>
          <w:szCs w:val="21"/>
          <w:highlight w:val="none"/>
        </w:rPr>
        <w:t>如投标文件中未列明全面实现投标货物功能而必须配置的配套或辅助设施及相应技术措施的费用，这些费用将被视为已包含在总投标价中。</w:t>
      </w:r>
    </w:p>
    <w:p w14:paraId="765DA775">
      <w:pPr>
        <w:spacing w:line="440" w:lineRule="exact"/>
        <w:ind w:firstLine="420" w:firstLineChars="200"/>
        <w:rPr>
          <w:rFonts w:hint="eastAsia" w:ascii="宋体"/>
          <w:szCs w:val="21"/>
          <w:highlight w:val="none"/>
        </w:rPr>
      </w:pPr>
      <w:r>
        <w:rPr>
          <w:rFonts w:hint="eastAsia" w:ascii="宋体"/>
          <w:szCs w:val="21"/>
          <w:highlight w:val="none"/>
        </w:rPr>
        <w:t>22.1</w:t>
      </w:r>
      <w:r>
        <w:rPr>
          <w:rFonts w:hint="eastAsia" w:ascii="宋体"/>
          <w:szCs w:val="21"/>
          <w:highlight w:val="none"/>
          <w:lang w:val="en-US" w:eastAsia="zh-CN"/>
        </w:rPr>
        <w:t>0</w:t>
      </w:r>
      <w:r>
        <w:rPr>
          <w:rFonts w:hint="eastAsia" w:ascii="宋体"/>
          <w:color w:val="000000"/>
          <w:szCs w:val="21"/>
          <w:highlight w:val="none"/>
        </w:rPr>
        <w:t>总投标价中不得包含招标文件要求以外的内容，否则，在评标时不予核减，但在授予合同时，采购人有权将这部分价格从其中标价格中扣除。</w:t>
      </w:r>
    </w:p>
    <w:p w14:paraId="23C6B067">
      <w:pPr>
        <w:spacing w:line="440" w:lineRule="exact"/>
        <w:ind w:firstLine="403" w:firstLineChars="192"/>
        <w:rPr>
          <w:rFonts w:hint="eastAsia" w:ascii="宋体"/>
          <w:color w:val="000000"/>
          <w:szCs w:val="21"/>
          <w:highlight w:val="none"/>
        </w:rPr>
      </w:pPr>
      <w:r>
        <w:rPr>
          <w:rFonts w:hint="eastAsia" w:ascii="宋体"/>
          <w:szCs w:val="21"/>
          <w:highlight w:val="none"/>
        </w:rPr>
        <w:t>22.1</w:t>
      </w:r>
      <w:r>
        <w:rPr>
          <w:rFonts w:hint="eastAsia" w:ascii="宋体"/>
          <w:szCs w:val="21"/>
          <w:highlight w:val="none"/>
          <w:lang w:val="en-US" w:eastAsia="zh-CN"/>
        </w:rPr>
        <w:t>1</w:t>
      </w:r>
      <w:r>
        <w:rPr>
          <w:rFonts w:hint="eastAsia" w:ascii="宋体"/>
          <w:color w:val="000000"/>
          <w:szCs w:val="21"/>
          <w:highlight w:val="none"/>
        </w:rPr>
        <w:t>总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036796AB">
      <w:pPr>
        <w:spacing w:line="440" w:lineRule="exact"/>
        <w:ind w:firstLine="403" w:firstLineChars="192"/>
        <w:rPr>
          <w:rFonts w:hint="eastAsia" w:ascii="宋体"/>
          <w:color w:val="000000"/>
          <w:szCs w:val="21"/>
          <w:highlight w:val="none"/>
        </w:rPr>
      </w:pPr>
      <w:r>
        <w:rPr>
          <w:rFonts w:hint="eastAsia" w:ascii="宋体"/>
          <w:color w:val="000000"/>
          <w:szCs w:val="21"/>
          <w:highlight w:val="none"/>
        </w:rPr>
        <w:t>2</w:t>
      </w:r>
      <w:r>
        <w:rPr>
          <w:rFonts w:hint="eastAsia" w:ascii="宋体"/>
          <w:color w:val="000000"/>
          <w:szCs w:val="21"/>
          <w:highlight w:val="none"/>
          <w:lang w:val="en-US" w:eastAsia="zh-CN"/>
        </w:rPr>
        <w:t>2</w:t>
      </w:r>
      <w:r>
        <w:rPr>
          <w:rFonts w:hint="eastAsia" w:ascii="宋体"/>
          <w:color w:val="000000"/>
          <w:szCs w:val="21"/>
          <w:highlight w:val="none"/>
        </w:rPr>
        <w:t>.1</w:t>
      </w:r>
      <w:r>
        <w:rPr>
          <w:rFonts w:hint="eastAsia" w:ascii="宋体"/>
          <w:color w:val="000000"/>
          <w:szCs w:val="21"/>
          <w:highlight w:val="none"/>
          <w:lang w:val="en-US" w:eastAsia="zh-CN"/>
        </w:rPr>
        <w:t>2</w:t>
      </w:r>
      <w:r>
        <w:rPr>
          <w:rFonts w:hint="eastAsia" w:ascii="宋体"/>
          <w:color w:val="000000"/>
          <w:szCs w:val="21"/>
          <w:highlight w:val="none"/>
        </w:rPr>
        <w:t>投标人不得对从第三方采购货物的随机备品、备件另行收费，否则在计算评标价时这部分费用将不予扣除，在授予合同时将从中标价格中扣除该部分费用。</w:t>
      </w:r>
    </w:p>
    <w:p w14:paraId="237BB54C">
      <w:pPr>
        <w:spacing w:line="440" w:lineRule="exact"/>
        <w:ind w:firstLine="403" w:firstLineChars="192"/>
        <w:rPr>
          <w:rFonts w:hint="eastAsia"/>
          <w:highlight w:val="none"/>
        </w:rPr>
      </w:pPr>
      <w:r>
        <w:rPr>
          <w:rFonts w:hint="eastAsia" w:ascii="宋体"/>
          <w:color w:val="000000"/>
          <w:szCs w:val="21"/>
          <w:highlight w:val="none"/>
        </w:rPr>
        <w:t>2</w:t>
      </w:r>
      <w:r>
        <w:rPr>
          <w:rFonts w:hint="eastAsia" w:ascii="宋体"/>
          <w:color w:val="000000"/>
          <w:szCs w:val="21"/>
          <w:highlight w:val="none"/>
          <w:lang w:val="en-US" w:eastAsia="zh-CN"/>
        </w:rPr>
        <w:t>2</w:t>
      </w:r>
      <w:r>
        <w:rPr>
          <w:rFonts w:hint="eastAsia" w:ascii="宋体"/>
          <w:color w:val="000000"/>
          <w:szCs w:val="21"/>
          <w:highlight w:val="none"/>
        </w:rPr>
        <w:t>.13投标人应根据</w:t>
      </w:r>
      <w:r>
        <w:rPr>
          <w:rFonts w:hint="eastAsia" w:ascii="宋体"/>
          <w:color w:val="000000"/>
          <w:szCs w:val="21"/>
          <w:highlight w:val="none"/>
          <w:lang w:eastAsia="zh-CN"/>
        </w:rPr>
        <w:t>货物</w:t>
      </w:r>
      <w:r>
        <w:rPr>
          <w:rFonts w:hint="eastAsia" w:ascii="宋体"/>
          <w:color w:val="000000"/>
          <w:szCs w:val="21"/>
          <w:highlight w:val="none"/>
        </w:rPr>
        <w:t>的状况列出随机备品备件的清单和数量，并将该备品备件价格计入总投标价，若所提供的产品无需备件，则应在投标文件中说明；无论投标人在报价中列明随机备品备件的数量及价格多少，在</w:t>
      </w:r>
      <w:r>
        <w:rPr>
          <w:rFonts w:hint="eastAsia" w:ascii="宋体"/>
          <w:color w:val="000000"/>
          <w:szCs w:val="21"/>
          <w:highlight w:val="none"/>
          <w:lang w:eastAsia="zh-CN"/>
        </w:rPr>
        <w:t>质保</w:t>
      </w:r>
      <w:r>
        <w:rPr>
          <w:rFonts w:hint="eastAsia" w:ascii="宋体"/>
          <w:color w:val="000000"/>
          <w:szCs w:val="21"/>
          <w:highlight w:val="none"/>
        </w:rPr>
        <w:t>期内采购人均无需为维护维修保养所需的专用工具和备品备件另行支付费用。</w:t>
      </w:r>
    </w:p>
    <w:p w14:paraId="526BED19">
      <w:pPr>
        <w:spacing w:line="440" w:lineRule="exact"/>
        <w:ind w:firstLine="422" w:firstLineChars="200"/>
        <w:rPr>
          <w:rFonts w:hint="eastAsia" w:ascii="宋体"/>
          <w:b/>
          <w:szCs w:val="21"/>
          <w:highlight w:val="none"/>
        </w:rPr>
      </w:pPr>
      <w:r>
        <w:rPr>
          <w:rFonts w:hint="eastAsia" w:ascii="宋体"/>
          <w:b/>
          <w:szCs w:val="21"/>
          <w:highlight w:val="none"/>
        </w:rPr>
        <w:t>23. 投标有效期</w:t>
      </w:r>
    </w:p>
    <w:p w14:paraId="15964258">
      <w:pPr>
        <w:spacing w:line="440" w:lineRule="exact"/>
        <w:ind w:firstLine="420" w:firstLineChars="200"/>
        <w:rPr>
          <w:rFonts w:hint="eastAsia" w:ascii="宋体"/>
          <w:szCs w:val="21"/>
          <w:highlight w:val="none"/>
        </w:rPr>
      </w:pPr>
      <w:r>
        <w:rPr>
          <w:rFonts w:hint="eastAsia" w:ascii="宋体"/>
          <w:szCs w:val="21"/>
          <w:highlight w:val="none"/>
        </w:rPr>
        <w:t xml:space="preserve">23.1 </w:t>
      </w:r>
      <w:r>
        <w:rPr>
          <w:rFonts w:hint="eastAsia" w:ascii="宋体"/>
          <w:color w:val="000000"/>
          <w:szCs w:val="21"/>
          <w:highlight w:val="none"/>
        </w:rPr>
        <w:t>投标有效期见投标人须知前附表。</w:t>
      </w:r>
    </w:p>
    <w:p w14:paraId="1C70E876">
      <w:pPr>
        <w:spacing w:line="440" w:lineRule="exact"/>
        <w:ind w:firstLine="420" w:firstLineChars="200"/>
        <w:rPr>
          <w:rFonts w:hint="eastAsia" w:ascii="宋体"/>
          <w:szCs w:val="21"/>
          <w:highlight w:val="none"/>
        </w:rPr>
      </w:pPr>
      <w:r>
        <w:rPr>
          <w:rFonts w:hint="eastAsia" w:ascii="宋体"/>
          <w:szCs w:val="21"/>
          <w:highlight w:val="none"/>
        </w:rPr>
        <w:t>23.2在投标有效期内，投标人撤销或修改其投标文件的，应承担招标文件和法律规定的责任。</w:t>
      </w:r>
    </w:p>
    <w:p w14:paraId="086D4B56">
      <w:pPr>
        <w:spacing w:line="440" w:lineRule="exact"/>
        <w:ind w:firstLine="420" w:firstLineChars="200"/>
        <w:rPr>
          <w:rFonts w:ascii="宋体"/>
          <w:szCs w:val="21"/>
          <w:highlight w:val="none"/>
        </w:rPr>
      </w:pPr>
      <w:r>
        <w:rPr>
          <w:rFonts w:hint="eastAsia" w:ascii="宋体"/>
          <w:szCs w:val="21"/>
          <w:highlight w:val="none"/>
        </w:rPr>
        <w:t>23.3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471FF54E">
      <w:pPr>
        <w:spacing w:line="440" w:lineRule="exact"/>
        <w:ind w:firstLine="405" w:firstLineChars="192"/>
        <w:rPr>
          <w:rFonts w:hint="eastAsia" w:ascii="宋体"/>
          <w:b/>
          <w:szCs w:val="21"/>
          <w:highlight w:val="none"/>
        </w:rPr>
      </w:pPr>
      <w:r>
        <w:rPr>
          <w:rFonts w:hint="eastAsia" w:ascii="宋体"/>
          <w:b/>
          <w:szCs w:val="21"/>
          <w:highlight w:val="none"/>
        </w:rPr>
        <w:t>24. 投标保证金</w:t>
      </w:r>
    </w:p>
    <w:p w14:paraId="044E950C">
      <w:pPr>
        <w:spacing w:line="440" w:lineRule="exact"/>
        <w:ind w:firstLine="420" w:firstLineChars="200"/>
        <w:rPr>
          <w:rFonts w:hint="eastAsia" w:ascii="宋体"/>
          <w:szCs w:val="21"/>
          <w:highlight w:val="none"/>
        </w:rPr>
      </w:pPr>
      <w:bookmarkStart w:id="59" w:name="_Toc449028870"/>
      <w:r>
        <w:rPr>
          <w:rFonts w:hint="eastAsia" w:ascii="宋体"/>
          <w:szCs w:val="21"/>
          <w:highlight w:val="none"/>
        </w:rPr>
        <w:t>24.1投标人须知前附表规定递交投标保证金的，投标人在递交投标文件的同时，应按投标人须知前附表规定的金额、担保形式和第七章“投标文件格式”规定的或者事先经过招标人认可的保证金格式递交保证金，并作为其投标文件的组成部分。联合体投标的，其投标保证金由牵头人递交，并应符合投标人须知前附表的规定。</w:t>
      </w:r>
    </w:p>
    <w:p w14:paraId="73F9D18A">
      <w:pPr>
        <w:spacing w:line="440" w:lineRule="exact"/>
        <w:ind w:firstLine="420" w:firstLineChars="200"/>
        <w:rPr>
          <w:rFonts w:hint="eastAsia" w:ascii="宋体"/>
          <w:szCs w:val="21"/>
          <w:highlight w:val="none"/>
        </w:rPr>
      </w:pPr>
      <w:r>
        <w:rPr>
          <w:rFonts w:hint="eastAsia" w:ascii="宋体"/>
          <w:szCs w:val="21"/>
          <w:highlight w:val="none"/>
        </w:rPr>
        <w:t>无论采取何种形式的投标保证金，投标保证金有效期均应与投标有效期一致（采用投标电子保函的保证期截止时间不得早于该项目投标有效期的截止时间）。招标人如果按本章第23.3 项的规定延长了投标有效期，则投标保证金的有效期也相应延长。</w:t>
      </w:r>
    </w:p>
    <w:p w14:paraId="7BFB5C5D">
      <w:pPr>
        <w:spacing w:line="4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24.2投标人不按本章第24.1项要求提交投标保证金的，评标委员会将否决其投标。</w:t>
      </w:r>
    </w:p>
    <w:p w14:paraId="4AF03836">
      <w:pPr>
        <w:spacing w:line="440" w:lineRule="exact"/>
        <w:ind w:firstLine="420" w:firstLineChars="200"/>
        <w:rPr>
          <w:rFonts w:hint="eastAsia" w:ascii="宋体" w:eastAsia="宋体"/>
          <w:szCs w:val="21"/>
          <w:highlight w:val="none"/>
          <w:lang w:eastAsia="zh-CN"/>
        </w:rPr>
      </w:pPr>
      <w:r>
        <w:rPr>
          <w:rFonts w:hint="eastAsia" w:ascii="宋体"/>
          <w:szCs w:val="21"/>
          <w:highlight w:val="none"/>
        </w:rPr>
        <w:t>24.3</w:t>
      </w:r>
      <w:r>
        <w:rPr>
          <w:rFonts w:hint="eastAsia" w:ascii="宋体" w:hAnsi="宋体" w:cs="宋体"/>
          <w:color w:val="000000"/>
          <w:szCs w:val="21"/>
          <w:highlight w:val="none"/>
          <w:lang w:eastAsia="zh-CN"/>
        </w:rPr>
        <w:t>未中标投标人的投标保证金，中标通知书同步推送至交易中心服务端，银行接到退还指令后一个工作日内退还保证金到达原交纳的基本账户；中标人的投标保证金，在中标人与招标人签订合同并将公开信息推送至交易中心服务端，银行接到退还指令后一个工作日内退付保证金到达原交纳的基本账户。</w:t>
      </w:r>
    </w:p>
    <w:p w14:paraId="29FDD089">
      <w:pPr>
        <w:spacing w:line="4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 xml:space="preserve">24.4有下列情形之一的，投标保证金将不予退还： </w:t>
      </w:r>
    </w:p>
    <w:p w14:paraId="5B5556F1">
      <w:pPr>
        <w:spacing w:line="4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（1）投标截止后投标人撤销投标文件的；</w:t>
      </w:r>
    </w:p>
    <w:p w14:paraId="4323877F">
      <w:pPr>
        <w:spacing w:line="4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（2）中标人无正当理由不与招标人订立合同，在签订合同时向招标人提出附加条件，或者不按照招标文件要求提交履约保证金的。</w:t>
      </w:r>
    </w:p>
    <w:p w14:paraId="6A653D1D">
      <w:pPr>
        <w:wordWrap w:val="0"/>
        <w:spacing w:line="440" w:lineRule="exact"/>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24.5投标保证金按《</w:t>
      </w:r>
      <w:r>
        <w:rPr>
          <w:rFonts w:hint="eastAsia" w:ascii="宋体" w:hAnsi="宋体" w:cs="宋体"/>
          <w:color w:val="000000"/>
          <w:szCs w:val="21"/>
          <w:highlight w:val="none"/>
        </w:rPr>
        <w:fldChar w:fldCharType="begin"/>
      </w:r>
      <w:r>
        <w:rPr>
          <w:rFonts w:hint="eastAsia" w:ascii="宋体" w:hAnsi="宋体" w:cs="宋体"/>
          <w:color w:val="000000"/>
          <w:szCs w:val="21"/>
          <w:highlight w:val="none"/>
        </w:rPr>
        <w:instrText xml:space="preserve"> HYPERLINK "https://www.chuzhou.gov.cn/group1/M00/12/83/CpYI8mGDiKqAD_IkAAEIAMLVghw186.doc" \t "_blank" </w:instrText>
      </w:r>
      <w:r>
        <w:rPr>
          <w:rFonts w:hint="eastAsia" w:ascii="宋体" w:hAnsi="宋体" w:cs="宋体"/>
          <w:color w:val="000000"/>
          <w:szCs w:val="21"/>
          <w:highlight w:val="none"/>
        </w:rPr>
        <w:fldChar w:fldCharType="separate"/>
      </w:r>
      <w:r>
        <w:rPr>
          <w:rFonts w:hint="eastAsia" w:ascii="宋体" w:hAnsi="宋体" w:cs="宋体"/>
          <w:color w:val="000000"/>
          <w:szCs w:val="21"/>
          <w:highlight w:val="none"/>
        </w:rPr>
        <w:t>滁州市公共资源交易投标保证金管理规定</w:t>
      </w:r>
      <w:r>
        <w:rPr>
          <w:rFonts w:hint="eastAsia" w:ascii="宋体" w:hAnsi="宋体" w:cs="宋体"/>
          <w:color w:val="000000"/>
          <w:szCs w:val="21"/>
          <w:highlight w:val="none"/>
        </w:rPr>
        <w:fldChar w:fldCharType="end"/>
      </w:r>
      <w:r>
        <w:rPr>
          <w:rFonts w:hint="eastAsia" w:ascii="宋体" w:hAnsi="宋体" w:cs="宋体"/>
          <w:color w:val="000000"/>
          <w:szCs w:val="21"/>
          <w:highlight w:val="none"/>
        </w:rPr>
        <w:t>》（滁公管〔2021〕7号）规定执行。</w:t>
      </w:r>
    </w:p>
    <w:p w14:paraId="59EBD807">
      <w:pPr>
        <w:spacing w:before="240" w:beforeLines="100" w:after="240" w:afterLines="100" w:line="400" w:lineRule="exact"/>
        <w:jc w:val="center"/>
        <w:rPr>
          <w:rFonts w:hint="eastAsia" w:ascii="宋体"/>
          <w:b/>
          <w:sz w:val="28"/>
          <w:szCs w:val="28"/>
          <w:highlight w:val="none"/>
        </w:rPr>
      </w:pPr>
      <w:r>
        <w:rPr>
          <w:rFonts w:hint="eastAsia" w:ascii="宋体"/>
          <w:b/>
          <w:sz w:val="28"/>
          <w:szCs w:val="28"/>
          <w:highlight w:val="none"/>
        </w:rPr>
        <w:t>（四）投标文件的递交</w:t>
      </w:r>
      <w:bookmarkEnd w:id="59"/>
    </w:p>
    <w:p w14:paraId="67234988">
      <w:pPr>
        <w:spacing w:line="440" w:lineRule="exact"/>
        <w:rPr>
          <w:rFonts w:hint="eastAsia" w:ascii="宋体" w:hAnsi="Times New Roman" w:eastAsia="宋体" w:cs="Times New Roman"/>
          <w:b/>
          <w:szCs w:val="21"/>
          <w:highlight w:val="none"/>
        </w:rPr>
      </w:pPr>
      <w:bookmarkStart w:id="60" w:name="_Toc449028871"/>
      <w:r>
        <w:rPr>
          <w:rFonts w:hint="eastAsia" w:ascii="黑体" w:eastAsia="黑体"/>
          <w:b/>
          <w:szCs w:val="21"/>
          <w:highlight w:val="none"/>
        </w:rPr>
        <w:t xml:space="preserve"> </w:t>
      </w:r>
      <w:r>
        <w:rPr>
          <w:rFonts w:hint="eastAsia" w:ascii="宋体" w:hAnsi="Times New Roman" w:eastAsia="宋体" w:cs="Times New Roman"/>
          <w:b/>
          <w:szCs w:val="21"/>
          <w:highlight w:val="none"/>
        </w:rPr>
        <w:t xml:space="preserve"> </w:t>
      </w:r>
      <w:r>
        <w:rPr>
          <w:rFonts w:hint="eastAsia" w:ascii="宋体" w:hAnsi="Times New Roman" w:eastAsia="宋体" w:cs="Times New Roman"/>
          <w:b/>
          <w:szCs w:val="21"/>
          <w:highlight w:val="none"/>
          <w:lang w:val="en-US" w:eastAsia="zh-CN"/>
        </w:rPr>
        <w:t xml:space="preserve"> </w:t>
      </w:r>
      <w:r>
        <w:rPr>
          <w:rFonts w:hint="eastAsia" w:ascii="宋体" w:hAnsi="Times New Roman" w:eastAsia="宋体" w:cs="Times New Roman"/>
          <w:b/>
          <w:szCs w:val="21"/>
          <w:highlight w:val="none"/>
        </w:rPr>
        <w:t>25.投标文件的密封和标记</w:t>
      </w:r>
    </w:p>
    <w:p w14:paraId="481F62E0">
      <w:pPr>
        <w:spacing w:line="440" w:lineRule="exact"/>
        <w:ind w:firstLine="315" w:firstLineChars="150"/>
        <w:jc w:val="left"/>
        <w:rPr>
          <w:rFonts w:hint="eastAsia" w:ascii="宋体" w:hAnsi="宋体" w:cs="宋体"/>
          <w:color w:val="000000"/>
          <w:szCs w:val="21"/>
          <w:highlight w:val="none"/>
        </w:rPr>
      </w:pPr>
      <w:r>
        <w:rPr>
          <w:rFonts w:hint="eastAsia" w:ascii="宋体" w:hAnsi="宋体"/>
          <w:szCs w:val="21"/>
          <w:highlight w:val="none"/>
        </w:rPr>
        <w:t>25.1投标文件应按照本章第21.2.5项要求制作并加密，未按要求加密的投标文件将被拒绝接收。以投标人在投标截止时间前网上递交的电子投标文件为准。</w:t>
      </w:r>
    </w:p>
    <w:p w14:paraId="5B3813B2">
      <w:pPr>
        <w:spacing w:line="440" w:lineRule="exact"/>
        <w:ind w:firstLine="314" w:firstLineChars="149"/>
        <w:rPr>
          <w:rFonts w:hint="eastAsia" w:ascii="宋体"/>
          <w:b/>
          <w:szCs w:val="21"/>
          <w:highlight w:val="none"/>
        </w:rPr>
      </w:pPr>
      <w:r>
        <w:rPr>
          <w:rFonts w:hint="eastAsia" w:ascii="宋体"/>
          <w:b/>
          <w:szCs w:val="21"/>
          <w:highlight w:val="none"/>
        </w:rPr>
        <w:t>26.投标文件上传</w:t>
      </w:r>
    </w:p>
    <w:p w14:paraId="2A7D5B20">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26.1请投标人通过系统下载投标工具制作投标文件，并利用CA数字证书进行上传投标文件，上传已加密的投标文件，务必通过此方式上传投标文件。</w:t>
      </w:r>
    </w:p>
    <w:p w14:paraId="721A052E">
      <w:pPr>
        <w:spacing w:line="440" w:lineRule="exact"/>
        <w:ind w:firstLine="315" w:firstLineChars="150"/>
        <w:jc w:val="left"/>
        <w:rPr>
          <w:highlight w:val="none"/>
        </w:rPr>
      </w:pPr>
      <w:r>
        <w:rPr>
          <w:rFonts w:hint="eastAsia" w:ascii="宋体" w:hAnsi="宋体" w:cs="宋体"/>
          <w:color w:val="000000"/>
          <w:szCs w:val="21"/>
          <w:highlight w:val="none"/>
        </w:rPr>
        <w:t>26.2投标人在投标文件编制、签章、上传过程中如有任何操作的疑问请及时联系技术支持，电话：0550-3801701。</w:t>
      </w:r>
    </w:p>
    <w:p w14:paraId="03ED6C5E">
      <w:pPr>
        <w:spacing w:line="440" w:lineRule="exact"/>
        <w:ind w:firstLine="314" w:firstLineChars="149"/>
        <w:rPr>
          <w:rFonts w:hint="eastAsia" w:ascii="宋体"/>
          <w:b/>
          <w:szCs w:val="21"/>
          <w:highlight w:val="none"/>
        </w:rPr>
      </w:pPr>
      <w:r>
        <w:rPr>
          <w:rFonts w:hint="eastAsia" w:ascii="宋体"/>
          <w:b/>
          <w:szCs w:val="21"/>
          <w:highlight w:val="none"/>
        </w:rPr>
        <w:t>27.投标文件的递交</w:t>
      </w:r>
    </w:p>
    <w:p w14:paraId="16984A03">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27.1 投标人应当在第一章“招标公告”规定的投标截止时间前，将加密投标文件上传至电子交易系统。</w:t>
      </w:r>
    </w:p>
    <w:p w14:paraId="3933CCC4">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27.2 除投标人须知前附表另有规定外，投标人所递交的投标文件不予退还。</w:t>
      </w:r>
    </w:p>
    <w:p w14:paraId="06DCABA5">
      <w:pPr>
        <w:spacing w:line="440" w:lineRule="exact"/>
        <w:ind w:firstLine="315" w:firstLineChars="150"/>
        <w:jc w:val="left"/>
        <w:rPr>
          <w:rFonts w:hint="eastAsia"/>
          <w:highlight w:val="none"/>
        </w:rPr>
      </w:pPr>
      <w:r>
        <w:rPr>
          <w:rFonts w:hint="eastAsia" w:ascii="宋体" w:hAnsi="宋体" w:cs="宋体"/>
          <w:color w:val="000000"/>
          <w:szCs w:val="21"/>
          <w:highlight w:val="none"/>
        </w:rPr>
        <w:t>27.3 投标人应当在投标截止时间前完成投标文件的网上递交，并可以补充、修改或者撤回投标文件。投标截止时间前未完成投标文件网上递交的，视为撤回投标文件。未按规定加密或投标截止时间后通过网上招标投标系统递交电子投标文件的，电子交易系统应当拒收，投标无效。</w:t>
      </w:r>
    </w:p>
    <w:p w14:paraId="0BF81B75">
      <w:pPr>
        <w:spacing w:line="440" w:lineRule="exact"/>
        <w:ind w:firstLine="314" w:firstLineChars="149"/>
        <w:rPr>
          <w:rFonts w:hint="eastAsia" w:ascii="宋体"/>
          <w:b/>
          <w:szCs w:val="21"/>
          <w:highlight w:val="none"/>
        </w:rPr>
      </w:pPr>
      <w:r>
        <w:rPr>
          <w:rFonts w:hint="eastAsia" w:ascii="宋体"/>
          <w:b/>
          <w:szCs w:val="21"/>
          <w:highlight w:val="none"/>
        </w:rPr>
        <w:t>28.投标文件的修改与撤回</w:t>
      </w:r>
    </w:p>
    <w:p w14:paraId="3B3B9BF8">
      <w:pPr>
        <w:spacing w:line="440" w:lineRule="exact"/>
        <w:ind w:firstLine="315" w:firstLineChars="150"/>
        <w:jc w:val="left"/>
        <w:rPr>
          <w:rFonts w:hint="eastAsia" w:ascii="宋体" w:hAnsi="宋体"/>
          <w:bCs/>
          <w:szCs w:val="21"/>
          <w:highlight w:val="none"/>
        </w:rPr>
      </w:pPr>
      <w:r>
        <w:rPr>
          <w:rFonts w:hint="eastAsia" w:ascii="宋体" w:hAnsi="宋体" w:cs="宋体"/>
          <w:color w:val="000000"/>
          <w:szCs w:val="21"/>
          <w:highlight w:val="none"/>
        </w:rPr>
        <w:t>28.1在第一章“招标公告”规定的投标截止时间前，投标人可以自行从网上招投标系统撤回已递交的投标文件，并可修改后重新加密上传，开标时以投标截止时间前投标人最终上传的投标文件为准。</w:t>
      </w:r>
    </w:p>
    <w:p w14:paraId="18ADFA9A">
      <w:pPr>
        <w:spacing w:line="440" w:lineRule="exact"/>
        <w:ind w:firstLine="314" w:firstLineChars="149"/>
        <w:rPr>
          <w:rFonts w:hint="eastAsia" w:ascii="宋体"/>
          <w:b/>
          <w:szCs w:val="21"/>
          <w:highlight w:val="none"/>
        </w:rPr>
      </w:pPr>
      <w:r>
        <w:rPr>
          <w:rFonts w:hint="eastAsia" w:ascii="宋体"/>
          <w:b/>
          <w:szCs w:val="21"/>
          <w:highlight w:val="none"/>
        </w:rPr>
        <w:t>29.偏离</w:t>
      </w:r>
    </w:p>
    <w:p w14:paraId="645EF41A">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29.1投标文件偏离招标文件某些要求，视为投标文件存在偏差。偏差包括重大偏差和细微偏差。</w:t>
      </w:r>
    </w:p>
    <w:p w14:paraId="765393A8">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29.1.1投标文件应对招标文件的实质性要求和条件作出满足性或更有利于招标人的响应，否则，视为投标文件存在重大偏差，投标人的投标将被否决。</w:t>
      </w:r>
    </w:p>
    <w:p w14:paraId="6DA4F7FC">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投标文件存在第四章“评标办法”中所列任一无效投标情形的，均属于存在重大偏差。</w:t>
      </w:r>
    </w:p>
    <w:p w14:paraId="0C0F6855">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29.1.2投标文件中的下列偏差为细微偏差：</w:t>
      </w:r>
    </w:p>
    <w:p w14:paraId="55583DCA">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1）在按照第四章“评标办法”的规定对投标价进行算术性错误修正及其他错误修正后，最终投标报价未超过最高投标限价（如有）或未被否决投标的情况下，出现第四章“评标办法”规定的算术性错误和投标报价的其他错误；</w:t>
      </w:r>
    </w:p>
    <w:p w14:paraId="48B83F5C">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（2）投标文件个别文字有遗漏错误等不影响投标文件实质性内容的偏差。</w:t>
      </w:r>
    </w:p>
    <w:p w14:paraId="34D8B3AE">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29.1.3评标委员会对投标文件中的细微偏差按如下规定处理：</w:t>
      </w:r>
    </w:p>
    <w:p w14:paraId="39F8ECFE">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对于本章第29.1.2 项（1）目所述的细微偏差，按照第三章“评标办法”的规定予以修正并要求投标人进行澄清；</w:t>
      </w:r>
    </w:p>
    <w:p w14:paraId="6D2510B7">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对于本章第29.1.2 项（2）目所述的细微偏差，可要求投标人对细微偏差进行澄清。</w:t>
      </w:r>
    </w:p>
    <w:p w14:paraId="65AA076B">
      <w:pPr>
        <w:spacing w:before="240" w:beforeLines="100" w:after="240" w:afterLines="100" w:line="400" w:lineRule="exact"/>
        <w:jc w:val="center"/>
        <w:rPr>
          <w:rFonts w:hint="eastAsia" w:ascii="宋体"/>
          <w:b/>
          <w:sz w:val="28"/>
          <w:szCs w:val="28"/>
          <w:highlight w:val="none"/>
        </w:rPr>
      </w:pPr>
      <w:r>
        <w:rPr>
          <w:rFonts w:hint="eastAsia" w:ascii="宋体"/>
          <w:b/>
          <w:sz w:val="28"/>
          <w:szCs w:val="28"/>
          <w:highlight w:val="none"/>
        </w:rPr>
        <w:t>（五）开标和评标</w:t>
      </w:r>
      <w:bookmarkEnd w:id="60"/>
    </w:p>
    <w:p w14:paraId="7CD78F9A">
      <w:pPr>
        <w:spacing w:line="420" w:lineRule="exact"/>
        <w:ind w:firstLine="421"/>
        <w:jc w:val="left"/>
        <w:rPr>
          <w:rFonts w:hint="eastAsia" w:ascii="宋体"/>
          <w:b/>
          <w:szCs w:val="21"/>
          <w:highlight w:val="none"/>
        </w:rPr>
      </w:pPr>
      <w:bookmarkStart w:id="61" w:name="_Toc449028873"/>
      <w:r>
        <w:rPr>
          <w:rFonts w:hint="eastAsia" w:ascii="宋体"/>
          <w:b/>
          <w:szCs w:val="21"/>
          <w:highlight w:val="none"/>
        </w:rPr>
        <w:t>30. 开标</w:t>
      </w:r>
    </w:p>
    <w:p w14:paraId="3A30DB85">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30.1 开标的时间和地点</w:t>
      </w:r>
    </w:p>
    <w:p w14:paraId="26B23816">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30.1.1招标人在第一章“招标公告”规定的投标截止时间前（开标时间）和地点通过电子交易系统公开开标。</w:t>
      </w:r>
    </w:p>
    <w:p w14:paraId="195E27F3">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30.2开标程序</w:t>
      </w:r>
    </w:p>
    <w:p w14:paraId="730B6DFF">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30.2.1主持人按下列程序进行开标：</w:t>
      </w:r>
    </w:p>
    <w:p w14:paraId="3BD5467B">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（1）公布在投标截止时间前通过电子交易系统完成投标文件递交的投标人名称；</w:t>
      </w:r>
    </w:p>
    <w:p w14:paraId="76D43833">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（2）投标人在投标截止时间后在投标人须知前附表规定的解密时间内完成投标文件的解密工作；</w:t>
      </w:r>
    </w:p>
    <w:p w14:paraId="29113C44">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（3）招标人或招标代理机构完成解密工作，导入并读取所有成功解密的投标文件；</w:t>
      </w:r>
    </w:p>
    <w:p w14:paraId="622900FD">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（4）按投标人须知前附表规定公布投标人名称、标段名称、投标报价、质量目标、工期及其他内容；</w:t>
      </w:r>
    </w:p>
    <w:p w14:paraId="41B7F4EE">
      <w:pPr>
        <w:spacing w:line="440" w:lineRule="exact"/>
        <w:ind w:firstLine="315" w:firstLineChars="150"/>
        <w:jc w:val="left"/>
        <w:rPr>
          <w:rFonts w:hint="eastAsia" w:ascii="宋体" w:hAnsi="宋体" w:cs="宋体"/>
          <w:color w:val="000000"/>
          <w:szCs w:val="21"/>
          <w:highlight w:val="none"/>
        </w:rPr>
      </w:pPr>
      <w:r>
        <w:rPr>
          <w:rFonts w:hint="eastAsia" w:ascii="宋体" w:hAnsi="宋体" w:cs="宋体"/>
          <w:color w:val="000000"/>
          <w:szCs w:val="21"/>
          <w:highlight w:val="none"/>
        </w:rPr>
        <w:t>（5）开标结束。</w:t>
      </w:r>
    </w:p>
    <w:p w14:paraId="11DB9DF5">
      <w:pPr>
        <w:spacing w:line="420" w:lineRule="exact"/>
        <w:ind w:right="-155" w:rightChars="-74" w:firstLine="420" w:firstLineChars="200"/>
        <w:jc w:val="left"/>
        <w:rPr>
          <w:rFonts w:hint="eastAsia" w:ascii="宋体"/>
          <w:szCs w:val="21"/>
          <w:highlight w:val="none"/>
        </w:rPr>
      </w:pPr>
      <w:r>
        <w:rPr>
          <w:rFonts w:hint="eastAsia" w:ascii="宋体"/>
          <w:szCs w:val="21"/>
          <w:highlight w:val="none"/>
        </w:rPr>
        <w:t>30.3开标</w:t>
      </w:r>
      <w:r>
        <w:rPr>
          <w:rFonts w:hint="eastAsia" w:ascii="宋体"/>
          <w:color w:val="000000"/>
          <w:szCs w:val="21"/>
          <w:highlight w:val="none"/>
        </w:rPr>
        <w:t>异议</w:t>
      </w:r>
    </w:p>
    <w:p w14:paraId="67FF41A3">
      <w:pPr>
        <w:spacing w:line="440" w:lineRule="exact"/>
        <w:ind w:firstLine="315" w:firstLineChars="150"/>
        <w:jc w:val="left"/>
        <w:rPr>
          <w:rFonts w:hint="eastAsia" w:ascii="宋体" w:hAnsi="宋体" w:cs="宋体"/>
          <w:szCs w:val="21"/>
          <w:highlight w:val="none"/>
        </w:rPr>
      </w:pPr>
      <w:r>
        <w:rPr>
          <w:rFonts w:hint="eastAsia" w:ascii="宋体" w:hAnsi="宋体" w:cs="宋体"/>
          <w:color w:val="000000"/>
          <w:szCs w:val="21"/>
          <w:highlight w:val="none"/>
        </w:rPr>
        <w:t>30.3.1投标人对开标有异议的，应当在开标过程中提出，招标人在开标过程中作出答复，并制作记录。异议与答复应通过电子交易系统进行。</w:t>
      </w:r>
    </w:p>
    <w:p w14:paraId="36B3DED8">
      <w:pPr>
        <w:spacing w:line="420" w:lineRule="exact"/>
        <w:ind w:firstLine="421"/>
        <w:jc w:val="left"/>
        <w:rPr>
          <w:rFonts w:hint="eastAsia" w:ascii="宋体"/>
          <w:b/>
          <w:szCs w:val="21"/>
          <w:highlight w:val="none"/>
        </w:rPr>
      </w:pPr>
      <w:r>
        <w:rPr>
          <w:rFonts w:hint="eastAsia" w:ascii="宋体"/>
          <w:b/>
          <w:szCs w:val="21"/>
          <w:highlight w:val="none"/>
        </w:rPr>
        <w:t>31.评标委员会</w:t>
      </w:r>
    </w:p>
    <w:p w14:paraId="136129AC">
      <w:pPr>
        <w:spacing w:line="420" w:lineRule="exact"/>
        <w:ind w:firstLine="420" w:firstLineChars="200"/>
        <w:jc w:val="left"/>
        <w:rPr>
          <w:rFonts w:ascii="宋体" w:cs="宋体"/>
          <w:szCs w:val="21"/>
          <w:highlight w:val="none"/>
        </w:rPr>
      </w:pPr>
      <w:r>
        <w:rPr>
          <w:rFonts w:hint="eastAsia" w:ascii="宋体"/>
          <w:szCs w:val="21"/>
          <w:highlight w:val="none"/>
        </w:rPr>
        <w:t>31.1</w:t>
      </w:r>
      <w:r>
        <w:rPr>
          <w:rFonts w:hint="eastAsia" w:ascii="宋体" w:hAnsi="宋体" w:cs="宋体"/>
          <w:color w:val="000000"/>
          <w:szCs w:val="21"/>
          <w:highlight w:val="none"/>
        </w:rPr>
        <w:t>评标由招标人依法组建的评标委员会负责。</w:t>
      </w:r>
      <w:r>
        <w:rPr>
          <w:rFonts w:hint="eastAsia" w:ascii="宋体" w:hAnsi="宋体" w:cs="宋体"/>
          <w:szCs w:val="21"/>
          <w:highlight w:val="none"/>
        </w:rPr>
        <w:t>评标委员会由招标人或其委托的招标代理机构熟悉相关业务的代表，以及有关技术、经济等方面的专家组成。评标委员会成员人数以及技术、经济等方面专家的确定方式见投标人须知前附表。</w:t>
      </w:r>
    </w:p>
    <w:p w14:paraId="136832BA">
      <w:pPr>
        <w:spacing w:line="420" w:lineRule="exact"/>
        <w:ind w:firstLine="420" w:firstLineChars="200"/>
        <w:jc w:val="left"/>
        <w:rPr>
          <w:rFonts w:ascii="宋体" w:cs="宋体"/>
          <w:szCs w:val="21"/>
          <w:highlight w:val="none"/>
        </w:rPr>
      </w:pPr>
      <w:r>
        <w:rPr>
          <w:rFonts w:hint="eastAsia" w:ascii="宋体" w:hAnsi="宋体" w:cs="宋体"/>
          <w:szCs w:val="21"/>
          <w:highlight w:val="none"/>
        </w:rPr>
        <w:t>31</w:t>
      </w:r>
      <w:r>
        <w:rPr>
          <w:rFonts w:ascii="宋体" w:hAnsi="宋体" w:cs="宋体"/>
          <w:szCs w:val="21"/>
          <w:highlight w:val="none"/>
        </w:rPr>
        <w:t xml:space="preserve">.2 </w:t>
      </w:r>
      <w:r>
        <w:rPr>
          <w:rFonts w:hint="eastAsia" w:ascii="宋体" w:hAnsi="宋体" w:cs="宋体"/>
          <w:szCs w:val="21"/>
          <w:highlight w:val="none"/>
        </w:rPr>
        <w:t>评标委员会成员有下列情形之一的，应当回避：</w:t>
      </w:r>
    </w:p>
    <w:p w14:paraId="0766F003">
      <w:pPr>
        <w:spacing w:line="42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（1）项目主管部门或行政监督管理部门，项目属地的公共资源交易综合管理部门、交易中心的工作人员； </w:t>
      </w:r>
    </w:p>
    <w:p w14:paraId="49973D78">
      <w:pPr>
        <w:spacing w:line="42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（2）与竞争主体主要负责人或者授权参与交易的代理人有近亲属关系的人员； </w:t>
      </w:r>
    </w:p>
    <w:p w14:paraId="182406A2">
      <w:pPr>
        <w:spacing w:line="42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（3）竞争主体的工作人员或者退休人员； </w:t>
      </w:r>
    </w:p>
    <w:p w14:paraId="1E4ABD58">
      <w:pPr>
        <w:spacing w:line="42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（4）竞争主体的上级主管、控股或者被控股单位等相关利害关系的人员，或任职单位与竞争主体单位为同一法定代表人的； </w:t>
      </w:r>
    </w:p>
    <w:p w14:paraId="1B569F68">
      <w:pPr>
        <w:spacing w:line="42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（5）存在其他法定回避情形的。</w:t>
      </w:r>
    </w:p>
    <w:p w14:paraId="73B67C1D">
      <w:pPr>
        <w:spacing w:line="42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项目实施主体及其子公司、下属单位、上级主管部门或者控股公司的工作人员或者退休人员不得以专家身份参与本单位或者代理项目的评标评审。 </w:t>
      </w:r>
    </w:p>
    <w:p w14:paraId="1B231CC3">
      <w:pPr>
        <w:spacing w:line="42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评标委员会或评审机构成员有前两款规定情形的，应当主动提出回避；已经进入的应当更换，被更换的成员评标评审意见无效。 </w:t>
      </w:r>
    </w:p>
    <w:p w14:paraId="6AB486EC">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31.3评标过程中，评标委员会成员有回避事由、擅离职守或因健康等原因不能继续评标的，招标人有权更换。被更换的评标委员会成员作出的评审结论无效，由更换后的评标委员会成员重新进行评审。</w:t>
      </w:r>
    </w:p>
    <w:p w14:paraId="3F5E0345">
      <w:pPr>
        <w:spacing w:line="420" w:lineRule="exact"/>
        <w:ind w:firstLine="421"/>
        <w:jc w:val="left"/>
        <w:rPr>
          <w:rFonts w:hint="eastAsia" w:ascii="宋体"/>
          <w:b/>
          <w:szCs w:val="21"/>
          <w:highlight w:val="none"/>
        </w:rPr>
      </w:pPr>
      <w:r>
        <w:rPr>
          <w:rFonts w:hint="eastAsia" w:ascii="宋体"/>
          <w:b/>
          <w:szCs w:val="21"/>
          <w:highlight w:val="none"/>
        </w:rPr>
        <w:t>32.评标原则</w:t>
      </w:r>
    </w:p>
    <w:p w14:paraId="0BF9E38E">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32.1评标活动遵循公平、公正、科学和择优的原则。</w:t>
      </w:r>
    </w:p>
    <w:p w14:paraId="2E4E6DB4">
      <w:pPr>
        <w:tabs>
          <w:tab w:val="left" w:pos="720"/>
        </w:tabs>
        <w:spacing w:line="420" w:lineRule="exact"/>
        <w:ind w:firstLine="422" w:firstLineChars="200"/>
        <w:jc w:val="left"/>
        <w:rPr>
          <w:rFonts w:ascii="宋体"/>
          <w:szCs w:val="21"/>
          <w:highlight w:val="none"/>
        </w:rPr>
      </w:pPr>
      <w:r>
        <w:rPr>
          <w:rFonts w:hint="eastAsia" w:ascii="宋体"/>
          <w:b/>
          <w:szCs w:val="21"/>
          <w:highlight w:val="none"/>
        </w:rPr>
        <w:t>33.评标</w:t>
      </w:r>
    </w:p>
    <w:p w14:paraId="3CD5AD3F">
      <w:pPr>
        <w:spacing w:line="420" w:lineRule="exact"/>
        <w:ind w:firstLine="420" w:firstLineChars="200"/>
        <w:jc w:val="left"/>
        <w:rPr>
          <w:rFonts w:hint="eastAsia" w:ascii="宋体" w:hAnsi="宋体" w:cs="宋体"/>
          <w:szCs w:val="21"/>
          <w:highlight w:val="none"/>
        </w:rPr>
      </w:pPr>
      <w:r>
        <w:rPr>
          <w:rFonts w:hint="eastAsia" w:ascii="宋体" w:hAnsi="宋体" w:cs="宋体"/>
          <w:szCs w:val="21"/>
          <w:highlight w:val="none"/>
        </w:rPr>
        <w:t>33.1评标委员会按照第四章“评标办法”规定的方法、评审因素、标准和程序对投标文件进行评审。第四章“评标办法”没有规定的方法、评审因素和标准，不作为评标依据。</w:t>
      </w:r>
    </w:p>
    <w:p w14:paraId="2058EC02">
      <w:pPr>
        <w:spacing w:line="420" w:lineRule="exact"/>
        <w:ind w:firstLine="420" w:firstLineChars="200"/>
        <w:jc w:val="left"/>
        <w:rPr>
          <w:rFonts w:hint="eastAsia" w:ascii="宋体"/>
          <w:szCs w:val="21"/>
          <w:highlight w:val="none"/>
        </w:rPr>
      </w:pPr>
      <w:r>
        <w:rPr>
          <w:rFonts w:hint="eastAsia" w:ascii="宋体" w:hAnsi="宋体" w:cs="宋体"/>
          <w:szCs w:val="21"/>
          <w:highlight w:val="none"/>
        </w:rPr>
        <w:t>33.2评标完成后，评标委员会应向招标人提交书面评标报告和中标候选人名单。评标委员会推荐中标候选人的人数见投标人须知前附表。</w:t>
      </w:r>
    </w:p>
    <w:p w14:paraId="7AEDCD0D">
      <w:pPr>
        <w:spacing w:before="240" w:beforeLines="100" w:after="240" w:afterLines="100" w:line="400" w:lineRule="exact"/>
        <w:jc w:val="center"/>
        <w:rPr>
          <w:rFonts w:hint="eastAsia" w:ascii="宋体"/>
          <w:b/>
          <w:sz w:val="28"/>
          <w:szCs w:val="28"/>
          <w:highlight w:val="none"/>
        </w:rPr>
      </w:pPr>
      <w:r>
        <w:rPr>
          <w:rFonts w:hint="eastAsia" w:ascii="宋体"/>
          <w:b/>
          <w:sz w:val="28"/>
          <w:szCs w:val="28"/>
          <w:highlight w:val="none"/>
        </w:rPr>
        <w:t>（六）合同授予</w:t>
      </w:r>
      <w:bookmarkEnd w:id="61"/>
    </w:p>
    <w:p w14:paraId="43896B6E">
      <w:pPr>
        <w:spacing w:line="420" w:lineRule="exact"/>
        <w:ind w:firstLine="521" w:firstLineChars="247"/>
        <w:jc w:val="left"/>
        <w:rPr>
          <w:rFonts w:hint="eastAsia" w:ascii="宋体"/>
          <w:b/>
          <w:szCs w:val="21"/>
          <w:highlight w:val="none"/>
        </w:rPr>
      </w:pPr>
      <w:bookmarkStart w:id="62" w:name="_Toc449028874"/>
      <w:r>
        <w:rPr>
          <w:rFonts w:hint="eastAsia" w:ascii="宋体"/>
          <w:b/>
          <w:szCs w:val="21"/>
          <w:highlight w:val="none"/>
        </w:rPr>
        <w:t>34.中标公示</w:t>
      </w:r>
    </w:p>
    <w:p w14:paraId="6F73D695">
      <w:pPr>
        <w:spacing w:line="420" w:lineRule="exact"/>
        <w:ind w:firstLine="525" w:firstLineChars="250"/>
        <w:jc w:val="left"/>
        <w:rPr>
          <w:rFonts w:hint="eastAsia" w:ascii="宋体"/>
          <w:szCs w:val="21"/>
          <w:highlight w:val="none"/>
        </w:rPr>
      </w:pPr>
      <w:r>
        <w:rPr>
          <w:rFonts w:hint="eastAsia" w:ascii="宋体"/>
          <w:szCs w:val="21"/>
          <w:highlight w:val="none"/>
        </w:rPr>
        <w:t>34.1招标人在收到评标报告之日起3日内，按照投标人须知前附表规定的公示媒介和期限依法公示。公示期不得少于3日。</w:t>
      </w:r>
    </w:p>
    <w:p w14:paraId="69641209">
      <w:pPr>
        <w:numPr>
          <w:ilvl w:val="0"/>
          <w:numId w:val="9"/>
        </w:numPr>
        <w:spacing w:line="420" w:lineRule="exact"/>
        <w:ind w:firstLine="521" w:firstLineChars="247"/>
        <w:jc w:val="left"/>
        <w:rPr>
          <w:rFonts w:hint="eastAsia" w:ascii="宋体"/>
          <w:b/>
          <w:szCs w:val="21"/>
          <w:highlight w:val="none"/>
        </w:rPr>
      </w:pPr>
      <w:r>
        <w:rPr>
          <w:rFonts w:hint="eastAsia" w:ascii="宋体"/>
          <w:b/>
          <w:szCs w:val="21"/>
          <w:highlight w:val="none"/>
        </w:rPr>
        <w:t>评标结果异议</w:t>
      </w:r>
    </w:p>
    <w:p w14:paraId="684EF732">
      <w:pPr>
        <w:spacing w:line="420" w:lineRule="exact"/>
        <w:ind w:firstLine="525" w:firstLineChars="250"/>
        <w:jc w:val="left"/>
        <w:rPr>
          <w:rFonts w:hint="eastAsia" w:ascii="宋体"/>
          <w:b/>
          <w:szCs w:val="21"/>
          <w:highlight w:val="none"/>
        </w:rPr>
      </w:pPr>
      <w:r>
        <w:rPr>
          <w:rFonts w:hint="eastAsia" w:ascii="宋体"/>
          <w:szCs w:val="21"/>
          <w:highlight w:val="none"/>
        </w:rPr>
        <w:t>35.1投标人或其他利害关系人对评标结果有异议的，应在中标候选人公示期内提出。招标人将在收到异议之日起3日内作出答复；作出答复前，将暂停招标投标活动。</w:t>
      </w:r>
    </w:p>
    <w:p w14:paraId="154FD950">
      <w:pPr>
        <w:numPr>
          <w:ilvl w:val="0"/>
          <w:numId w:val="9"/>
        </w:numPr>
        <w:spacing w:line="420" w:lineRule="exact"/>
        <w:ind w:firstLine="521" w:firstLineChars="247"/>
        <w:jc w:val="left"/>
        <w:rPr>
          <w:rFonts w:hint="eastAsia" w:ascii="宋体"/>
          <w:b/>
          <w:szCs w:val="21"/>
          <w:highlight w:val="none"/>
        </w:rPr>
      </w:pPr>
      <w:r>
        <w:rPr>
          <w:rFonts w:hint="eastAsia" w:ascii="宋体"/>
          <w:b/>
          <w:szCs w:val="21"/>
          <w:highlight w:val="none"/>
        </w:rPr>
        <w:t>中标候选人履约能力审查</w:t>
      </w:r>
    </w:p>
    <w:p w14:paraId="43B50208">
      <w:pPr>
        <w:spacing w:line="420" w:lineRule="exact"/>
        <w:ind w:firstLine="525" w:firstLineChars="250"/>
        <w:jc w:val="left"/>
        <w:rPr>
          <w:rFonts w:hint="eastAsia" w:ascii="宋体"/>
          <w:szCs w:val="21"/>
          <w:highlight w:val="none"/>
        </w:rPr>
      </w:pPr>
      <w:r>
        <w:rPr>
          <w:rFonts w:hint="eastAsia" w:ascii="宋体"/>
          <w:szCs w:val="21"/>
          <w:highlight w:val="none"/>
        </w:rPr>
        <w:t>36.1中标候选人的经营、财务状况发生较大变化或者存在违法行为，招标人认为可能影响其履约能力的，应当在发出中标通知书前由原评标委员会按照招标文件规定的标准和方法审查确认。</w:t>
      </w:r>
    </w:p>
    <w:p w14:paraId="5BBCEB5E">
      <w:pPr>
        <w:numPr>
          <w:ilvl w:val="0"/>
          <w:numId w:val="9"/>
        </w:numPr>
        <w:spacing w:line="420" w:lineRule="exact"/>
        <w:ind w:firstLine="521" w:firstLineChars="247"/>
        <w:jc w:val="left"/>
        <w:rPr>
          <w:rFonts w:ascii="宋体"/>
          <w:b/>
          <w:szCs w:val="21"/>
          <w:highlight w:val="none"/>
        </w:rPr>
      </w:pPr>
      <w:r>
        <w:rPr>
          <w:rFonts w:hint="eastAsia" w:ascii="宋体"/>
          <w:b/>
          <w:szCs w:val="21"/>
          <w:highlight w:val="none"/>
        </w:rPr>
        <w:t>业绩奖项公示</w:t>
      </w:r>
    </w:p>
    <w:p w14:paraId="19FD9202">
      <w:pPr>
        <w:spacing w:line="420" w:lineRule="exact"/>
        <w:ind w:firstLine="525" w:firstLineChars="250"/>
        <w:jc w:val="left"/>
        <w:rPr>
          <w:rFonts w:hint="eastAsia" w:ascii="宋体"/>
          <w:szCs w:val="21"/>
          <w:highlight w:val="none"/>
        </w:rPr>
      </w:pPr>
      <w:r>
        <w:rPr>
          <w:rFonts w:hint="eastAsia" w:ascii="宋体"/>
          <w:szCs w:val="21"/>
          <w:highlight w:val="none"/>
        </w:rPr>
        <w:t>37.1招标人对中标人的得分业绩进行公示。</w:t>
      </w:r>
    </w:p>
    <w:p w14:paraId="6443CFF6">
      <w:pPr>
        <w:numPr>
          <w:ilvl w:val="0"/>
          <w:numId w:val="9"/>
        </w:numPr>
        <w:spacing w:line="420" w:lineRule="exact"/>
        <w:ind w:firstLine="521" w:firstLineChars="247"/>
        <w:jc w:val="left"/>
        <w:rPr>
          <w:rFonts w:ascii="宋体"/>
          <w:b/>
          <w:szCs w:val="21"/>
          <w:highlight w:val="none"/>
        </w:rPr>
      </w:pPr>
      <w:r>
        <w:rPr>
          <w:rFonts w:hint="eastAsia" w:ascii="宋体"/>
          <w:b/>
          <w:szCs w:val="21"/>
          <w:highlight w:val="none"/>
        </w:rPr>
        <w:t>定标</w:t>
      </w:r>
    </w:p>
    <w:p w14:paraId="758F6F54">
      <w:pPr>
        <w:spacing w:line="420" w:lineRule="exact"/>
        <w:ind w:firstLine="525" w:firstLineChars="250"/>
        <w:jc w:val="left"/>
        <w:rPr>
          <w:rFonts w:hint="eastAsia" w:ascii="宋体"/>
          <w:szCs w:val="21"/>
          <w:highlight w:val="none"/>
        </w:rPr>
      </w:pPr>
      <w:r>
        <w:rPr>
          <w:rFonts w:hint="eastAsia" w:ascii="宋体"/>
          <w:szCs w:val="21"/>
          <w:highlight w:val="none"/>
        </w:rPr>
        <w:t>38.1按照投标人须知前附表的规定，招标人或招标人授权的评标委员会依法确定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3FFF77BD">
      <w:pPr>
        <w:numPr>
          <w:ilvl w:val="0"/>
          <w:numId w:val="9"/>
        </w:numPr>
        <w:spacing w:line="420" w:lineRule="exact"/>
        <w:ind w:firstLine="521" w:firstLineChars="247"/>
        <w:jc w:val="left"/>
        <w:rPr>
          <w:rFonts w:hint="eastAsia" w:ascii="宋体"/>
          <w:b/>
          <w:szCs w:val="21"/>
          <w:highlight w:val="none"/>
        </w:rPr>
      </w:pPr>
      <w:r>
        <w:rPr>
          <w:rFonts w:hint="eastAsia" w:ascii="宋体"/>
          <w:b/>
          <w:szCs w:val="21"/>
          <w:highlight w:val="none"/>
        </w:rPr>
        <w:t>中标通知</w:t>
      </w:r>
    </w:p>
    <w:p w14:paraId="57798E33">
      <w:pPr>
        <w:spacing w:line="420" w:lineRule="exact"/>
        <w:ind w:firstLine="525" w:firstLineChars="250"/>
        <w:jc w:val="left"/>
        <w:rPr>
          <w:rFonts w:hint="eastAsia" w:ascii="宋体"/>
          <w:szCs w:val="21"/>
          <w:highlight w:val="none"/>
        </w:rPr>
      </w:pPr>
      <w:r>
        <w:rPr>
          <w:rFonts w:hint="eastAsia" w:ascii="宋体"/>
          <w:szCs w:val="21"/>
          <w:highlight w:val="none"/>
        </w:rPr>
        <w:t>39.1在本招标文件规定的投标有效期内，招标人以数据电文向中标人发出中标通知书，同时将中标结果通知未中标的投标人。</w:t>
      </w:r>
    </w:p>
    <w:p w14:paraId="566BD77C">
      <w:pPr>
        <w:numPr>
          <w:ilvl w:val="0"/>
          <w:numId w:val="9"/>
        </w:numPr>
        <w:spacing w:line="420" w:lineRule="exact"/>
        <w:ind w:firstLine="521" w:firstLineChars="247"/>
        <w:jc w:val="left"/>
        <w:rPr>
          <w:rFonts w:ascii="宋体"/>
          <w:b/>
          <w:szCs w:val="21"/>
          <w:highlight w:val="none"/>
        </w:rPr>
      </w:pPr>
      <w:r>
        <w:rPr>
          <w:rFonts w:hint="eastAsia" w:ascii="宋体"/>
          <w:b/>
          <w:szCs w:val="21"/>
          <w:highlight w:val="none"/>
        </w:rPr>
        <w:t>履约担保</w:t>
      </w:r>
    </w:p>
    <w:p w14:paraId="6FA86D20">
      <w:pPr>
        <w:spacing w:line="420" w:lineRule="exact"/>
        <w:ind w:firstLine="525" w:firstLineChars="250"/>
        <w:jc w:val="left"/>
        <w:rPr>
          <w:rFonts w:hint="eastAsia" w:ascii="宋体"/>
          <w:szCs w:val="21"/>
          <w:highlight w:val="none"/>
        </w:rPr>
      </w:pPr>
      <w:r>
        <w:rPr>
          <w:rFonts w:hint="eastAsia" w:ascii="宋体"/>
          <w:szCs w:val="21"/>
          <w:highlight w:val="none"/>
        </w:rPr>
        <w:t>40.1在签订合同前，中标人应按投标人须知前附表规定的担保形式和招标文件第六章“合同条款及格式”规定的或者事先经过招标人书面认可的履约担保格式向招标人提交履约担保。联合体中标的，其履约担保应符合投标人须知前附表规定的金额、担保形式和招标文件第六章“合同条款及格式”规定的履约担保格式要求。</w:t>
      </w:r>
    </w:p>
    <w:p w14:paraId="45F3CF5C">
      <w:pPr>
        <w:spacing w:line="420" w:lineRule="exact"/>
        <w:ind w:firstLine="525" w:firstLineChars="250"/>
        <w:jc w:val="left"/>
        <w:rPr>
          <w:rFonts w:hint="eastAsia" w:ascii="宋体"/>
          <w:szCs w:val="21"/>
          <w:highlight w:val="none"/>
        </w:rPr>
      </w:pPr>
      <w:r>
        <w:rPr>
          <w:rFonts w:hint="eastAsia" w:ascii="宋体"/>
          <w:szCs w:val="21"/>
          <w:highlight w:val="none"/>
        </w:rPr>
        <w:t>40.2中标人不能按本章第40.1项要求提交履约担保的，视为放弃中标，其投标保证金不予退还，给招标人造成的损失超过投标保证金数额的，中标人还应当对超过部分予以赔偿。</w:t>
      </w:r>
    </w:p>
    <w:p w14:paraId="2B07018A">
      <w:pPr>
        <w:numPr>
          <w:ilvl w:val="0"/>
          <w:numId w:val="9"/>
        </w:numPr>
        <w:spacing w:line="420" w:lineRule="exact"/>
        <w:ind w:firstLine="521" w:firstLineChars="247"/>
        <w:jc w:val="left"/>
        <w:rPr>
          <w:rFonts w:hint="eastAsia" w:ascii="宋体"/>
          <w:b/>
          <w:szCs w:val="21"/>
          <w:highlight w:val="none"/>
        </w:rPr>
      </w:pPr>
      <w:r>
        <w:rPr>
          <w:rFonts w:hint="eastAsia" w:ascii="宋体"/>
          <w:b/>
          <w:szCs w:val="21"/>
          <w:highlight w:val="none"/>
        </w:rPr>
        <w:t>签订合同</w:t>
      </w:r>
    </w:p>
    <w:p w14:paraId="458584E6">
      <w:pPr>
        <w:spacing w:line="420" w:lineRule="exact"/>
        <w:ind w:firstLine="525" w:firstLineChars="250"/>
        <w:jc w:val="left"/>
        <w:rPr>
          <w:rFonts w:hint="eastAsia" w:ascii="宋体"/>
          <w:szCs w:val="21"/>
          <w:highlight w:val="none"/>
        </w:rPr>
      </w:pPr>
      <w:r>
        <w:rPr>
          <w:rFonts w:hint="eastAsia" w:ascii="宋体"/>
          <w:szCs w:val="21"/>
          <w:highlight w:val="none"/>
        </w:rPr>
        <w:t>41.1本项目合同将授予按本须知第39款规定所确定的中标人。</w:t>
      </w:r>
    </w:p>
    <w:p w14:paraId="64E21663">
      <w:pPr>
        <w:spacing w:line="420" w:lineRule="exact"/>
        <w:ind w:firstLine="525" w:firstLineChars="250"/>
        <w:jc w:val="left"/>
        <w:rPr>
          <w:rFonts w:hint="eastAsia" w:ascii="宋体"/>
          <w:szCs w:val="21"/>
          <w:highlight w:val="none"/>
        </w:rPr>
      </w:pPr>
      <w:r>
        <w:rPr>
          <w:rFonts w:hint="eastAsia" w:ascii="宋体"/>
          <w:szCs w:val="21"/>
          <w:highlight w:val="none"/>
        </w:rPr>
        <w:t>41.2招标人和中标人应当自中标通知书发出之日起30天内，根据招标文件和中标人的投标文件订立书面合同。中标人无正当理由拒签合同的，在签订合同时向招标人提出附加条件，或不按照招标文件要求提交履约保证金的，招标人取消其中标资格，其投标保证金不予退还；给招标人造成的损失超过投标保证金数额的，中标人还应当对超过部分予以赔偿。</w:t>
      </w:r>
    </w:p>
    <w:p w14:paraId="0EBCED49">
      <w:pPr>
        <w:spacing w:line="420" w:lineRule="exact"/>
        <w:ind w:firstLine="525" w:firstLineChars="250"/>
        <w:jc w:val="left"/>
        <w:rPr>
          <w:rFonts w:hint="eastAsia" w:ascii="宋体"/>
          <w:szCs w:val="21"/>
          <w:highlight w:val="none"/>
        </w:rPr>
      </w:pPr>
      <w:r>
        <w:rPr>
          <w:rFonts w:hint="eastAsia" w:ascii="宋体"/>
          <w:szCs w:val="21"/>
          <w:highlight w:val="none"/>
        </w:rPr>
        <w:t>41.3发出中标通知书后，招标人无正当理由拒签合同的，招标人向中标人退还投标保证金；给中标人造成损失的，还应当赔偿损失。</w:t>
      </w:r>
    </w:p>
    <w:p w14:paraId="047B685E">
      <w:pPr>
        <w:spacing w:line="420" w:lineRule="exact"/>
        <w:ind w:firstLine="525" w:firstLineChars="250"/>
        <w:jc w:val="left"/>
        <w:rPr>
          <w:rFonts w:hint="eastAsia" w:ascii="宋体"/>
          <w:szCs w:val="21"/>
          <w:highlight w:val="none"/>
        </w:rPr>
      </w:pPr>
      <w:r>
        <w:rPr>
          <w:rFonts w:hint="eastAsia" w:ascii="宋体"/>
          <w:szCs w:val="21"/>
          <w:highlight w:val="none"/>
        </w:rPr>
        <w:t>41.4 除法定情形外，建设工程合同履行期间项目经理（建造师）不得更换。项目经理（建造师）确需变更的，应根据招标文件要求，变更后的项目经理（建造师）不低于投标文件中拟派项目经理（建造师）的资格条件。</w:t>
      </w:r>
    </w:p>
    <w:p w14:paraId="2806BE8E">
      <w:pPr>
        <w:spacing w:line="420" w:lineRule="exact"/>
        <w:ind w:firstLine="525" w:firstLineChars="250"/>
        <w:jc w:val="left"/>
        <w:rPr>
          <w:rFonts w:hint="eastAsia" w:ascii="宋体"/>
          <w:szCs w:val="21"/>
          <w:highlight w:val="none"/>
        </w:rPr>
      </w:pPr>
      <w:r>
        <w:rPr>
          <w:rFonts w:hint="eastAsia" w:ascii="宋体"/>
          <w:szCs w:val="21"/>
          <w:highlight w:val="none"/>
        </w:rPr>
        <w:t>41.5联合体中标的，联合体各方应当共同与招标人签订合同，就中标项目向招标人承担连带责任。</w:t>
      </w:r>
    </w:p>
    <w:p w14:paraId="0B8A45B1">
      <w:pPr>
        <w:numPr>
          <w:ilvl w:val="0"/>
          <w:numId w:val="9"/>
        </w:numPr>
        <w:spacing w:line="420" w:lineRule="exact"/>
        <w:ind w:firstLine="521" w:firstLineChars="247"/>
        <w:jc w:val="left"/>
        <w:rPr>
          <w:rFonts w:hint="eastAsia" w:ascii="宋体"/>
          <w:b/>
          <w:szCs w:val="21"/>
          <w:highlight w:val="none"/>
        </w:rPr>
      </w:pPr>
      <w:r>
        <w:rPr>
          <w:rFonts w:hint="eastAsia" w:ascii="宋体"/>
          <w:b/>
          <w:szCs w:val="21"/>
          <w:highlight w:val="none"/>
        </w:rPr>
        <w:t>重新招标和不再招标</w:t>
      </w:r>
    </w:p>
    <w:p w14:paraId="06334DA7">
      <w:pPr>
        <w:spacing w:line="420" w:lineRule="exact"/>
        <w:ind w:firstLine="525" w:firstLineChars="250"/>
        <w:jc w:val="left"/>
        <w:rPr>
          <w:rFonts w:hint="eastAsia" w:ascii="宋体"/>
          <w:szCs w:val="21"/>
          <w:highlight w:val="none"/>
        </w:rPr>
      </w:pPr>
      <w:bookmarkStart w:id="63" w:name="_Toc152045572"/>
      <w:bookmarkStart w:id="64" w:name="_Toc60061479"/>
      <w:bookmarkStart w:id="65" w:name="_Toc179632590"/>
      <w:bookmarkStart w:id="66" w:name="_Toc83301733"/>
      <w:bookmarkStart w:id="67" w:name="_Toc152042348"/>
      <w:bookmarkStart w:id="68" w:name="_Toc144974540"/>
      <w:bookmarkStart w:id="69" w:name="_Toc95223382"/>
      <w:r>
        <w:rPr>
          <w:rFonts w:hint="eastAsia" w:ascii="宋体"/>
          <w:szCs w:val="21"/>
          <w:highlight w:val="none"/>
        </w:rPr>
        <w:t>42.1 重新招标</w:t>
      </w:r>
      <w:bookmarkEnd w:id="63"/>
      <w:bookmarkEnd w:id="64"/>
      <w:bookmarkEnd w:id="65"/>
      <w:bookmarkEnd w:id="66"/>
      <w:bookmarkEnd w:id="67"/>
      <w:bookmarkEnd w:id="68"/>
      <w:bookmarkEnd w:id="69"/>
    </w:p>
    <w:p w14:paraId="617E5417">
      <w:pPr>
        <w:spacing w:line="420" w:lineRule="exact"/>
        <w:ind w:firstLine="525" w:firstLineChars="250"/>
        <w:jc w:val="left"/>
        <w:rPr>
          <w:rFonts w:hint="eastAsia" w:ascii="宋体"/>
          <w:szCs w:val="21"/>
          <w:highlight w:val="none"/>
        </w:rPr>
      </w:pPr>
      <w:r>
        <w:rPr>
          <w:rFonts w:hint="eastAsia" w:ascii="宋体"/>
          <w:szCs w:val="21"/>
          <w:highlight w:val="none"/>
        </w:rPr>
        <w:t>42.1.1依法必须招标的项目有下列情形之一的，招标人将重新招标：</w:t>
      </w:r>
    </w:p>
    <w:p w14:paraId="55CA833D">
      <w:pPr>
        <w:spacing w:line="420" w:lineRule="exact"/>
        <w:ind w:firstLine="525" w:firstLineChars="250"/>
        <w:jc w:val="left"/>
        <w:rPr>
          <w:rFonts w:hint="eastAsia" w:ascii="宋体"/>
          <w:szCs w:val="21"/>
          <w:highlight w:val="none"/>
        </w:rPr>
      </w:pPr>
      <w:r>
        <w:rPr>
          <w:rFonts w:hint="eastAsia" w:ascii="宋体"/>
          <w:szCs w:val="21"/>
          <w:highlight w:val="none"/>
        </w:rPr>
        <w:t>（1）投标截止时间止，投标人少于3个的；</w:t>
      </w:r>
    </w:p>
    <w:p w14:paraId="029C3AE1">
      <w:pPr>
        <w:spacing w:line="420" w:lineRule="exact"/>
        <w:ind w:firstLine="525" w:firstLineChars="250"/>
        <w:jc w:val="left"/>
        <w:rPr>
          <w:rFonts w:hint="eastAsia" w:ascii="宋体"/>
          <w:szCs w:val="21"/>
          <w:highlight w:val="none"/>
        </w:rPr>
      </w:pPr>
      <w:r>
        <w:rPr>
          <w:rFonts w:hint="eastAsia" w:ascii="宋体"/>
          <w:szCs w:val="21"/>
          <w:highlight w:val="none"/>
        </w:rPr>
        <w:t>（2）经评标委员会评审后否决所有投标的；</w:t>
      </w:r>
    </w:p>
    <w:p w14:paraId="16E936FA">
      <w:pPr>
        <w:spacing w:line="420" w:lineRule="exact"/>
        <w:ind w:firstLine="525" w:firstLineChars="250"/>
        <w:jc w:val="left"/>
        <w:rPr>
          <w:rFonts w:hint="eastAsia" w:ascii="宋体"/>
          <w:szCs w:val="21"/>
          <w:highlight w:val="none"/>
        </w:rPr>
      </w:pPr>
      <w:r>
        <w:rPr>
          <w:rFonts w:hint="eastAsia" w:ascii="宋体"/>
          <w:szCs w:val="21"/>
          <w:highlight w:val="none"/>
        </w:rPr>
        <w:t>（3）中标候选人均未与招标人签订合同的；</w:t>
      </w:r>
    </w:p>
    <w:p w14:paraId="739970B7">
      <w:pPr>
        <w:spacing w:line="420" w:lineRule="exact"/>
        <w:ind w:firstLine="525" w:firstLineChars="250"/>
        <w:jc w:val="left"/>
        <w:rPr>
          <w:rFonts w:hint="eastAsia" w:ascii="宋体"/>
          <w:szCs w:val="21"/>
          <w:highlight w:val="none"/>
        </w:rPr>
      </w:pPr>
      <w:r>
        <w:rPr>
          <w:rFonts w:hint="eastAsia" w:ascii="宋体"/>
          <w:szCs w:val="21"/>
          <w:highlight w:val="none"/>
        </w:rPr>
        <w:t>（4）法律、法规规定的其他情形。</w:t>
      </w:r>
    </w:p>
    <w:p w14:paraId="307F121F">
      <w:pPr>
        <w:spacing w:line="420" w:lineRule="exact"/>
        <w:ind w:firstLine="525" w:firstLineChars="250"/>
        <w:jc w:val="left"/>
        <w:rPr>
          <w:rFonts w:hint="eastAsia" w:ascii="宋体"/>
          <w:szCs w:val="21"/>
          <w:highlight w:val="none"/>
        </w:rPr>
      </w:pPr>
      <w:bookmarkStart w:id="70" w:name="_Toc95223383"/>
      <w:bookmarkStart w:id="71" w:name="_Toc179632591"/>
      <w:bookmarkStart w:id="72" w:name="_Toc83301734"/>
      <w:bookmarkStart w:id="73" w:name="_Toc60061480"/>
      <w:bookmarkStart w:id="74" w:name="_Toc152042349"/>
      <w:bookmarkStart w:id="75" w:name="_Toc152045573"/>
      <w:bookmarkStart w:id="76" w:name="_Toc144974541"/>
      <w:r>
        <w:rPr>
          <w:rFonts w:hint="eastAsia" w:ascii="宋体"/>
          <w:szCs w:val="21"/>
          <w:highlight w:val="none"/>
        </w:rPr>
        <w:t>42.2 不再招标</w:t>
      </w:r>
      <w:bookmarkEnd w:id="70"/>
      <w:bookmarkEnd w:id="71"/>
      <w:bookmarkEnd w:id="72"/>
      <w:bookmarkEnd w:id="73"/>
      <w:bookmarkEnd w:id="74"/>
      <w:bookmarkEnd w:id="75"/>
      <w:bookmarkEnd w:id="76"/>
    </w:p>
    <w:p w14:paraId="0ADA5442">
      <w:pPr>
        <w:spacing w:line="420" w:lineRule="exact"/>
        <w:ind w:firstLine="525" w:firstLineChars="250"/>
        <w:jc w:val="left"/>
        <w:rPr>
          <w:rFonts w:hint="eastAsia" w:ascii="宋体"/>
          <w:szCs w:val="21"/>
          <w:highlight w:val="none"/>
        </w:rPr>
      </w:pPr>
      <w:r>
        <w:rPr>
          <w:rFonts w:hint="eastAsia" w:ascii="宋体"/>
          <w:szCs w:val="21"/>
          <w:highlight w:val="none"/>
        </w:rPr>
        <w:t>42.2.1重新招标后投标人仍少于3个或者所有投标被否决的，属于必须审批或核准的工程建设项目，经原审批或核准部门批准后不再进行招标。</w:t>
      </w:r>
    </w:p>
    <w:p w14:paraId="5A4CA848">
      <w:pPr>
        <w:spacing w:before="240" w:beforeLines="100" w:after="240" w:afterLines="100" w:line="400" w:lineRule="exact"/>
        <w:jc w:val="center"/>
        <w:rPr>
          <w:rFonts w:hint="eastAsia" w:ascii="宋体"/>
          <w:b/>
          <w:sz w:val="28"/>
          <w:szCs w:val="28"/>
          <w:highlight w:val="none"/>
        </w:rPr>
      </w:pPr>
      <w:r>
        <w:rPr>
          <w:rFonts w:hint="eastAsia" w:ascii="宋体"/>
          <w:b/>
          <w:sz w:val="28"/>
          <w:szCs w:val="28"/>
          <w:highlight w:val="none"/>
        </w:rPr>
        <w:t>（七）纪律和监督</w:t>
      </w:r>
      <w:bookmarkEnd w:id="62"/>
    </w:p>
    <w:p w14:paraId="6BE0B6A9">
      <w:pPr>
        <w:numPr>
          <w:ilvl w:val="0"/>
          <w:numId w:val="9"/>
        </w:numPr>
        <w:spacing w:line="420" w:lineRule="exact"/>
        <w:ind w:firstLine="521" w:firstLineChars="247"/>
        <w:jc w:val="left"/>
        <w:rPr>
          <w:rFonts w:hint="eastAsia" w:ascii="宋体"/>
          <w:b/>
          <w:szCs w:val="21"/>
          <w:highlight w:val="none"/>
        </w:rPr>
      </w:pPr>
      <w:r>
        <w:rPr>
          <w:rFonts w:hint="eastAsia" w:ascii="宋体"/>
          <w:b/>
          <w:szCs w:val="21"/>
          <w:highlight w:val="none"/>
        </w:rPr>
        <w:t xml:space="preserve">对招标人的纪律要求 </w:t>
      </w:r>
    </w:p>
    <w:p w14:paraId="69579DEC">
      <w:pPr>
        <w:spacing w:line="420" w:lineRule="exact"/>
        <w:ind w:firstLine="525" w:firstLineChars="250"/>
        <w:jc w:val="left"/>
        <w:rPr>
          <w:rFonts w:hint="eastAsia" w:ascii="宋体"/>
          <w:szCs w:val="21"/>
          <w:highlight w:val="none"/>
        </w:rPr>
      </w:pPr>
      <w:r>
        <w:rPr>
          <w:rFonts w:hint="eastAsia" w:ascii="宋体"/>
          <w:szCs w:val="21"/>
          <w:highlight w:val="none"/>
        </w:rPr>
        <w:t>43.1招标人不得泄漏招标投标活动中应当保密的情况和资料，不得与投标人串通损害国家利益、社会公共利益或者他人合法权益。</w:t>
      </w:r>
    </w:p>
    <w:p w14:paraId="211AC187">
      <w:pPr>
        <w:numPr>
          <w:ilvl w:val="0"/>
          <w:numId w:val="9"/>
        </w:numPr>
        <w:spacing w:line="420" w:lineRule="exact"/>
        <w:ind w:firstLine="521" w:firstLineChars="247"/>
        <w:jc w:val="left"/>
        <w:rPr>
          <w:rFonts w:hint="eastAsia" w:ascii="宋体"/>
          <w:b/>
          <w:szCs w:val="21"/>
          <w:highlight w:val="none"/>
        </w:rPr>
      </w:pPr>
      <w:r>
        <w:rPr>
          <w:rFonts w:hint="eastAsia" w:ascii="宋体"/>
          <w:b/>
          <w:szCs w:val="21"/>
          <w:highlight w:val="none"/>
        </w:rPr>
        <w:t xml:space="preserve">对投标人的纪律要求 </w:t>
      </w:r>
    </w:p>
    <w:p w14:paraId="000DEDB8">
      <w:pPr>
        <w:spacing w:line="420" w:lineRule="exact"/>
        <w:ind w:firstLine="525" w:firstLineChars="250"/>
        <w:jc w:val="left"/>
        <w:rPr>
          <w:rFonts w:hint="eastAsia" w:ascii="宋体"/>
          <w:szCs w:val="21"/>
          <w:highlight w:val="none"/>
        </w:rPr>
      </w:pPr>
      <w:r>
        <w:rPr>
          <w:rFonts w:hint="eastAsia" w:ascii="宋体"/>
          <w:szCs w:val="21"/>
          <w:highlight w:val="none"/>
        </w:rPr>
        <w:t>44.1投标人不得相互串通投标或者与招标人串通投标，不得向招标人或者评标委员会成员行贿谋取中标，不得以他人名义投标或者以其他方式弄虚作假骗取中标；投标人不得以任何方式干扰、影响评标工作。</w:t>
      </w:r>
    </w:p>
    <w:p w14:paraId="3029DC89">
      <w:pPr>
        <w:numPr>
          <w:ilvl w:val="0"/>
          <w:numId w:val="9"/>
        </w:numPr>
        <w:spacing w:line="420" w:lineRule="exact"/>
        <w:ind w:firstLine="521" w:firstLineChars="247"/>
        <w:jc w:val="left"/>
        <w:rPr>
          <w:rFonts w:hint="eastAsia" w:ascii="宋体"/>
          <w:b/>
          <w:szCs w:val="21"/>
          <w:highlight w:val="none"/>
        </w:rPr>
      </w:pPr>
      <w:r>
        <w:rPr>
          <w:rFonts w:hint="eastAsia" w:ascii="宋体"/>
          <w:b/>
          <w:szCs w:val="21"/>
          <w:highlight w:val="none"/>
        </w:rPr>
        <w:t xml:space="preserve">对评标委员会成员的纪律要求 </w:t>
      </w:r>
    </w:p>
    <w:p w14:paraId="6D391776">
      <w:pPr>
        <w:spacing w:line="420" w:lineRule="exact"/>
        <w:ind w:firstLine="525" w:firstLineChars="250"/>
        <w:jc w:val="left"/>
        <w:rPr>
          <w:rFonts w:hint="eastAsia" w:ascii="宋体"/>
          <w:kern w:val="10"/>
          <w:szCs w:val="21"/>
          <w:highlight w:val="none"/>
        </w:rPr>
      </w:pPr>
      <w:r>
        <w:rPr>
          <w:rFonts w:hint="eastAsia" w:ascii="宋体"/>
          <w:szCs w:val="21"/>
          <w:highlight w:val="none"/>
        </w:rPr>
        <w:t>45.1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四章“评标办法”没有规定的评审因素和标准进行评标。</w:t>
      </w:r>
    </w:p>
    <w:p w14:paraId="3B84784D">
      <w:pPr>
        <w:numPr>
          <w:ilvl w:val="0"/>
          <w:numId w:val="9"/>
        </w:numPr>
        <w:spacing w:line="420" w:lineRule="exact"/>
        <w:ind w:firstLine="521" w:firstLineChars="247"/>
        <w:jc w:val="left"/>
        <w:rPr>
          <w:rFonts w:hint="eastAsia" w:ascii="宋体"/>
          <w:b/>
          <w:szCs w:val="21"/>
          <w:highlight w:val="none"/>
        </w:rPr>
      </w:pPr>
      <w:r>
        <w:rPr>
          <w:rFonts w:hint="eastAsia" w:ascii="宋体"/>
          <w:b/>
          <w:szCs w:val="21"/>
          <w:highlight w:val="none"/>
        </w:rPr>
        <w:t xml:space="preserve">对与评标活动有关的工作人员的纪律要求 </w:t>
      </w:r>
    </w:p>
    <w:p w14:paraId="504FCB42">
      <w:pPr>
        <w:spacing w:line="420" w:lineRule="exact"/>
        <w:ind w:firstLine="525" w:firstLineChars="250"/>
        <w:jc w:val="left"/>
        <w:rPr>
          <w:rFonts w:hint="eastAsia" w:ascii="宋体"/>
          <w:szCs w:val="21"/>
          <w:highlight w:val="none"/>
        </w:rPr>
      </w:pPr>
      <w:bookmarkStart w:id="77" w:name="_Toc152042355"/>
      <w:r>
        <w:rPr>
          <w:rFonts w:hint="eastAsia" w:ascii="宋体"/>
          <w:szCs w:val="21"/>
          <w:highlight w:val="none"/>
        </w:rPr>
        <w:t>46.1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77"/>
    </w:p>
    <w:p w14:paraId="7FDA44EE">
      <w:pPr>
        <w:spacing w:before="240" w:beforeLines="100" w:after="240" w:afterLines="100" w:line="400" w:lineRule="exact"/>
        <w:jc w:val="center"/>
        <w:rPr>
          <w:rFonts w:hint="eastAsia" w:ascii="宋体"/>
          <w:b/>
          <w:sz w:val="28"/>
          <w:szCs w:val="28"/>
          <w:highlight w:val="none"/>
        </w:rPr>
      </w:pPr>
      <w:r>
        <w:rPr>
          <w:rFonts w:hint="eastAsia" w:ascii="宋体"/>
          <w:b/>
          <w:sz w:val="28"/>
          <w:szCs w:val="28"/>
          <w:highlight w:val="none"/>
        </w:rPr>
        <w:t>（八）投诉</w:t>
      </w:r>
    </w:p>
    <w:p w14:paraId="634665AE">
      <w:pPr>
        <w:spacing w:line="380" w:lineRule="exact"/>
        <w:ind w:firstLine="314" w:firstLineChars="149"/>
        <w:jc w:val="left"/>
        <w:rPr>
          <w:rFonts w:hint="eastAsia" w:ascii="宋体" w:hAnsi="宋体"/>
          <w:b/>
          <w:szCs w:val="21"/>
          <w:highlight w:val="none"/>
        </w:rPr>
      </w:pPr>
      <w:r>
        <w:rPr>
          <w:rFonts w:hint="eastAsia" w:ascii="宋体" w:hAnsi="宋体"/>
          <w:b/>
          <w:szCs w:val="21"/>
          <w:highlight w:val="none"/>
        </w:rPr>
        <w:t>47. 投诉</w:t>
      </w:r>
    </w:p>
    <w:p w14:paraId="05A4A5FF">
      <w:pPr>
        <w:adjustRightInd w:val="0"/>
        <w:snapToGrid w:val="0"/>
        <w:spacing w:line="420" w:lineRule="exact"/>
        <w:ind w:firstLine="315" w:firstLineChars="150"/>
        <w:rPr>
          <w:rFonts w:hint="eastAsia" w:ascii="宋体" w:hAnsi="宋体" w:cs="宋体"/>
          <w:color w:val="000000"/>
          <w:szCs w:val="21"/>
          <w:highlight w:val="none"/>
        </w:rPr>
      </w:pPr>
      <w:r>
        <w:rPr>
          <w:rFonts w:hint="eastAsia" w:ascii="宋体"/>
          <w:kern w:val="10"/>
          <w:szCs w:val="21"/>
          <w:highlight w:val="none"/>
        </w:rPr>
        <w:t>47.1</w:t>
      </w:r>
      <w:r>
        <w:rPr>
          <w:rFonts w:hint="eastAsia" w:ascii="宋体" w:hAnsi="宋体" w:cs="宋体"/>
          <w:color w:val="000000"/>
          <w:szCs w:val="21"/>
          <w:highlight w:val="none"/>
        </w:rPr>
        <w:t>投标人或者其他利害关系人认为招标投标活动违反法律、法规和规章规定的，有权向相关行政监督部门投诉。投诉应当有明确的请求和必要的证明材料。</w:t>
      </w:r>
    </w:p>
    <w:p w14:paraId="3438D0BF">
      <w:pPr>
        <w:adjustRightInd w:val="0"/>
        <w:snapToGrid w:val="0"/>
        <w:spacing w:line="420" w:lineRule="exact"/>
        <w:ind w:firstLine="315" w:firstLineChars="150"/>
        <w:rPr>
          <w:rFonts w:hint="eastAsia" w:ascii="宋体"/>
          <w:kern w:val="10"/>
          <w:szCs w:val="21"/>
          <w:highlight w:val="none"/>
        </w:rPr>
      </w:pPr>
      <w:r>
        <w:rPr>
          <w:rFonts w:hint="eastAsia" w:ascii="宋体"/>
          <w:kern w:val="10"/>
          <w:szCs w:val="21"/>
          <w:highlight w:val="none"/>
        </w:rPr>
        <w:t>47.2</w:t>
      </w:r>
      <w:r>
        <w:rPr>
          <w:rFonts w:hint="eastAsia" w:ascii="宋体" w:hAnsi="宋体" w:cs="宋体"/>
          <w:color w:val="000000"/>
          <w:szCs w:val="21"/>
          <w:highlight w:val="none"/>
        </w:rPr>
        <w:t>投标人和其他利害关系人对招标文件、开标和评标结果事项投诉的，应当按照投标人须知的规定先向招标人提出异议。</w:t>
      </w:r>
      <w:r>
        <w:rPr>
          <w:rFonts w:hint="eastAsia" w:ascii="宋体"/>
          <w:kern w:val="10"/>
          <w:szCs w:val="21"/>
          <w:highlight w:val="none"/>
        </w:rPr>
        <w:t>异议答复期间不计算在第47.1项规定的期限内。</w:t>
      </w:r>
    </w:p>
    <w:p w14:paraId="1F1998A0">
      <w:pPr>
        <w:spacing w:before="240" w:beforeLines="100" w:after="240" w:afterLines="100" w:line="400" w:lineRule="exact"/>
        <w:jc w:val="center"/>
        <w:rPr>
          <w:rFonts w:hint="eastAsia" w:ascii="宋体"/>
          <w:b/>
          <w:sz w:val="28"/>
          <w:szCs w:val="28"/>
          <w:highlight w:val="none"/>
        </w:rPr>
      </w:pPr>
      <w:bookmarkStart w:id="78" w:name="_Toc58430316"/>
      <w:bookmarkStart w:id="79" w:name="_Toc449028945"/>
      <w:r>
        <w:rPr>
          <w:rFonts w:hint="eastAsia" w:ascii="宋体"/>
          <w:b/>
          <w:sz w:val="28"/>
          <w:szCs w:val="28"/>
          <w:highlight w:val="none"/>
        </w:rPr>
        <w:br w:type="page"/>
      </w:r>
      <w:r>
        <w:rPr>
          <w:rFonts w:hint="eastAsia" w:ascii="宋体"/>
          <w:b/>
          <w:sz w:val="28"/>
          <w:szCs w:val="28"/>
          <w:highlight w:val="none"/>
        </w:rPr>
        <w:t>第三章 资格审查办法</w:t>
      </w:r>
    </w:p>
    <w:p w14:paraId="3884CC42">
      <w:pPr>
        <w:spacing w:before="240" w:beforeLines="100" w:after="240" w:afterLines="100" w:line="400" w:lineRule="exact"/>
        <w:jc w:val="center"/>
        <w:rPr>
          <w:rFonts w:hint="eastAsia" w:ascii="宋体"/>
          <w:b/>
          <w:sz w:val="28"/>
          <w:szCs w:val="28"/>
          <w:highlight w:val="none"/>
        </w:rPr>
      </w:pPr>
      <w:r>
        <w:rPr>
          <w:rFonts w:hint="eastAsia" w:ascii="宋体"/>
          <w:b/>
          <w:sz w:val="28"/>
          <w:szCs w:val="28"/>
          <w:highlight w:val="none"/>
        </w:rPr>
        <w:t>（一）资格审查办法前附表</w:t>
      </w:r>
    </w:p>
    <w:tbl>
      <w:tblPr>
        <w:tblStyle w:val="36"/>
        <w:tblW w:w="8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14:paraId="581B7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725" w:type="dxa"/>
            <w:noWrap w:val="0"/>
            <w:vAlign w:val="center"/>
          </w:tcPr>
          <w:p w14:paraId="20E48320">
            <w:pPr>
              <w:spacing w:line="440" w:lineRule="exact"/>
              <w:jc w:val="center"/>
              <w:rPr>
                <w:rFonts w:hint="eastAsia"/>
                <w:color w:val="000000"/>
                <w:highlight w:val="none"/>
              </w:rPr>
            </w:pPr>
            <w:r>
              <w:rPr>
                <w:rFonts w:hint="eastAsia" w:ascii="黑体" w:eastAsia="黑体" w:cs="黑体"/>
                <w:b/>
                <w:bCs/>
                <w:color w:val="000000"/>
                <w:szCs w:val="21"/>
                <w:highlight w:val="none"/>
              </w:rPr>
              <w:t>序号</w:t>
            </w:r>
          </w:p>
        </w:tc>
        <w:tc>
          <w:tcPr>
            <w:tcW w:w="4243" w:type="dxa"/>
            <w:gridSpan w:val="2"/>
            <w:noWrap w:val="0"/>
            <w:vAlign w:val="center"/>
          </w:tcPr>
          <w:p w14:paraId="619D1FEC">
            <w:pPr>
              <w:spacing w:line="440" w:lineRule="exact"/>
              <w:jc w:val="center"/>
              <w:rPr>
                <w:rFonts w:hint="eastAsia"/>
                <w:color w:val="000000"/>
                <w:highlight w:val="none"/>
              </w:rPr>
            </w:pPr>
            <w:r>
              <w:rPr>
                <w:rFonts w:hint="eastAsia" w:ascii="宋体" w:hAnsi="宋体"/>
                <w:color w:val="000000"/>
                <w:szCs w:val="21"/>
                <w:highlight w:val="none"/>
              </w:rPr>
              <w:t>评审因素</w:t>
            </w:r>
          </w:p>
        </w:tc>
        <w:tc>
          <w:tcPr>
            <w:tcW w:w="3929" w:type="dxa"/>
            <w:noWrap w:val="0"/>
            <w:vAlign w:val="center"/>
          </w:tcPr>
          <w:p w14:paraId="677B87E5">
            <w:pPr>
              <w:spacing w:line="440" w:lineRule="exact"/>
              <w:jc w:val="center"/>
              <w:rPr>
                <w:rFonts w:hint="eastAsia"/>
                <w:color w:val="000000"/>
                <w:highlight w:val="none"/>
              </w:rPr>
            </w:pPr>
            <w:r>
              <w:rPr>
                <w:rFonts w:hint="eastAsia" w:ascii="宋体" w:hAnsi="宋体"/>
                <w:color w:val="000000"/>
                <w:szCs w:val="21"/>
                <w:highlight w:val="none"/>
              </w:rPr>
              <w:t>评审标准</w:t>
            </w:r>
          </w:p>
        </w:tc>
      </w:tr>
      <w:tr w14:paraId="61511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25" w:type="dxa"/>
            <w:noWrap w:val="0"/>
            <w:vAlign w:val="center"/>
          </w:tcPr>
          <w:p w14:paraId="00644386">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1</w:t>
            </w:r>
          </w:p>
        </w:tc>
        <w:tc>
          <w:tcPr>
            <w:tcW w:w="1235" w:type="dxa"/>
            <w:noWrap w:val="0"/>
            <w:vAlign w:val="center"/>
          </w:tcPr>
          <w:p w14:paraId="388F3B38">
            <w:pPr>
              <w:spacing w:line="440" w:lineRule="exact"/>
              <w:jc w:val="center"/>
              <w:rPr>
                <w:rFonts w:hint="eastAsia" w:ascii="宋体" w:hAnsi="宋体"/>
                <w:color w:val="000000"/>
                <w:szCs w:val="21"/>
                <w:highlight w:val="none"/>
              </w:rPr>
            </w:pPr>
            <w:r>
              <w:rPr>
                <w:rFonts w:hint="eastAsia" w:ascii="宋体"/>
                <w:color w:val="000000"/>
                <w:szCs w:val="21"/>
                <w:highlight w:val="none"/>
              </w:rPr>
              <w:t>重要要求</w:t>
            </w:r>
          </w:p>
        </w:tc>
        <w:tc>
          <w:tcPr>
            <w:tcW w:w="3008" w:type="dxa"/>
            <w:noWrap w:val="0"/>
            <w:vAlign w:val="center"/>
          </w:tcPr>
          <w:p w14:paraId="778AF17C">
            <w:pPr>
              <w:spacing w:line="440" w:lineRule="exact"/>
              <w:rPr>
                <w:rFonts w:hint="eastAsia" w:ascii="宋体" w:hAnsi="宋体" w:cs="宋体"/>
                <w:szCs w:val="21"/>
                <w:highlight w:val="none"/>
              </w:rPr>
            </w:pPr>
            <w:r>
              <w:rPr>
                <w:rFonts w:hint="eastAsia" w:ascii="宋体" w:hAnsi="宋体" w:cs="宋体"/>
                <w:szCs w:val="21"/>
                <w:highlight w:val="none"/>
              </w:rPr>
              <w:t>（1）法定代表人身份证明和本人有效身份证(或法定代表人授权委托书和委托代理人有效身份证)</w:t>
            </w:r>
          </w:p>
        </w:tc>
        <w:tc>
          <w:tcPr>
            <w:tcW w:w="3929" w:type="dxa"/>
            <w:noWrap w:val="0"/>
            <w:vAlign w:val="center"/>
          </w:tcPr>
          <w:p w14:paraId="3586CB71">
            <w:pPr>
              <w:spacing w:line="440" w:lineRule="exact"/>
              <w:jc w:val="left"/>
              <w:rPr>
                <w:rFonts w:hint="eastAsia" w:ascii="宋体" w:hAnsi="宋体"/>
                <w:color w:val="000000"/>
                <w:szCs w:val="21"/>
                <w:highlight w:val="none"/>
              </w:rPr>
            </w:pPr>
            <w:r>
              <w:rPr>
                <w:rFonts w:hint="eastAsia"/>
                <w:color w:val="000000"/>
                <w:highlight w:val="none"/>
              </w:rPr>
              <w:t>检验电子标书。</w:t>
            </w:r>
          </w:p>
        </w:tc>
      </w:tr>
      <w:tr w14:paraId="20EF3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725" w:type="dxa"/>
            <w:vMerge w:val="restart"/>
            <w:noWrap w:val="0"/>
            <w:vAlign w:val="center"/>
          </w:tcPr>
          <w:p w14:paraId="4FDDD55B">
            <w:pPr>
              <w:spacing w:line="440" w:lineRule="exact"/>
              <w:jc w:val="center"/>
              <w:rPr>
                <w:rFonts w:hint="eastAsia" w:ascii="宋体" w:hAnsi="宋体"/>
                <w:color w:val="000000"/>
                <w:szCs w:val="21"/>
                <w:highlight w:val="none"/>
              </w:rPr>
            </w:pPr>
            <w:r>
              <w:rPr>
                <w:rFonts w:hint="eastAsia" w:ascii="宋体" w:hAnsi="宋体"/>
                <w:color w:val="000000"/>
                <w:szCs w:val="21"/>
                <w:highlight w:val="none"/>
              </w:rPr>
              <w:t>2</w:t>
            </w:r>
          </w:p>
        </w:tc>
        <w:tc>
          <w:tcPr>
            <w:tcW w:w="1235" w:type="dxa"/>
            <w:vMerge w:val="restart"/>
            <w:noWrap w:val="0"/>
            <w:vAlign w:val="center"/>
          </w:tcPr>
          <w:p w14:paraId="55DAF51B">
            <w:pPr>
              <w:spacing w:line="440" w:lineRule="exact"/>
              <w:rPr>
                <w:rFonts w:hint="eastAsia" w:ascii="宋体" w:hAnsi="宋体"/>
                <w:color w:val="000000"/>
                <w:szCs w:val="21"/>
                <w:highlight w:val="none"/>
              </w:rPr>
            </w:pPr>
            <w:r>
              <w:rPr>
                <w:rFonts w:hint="eastAsia" w:ascii="宋体" w:hAnsi="宋体"/>
                <w:color w:val="000000"/>
                <w:szCs w:val="21"/>
                <w:highlight w:val="none"/>
              </w:rPr>
              <w:t>投标人应符合的基本资格条件</w:t>
            </w:r>
          </w:p>
        </w:tc>
        <w:tc>
          <w:tcPr>
            <w:tcW w:w="3008" w:type="dxa"/>
            <w:noWrap w:val="0"/>
            <w:vAlign w:val="center"/>
          </w:tcPr>
          <w:p w14:paraId="3E336EA5">
            <w:pPr>
              <w:spacing w:line="440" w:lineRule="exact"/>
              <w:rPr>
                <w:rFonts w:hint="eastAsia" w:ascii="宋体" w:hAnsi="宋体" w:cs="宋体"/>
                <w:szCs w:val="21"/>
                <w:highlight w:val="none"/>
              </w:rPr>
            </w:pPr>
            <w:r>
              <w:rPr>
                <w:rFonts w:hint="eastAsia" w:ascii="宋体" w:hAnsi="宋体" w:cs="宋体"/>
                <w:szCs w:val="21"/>
                <w:highlight w:val="none"/>
              </w:rPr>
              <w:t>（2）具有独立承担民事责任的能力</w:t>
            </w:r>
          </w:p>
        </w:tc>
        <w:tc>
          <w:tcPr>
            <w:tcW w:w="3929" w:type="dxa"/>
            <w:noWrap w:val="0"/>
            <w:vAlign w:val="center"/>
          </w:tcPr>
          <w:p w14:paraId="20C0DFDF">
            <w:pPr>
              <w:spacing w:line="440" w:lineRule="exact"/>
              <w:rPr>
                <w:rFonts w:hint="eastAsia" w:ascii="宋体" w:hAnsi="宋体"/>
                <w:color w:val="000000"/>
                <w:szCs w:val="21"/>
                <w:highlight w:val="none"/>
              </w:rPr>
            </w:pPr>
            <w:r>
              <w:rPr>
                <w:rFonts w:hint="eastAsia" w:ascii="宋体"/>
                <w:b/>
                <w:color w:val="000000"/>
                <w:szCs w:val="21"/>
                <w:highlight w:val="none"/>
              </w:rPr>
              <w:t>评审核验电子标书中的下列证书、证明材料：</w:t>
            </w:r>
          </w:p>
          <w:p w14:paraId="0E5C2584">
            <w:pPr>
              <w:spacing w:line="440" w:lineRule="exact"/>
              <w:rPr>
                <w:rFonts w:hint="eastAsia" w:ascii="宋体" w:eastAsia="宋体"/>
                <w:color w:val="000000"/>
                <w:szCs w:val="21"/>
                <w:highlight w:val="none"/>
                <w:lang w:eastAsia="zh-CN"/>
              </w:rPr>
            </w:pPr>
            <w:r>
              <w:rPr>
                <w:rFonts w:hint="eastAsia" w:ascii="宋体"/>
                <w:color w:val="000000"/>
                <w:szCs w:val="21"/>
                <w:highlight w:val="none"/>
              </w:rPr>
              <w:t>投标人有效的营业执照、税务登记证、组织机构码证（或“三证合一证书”）</w:t>
            </w:r>
          </w:p>
        </w:tc>
      </w:tr>
      <w:tr w14:paraId="4E7C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25" w:type="dxa"/>
            <w:vMerge w:val="continue"/>
            <w:noWrap w:val="0"/>
            <w:vAlign w:val="center"/>
          </w:tcPr>
          <w:p w14:paraId="1A8CB8BD">
            <w:pPr>
              <w:spacing w:line="440" w:lineRule="exact"/>
              <w:jc w:val="center"/>
              <w:rPr>
                <w:rFonts w:hint="eastAsia" w:ascii="宋体" w:hAnsi="宋体"/>
                <w:color w:val="000000"/>
                <w:szCs w:val="21"/>
                <w:highlight w:val="none"/>
              </w:rPr>
            </w:pPr>
          </w:p>
        </w:tc>
        <w:tc>
          <w:tcPr>
            <w:tcW w:w="1235" w:type="dxa"/>
            <w:vMerge w:val="continue"/>
            <w:noWrap w:val="0"/>
            <w:vAlign w:val="center"/>
          </w:tcPr>
          <w:p w14:paraId="31D66F4E">
            <w:pPr>
              <w:spacing w:line="440" w:lineRule="exact"/>
              <w:rPr>
                <w:rFonts w:hint="eastAsia" w:ascii="宋体" w:hAnsi="宋体"/>
                <w:color w:val="000000"/>
                <w:szCs w:val="21"/>
                <w:highlight w:val="none"/>
              </w:rPr>
            </w:pPr>
          </w:p>
        </w:tc>
        <w:tc>
          <w:tcPr>
            <w:tcW w:w="3008" w:type="dxa"/>
            <w:noWrap w:val="0"/>
            <w:vAlign w:val="top"/>
          </w:tcPr>
          <w:p w14:paraId="72512AAD">
            <w:pPr>
              <w:spacing w:line="440" w:lineRule="exact"/>
              <w:rPr>
                <w:rFonts w:hint="eastAsia"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w:t>
            </w:r>
            <w:r>
              <w:rPr>
                <w:rFonts w:hint="eastAsia" w:ascii="宋体" w:hAnsi="宋体" w:cs="宋体"/>
                <w:color w:val="000000"/>
                <w:szCs w:val="21"/>
                <w:highlight w:val="none"/>
              </w:rPr>
              <w:t>诚信投标承诺书（或《</w:t>
            </w:r>
            <w:r>
              <w:rPr>
                <w:rFonts w:hint="eastAsia" w:ascii="宋体" w:hAnsi="宋体" w:cs="宋体"/>
                <w:color w:val="000000"/>
                <w:kern w:val="0"/>
                <w:szCs w:val="21"/>
                <w:highlight w:val="none"/>
              </w:rPr>
              <w:t>公共信用信息报告（无违法违规证明版或核查版）</w:t>
            </w:r>
            <w:r>
              <w:rPr>
                <w:rFonts w:hint="eastAsia" w:ascii="宋体" w:hAnsi="宋体" w:cs="宋体"/>
                <w:color w:val="000000"/>
                <w:szCs w:val="21"/>
                <w:highlight w:val="none"/>
              </w:rPr>
              <w:t>》</w:t>
            </w:r>
            <w:r>
              <w:rPr>
                <w:rFonts w:hint="eastAsia" w:ascii="宋体" w:hAnsi="宋体" w:cs="宋体"/>
                <w:szCs w:val="21"/>
                <w:highlight w:val="none"/>
              </w:rPr>
              <w:t>）</w:t>
            </w:r>
          </w:p>
        </w:tc>
        <w:tc>
          <w:tcPr>
            <w:tcW w:w="3929" w:type="dxa"/>
            <w:noWrap w:val="0"/>
            <w:vAlign w:val="center"/>
          </w:tcPr>
          <w:p w14:paraId="211DD61E">
            <w:pPr>
              <w:spacing w:line="440" w:lineRule="exact"/>
              <w:jc w:val="both"/>
              <w:rPr>
                <w:rFonts w:hint="eastAsia" w:ascii="宋体"/>
                <w:b/>
                <w:color w:val="000000"/>
                <w:szCs w:val="21"/>
                <w:highlight w:val="none"/>
              </w:rPr>
            </w:pPr>
            <w:r>
              <w:rPr>
                <w:rFonts w:hint="eastAsia"/>
                <w:color w:val="000000"/>
                <w:highlight w:val="none"/>
              </w:rPr>
              <w:t>格式见附件，检验电子标书</w:t>
            </w:r>
          </w:p>
        </w:tc>
      </w:tr>
      <w:tr w14:paraId="67CB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25" w:type="dxa"/>
            <w:vMerge w:val="continue"/>
            <w:noWrap w:val="0"/>
            <w:vAlign w:val="center"/>
          </w:tcPr>
          <w:p w14:paraId="4181149C">
            <w:pPr>
              <w:spacing w:line="440" w:lineRule="exact"/>
              <w:jc w:val="center"/>
              <w:rPr>
                <w:rFonts w:hint="eastAsia" w:ascii="宋体" w:hAnsi="宋体"/>
                <w:color w:val="000000"/>
                <w:szCs w:val="21"/>
                <w:highlight w:val="none"/>
              </w:rPr>
            </w:pPr>
          </w:p>
        </w:tc>
        <w:tc>
          <w:tcPr>
            <w:tcW w:w="1235" w:type="dxa"/>
            <w:vMerge w:val="continue"/>
            <w:noWrap w:val="0"/>
            <w:vAlign w:val="center"/>
          </w:tcPr>
          <w:p w14:paraId="35B5BDCC">
            <w:pPr>
              <w:spacing w:line="440" w:lineRule="exact"/>
              <w:rPr>
                <w:rFonts w:hint="eastAsia" w:ascii="宋体" w:hAnsi="宋体"/>
                <w:color w:val="000000"/>
                <w:szCs w:val="21"/>
                <w:highlight w:val="none"/>
              </w:rPr>
            </w:pPr>
          </w:p>
        </w:tc>
        <w:tc>
          <w:tcPr>
            <w:tcW w:w="3008" w:type="dxa"/>
            <w:noWrap w:val="0"/>
            <w:vAlign w:val="center"/>
          </w:tcPr>
          <w:p w14:paraId="23887817">
            <w:pPr>
              <w:spacing w:line="440" w:lineRule="exact"/>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）服务承诺书</w:t>
            </w:r>
          </w:p>
        </w:tc>
        <w:tc>
          <w:tcPr>
            <w:tcW w:w="3929" w:type="dxa"/>
            <w:noWrap w:val="0"/>
            <w:vAlign w:val="center"/>
          </w:tcPr>
          <w:p w14:paraId="13C12B77">
            <w:pPr>
              <w:spacing w:line="440" w:lineRule="exact"/>
              <w:rPr>
                <w:rFonts w:hint="eastAsia" w:ascii="宋体"/>
                <w:color w:val="000000"/>
                <w:szCs w:val="21"/>
                <w:highlight w:val="none"/>
              </w:rPr>
            </w:pPr>
            <w:r>
              <w:rPr>
                <w:rFonts w:hint="eastAsia"/>
                <w:color w:val="000000"/>
                <w:highlight w:val="none"/>
              </w:rPr>
              <w:t>格式见附件，检验电子标书</w:t>
            </w:r>
          </w:p>
        </w:tc>
      </w:tr>
    </w:tbl>
    <w:p w14:paraId="447D6EFE">
      <w:pPr>
        <w:adjustRightInd w:val="0"/>
        <w:snapToGrid w:val="0"/>
        <w:spacing w:line="440" w:lineRule="exact"/>
        <w:ind w:firstLine="422" w:firstLineChars="200"/>
        <w:jc w:val="left"/>
        <w:rPr>
          <w:rFonts w:hint="eastAsia" w:ascii="黑体" w:hAnsi="黑体" w:eastAsia="黑体" w:cs="黑体"/>
          <w:b/>
          <w:bCs/>
          <w:color w:val="000000"/>
          <w:szCs w:val="21"/>
          <w:highlight w:val="none"/>
        </w:rPr>
      </w:pPr>
      <w:r>
        <w:rPr>
          <w:rFonts w:hint="eastAsia" w:ascii="黑体" w:hAnsi="黑体" w:eastAsia="黑体" w:cs="黑体"/>
          <w:b/>
          <w:bCs/>
          <w:color w:val="000000"/>
          <w:szCs w:val="21"/>
          <w:highlight w:val="none"/>
        </w:rPr>
        <w:t>重要提示：</w:t>
      </w:r>
    </w:p>
    <w:p w14:paraId="4F9F41EA">
      <w:pPr>
        <w:adjustRightInd w:val="0"/>
        <w:snapToGrid w:val="0"/>
        <w:spacing w:line="440" w:lineRule="exact"/>
        <w:ind w:firstLine="422" w:firstLineChars="200"/>
        <w:jc w:val="left"/>
        <w:rPr>
          <w:rFonts w:hint="eastAsia" w:ascii="黑体" w:hAnsi="黑体" w:eastAsia="黑体" w:cs="黑体"/>
          <w:b/>
          <w:bCs/>
          <w:color w:val="000000"/>
          <w:szCs w:val="21"/>
          <w:highlight w:val="none"/>
        </w:rPr>
      </w:pPr>
      <w:bookmarkStart w:id="80" w:name="_Toc15058909"/>
      <w:bookmarkStart w:id="81" w:name="_Toc506107320"/>
      <w:bookmarkStart w:id="82" w:name="_Toc60061492"/>
      <w:bookmarkStart w:id="83" w:name="_Toc95223395"/>
      <w:r>
        <w:rPr>
          <w:rFonts w:hint="eastAsia" w:ascii="黑体" w:hAnsi="黑体" w:eastAsia="黑体" w:cs="黑体"/>
          <w:b/>
          <w:bCs/>
          <w:color w:val="000000"/>
          <w:szCs w:val="21"/>
          <w:highlight w:val="none"/>
        </w:rPr>
        <w:t>（1）资格审查材料可以选择①上传到安徽省公共资源交易市场主体库中，制作投标文件时插上CA数字证书，从安徽省公共资源交易市场主体库中挑选相关材料，或按招标文件要求上传至指定位置；若所需材料无对应栏目，则将该材料上传至“其他所需材料”里，做电子投标文件时从“其他所需材料”里获取。请各投标人自行完善安徽省公共资源交易市场主体库中的单位信息，保证信息最新且有效。②或使用国家企业信用信息公示系统和全国建筑市场监管公共服务平台接口获取营业执照、建设工程相关证书等政务数据，投标人自行核验政务数据的准确性，对引用的政务数据承担责任。</w:t>
      </w:r>
    </w:p>
    <w:p w14:paraId="174CAA14">
      <w:pPr>
        <w:adjustRightInd w:val="0"/>
        <w:snapToGrid w:val="0"/>
        <w:spacing w:line="440" w:lineRule="exact"/>
        <w:ind w:firstLine="422" w:firstLineChars="200"/>
        <w:jc w:val="left"/>
        <w:rPr>
          <w:rFonts w:hint="eastAsia" w:ascii="黑体" w:hAnsi="黑体" w:eastAsia="黑体" w:cs="黑体"/>
          <w:b/>
          <w:bCs/>
          <w:color w:val="000000"/>
          <w:szCs w:val="21"/>
          <w:highlight w:val="none"/>
        </w:rPr>
      </w:pPr>
      <w:r>
        <w:rPr>
          <w:rFonts w:hint="eastAsia" w:ascii="黑体" w:hAnsi="黑体" w:eastAsia="黑体" w:cs="黑体"/>
          <w:b/>
          <w:bCs/>
          <w:color w:val="000000"/>
          <w:szCs w:val="21"/>
          <w:highlight w:val="none"/>
        </w:rPr>
        <w:t>（2）评标专家在检验电子投标文件过程中，如果由于投标人自身原因导致评标专家无法查看并检验电子投标文件中相关资料的，视为无效标处理。即使投标人将原件携带至现场的，同样按无效标处理。</w:t>
      </w:r>
    </w:p>
    <w:bookmarkEnd w:id="80"/>
    <w:bookmarkEnd w:id="81"/>
    <w:bookmarkEnd w:id="82"/>
    <w:bookmarkEnd w:id="83"/>
    <w:p w14:paraId="7D33A5D1">
      <w:pPr>
        <w:adjustRightInd w:val="0"/>
        <w:snapToGrid w:val="0"/>
        <w:spacing w:line="420" w:lineRule="exact"/>
        <w:ind w:firstLine="315" w:firstLineChars="150"/>
        <w:rPr>
          <w:rFonts w:hint="eastAsia" w:ascii="宋体" w:hAnsi="宋体" w:cs="宋体"/>
          <w:color w:val="000000"/>
          <w:szCs w:val="21"/>
          <w:highlight w:val="none"/>
        </w:rPr>
      </w:pPr>
      <w:r>
        <w:rPr>
          <w:rFonts w:hint="eastAsia" w:ascii="宋体" w:hAnsi="宋体" w:cs="宋体"/>
          <w:color w:val="000000"/>
          <w:szCs w:val="21"/>
          <w:highlight w:val="none"/>
        </w:rPr>
        <w:t>1.审查资料</w:t>
      </w:r>
    </w:p>
    <w:p w14:paraId="648E2F95">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（1）法定代表人身份证明及其有效身份证（或法定代表人授权委托书及其有效身份证）（格式见附件）；</w:t>
      </w:r>
    </w:p>
    <w:p w14:paraId="0746CFEB">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eastAsia="宋体" w:cs="宋体"/>
          <w:color w:val="000000"/>
          <w:szCs w:val="21"/>
          <w:highlight w:val="none"/>
        </w:rPr>
        <w:t>投标人有效的营业执照、税务登记证、组织机构代码证（或三合一证书）</w:t>
      </w:r>
      <w:r>
        <w:rPr>
          <w:rFonts w:hint="eastAsia" w:ascii="宋体" w:hAnsi="宋体" w:cs="宋体"/>
          <w:color w:val="000000"/>
          <w:szCs w:val="21"/>
          <w:highlight w:val="none"/>
        </w:rPr>
        <w:t>；</w:t>
      </w:r>
    </w:p>
    <w:p w14:paraId="7A1B1AA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3）</w:t>
      </w:r>
      <w:r>
        <w:rPr>
          <w:rFonts w:hint="eastAsia" w:ascii="宋体" w:hAnsi="宋体" w:eastAsia="宋体" w:cs="宋体"/>
          <w:color w:val="000000"/>
          <w:szCs w:val="21"/>
          <w:highlight w:val="none"/>
        </w:rPr>
        <w:t>诚信投标承诺书（或《公共信用信息报告（无违法违规证明版或核查版）》）；</w:t>
      </w:r>
    </w:p>
    <w:p w14:paraId="75A93B29">
      <w:pPr>
        <w:spacing w:line="360" w:lineRule="auto"/>
        <w:ind w:firstLine="420" w:firstLineChars="20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）服务承诺：是否响应招标文件要求的书面说明和服务承诺书（格式见附件）</w:t>
      </w:r>
      <w:r>
        <w:rPr>
          <w:rFonts w:hint="eastAsia" w:ascii="宋体" w:hAnsi="宋体" w:cs="宋体"/>
          <w:color w:val="000000"/>
          <w:szCs w:val="21"/>
          <w:highlight w:val="none"/>
          <w:lang w:eastAsia="zh-CN"/>
        </w:rPr>
        <w:t>。</w:t>
      </w:r>
    </w:p>
    <w:p w14:paraId="7649CF89">
      <w:pPr>
        <w:adjustRightInd w:val="0"/>
        <w:snapToGrid w:val="0"/>
        <w:spacing w:line="420" w:lineRule="exact"/>
        <w:ind w:firstLine="315" w:firstLineChars="150"/>
        <w:rPr>
          <w:rFonts w:hint="eastAsia" w:ascii="宋体" w:hAnsi="宋体" w:cs="宋体"/>
          <w:color w:val="000000"/>
          <w:szCs w:val="21"/>
          <w:highlight w:val="none"/>
        </w:rPr>
      </w:pPr>
      <w:r>
        <w:rPr>
          <w:rFonts w:hint="eastAsia" w:ascii="宋体" w:hAnsi="宋体" w:cs="宋体"/>
          <w:color w:val="000000"/>
          <w:szCs w:val="21"/>
          <w:highlight w:val="none"/>
        </w:rPr>
        <w:t>2.审查办法</w:t>
      </w:r>
    </w:p>
    <w:p w14:paraId="02D8EE81">
      <w:pPr>
        <w:spacing w:line="360" w:lineRule="auto"/>
        <w:ind w:firstLine="420" w:firstLineChars="200"/>
        <w:rPr>
          <w:rFonts w:hint="eastAsia" w:ascii="宋体" w:hAnsi="宋体" w:cs="宋体"/>
          <w:color w:val="000000"/>
          <w:szCs w:val="21"/>
          <w:highlight w:val="none"/>
        </w:rPr>
      </w:pPr>
      <w:bookmarkStart w:id="84" w:name="_Toc15058910"/>
      <w:bookmarkStart w:id="85" w:name="_Toc60061493"/>
      <w:bookmarkStart w:id="86" w:name="_Toc324404868"/>
      <w:bookmarkStart w:id="87" w:name="_Toc506107321"/>
      <w:r>
        <w:rPr>
          <w:rFonts w:hint="eastAsia" w:ascii="宋体" w:hAnsi="宋体" w:cs="宋体"/>
          <w:color w:val="000000"/>
          <w:szCs w:val="21"/>
          <w:highlight w:val="none"/>
        </w:rPr>
        <w:t>由资格审查委员会（评标委员会）按资格审查办法前附表中资格审查必要合格条件评审表要求对投标人审查资料进行核验。</w:t>
      </w:r>
    </w:p>
    <w:p w14:paraId="4663D857">
      <w:pPr>
        <w:adjustRightInd w:val="0"/>
        <w:snapToGrid w:val="0"/>
        <w:spacing w:line="420" w:lineRule="exact"/>
        <w:ind w:firstLine="315" w:firstLineChars="150"/>
        <w:rPr>
          <w:rFonts w:hint="eastAsia" w:ascii="宋体" w:hAnsi="宋体" w:cs="宋体"/>
          <w:color w:val="000000"/>
          <w:szCs w:val="21"/>
          <w:highlight w:val="none"/>
        </w:rPr>
      </w:pPr>
      <w:bookmarkStart w:id="88" w:name="_Toc95223396"/>
      <w:r>
        <w:rPr>
          <w:rFonts w:hint="eastAsia" w:ascii="宋体" w:hAnsi="宋体" w:cs="宋体"/>
          <w:color w:val="000000"/>
          <w:szCs w:val="21"/>
          <w:highlight w:val="none"/>
        </w:rPr>
        <w:t>3.资格审查委员会和审查标准</w:t>
      </w:r>
      <w:bookmarkEnd w:id="84"/>
      <w:bookmarkEnd w:id="85"/>
      <w:bookmarkEnd w:id="86"/>
      <w:bookmarkEnd w:id="87"/>
      <w:bookmarkEnd w:id="88"/>
    </w:p>
    <w:p w14:paraId="68AC5AE7">
      <w:pPr>
        <w:adjustRightInd w:val="0"/>
        <w:snapToGrid w:val="0"/>
        <w:spacing w:line="420" w:lineRule="exact"/>
        <w:ind w:firstLine="315" w:firstLineChars="1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3.1资格审查由招标人依法组建的资格审查委员会（或评标委员会）负责。审查标准见资格审查办法前附表。</w:t>
      </w:r>
    </w:p>
    <w:p w14:paraId="329002A8">
      <w:pPr>
        <w:adjustRightInd w:val="0"/>
        <w:snapToGrid w:val="0"/>
        <w:spacing w:line="420" w:lineRule="exact"/>
        <w:ind w:firstLine="315" w:firstLineChars="150"/>
        <w:rPr>
          <w:rFonts w:hint="eastAsia" w:ascii="宋体" w:hAnsi="宋体" w:cs="宋体"/>
          <w:color w:val="000000"/>
          <w:szCs w:val="21"/>
          <w:highlight w:val="none"/>
        </w:rPr>
      </w:pPr>
      <w:r>
        <w:rPr>
          <w:rFonts w:hint="eastAsia" w:ascii="宋体" w:hAnsi="宋体" w:cs="宋体"/>
          <w:color w:val="000000"/>
          <w:szCs w:val="21"/>
          <w:highlight w:val="none"/>
        </w:rPr>
        <w:t xml:space="preserve">3.2由资格审查委员会（评标委员会）按资格审查办法前附表要求对投标人的审查资料进行核验。投标申请人有下列情形之一的，其资格审查为不合格： </w:t>
      </w:r>
    </w:p>
    <w:p w14:paraId="01E05DA5">
      <w:pPr>
        <w:adjustRightInd w:val="0"/>
        <w:snapToGrid w:val="0"/>
        <w:spacing w:line="420" w:lineRule="exact"/>
        <w:ind w:firstLine="315" w:firstLineChars="150"/>
        <w:rPr>
          <w:rFonts w:hint="eastAsia" w:ascii="宋体" w:hAnsi="宋体" w:cs="宋体"/>
          <w:color w:val="000000"/>
          <w:szCs w:val="21"/>
          <w:highlight w:val="none"/>
        </w:rPr>
      </w:pPr>
      <w:bookmarkStart w:id="89" w:name="_Toc15058911"/>
      <w:bookmarkStart w:id="90" w:name="_Toc506107322"/>
      <w:bookmarkStart w:id="91" w:name="_Toc95223397"/>
      <w:bookmarkStart w:id="92" w:name="_Toc60061494"/>
      <w:bookmarkStart w:id="93" w:name="_Toc324404869"/>
      <w:r>
        <w:rPr>
          <w:rFonts w:hint="eastAsia" w:ascii="宋体" w:hAnsi="宋体" w:cs="宋体"/>
          <w:color w:val="000000"/>
          <w:szCs w:val="21"/>
          <w:highlight w:val="none"/>
        </w:rPr>
        <w:t>（1）未上传电子标书或电子标书经审查不合格；</w:t>
      </w:r>
    </w:p>
    <w:p w14:paraId="5F9A3E73">
      <w:pPr>
        <w:adjustRightInd w:val="0"/>
        <w:snapToGrid w:val="0"/>
        <w:spacing w:line="420" w:lineRule="exact"/>
        <w:ind w:firstLine="315" w:firstLineChars="150"/>
        <w:rPr>
          <w:rFonts w:hint="eastAsia" w:ascii="宋体" w:hAnsi="宋体" w:cs="宋体"/>
          <w:color w:val="000000"/>
          <w:szCs w:val="21"/>
          <w:highlight w:val="none"/>
        </w:rPr>
      </w:pPr>
      <w:r>
        <w:rPr>
          <w:rFonts w:hint="eastAsia" w:ascii="宋体" w:hAnsi="宋体" w:cs="宋体"/>
          <w:color w:val="000000"/>
          <w:szCs w:val="21"/>
          <w:highlight w:val="none"/>
        </w:rPr>
        <w:t>（2）联合体投标人没有提交联合体协议书；</w:t>
      </w:r>
    </w:p>
    <w:p w14:paraId="3A4A7311">
      <w:pPr>
        <w:adjustRightInd w:val="0"/>
        <w:snapToGrid w:val="0"/>
        <w:spacing w:line="420" w:lineRule="exact"/>
        <w:ind w:firstLine="315" w:firstLineChars="150"/>
        <w:rPr>
          <w:rFonts w:hint="eastAsia" w:ascii="宋体" w:hAnsi="宋体" w:cs="宋体"/>
          <w:color w:val="000000"/>
          <w:szCs w:val="21"/>
          <w:highlight w:val="none"/>
        </w:rPr>
      </w:pPr>
      <w:r>
        <w:rPr>
          <w:rFonts w:hint="eastAsia" w:ascii="宋体" w:hAnsi="宋体" w:cs="宋体"/>
          <w:color w:val="000000"/>
          <w:szCs w:val="21"/>
          <w:highlight w:val="none"/>
        </w:rPr>
        <w:t xml:space="preserve">（3）保证金不按第一章“招标公告”要求提交投标保证金的； </w:t>
      </w:r>
    </w:p>
    <w:p w14:paraId="6CDB9681">
      <w:pPr>
        <w:adjustRightInd w:val="0"/>
        <w:snapToGrid w:val="0"/>
        <w:spacing w:line="420" w:lineRule="exact"/>
        <w:ind w:firstLine="315" w:firstLineChars="150"/>
        <w:rPr>
          <w:rFonts w:hint="eastAsia" w:ascii="宋体" w:hAnsi="宋体" w:cs="宋体"/>
          <w:color w:val="000000"/>
          <w:szCs w:val="21"/>
          <w:highlight w:val="none"/>
        </w:rPr>
      </w:pPr>
      <w:r>
        <w:rPr>
          <w:rFonts w:hint="eastAsia" w:ascii="宋体" w:hAnsi="宋体" w:cs="宋体"/>
          <w:color w:val="000000"/>
          <w:szCs w:val="21"/>
          <w:highlight w:val="none"/>
        </w:rPr>
        <w:t>（4）投标人未办理省主体库登记入库手续的；</w:t>
      </w:r>
    </w:p>
    <w:p w14:paraId="4CC62658">
      <w:pPr>
        <w:adjustRightInd w:val="0"/>
        <w:snapToGrid w:val="0"/>
        <w:spacing w:line="420" w:lineRule="exact"/>
        <w:ind w:firstLine="315" w:firstLineChars="150"/>
        <w:rPr>
          <w:rFonts w:hint="eastAsia" w:ascii="宋体" w:hAnsi="宋体" w:cs="宋体"/>
          <w:color w:val="000000"/>
          <w:szCs w:val="21"/>
          <w:highlight w:val="none"/>
        </w:rPr>
      </w:pPr>
      <w:r>
        <w:rPr>
          <w:rFonts w:hint="eastAsia" w:ascii="宋体" w:hAnsi="宋体" w:cs="宋体"/>
          <w:color w:val="000000"/>
          <w:szCs w:val="21"/>
          <w:highlight w:val="none"/>
        </w:rPr>
        <w:t>（5）投标人投标 MAC 地址一致的；</w:t>
      </w:r>
    </w:p>
    <w:p w14:paraId="42C360A4">
      <w:pPr>
        <w:adjustRightInd w:val="0"/>
        <w:snapToGrid w:val="0"/>
        <w:spacing w:line="420" w:lineRule="exact"/>
        <w:ind w:firstLine="315" w:firstLineChars="150"/>
        <w:rPr>
          <w:rFonts w:hint="eastAsia" w:ascii="宋体" w:hAnsi="宋体" w:cs="宋体"/>
          <w:color w:val="000000"/>
          <w:szCs w:val="21"/>
          <w:highlight w:val="none"/>
        </w:rPr>
      </w:pPr>
      <w:r>
        <w:rPr>
          <w:rFonts w:hint="eastAsia" w:ascii="宋体" w:hAnsi="宋体" w:cs="宋体"/>
          <w:color w:val="000000"/>
          <w:szCs w:val="21"/>
          <w:highlight w:val="none"/>
        </w:rPr>
        <w:t>（6）投标人申请开具电子保函 MAC 地址一致的；</w:t>
      </w:r>
    </w:p>
    <w:p w14:paraId="4D7249D8">
      <w:pPr>
        <w:adjustRightInd w:val="0"/>
        <w:snapToGrid w:val="0"/>
        <w:spacing w:line="420" w:lineRule="exact"/>
        <w:ind w:firstLine="315" w:firstLineChars="150"/>
        <w:rPr>
          <w:rFonts w:hint="eastAsia" w:ascii="宋体" w:hAnsi="宋体" w:cs="宋体"/>
          <w:color w:val="000000"/>
          <w:szCs w:val="21"/>
          <w:highlight w:val="none"/>
        </w:rPr>
      </w:pPr>
      <w:r>
        <w:rPr>
          <w:rFonts w:hint="eastAsia" w:ascii="宋体" w:hAnsi="宋体" w:cs="宋体"/>
          <w:color w:val="000000"/>
          <w:szCs w:val="21"/>
          <w:highlight w:val="none"/>
        </w:rPr>
        <w:t>（7）投标人投标文件制作机器码、文件创建标识码及造价软件加密锁号信息雷同的；</w:t>
      </w:r>
    </w:p>
    <w:p w14:paraId="0BA83B5F">
      <w:pPr>
        <w:adjustRightInd w:val="0"/>
        <w:snapToGrid w:val="0"/>
        <w:spacing w:line="420" w:lineRule="exact"/>
        <w:ind w:firstLine="315" w:firstLineChars="150"/>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）法律、法规规定的其他情形。</w:t>
      </w:r>
    </w:p>
    <w:p w14:paraId="3032D2BF">
      <w:pPr>
        <w:adjustRightInd w:val="0"/>
        <w:snapToGrid w:val="0"/>
        <w:spacing w:line="420" w:lineRule="exact"/>
        <w:ind w:firstLine="315" w:firstLineChars="150"/>
        <w:rPr>
          <w:rFonts w:hint="eastAsia" w:ascii="宋体" w:hAnsi="宋体" w:cs="宋体"/>
          <w:color w:val="000000"/>
          <w:szCs w:val="21"/>
          <w:highlight w:val="none"/>
        </w:rPr>
      </w:pPr>
      <w:r>
        <w:rPr>
          <w:rFonts w:hint="eastAsia" w:ascii="宋体" w:hAnsi="宋体" w:cs="宋体"/>
          <w:color w:val="000000"/>
          <w:szCs w:val="21"/>
          <w:highlight w:val="none"/>
        </w:rPr>
        <w:t>4.审查结果</w:t>
      </w:r>
      <w:bookmarkEnd w:id="89"/>
      <w:bookmarkEnd w:id="90"/>
      <w:bookmarkEnd w:id="91"/>
      <w:bookmarkEnd w:id="92"/>
      <w:bookmarkEnd w:id="93"/>
    </w:p>
    <w:p w14:paraId="33AA9A69">
      <w:pPr>
        <w:adjustRightInd w:val="0"/>
        <w:snapToGrid w:val="0"/>
        <w:spacing w:line="420" w:lineRule="exact"/>
        <w:ind w:firstLine="315" w:firstLineChars="150"/>
        <w:rPr>
          <w:rFonts w:hint="eastAsia" w:ascii="宋体" w:hAnsi="宋体" w:cs="宋体"/>
          <w:color w:val="000000"/>
          <w:szCs w:val="21"/>
          <w:highlight w:val="none"/>
        </w:rPr>
      </w:pPr>
      <w:r>
        <w:rPr>
          <w:rFonts w:hint="eastAsia" w:ascii="宋体" w:hAnsi="宋体" w:cs="宋体"/>
          <w:color w:val="000000"/>
          <w:szCs w:val="21"/>
          <w:highlight w:val="none"/>
        </w:rPr>
        <w:t>只有通过资格审查的投标人才能进入下一步的评标程序。</w:t>
      </w:r>
    </w:p>
    <w:p w14:paraId="67897AB4">
      <w:pPr>
        <w:spacing w:before="240" w:beforeLines="100" w:after="240" w:afterLines="100" w:line="400" w:lineRule="exact"/>
        <w:jc w:val="center"/>
        <w:rPr>
          <w:rFonts w:hint="eastAsia" w:ascii="宋体"/>
          <w:b/>
          <w:sz w:val="28"/>
          <w:szCs w:val="28"/>
          <w:highlight w:val="none"/>
        </w:rPr>
      </w:pPr>
      <w:r>
        <w:rPr>
          <w:rFonts w:hint="eastAsia" w:ascii="宋体"/>
          <w:b/>
          <w:sz w:val="28"/>
          <w:szCs w:val="28"/>
          <w:highlight w:val="none"/>
        </w:rPr>
        <w:br w:type="page"/>
      </w:r>
      <w:r>
        <w:rPr>
          <w:rFonts w:hint="eastAsia" w:ascii="宋体"/>
          <w:b/>
          <w:sz w:val="28"/>
          <w:szCs w:val="28"/>
          <w:highlight w:val="none"/>
        </w:rPr>
        <w:t>第四章 评标办法</w:t>
      </w:r>
      <w:bookmarkEnd w:id="78"/>
    </w:p>
    <w:p w14:paraId="2A12E740">
      <w:pPr>
        <w:pStyle w:val="13"/>
        <w:numPr>
          <w:ilvl w:val="0"/>
          <w:numId w:val="0"/>
        </w:numPr>
        <w:jc w:val="left"/>
        <w:rPr>
          <w:rFonts w:hint="default" w:eastAsia="宋体"/>
          <w:highlight w:val="none"/>
          <w:lang w:val="en-US" w:eastAsia="zh-CN"/>
        </w:rPr>
      </w:pPr>
      <w:r>
        <w:rPr>
          <w:rFonts w:hint="eastAsia"/>
          <w:highlight w:val="none"/>
          <w:lang w:val="en-US" w:eastAsia="zh-CN"/>
        </w:rPr>
        <w:t>商务标评审：</w:t>
      </w:r>
    </w:p>
    <w:tbl>
      <w:tblPr>
        <w:tblStyle w:val="3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2491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14:paraId="74E57C2B">
            <w:pPr>
              <w:spacing w:line="320" w:lineRule="atLeast"/>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序号</w:t>
            </w:r>
          </w:p>
        </w:tc>
        <w:tc>
          <w:tcPr>
            <w:tcW w:w="4135" w:type="dxa"/>
            <w:gridSpan w:val="2"/>
            <w:noWrap w:val="0"/>
            <w:vAlign w:val="center"/>
          </w:tcPr>
          <w:p w14:paraId="3FF21344">
            <w:pPr>
              <w:spacing w:line="320" w:lineRule="atLeast"/>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审查因素</w:t>
            </w:r>
          </w:p>
        </w:tc>
        <w:tc>
          <w:tcPr>
            <w:tcW w:w="4173" w:type="dxa"/>
            <w:noWrap w:val="0"/>
            <w:vAlign w:val="center"/>
          </w:tcPr>
          <w:p w14:paraId="71AFE006">
            <w:pPr>
              <w:spacing w:line="320" w:lineRule="atLeast"/>
              <w:jc w:val="center"/>
              <w:rPr>
                <w:rFonts w:hint="eastAsia" w:ascii="黑体" w:eastAsia="黑体" w:cs="黑体"/>
                <w:b/>
                <w:bCs/>
                <w:color w:val="000000"/>
                <w:szCs w:val="21"/>
                <w:highlight w:val="none"/>
              </w:rPr>
            </w:pPr>
            <w:r>
              <w:rPr>
                <w:rFonts w:hint="eastAsia" w:ascii="黑体" w:eastAsia="黑体" w:cs="黑体"/>
                <w:b/>
                <w:bCs/>
                <w:color w:val="000000"/>
                <w:szCs w:val="21"/>
                <w:highlight w:val="none"/>
              </w:rPr>
              <w:t>审查内容</w:t>
            </w:r>
          </w:p>
        </w:tc>
      </w:tr>
      <w:tr w14:paraId="70CA2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noWrap w:val="0"/>
            <w:vAlign w:val="center"/>
          </w:tcPr>
          <w:p w14:paraId="2F2E2B04">
            <w:pPr>
              <w:spacing w:line="320" w:lineRule="atLeast"/>
              <w:jc w:val="center"/>
              <w:rPr>
                <w:rFonts w:hint="eastAsia" w:ascii="宋体"/>
                <w:color w:val="000000"/>
                <w:szCs w:val="21"/>
                <w:highlight w:val="none"/>
              </w:rPr>
            </w:pPr>
            <w:r>
              <w:rPr>
                <w:rFonts w:hint="eastAsia" w:ascii="宋体"/>
                <w:color w:val="000000"/>
                <w:szCs w:val="21"/>
                <w:highlight w:val="none"/>
              </w:rPr>
              <w:t>1</w:t>
            </w:r>
          </w:p>
        </w:tc>
        <w:tc>
          <w:tcPr>
            <w:tcW w:w="1204" w:type="dxa"/>
            <w:vMerge w:val="restart"/>
            <w:noWrap w:val="0"/>
            <w:vAlign w:val="center"/>
          </w:tcPr>
          <w:p w14:paraId="64E5C0DE">
            <w:pPr>
              <w:spacing w:line="320" w:lineRule="atLeast"/>
              <w:rPr>
                <w:rFonts w:hint="eastAsia" w:ascii="宋体" w:cs="仿宋_GB2312"/>
                <w:color w:val="000000"/>
                <w:szCs w:val="21"/>
                <w:highlight w:val="none"/>
                <w:lang w:val="zh-CN"/>
              </w:rPr>
            </w:pPr>
            <w:r>
              <w:rPr>
                <w:rFonts w:hint="eastAsia" w:ascii="宋体" w:hAnsi="宋体" w:cs="宋体"/>
                <w:color w:val="000000"/>
                <w:szCs w:val="21"/>
                <w:highlight w:val="none"/>
              </w:rPr>
              <w:t>形式评审标准</w:t>
            </w:r>
          </w:p>
        </w:tc>
        <w:tc>
          <w:tcPr>
            <w:tcW w:w="2931" w:type="dxa"/>
            <w:noWrap w:val="0"/>
            <w:vAlign w:val="center"/>
          </w:tcPr>
          <w:p w14:paraId="345DAA62">
            <w:pPr>
              <w:adjustRightInd w:val="0"/>
              <w:snapToGrid w:val="0"/>
              <w:spacing w:line="560" w:lineRule="exact"/>
              <w:rPr>
                <w:rFonts w:hint="eastAsia" w:ascii="宋体" w:cs="仿宋_GB2312"/>
                <w:color w:val="000000"/>
                <w:szCs w:val="21"/>
                <w:highlight w:val="none"/>
                <w:lang w:val="zh-CN"/>
              </w:rPr>
            </w:pPr>
            <w:r>
              <w:rPr>
                <w:rFonts w:hint="eastAsia" w:ascii="宋体" w:hAnsi="宋体" w:cs="宋体"/>
                <w:color w:val="000000"/>
                <w:szCs w:val="21"/>
                <w:highlight w:val="none"/>
              </w:rPr>
              <w:t>投标函签字盖章</w:t>
            </w:r>
          </w:p>
        </w:tc>
        <w:tc>
          <w:tcPr>
            <w:tcW w:w="4173" w:type="dxa"/>
            <w:noWrap w:val="0"/>
            <w:vAlign w:val="center"/>
          </w:tcPr>
          <w:p w14:paraId="2365AD50">
            <w:pPr>
              <w:adjustRightInd w:val="0"/>
              <w:snapToGrid w:val="0"/>
              <w:spacing w:line="560" w:lineRule="exact"/>
              <w:jc w:val="left"/>
              <w:rPr>
                <w:rFonts w:hint="eastAsia" w:ascii="宋体" w:cs="仿宋_GB2312"/>
                <w:color w:val="000000"/>
                <w:szCs w:val="21"/>
                <w:highlight w:val="none"/>
                <w:lang w:val="zh-CN"/>
              </w:rPr>
            </w:pPr>
            <w:r>
              <w:rPr>
                <w:rFonts w:hint="eastAsia" w:ascii="宋体" w:hAnsi="宋体" w:cs="宋体"/>
                <w:color w:val="000000"/>
                <w:szCs w:val="21"/>
                <w:highlight w:val="none"/>
              </w:rPr>
              <w:t>有投标人及其法定代表人签章。</w:t>
            </w:r>
          </w:p>
        </w:tc>
      </w:tr>
      <w:tr w14:paraId="04C9F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14:paraId="0CA097D4">
            <w:pPr>
              <w:spacing w:line="320" w:lineRule="atLeast"/>
              <w:rPr>
                <w:color w:val="000000"/>
                <w:highlight w:val="none"/>
              </w:rPr>
            </w:pPr>
          </w:p>
        </w:tc>
        <w:tc>
          <w:tcPr>
            <w:tcW w:w="1204" w:type="dxa"/>
            <w:vMerge w:val="continue"/>
            <w:noWrap w:val="0"/>
            <w:vAlign w:val="center"/>
          </w:tcPr>
          <w:p w14:paraId="6078FEB1">
            <w:pPr>
              <w:spacing w:line="320" w:lineRule="atLeast"/>
              <w:rPr>
                <w:color w:val="000000"/>
                <w:highlight w:val="none"/>
              </w:rPr>
            </w:pPr>
          </w:p>
        </w:tc>
        <w:tc>
          <w:tcPr>
            <w:tcW w:w="2931" w:type="dxa"/>
            <w:noWrap w:val="0"/>
            <w:vAlign w:val="center"/>
          </w:tcPr>
          <w:p w14:paraId="04698314">
            <w:pPr>
              <w:adjustRightInd w:val="0"/>
              <w:snapToGrid w:val="0"/>
              <w:spacing w:line="560" w:lineRule="exact"/>
              <w:rPr>
                <w:rFonts w:hint="eastAsia" w:ascii="宋体" w:cs="仿宋_GB2312"/>
                <w:color w:val="000000"/>
                <w:szCs w:val="21"/>
                <w:highlight w:val="none"/>
                <w:lang w:val="zh-CN"/>
              </w:rPr>
            </w:pPr>
            <w:r>
              <w:rPr>
                <w:rFonts w:hint="eastAsia" w:ascii="宋体" w:hAnsi="宋体" w:cs="宋体"/>
                <w:color w:val="000000"/>
                <w:szCs w:val="21"/>
                <w:highlight w:val="none"/>
              </w:rPr>
              <w:t>投标文件格式</w:t>
            </w:r>
          </w:p>
        </w:tc>
        <w:tc>
          <w:tcPr>
            <w:tcW w:w="4173" w:type="dxa"/>
            <w:noWrap w:val="0"/>
            <w:vAlign w:val="center"/>
          </w:tcPr>
          <w:p w14:paraId="5034EFC0">
            <w:pPr>
              <w:adjustRightInd w:val="0"/>
              <w:snapToGrid w:val="0"/>
              <w:spacing w:line="560" w:lineRule="exact"/>
              <w:jc w:val="left"/>
              <w:rPr>
                <w:rFonts w:hint="eastAsia" w:ascii="宋体" w:cs="宋体"/>
                <w:color w:val="000000"/>
                <w:szCs w:val="21"/>
                <w:highlight w:val="none"/>
              </w:rPr>
            </w:pPr>
            <w:r>
              <w:rPr>
                <w:rFonts w:hint="eastAsia" w:ascii="宋体" w:hAnsi="宋体" w:cs="宋体"/>
                <w:color w:val="000000"/>
                <w:szCs w:val="21"/>
                <w:highlight w:val="none"/>
              </w:rPr>
              <w:t>符合第</w:t>
            </w:r>
            <w:r>
              <w:rPr>
                <w:rFonts w:hint="eastAsia" w:ascii="宋体" w:hAnsi="宋体" w:cs="宋体"/>
                <w:color w:val="000000"/>
                <w:szCs w:val="21"/>
                <w:highlight w:val="none"/>
                <w:lang w:val="en-US" w:eastAsia="zh-CN"/>
              </w:rPr>
              <w:t>七</w:t>
            </w:r>
            <w:r>
              <w:rPr>
                <w:rFonts w:hint="eastAsia" w:ascii="宋体" w:hAnsi="宋体" w:cs="宋体"/>
                <w:color w:val="000000"/>
                <w:szCs w:val="21"/>
                <w:highlight w:val="none"/>
              </w:rPr>
              <w:t>章“投标文件格式”的要求。</w:t>
            </w:r>
          </w:p>
        </w:tc>
      </w:tr>
      <w:tr w14:paraId="02C18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noWrap w:val="0"/>
            <w:vAlign w:val="center"/>
          </w:tcPr>
          <w:p w14:paraId="21AA9B1E">
            <w:pPr>
              <w:spacing w:line="320" w:lineRule="atLeast"/>
              <w:rPr>
                <w:color w:val="000000"/>
                <w:highlight w:val="none"/>
              </w:rPr>
            </w:pPr>
          </w:p>
        </w:tc>
        <w:tc>
          <w:tcPr>
            <w:tcW w:w="1204" w:type="dxa"/>
            <w:vMerge w:val="continue"/>
            <w:noWrap w:val="0"/>
            <w:vAlign w:val="center"/>
          </w:tcPr>
          <w:p w14:paraId="54714028">
            <w:pPr>
              <w:spacing w:line="320" w:lineRule="atLeast"/>
              <w:rPr>
                <w:color w:val="000000"/>
                <w:highlight w:val="none"/>
              </w:rPr>
            </w:pPr>
          </w:p>
        </w:tc>
        <w:tc>
          <w:tcPr>
            <w:tcW w:w="2931" w:type="dxa"/>
            <w:noWrap w:val="0"/>
            <w:vAlign w:val="center"/>
          </w:tcPr>
          <w:p w14:paraId="37D301FF">
            <w:pPr>
              <w:adjustRightInd w:val="0"/>
              <w:snapToGrid w:val="0"/>
              <w:spacing w:line="560" w:lineRule="exact"/>
              <w:rPr>
                <w:rFonts w:hint="eastAsia" w:ascii="宋体" w:cs="仿宋_GB2312"/>
                <w:color w:val="000000"/>
                <w:szCs w:val="21"/>
                <w:highlight w:val="none"/>
                <w:lang w:val="zh-CN"/>
              </w:rPr>
            </w:pPr>
            <w:r>
              <w:rPr>
                <w:rFonts w:hint="eastAsia" w:ascii="宋体" w:hAnsi="宋体" w:cs="宋体"/>
                <w:color w:val="000000"/>
                <w:szCs w:val="21"/>
                <w:highlight w:val="none"/>
              </w:rPr>
              <w:t>商务标签字盖章</w:t>
            </w:r>
          </w:p>
        </w:tc>
        <w:tc>
          <w:tcPr>
            <w:tcW w:w="4173" w:type="dxa"/>
            <w:noWrap w:val="0"/>
            <w:vAlign w:val="center"/>
          </w:tcPr>
          <w:p w14:paraId="054FAE96">
            <w:pPr>
              <w:adjustRightInd w:val="0"/>
              <w:snapToGrid w:val="0"/>
              <w:spacing w:line="560" w:lineRule="exact"/>
              <w:jc w:val="left"/>
              <w:rPr>
                <w:rFonts w:hint="eastAsia" w:ascii="宋体" w:cs="宋体"/>
                <w:color w:val="000000"/>
                <w:szCs w:val="21"/>
                <w:highlight w:val="none"/>
              </w:rPr>
            </w:pPr>
            <w:r>
              <w:rPr>
                <w:rFonts w:hint="eastAsia" w:ascii="宋体" w:hAnsi="宋体" w:cs="宋体"/>
                <w:color w:val="000000"/>
                <w:szCs w:val="21"/>
                <w:highlight w:val="none"/>
              </w:rPr>
              <w:t>按投标文件格式要求签章。</w:t>
            </w:r>
          </w:p>
        </w:tc>
      </w:tr>
      <w:tr w14:paraId="7E5E9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noWrap w:val="0"/>
            <w:vAlign w:val="center"/>
          </w:tcPr>
          <w:p w14:paraId="474038A1">
            <w:pPr>
              <w:spacing w:line="320" w:lineRule="atLeast"/>
              <w:rPr>
                <w:color w:val="000000"/>
                <w:highlight w:val="none"/>
              </w:rPr>
            </w:pPr>
          </w:p>
        </w:tc>
        <w:tc>
          <w:tcPr>
            <w:tcW w:w="1204" w:type="dxa"/>
            <w:vMerge w:val="continue"/>
            <w:noWrap w:val="0"/>
            <w:vAlign w:val="center"/>
          </w:tcPr>
          <w:p w14:paraId="28DD9EB8">
            <w:pPr>
              <w:spacing w:line="320" w:lineRule="atLeast"/>
              <w:rPr>
                <w:color w:val="000000"/>
                <w:highlight w:val="none"/>
              </w:rPr>
            </w:pPr>
          </w:p>
        </w:tc>
        <w:tc>
          <w:tcPr>
            <w:tcW w:w="2931" w:type="dxa"/>
            <w:noWrap w:val="0"/>
            <w:vAlign w:val="center"/>
          </w:tcPr>
          <w:p w14:paraId="748B0DB6">
            <w:pPr>
              <w:adjustRightInd w:val="0"/>
              <w:snapToGrid w:val="0"/>
              <w:spacing w:line="560" w:lineRule="exact"/>
              <w:rPr>
                <w:rFonts w:hint="eastAsia" w:ascii="宋体"/>
                <w:color w:val="000000"/>
                <w:szCs w:val="21"/>
                <w:highlight w:val="none"/>
              </w:rPr>
            </w:pPr>
            <w:r>
              <w:rPr>
                <w:rFonts w:hint="eastAsia" w:ascii="宋体" w:hAnsi="宋体" w:cs="宋体"/>
                <w:color w:val="000000"/>
                <w:szCs w:val="21"/>
                <w:highlight w:val="none"/>
              </w:rPr>
              <w:t>报价唯一</w:t>
            </w:r>
          </w:p>
        </w:tc>
        <w:tc>
          <w:tcPr>
            <w:tcW w:w="4173" w:type="dxa"/>
            <w:noWrap w:val="0"/>
            <w:vAlign w:val="center"/>
          </w:tcPr>
          <w:p w14:paraId="1F44D3C8">
            <w:pPr>
              <w:adjustRightInd w:val="0"/>
              <w:snapToGrid w:val="0"/>
              <w:spacing w:line="560" w:lineRule="exact"/>
              <w:jc w:val="left"/>
              <w:rPr>
                <w:rFonts w:hint="eastAsia" w:ascii="宋体" w:cs="仿宋_GB2312"/>
                <w:color w:val="000000"/>
                <w:szCs w:val="21"/>
                <w:highlight w:val="none"/>
                <w:lang w:val="zh-CN"/>
              </w:rPr>
            </w:pPr>
            <w:r>
              <w:rPr>
                <w:rFonts w:hint="eastAsia" w:ascii="宋体" w:hAnsi="宋体" w:cs="宋体"/>
                <w:color w:val="000000"/>
                <w:szCs w:val="21"/>
                <w:highlight w:val="none"/>
              </w:rPr>
              <w:t>只能有一个报价。</w:t>
            </w:r>
          </w:p>
        </w:tc>
      </w:tr>
      <w:tr w14:paraId="45EF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14:paraId="739C2D4D">
            <w:pPr>
              <w:spacing w:line="320" w:lineRule="atLeast"/>
              <w:jc w:val="center"/>
              <w:rPr>
                <w:rFonts w:hint="eastAsia" w:ascii="宋体"/>
                <w:color w:val="000000"/>
                <w:szCs w:val="21"/>
                <w:highlight w:val="none"/>
              </w:rPr>
            </w:pPr>
            <w:r>
              <w:rPr>
                <w:rFonts w:hint="eastAsia" w:ascii="宋体"/>
                <w:color w:val="000000"/>
                <w:szCs w:val="21"/>
                <w:highlight w:val="none"/>
              </w:rPr>
              <w:t>2</w:t>
            </w:r>
          </w:p>
        </w:tc>
        <w:tc>
          <w:tcPr>
            <w:tcW w:w="1204" w:type="dxa"/>
            <w:vMerge w:val="restart"/>
            <w:noWrap w:val="0"/>
            <w:vAlign w:val="center"/>
          </w:tcPr>
          <w:p w14:paraId="7F3B9BD9">
            <w:pPr>
              <w:adjustRightInd w:val="0"/>
              <w:snapToGrid w:val="0"/>
              <w:spacing w:line="560" w:lineRule="exact"/>
              <w:rPr>
                <w:rFonts w:hint="eastAsia" w:ascii="宋体" w:cs="仿宋_GB2312"/>
                <w:color w:val="000000"/>
                <w:szCs w:val="21"/>
                <w:highlight w:val="none"/>
                <w:lang w:val="zh-CN"/>
              </w:rPr>
            </w:pPr>
            <w:r>
              <w:rPr>
                <w:rFonts w:hint="eastAsia" w:ascii="宋体" w:hAnsi="宋体" w:cs="宋体"/>
                <w:color w:val="000000"/>
                <w:szCs w:val="21"/>
                <w:highlight w:val="none"/>
              </w:rPr>
              <w:t>响应性评审标准</w:t>
            </w:r>
          </w:p>
        </w:tc>
        <w:tc>
          <w:tcPr>
            <w:tcW w:w="2931" w:type="dxa"/>
            <w:noWrap w:val="0"/>
            <w:vAlign w:val="center"/>
          </w:tcPr>
          <w:p w14:paraId="3383D9B9">
            <w:pPr>
              <w:adjustRightInd w:val="0"/>
              <w:snapToGrid w:val="0"/>
              <w:spacing w:line="560" w:lineRule="exact"/>
              <w:jc w:val="left"/>
              <w:rPr>
                <w:rFonts w:hint="eastAsia" w:ascii="宋体" w:cs="宋体"/>
                <w:color w:val="000000"/>
                <w:szCs w:val="21"/>
                <w:highlight w:val="none"/>
              </w:rPr>
            </w:pPr>
            <w:r>
              <w:rPr>
                <w:rFonts w:hint="eastAsia" w:ascii="宋体" w:hAnsi="宋体" w:cs="宋体"/>
                <w:color w:val="000000"/>
                <w:szCs w:val="21"/>
                <w:highlight w:val="none"/>
                <w:lang w:val="en-US" w:eastAsia="zh-CN"/>
              </w:rPr>
              <w:t>供货</w:t>
            </w:r>
            <w:r>
              <w:rPr>
                <w:rFonts w:hint="eastAsia" w:ascii="宋体" w:hAnsi="宋体" w:cs="宋体"/>
                <w:color w:val="000000"/>
                <w:szCs w:val="21"/>
                <w:highlight w:val="none"/>
              </w:rPr>
              <w:t>期</w:t>
            </w:r>
          </w:p>
        </w:tc>
        <w:tc>
          <w:tcPr>
            <w:tcW w:w="4173" w:type="dxa"/>
            <w:noWrap w:val="0"/>
            <w:vAlign w:val="center"/>
          </w:tcPr>
          <w:p w14:paraId="51657076">
            <w:pPr>
              <w:adjustRightInd w:val="0"/>
              <w:snapToGrid w:val="0"/>
              <w:spacing w:line="560" w:lineRule="exact"/>
              <w:rPr>
                <w:rFonts w:hint="eastAsia" w:ascii="宋体" w:cs="宋体"/>
                <w:color w:val="000000"/>
                <w:szCs w:val="21"/>
                <w:highlight w:val="none"/>
              </w:rPr>
            </w:pPr>
            <w:r>
              <w:rPr>
                <w:rFonts w:hint="eastAsia" w:ascii="宋体" w:hAnsi="宋体" w:cs="宋体"/>
                <w:color w:val="000000"/>
                <w:szCs w:val="21"/>
                <w:highlight w:val="none"/>
              </w:rPr>
              <w:t>符合投标须知前附表规定。</w:t>
            </w:r>
          </w:p>
        </w:tc>
      </w:tr>
      <w:tr w14:paraId="43A00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03F18356">
            <w:pPr>
              <w:spacing w:line="320" w:lineRule="atLeast"/>
              <w:rPr>
                <w:color w:val="000000"/>
                <w:highlight w:val="none"/>
              </w:rPr>
            </w:pPr>
          </w:p>
        </w:tc>
        <w:tc>
          <w:tcPr>
            <w:tcW w:w="1204" w:type="dxa"/>
            <w:vMerge w:val="continue"/>
            <w:noWrap w:val="0"/>
            <w:vAlign w:val="center"/>
          </w:tcPr>
          <w:p w14:paraId="5BA2494C">
            <w:pPr>
              <w:spacing w:line="320" w:lineRule="atLeast"/>
              <w:rPr>
                <w:color w:val="000000"/>
                <w:highlight w:val="none"/>
              </w:rPr>
            </w:pPr>
          </w:p>
        </w:tc>
        <w:tc>
          <w:tcPr>
            <w:tcW w:w="2931" w:type="dxa"/>
            <w:noWrap w:val="0"/>
            <w:vAlign w:val="center"/>
          </w:tcPr>
          <w:p w14:paraId="59C43CDA">
            <w:pPr>
              <w:adjustRightInd w:val="0"/>
              <w:snapToGrid w:val="0"/>
              <w:spacing w:line="560" w:lineRule="exact"/>
              <w:rPr>
                <w:rFonts w:hint="eastAsia" w:ascii="宋体" w:cs="仿宋_GB2312"/>
                <w:color w:val="000000"/>
                <w:szCs w:val="21"/>
                <w:highlight w:val="none"/>
                <w:lang w:val="zh-CN"/>
              </w:rPr>
            </w:pPr>
            <w:r>
              <w:rPr>
                <w:rFonts w:hint="eastAsia" w:ascii="宋体" w:hAnsi="宋体" w:cs="宋体"/>
                <w:color w:val="000000"/>
                <w:szCs w:val="21"/>
                <w:highlight w:val="none"/>
              </w:rPr>
              <w:t>投标有效期</w:t>
            </w:r>
          </w:p>
        </w:tc>
        <w:tc>
          <w:tcPr>
            <w:tcW w:w="4173" w:type="dxa"/>
            <w:noWrap w:val="0"/>
            <w:vAlign w:val="center"/>
          </w:tcPr>
          <w:p w14:paraId="26BD5DF3">
            <w:pPr>
              <w:adjustRightInd w:val="0"/>
              <w:snapToGrid w:val="0"/>
              <w:spacing w:line="560" w:lineRule="exact"/>
              <w:rPr>
                <w:rFonts w:hint="eastAsia" w:ascii="宋体" w:cs="仿宋_GB2312"/>
                <w:color w:val="000000"/>
                <w:szCs w:val="21"/>
                <w:highlight w:val="none"/>
                <w:lang w:val="zh-CN"/>
              </w:rPr>
            </w:pPr>
            <w:r>
              <w:rPr>
                <w:rFonts w:hint="eastAsia" w:ascii="宋体" w:hAnsi="宋体" w:cs="宋体"/>
                <w:color w:val="000000"/>
                <w:szCs w:val="21"/>
                <w:highlight w:val="none"/>
              </w:rPr>
              <w:t>符合投标须知前附表规定。</w:t>
            </w:r>
          </w:p>
        </w:tc>
      </w:tr>
      <w:tr w14:paraId="20D4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noWrap w:val="0"/>
            <w:vAlign w:val="center"/>
          </w:tcPr>
          <w:p w14:paraId="6E3DF05A">
            <w:pPr>
              <w:spacing w:line="320" w:lineRule="atLeast"/>
              <w:rPr>
                <w:color w:val="000000"/>
                <w:highlight w:val="none"/>
              </w:rPr>
            </w:pPr>
          </w:p>
        </w:tc>
        <w:tc>
          <w:tcPr>
            <w:tcW w:w="1204" w:type="dxa"/>
            <w:vMerge w:val="continue"/>
            <w:noWrap w:val="0"/>
            <w:vAlign w:val="center"/>
          </w:tcPr>
          <w:p w14:paraId="0463F6C1">
            <w:pPr>
              <w:spacing w:line="320" w:lineRule="atLeast"/>
              <w:rPr>
                <w:color w:val="000000"/>
                <w:highlight w:val="none"/>
              </w:rPr>
            </w:pPr>
          </w:p>
        </w:tc>
        <w:tc>
          <w:tcPr>
            <w:tcW w:w="2931" w:type="dxa"/>
            <w:noWrap w:val="0"/>
            <w:vAlign w:val="center"/>
          </w:tcPr>
          <w:p w14:paraId="54961D82">
            <w:pPr>
              <w:adjustRightInd w:val="0"/>
              <w:snapToGrid w:val="0"/>
              <w:spacing w:line="560" w:lineRule="exact"/>
              <w:rPr>
                <w:rFonts w:hint="eastAsia" w:ascii="宋体" w:hAnsi="宋体" w:cs="宋体"/>
                <w:color w:val="000000"/>
                <w:szCs w:val="21"/>
                <w:highlight w:val="none"/>
              </w:rPr>
            </w:pPr>
            <w:r>
              <w:rPr>
                <w:rFonts w:hint="eastAsia" w:ascii="宋体" w:hAnsi="宋体" w:cs="宋体"/>
                <w:color w:val="000000"/>
                <w:szCs w:val="21"/>
                <w:highlight w:val="none"/>
              </w:rPr>
              <w:t>投标总价评审</w:t>
            </w:r>
          </w:p>
        </w:tc>
        <w:tc>
          <w:tcPr>
            <w:tcW w:w="4173" w:type="dxa"/>
            <w:noWrap w:val="0"/>
            <w:vAlign w:val="center"/>
          </w:tcPr>
          <w:p w14:paraId="7D1EF458">
            <w:pPr>
              <w:adjustRightInd w:val="0"/>
              <w:snapToGrid w:val="0"/>
              <w:spacing w:line="560" w:lineRule="exact"/>
              <w:rPr>
                <w:rFonts w:hint="eastAsia" w:ascii="宋体" w:hAnsi="宋体" w:eastAsia="宋体" w:cs="宋体"/>
                <w:color w:val="000000"/>
                <w:szCs w:val="21"/>
                <w:highlight w:val="none"/>
                <w:lang w:eastAsia="zh-CN"/>
              </w:rPr>
            </w:pPr>
            <w:r>
              <w:rPr>
                <w:rFonts w:hint="eastAsia" w:ascii="宋体" w:hAnsi="宋体" w:cs="宋体"/>
                <w:color w:val="000000"/>
                <w:spacing w:val="-6"/>
                <w:szCs w:val="21"/>
                <w:highlight w:val="none"/>
              </w:rPr>
              <w:t>不得高于最高投标限价</w:t>
            </w:r>
            <w:r>
              <w:rPr>
                <w:rFonts w:hint="eastAsia" w:ascii="宋体" w:hAnsi="宋体" w:cs="宋体"/>
                <w:color w:val="000000"/>
                <w:spacing w:val="-6"/>
                <w:szCs w:val="21"/>
                <w:highlight w:val="none"/>
                <w:lang w:eastAsia="zh-CN"/>
              </w:rPr>
              <w:t>。</w:t>
            </w:r>
          </w:p>
        </w:tc>
      </w:tr>
      <w:tr w14:paraId="2A1F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noWrap w:val="0"/>
            <w:vAlign w:val="center"/>
          </w:tcPr>
          <w:p w14:paraId="0B9435D3">
            <w:pPr>
              <w:spacing w:line="320" w:lineRule="atLeast"/>
              <w:jc w:val="center"/>
              <w:rPr>
                <w:rFonts w:hint="eastAsia" w:ascii="宋体"/>
                <w:color w:val="000000"/>
                <w:szCs w:val="21"/>
                <w:highlight w:val="none"/>
              </w:rPr>
            </w:pPr>
            <w:r>
              <w:rPr>
                <w:rFonts w:hint="eastAsia" w:ascii="宋体"/>
                <w:color w:val="000000"/>
                <w:szCs w:val="21"/>
                <w:highlight w:val="none"/>
              </w:rPr>
              <w:t>3</w:t>
            </w:r>
          </w:p>
        </w:tc>
        <w:tc>
          <w:tcPr>
            <w:tcW w:w="1204" w:type="dxa"/>
            <w:vMerge w:val="restart"/>
            <w:noWrap w:val="0"/>
            <w:vAlign w:val="center"/>
          </w:tcPr>
          <w:p w14:paraId="5DB1948C">
            <w:pPr>
              <w:adjustRightInd w:val="0"/>
              <w:snapToGrid w:val="0"/>
              <w:spacing w:line="560" w:lineRule="exact"/>
              <w:jc w:val="center"/>
              <w:rPr>
                <w:rFonts w:hint="eastAsia" w:ascii="宋体" w:hAnsi="宋体" w:cs="宋体"/>
                <w:color w:val="000000"/>
                <w:szCs w:val="21"/>
                <w:highlight w:val="none"/>
              </w:rPr>
            </w:pPr>
            <w:r>
              <w:rPr>
                <w:rFonts w:hint="eastAsia" w:ascii="宋体" w:hAnsi="宋体" w:cs="宋体"/>
                <w:color w:val="000000"/>
                <w:szCs w:val="21"/>
                <w:highlight w:val="none"/>
              </w:rPr>
              <w:t>详细评审标准</w:t>
            </w:r>
          </w:p>
          <w:p w14:paraId="3E0E75FE">
            <w:pPr>
              <w:spacing w:line="320" w:lineRule="atLeast"/>
              <w:jc w:val="center"/>
              <w:rPr>
                <w:rFonts w:hint="eastAsia" w:ascii="宋体" w:cs="仿宋_GB2312"/>
                <w:color w:val="000000"/>
                <w:szCs w:val="21"/>
                <w:highlight w:val="none"/>
                <w:lang w:val="zh-CN"/>
              </w:rPr>
            </w:pPr>
          </w:p>
        </w:tc>
        <w:tc>
          <w:tcPr>
            <w:tcW w:w="2931" w:type="dxa"/>
            <w:noWrap w:val="0"/>
            <w:vAlign w:val="center"/>
          </w:tcPr>
          <w:p w14:paraId="07D57D13">
            <w:pPr>
              <w:spacing w:line="320" w:lineRule="atLeast"/>
              <w:rPr>
                <w:rFonts w:hint="eastAsia" w:ascii="宋体" w:cs="仿宋_GB2312"/>
                <w:color w:val="000000"/>
                <w:szCs w:val="21"/>
                <w:highlight w:val="none"/>
                <w:lang w:val="zh-CN"/>
              </w:rPr>
            </w:pPr>
            <w:r>
              <w:rPr>
                <w:rFonts w:hint="eastAsia" w:ascii="宋体" w:cs="仿宋_GB2312"/>
                <w:color w:val="000000"/>
                <w:szCs w:val="21"/>
                <w:highlight w:val="none"/>
                <w:lang w:val="zh-CN"/>
              </w:rPr>
              <w:t>采购需求响应程度</w:t>
            </w:r>
          </w:p>
        </w:tc>
        <w:tc>
          <w:tcPr>
            <w:tcW w:w="4173" w:type="dxa"/>
            <w:noWrap w:val="0"/>
            <w:vAlign w:val="center"/>
          </w:tcPr>
          <w:p w14:paraId="4D0CE18A">
            <w:pPr>
              <w:spacing w:line="320" w:lineRule="atLeast"/>
              <w:rPr>
                <w:rFonts w:hint="eastAsia" w:ascii="宋体" w:eastAsia="宋体" w:cs="仿宋_GB2312"/>
                <w:color w:val="000000"/>
                <w:szCs w:val="21"/>
                <w:highlight w:val="none"/>
                <w:lang w:val="zh-CN" w:eastAsia="zh-CN"/>
              </w:rPr>
            </w:pPr>
            <w:r>
              <w:rPr>
                <w:rFonts w:hint="eastAsia" w:ascii="宋体" w:cs="仿宋_GB2312"/>
                <w:color w:val="000000"/>
                <w:szCs w:val="21"/>
                <w:highlight w:val="none"/>
                <w:lang w:val="zh-CN"/>
              </w:rPr>
              <w:t>完全响应或优于招标文件要求。</w:t>
            </w:r>
          </w:p>
        </w:tc>
      </w:tr>
      <w:tr w14:paraId="67D2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continue"/>
            <w:noWrap w:val="0"/>
            <w:vAlign w:val="center"/>
          </w:tcPr>
          <w:p w14:paraId="25A73DDF">
            <w:pPr>
              <w:spacing w:line="320" w:lineRule="atLeast"/>
              <w:jc w:val="center"/>
              <w:rPr>
                <w:rFonts w:hint="eastAsia" w:ascii="宋体"/>
                <w:color w:val="000000"/>
                <w:szCs w:val="21"/>
                <w:highlight w:val="none"/>
              </w:rPr>
            </w:pPr>
          </w:p>
        </w:tc>
        <w:tc>
          <w:tcPr>
            <w:tcW w:w="1204" w:type="dxa"/>
            <w:vMerge w:val="continue"/>
            <w:noWrap w:val="0"/>
            <w:vAlign w:val="center"/>
          </w:tcPr>
          <w:p w14:paraId="3B384A88">
            <w:pPr>
              <w:spacing w:line="320" w:lineRule="atLeast"/>
              <w:jc w:val="center"/>
              <w:rPr>
                <w:rFonts w:hint="eastAsia" w:ascii="宋体" w:cs="仿宋_GB2312"/>
                <w:color w:val="000000"/>
                <w:szCs w:val="21"/>
                <w:highlight w:val="none"/>
                <w:lang w:val="zh-CN"/>
              </w:rPr>
            </w:pPr>
          </w:p>
        </w:tc>
        <w:tc>
          <w:tcPr>
            <w:tcW w:w="2931" w:type="dxa"/>
            <w:noWrap w:val="0"/>
            <w:vAlign w:val="center"/>
          </w:tcPr>
          <w:p w14:paraId="2E0B5594">
            <w:pPr>
              <w:spacing w:line="320" w:lineRule="atLeast"/>
              <w:rPr>
                <w:rFonts w:hint="eastAsia" w:ascii="宋体" w:hAnsi="宋体" w:cs="宋体"/>
                <w:color w:val="000000"/>
                <w:szCs w:val="21"/>
                <w:highlight w:val="none"/>
              </w:rPr>
            </w:pPr>
            <w:r>
              <w:rPr>
                <w:rFonts w:hint="eastAsia" w:ascii="宋体" w:cs="仿宋_GB2312"/>
                <w:color w:val="000000"/>
                <w:szCs w:val="21"/>
                <w:highlight w:val="none"/>
                <w:lang w:val="zh-CN"/>
              </w:rPr>
              <w:t>商务条款响应程度（包括供货期、售后服务、技术培训等）</w:t>
            </w:r>
          </w:p>
        </w:tc>
        <w:tc>
          <w:tcPr>
            <w:tcW w:w="4173" w:type="dxa"/>
            <w:noWrap w:val="0"/>
            <w:vAlign w:val="center"/>
          </w:tcPr>
          <w:p w14:paraId="72C1CD08">
            <w:pPr>
              <w:spacing w:line="320" w:lineRule="atLeast"/>
              <w:rPr>
                <w:rFonts w:hint="eastAsia" w:ascii="宋体" w:hAnsi="宋体" w:cs="宋体"/>
                <w:color w:val="000000"/>
                <w:szCs w:val="21"/>
                <w:highlight w:val="none"/>
              </w:rPr>
            </w:pPr>
            <w:r>
              <w:rPr>
                <w:rFonts w:hint="eastAsia" w:ascii="宋体" w:cs="仿宋_GB2312"/>
                <w:color w:val="000000"/>
                <w:szCs w:val="21"/>
                <w:highlight w:val="none"/>
                <w:lang w:val="zh-CN"/>
              </w:rPr>
              <w:t>完全响应或优于招标文件要求。</w:t>
            </w:r>
          </w:p>
        </w:tc>
      </w:tr>
    </w:tbl>
    <w:p w14:paraId="22BD91FC">
      <w:pPr>
        <w:spacing w:line="440" w:lineRule="exact"/>
        <w:ind w:firstLine="422" w:firstLineChars="200"/>
        <w:rPr>
          <w:rFonts w:hint="eastAsia" w:ascii="宋体" w:hAnsi="宋体" w:cs="宋体"/>
          <w:b/>
          <w:bCs/>
          <w:szCs w:val="21"/>
          <w:highlight w:val="none"/>
        </w:rPr>
      </w:pPr>
      <w:r>
        <w:rPr>
          <w:rFonts w:hint="eastAsia" w:ascii="宋体" w:hAnsi="宋体" w:cs="宋体"/>
          <w:b/>
          <w:bCs/>
          <w:szCs w:val="21"/>
          <w:highlight w:val="none"/>
          <w:lang w:val="en-US" w:eastAsia="zh-CN"/>
        </w:rPr>
        <w:t>1</w:t>
      </w:r>
      <w:r>
        <w:rPr>
          <w:rFonts w:hint="eastAsia" w:ascii="宋体" w:hAnsi="宋体" w:cs="宋体"/>
          <w:b/>
          <w:bCs/>
          <w:szCs w:val="21"/>
          <w:highlight w:val="none"/>
        </w:rPr>
        <w:t>．评标方法</w:t>
      </w:r>
    </w:p>
    <w:p w14:paraId="2A092A4A">
      <w:pPr>
        <w:adjustRightInd w:val="0"/>
        <w:snapToGrid w:val="0"/>
        <w:spacing w:line="440" w:lineRule="exact"/>
        <w:ind w:firstLine="420" w:firstLineChars="200"/>
        <w:rPr>
          <w:rFonts w:hint="eastAsia" w:ascii="宋体" w:hAnsi="宋体" w:cs="宋体"/>
          <w:szCs w:val="21"/>
          <w:highlight w:val="none"/>
        </w:rPr>
      </w:pPr>
      <w:r>
        <w:rPr>
          <w:rFonts w:hint="eastAsia" w:ascii="宋体" w:hAnsi="宋体" w:eastAsia="宋体" w:cs="宋体"/>
          <w:color w:val="000000"/>
          <w:szCs w:val="21"/>
          <w:highlight w:val="none"/>
        </w:rPr>
        <w:t>本次评标采用最低评标价法，评标委员会对满足招标文件实质性要求的投标文件，最终按投标报价最低原则，推荐有效投标报价最低的为第一中标候选人，次低的为第二中标候选人，以此类推，推荐中标候选人3名，并标明排序，但投标报价低于其成本的除外。投标报价最低的有效投标人有两名或两名以上相同时，由评标委员会主任委员或招标人抽签确定第一中标候选人。</w:t>
      </w:r>
    </w:p>
    <w:p w14:paraId="66071670">
      <w:pPr>
        <w:adjustRightInd w:val="0"/>
        <w:snapToGrid w:val="0"/>
        <w:spacing w:line="440" w:lineRule="exact"/>
        <w:ind w:firstLine="420" w:firstLineChars="200"/>
        <w:rPr>
          <w:rFonts w:ascii="宋体" w:hAnsi="宋体" w:cs="宋体"/>
          <w:b/>
          <w:bCs/>
          <w:szCs w:val="21"/>
          <w:highlight w:val="none"/>
        </w:rPr>
      </w:pPr>
      <w:r>
        <w:rPr>
          <w:rFonts w:hint="eastAsia" w:ascii="宋体" w:hAnsi="宋体" w:cs="宋体"/>
          <w:color w:val="000000"/>
          <w:szCs w:val="21"/>
          <w:highlight w:val="none"/>
        </w:rPr>
        <w:t>根据评标委员会评审初步结论，项目单位（代理机构）对预中标候选人、法定代表人是否存在招标文件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3581C8B1">
      <w:pPr>
        <w:spacing w:line="440" w:lineRule="exact"/>
        <w:ind w:firstLine="422" w:firstLineChars="200"/>
        <w:rPr>
          <w:rFonts w:hint="eastAsia" w:ascii="宋体" w:hAnsi="宋体" w:eastAsia="宋体" w:cs="宋体"/>
          <w:b/>
          <w:bCs/>
          <w:szCs w:val="21"/>
          <w:highlight w:val="none"/>
          <w:lang w:val="en-US" w:eastAsia="zh-CN"/>
        </w:rPr>
      </w:pPr>
      <w:bookmarkStart w:id="94" w:name="_Toc95223405"/>
      <w:r>
        <w:rPr>
          <w:rFonts w:hint="eastAsia" w:ascii="宋体" w:hAnsi="宋体" w:eastAsia="宋体" w:cs="宋体"/>
          <w:b/>
          <w:bCs/>
          <w:szCs w:val="21"/>
          <w:highlight w:val="none"/>
          <w:lang w:val="en-US" w:eastAsia="zh-CN"/>
        </w:rPr>
        <w:t>2.评标委员会的职责</w:t>
      </w:r>
    </w:p>
    <w:p w14:paraId="7F8B8964">
      <w:pPr>
        <w:adjustRightInd w:val="0"/>
        <w:snapToGrid w:val="0"/>
        <w:spacing w:line="44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6DCD3120">
      <w:pPr>
        <w:adjustRightInd w:val="0"/>
        <w:snapToGrid w:val="0"/>
        <w:spacing w:line="440" w:lineRule="exact"/>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4FE95AD1">
      <w:pPr>
        <w:spacing w:line="440" w:lineRule="exact"/>
        <w:ind w:firstLine="316" w:firstLineChars="150"/>
        <w:jc w:val="left"/>
        <w:rPr>
          <w:rFonts w:hint="eastAsia" w:ascii="宋体"/>
          <w:b/>
          <w:color w:val="000000"/>
          <w:szCs w:val="21"/>
          <w:highlight w:val="none"/>
        </w:rPr>
      </w:pPr>
      <w:r>
        <w:rPr>
          <w:rFonts w:hint="eastAsia" w:ascii="宋体"/>
          <w:b/>
          <w:color w:val="000000"/>
          <w:szCs w:val="21"/>
          <w:highlight w:val="none"/>
          <w:lang w:val="en-US" w:eastAsia="zh-CN"/>
        </w:rPr>
        <w:t>3</w:t>
      </w:r>
      <w:r>
        <w:rPr>
          <w:rFonts w:hint="eastAsia" w:ascii="宋体"/>
          <w:b/>
          <w:color w:val="000000"/>
          <w:szCs w:val="21"/>
          <w:highlight w:val="none"/>
        </w:rPr>
        <w:t>.评标程序</w:t>
      </w:r>
    </w:p>
    <w:p w14:paraId="0122C438">
      <w:pPr>
        <w:spacing w:line="440" w:lineRule="exact"/>
        <w:ind w:firstLine="315" w:firstLineChars="150"/>
        <w:jc w:val="left"/>
        <w:rPr>
          <w:rFonts w:hint="eastAsia" w:ascii="宋体" w:hAnsi="宋体"/>
          <w:color w:val="000000"/>
          <w:szCs w:val="21"/>
          <w:highlight w:val="none"/>
        </w:rPr>
      </w:pPr>
      <w:bookmarkStart w:id="95" w:name="_Toc95223402"/>
      <w:r>
        <w:rPr>
          <w:rFonts w:hint="eastAsia" w:ascii="宋体" w:hAnsi="宋体"/>
          <w:color w:val="000000"/>
          <w:szCs w:val="21"/>
          <w:highlight w:val="none"/>
        </w:rPr>
        <w:t>评标先做准备工作，再进行资格</w:t>
      </w:r>
      <w:r>
        <w:rPr>
          <w:rFonts w:hint="eastAsia" w:ascii="宋体" w:hAnsi="宋体"/>
          <w:color w:val="000000"/>
          <w:szCs w:val="21"/>
          <w:highlight w:val="none"/>
          <w:lang w:val="en-US" w:eastAsia="zh-CN"/>
        </w:rPr>
        <w:t>审查</w:t>
      </w:r>
      <w:r>
        <w:rPr>
          <w:rFonts w:hint="eastAsia" w:ascii="宋体" w:hAnsi="宋体"/>
          <w:color w:val="000000"/>
          <w:szCs w:val="21"/>
          <w:highlight w:val="none"/>
        </w:rPr>
        <w:t>，然后进行商务标评审。</w:t>
      </w:r>
    </w:p>
    <w:p w14:paraId="4612C784">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lang w:val="en-US" w:eastAsia="zh-CN"/>
        </w:rPr>
        <w:t>3</w:t>
      </w:r>
      <w:r>
        <w:rPr>
          <w:rFonts w:hint="eastAsia" w:ascii="宋体" w:hAnsi="宋体" w:cs="宋体"/>
          <w:color w:val="000000"/>
          <w:highlight w:val="none"/>
        </w:rPr>
        <w:t>.1评标准备工作</w:t>
      </w:r>
      <w:bookmarkEnd w:id="95"/>
    </w:p>
    <w:p w14:paraId="663671B5">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评标委员会熟悉评标工作情况：</w:t>
      </w:r>
    </w:p>
    <w:p w14:paraId="4CEE8248">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（1）阅读由招标人或者其委</w:t>
      </w:r>
      <w:bookmarkStart w:id="96" w:name="_Toc15058916"/>
      <w:bookmarkStart w:id="97" w:name="_Toc60061499"/>
      <w:r>
        <w:rPr>
          <w:rFonts w:hint="eastAsia" w:ascii="宋体" w:hAnsi="宋体" w:cs="宋体"/>
          <w:color w:val="000000"/>
          <w:highlight w:val="none"/>
        </w:rPr>
        <w:t>托的代理机构编</w:t>
      </w:r>
      <w:bookmarkEnd w:id="96"/>
      <w:bookmarkEnd w:id="97"/>
      <w:r>
        <w:rPr>
          <w:rFonts w:hint="eastAsia" w:ascii="宋体" w:hAnsi="宋体" w:cs="宋体"/>
          <w:color w:val="000000"/>
          <w:highlight w:val="none"/>
        </w:rPr>
        <w:t>制的招标项目情况材料。</w:t>
      </w:r>
    </w:p>
    <w:p w14:paraId="0B36FEF3">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（2）阅读、研究招标文件和相关评标资料，获取评标所需要的重要信息和数据，至少应了解和熟悉以下内容：招标项目的范围和性质，招标文件规定的主要技术要求、标准和商务条款。</w:t>
      </w:r>
    </w:p>
    <w:p w14:paraId="4975388C">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（3）熟悉招标文件规定的评标标准和评标方法及在评标过程中需要考虑的相关因素。</w:t>
      </w:r>
    </w:p>
    <w:p w14:paraId="6818C0C1">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（4）核对评标工作用表。</w:t>
      </w:r>
    </w:p>
    <w:p w14:paraId="487D4130">
      <w:pPr>
        <w:spacing w:line="440" w:lineRule="exact"/>
        <w:ind w:firstLine="315" w:firstLineChars="150"/>
        <w:jc w:val="left"/>
        <w:rPr>
          <w:rFonts w:hint="eastAsia" w:ascii="宋体" w:hAnsi="宋体" w:eastAsia="宋体" w:cs="宋体"/>
          <w:color w:val="000000"/>
          <w:highlight w:val="none"/>
        </w:rPr>
      </w:pPr>
      <w:bookmarkStart w:id="98" w:name="_Toc95223404"/>
      <w:bookmarkStart w:id="99" w:name="_Toc15058917"/>
      <w:bookmarkStart w:id="100" w:name="_Toc60061500"/>
      <w:r>
        <w:rPr>
          <w:rFonts w:hint="eastAsia" w:ascii="宋体" w:hAnsi="宋体" w:eastAsia="宋体" w:cs="宋体"/>
          <w:color w:val="000000"/>
          <w:highlight w:val="none"/>
        </w:rPr>
        <w:t>3.</w:t>
      </w:r>
      <w:r>
        <w:rPr>
          <w:rFonts w:hint="eastAsia" w:ascii="宋体" w:hAnsi="宋体" w:eastAsia="宋体" w:cs="宋体"/>
          <w:color w:val="000000"/>
          <w:highlight w:val="none"/>
          <w:lang w:val="en-US" w:eastAsia="zh-CN"/>
        </w:rPr>
        <w:t>2</w:t>
      </w:r>
      <w:r>
        <w:rPr>
          <w:rFonts w:hint="eastAsia" w:ascii="宋体" w:hAnsi="宋体" w:eastAsia="宋体" w:cs="宋体"/>
          <w:color w:val="000000"/>
          <w:highlight w:val="none"/>
        </w:rPr>
        <w:t>商务标评审</w:t>
      </w:r>
      <w:bookmarkEnd w:id="98"/>
    </w:p>
    <w:p w14:paraId="3EFA571A">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详见商务标评审表。</w:t>
      </w:r>
    </w:p>
    <w:p w14:paraId="10498B50">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lang w:val="en-US" w:eastAsia="zh-CN"/>
        </w:rPr>
        <w:t>3</w:t>
      </w:r>
      <w:r>
        <w:rPr>
          <w:rFonts w:hint="eastAsia" w:ascii="宋体" w:hAnsi="宋体" w:cs="宋体"/>
          <w:color w:val="000000"/>
          <w:highlight w:val="none"/>
        </w:rPr>
        <w:t>.</w:t>
      </w:r>
      <w:r>
        <w:rPr>
          <w:rFonts w:hint="eastAsia" w:ascii="宋体" w:hAnsi="宋体" w:cs="宋体"/>
          <w:color w:val="000000"/>
          <w:highlight w:val="none"/>
          <w:lang w:val="en-US" w:eastAsia="zh-CN"/>
        </w:rPr>
        <w:t>3</w:t>
      </w:r>
      <w:r>
        <w:rPr>
          <w:rFonts w:hint="eastAsia" w:ascii="宋体" w:hAnsi="宋体" w:cs="宋体"/>
          <w:color w:val="000000"/>
          <w:highlight w:val="none"/>
        </w:rPr>
        <w:t>推荐中标候</w:t>
      </w:r>
      <w:bookmarkEnd w:id="99"/>
      <w:bookmarkEnd w:id="100"/>
      <w:r>
        <w:rPr>
          <w:rFonts w:hint="eastAsia" w:ascii="宋体" w:hAnsi="宋体" w:cs="宋体"/>
          <w:color w:val="000000"/>
          <w:highlight w:val="none"/>
        </w:rPr>
        <w:t>选人</w:t>
      </w:r>
    </w:p>
    <w:p w14:paraId="386DD0DA">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资信</w:t>
      </w:r>
      <w:r>
        <w:rPr>
          <w:rFonts w:hint="eastAsia" w:ascii="宋体" w:hAnsi="宋体" w:cs="宋体"/>
          <w:color w:val="000000"/>
          <w:highlight w:val="none"/>
          <w:lang w:val="en-US" w:eastAsia="zh-CN"/>
        </w:rPr>
        <w:t>审查</w:t>
      </w:r>
      <w:r>
        <w:rPr>
          <w:rFonts w:hint="eastAsia" w:ascii="宋体" w:hAnsi="宋体" w:cs="宋体"/>
          <w:color w:val="000000"/>
          <w:highlight w:val="none"/>
        </w:rPr>
        <w:t>、商务标评审后，推荐中标候选人，并标明排序。</w:t>
      </w:r>
    </w:p>
    <w:bookmarkEnd w:id="94"/>
    <w:p w14:paraId="26B799BF">
      <w:pPr>
        <w:spacing w:line="440" w:lineRule="exact"/>
        <w:ind w:firstLine="316" w:firstLineChars="150"/>
        <w:jc w:val="left"/>
        <w:rPr>
          <w:rFonts w:hint="eastAsia" w:ascii="宋体"/>
          <w:b/>
          <w:color w:val="000000"/>
          <w:szCs w:val="21"/>
          <w:highlight w:val="none"/>
        </w:rPr>
      </w:pPr>
      <w:bookmarkStart w:id="101" w:name="_Hlk61815781"/>
      <w:r>
        <w:rPr>
          <w:rFonts w:hint="eastAsia" w:ascii="宋体"/>
          <w:b/>
          <w:color w:val="000000"/>
          <w:szCs w:val="21"/>
          <w:highlight w:val="none"/>
          <w:lang w:val="en-US" w:eastAsia="zh-CN"/>
        </w:rPr>
        <w:t>4</w:t>
      </w:r>
      <w:r>
        <w:rPr>
          <w:rFonts w:hint="eastAsia" w:ascii="宋体"/>
          <w:b/>
          <w:color w:val="000000"/>
          <w:szCs w:val="21"/>
          <w:highlight w:val="none"/>
        </w:rPr>
        <w:t>.评审内容</w:t>
      </w:r>
    </w:p>
    <w:p w14:paraId="6C715742">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lang w:val="en-US" w:eastAsia="zh-CN"/>
        </w:rPr>
        <w:t>4</w:t>
      </w:r>
      <w:r>
        <w:rPr>
          <w:rFonts w:hint="eastAsia" w:ascii="宋体" w:hAnsi="宋体" w:cs="宋体"/>
          <w:color w:val="000000"/>
          <w:highlight w:val="none"/>
        </w:rPr>
        <w:t>.1</w:t>
      </w:r>
      <w:bookmarkStart w:id="102" w:name="_Toc15058921"/>
      <w:bookmarkStart w:id="103" w:name="_Toc60061504"/>
      <w:r>
        <w:rPr>
          <w:rFonts w:hint="eastAsia" w:ascii="宋体" w:hAnsi="宋体" w:cs="宋体"/>
          <w:color w:val="000000"/>
          <w:highlight w:val="none"/>
        </w:rPr>
        <w:t>形式性评审标准：</w:t>
      </w:r>
      <w:bookmarkEnd w:id="102"/>
      <w:bookmarkEnd w:id="103"/>
      <w:r>
        <w:rPr>
          <w:rFonts w:hint="eastAsia" w:ascii="宋体" w:hAnsi="宋体" w:cs="宋体"/>
          <w:color w:val="000000"/>
          <w:highlight w:val="none"/>
        </w:rPr>
        <w:t>见商务标评审表。</w:t>
      </w:r>
    </w:p>
    <w:p w14:paraId="5663DF40">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lang w:val="en-US" w:eastAsia="zh-CN"/>
        </w:rPr>
        <w:t>4</w:t>
      </w:r>
      <w:r>
        <w:rPr>
          <w:rFonts w:hint="eastAsia" w:ascii="宋体" w:hAnsi="宋体" w:cs="宋体"/>
          <w:color w:val="000000"/>
          <w:highlight w:val="none"/>
        </w:rPr>
        <w:t>.2响应性评审标准：见商务标评审表。</w:t>
      </w:r>
    </w:p>
    <w:p w14:paraId="3FEB2F79">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评标委员会依据上述标准对投标文件进行初步评审。有一项不符合评审标准的，作无效投标处理。</w:t>
      </w:r>
    </w:p>
    <w:p w14:paraId="63C7E3E3">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lang w:val="en-US" w:eastAsia="zh-CN"/>
        </w:rPr>
        <w:t>4</w:t>
      </w:r>
      <w:r>
        <w:rPr>
          <w:rFonts w:hint="eastAsia" w:ascii="宋体" w:hAnsi="宋体" w:cs="宋体"/>
          <w:color w:val="000000"/>
          <w:highlight w:val="none"/>
        </w:rPr>
        <w:t>.3详细评审标准：见商务标评审表。</w:t>
      </w:r>
    </w:p>
    <w:bookmarkEnd w:id="101"/>
    <w:p w14:paraId="099760EF">
      <w:pPr>
        <w:spacing w:line="440" w:lineRule="exact"/>
        <w:ind w:firstLine="315" w:firstLineChars="150"/>
        <w:jc w:val="left"/>
        <w:rPr>
          <w:rFonts w:hint="eastAsia" w:ascii="宋体" w:hAnsi="宋体" w:eastAsia="宋体" w:cs="宋体"/>
          <w:color w:val="000000"/>
          <w:highlight w:val="none"/>
        </w:rPr>
      </w:pPr>
      <w:bookmarkStart w:id="104" w:name="_Toc95223439"/>
      <w:r>
        <w:rPr>
          <w:rFonts w:hint="eastAsia" w:ascii="宋体" w:hAnsi="宋体" w:eastAsia="宋体" w:cs="宋体"/>
          <w:color w:val="000000"/>
          <w:highlight w:val="none"/>
          <w:lang w:val="en-US" w:eastAsia="zh-CN"/>
        </w:rPr>
        <w:t>4.4</w:t>
      </w:r>
      <w:r>
        <w:rPr>
          <w:rFonts w:hint="eastAsia" w:ascii="宋体" w:hAnsi="宋体" w:eastAsia="宋体" w:cs="宋体"/>
          <w:color w:val="000000"/>
          <w:highlight w:val="none"/>
        </w:rPr>
        <w:t>评标委员会审查投标文件，看其是否有计算或表达上的错误，投标报价有错误的，评标委员会按以下原则对投标报价进行修正。</w:t>
      </w:r>
    </w:p>
    <w:p w14:paraId="3BE1324B">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（1）投标文件中的大写金额与小写金额不一致的，以大写金额为准。</w:t>
      </w:r>
    </w:p>
    <w:p w14:paraId="625F2BDC">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（2）总价金额与依据单价计算出的结果不一致的，以单价金额为准修正总价，但单价金额小数点有明显错误的除外。</w:t>
      </w:r>
    </w:p>
    <w:p w14:paraId="0AC614E7">
      <w:pPr>
        <w:spacing w:line="440" w:lineRule="exact"/>
        <w:ind w:firstLine="315" w:firstLineChars="150"/>
        <w:jc w:val="left"/>
        <w:rPr>
          <w:rFonts w:hint="default" w:ascii="宋体" w:hAnsi="宋体" w:eastAsia="宋体" w:cs="宋体"/>
          <w:color w:val="000000"/>
          <w:highlight w:val="none"/>
          <w:lang w:val="en-US" w:eastAsia="zh-CN"/>
        </w:rPr>
      </w:pPr>
      <w:r>
        <w:rPr>
          <w:rFonts w:hint="eastAsia" w:ascii="宋体" w:hAnsi="宋体" w:eastAsia="宋体" w:cs="宋体"/>
          <w:color w:val="000000"/>
          <w:highlight w:val="none"/>
        </w:rPr>
        <w:t>按上述修正错误的原则及方法调整或修正投标文件的投标报价，调整或修正的价格经投标人书面确认后具有约束力。中标价原则上以调整或修正后的价格为准，调整或修正后的价格与投标报价相比，价格低的为中标价。投标人不接受的，其投标将被拒绝。</w:t>
      </w:r>
    </w:p>
    <w:p w14:paraId="4F44A14E">
      <w:pPr>
        <w:spacing w:line="440" w:lineRule="exact"/>
        <w:ind w:firstLine="316" w:firstLineChars="150"/>
        <w:jc w:val="left"/>
        <w:rPr>
          <w:rFonts w:hint="eastAsia" w:ascii="宋体"/>
          <w:b/>
          <w:color w:val="000000"/>
          <w:szCs w:val="21"/>
          <w:highlight w:val="none"/>
        </w:rPr>
      </w:pPr>
      <w:r>
        <w:rPr>
          <w:rFonts w:hint="eastAsia" w:ascii="宋体"/>
          <w:b/>
          <w:color w:val="000000"/>
          <w:szCs w:val="21"/>
          <w:highlight w:val="none"/>
          <w:lang w:val="en-US" w:eastAsia="zh-CN"/>
        </w:rPr>
        <w:t>5</w:t>
      </w:r>
      <w:r>
        <w:rPr>
          <w:rFonts w:hint="eastAsia" w:ascii="宋体"/>
          <w:b/>
          <w:color w:val="000000"/>
          <w:szCs w:val="21"/>
          <w:highlight w:val="none"/>
        </w:rPr>
        <w:t>.无效投标条款</w:t>
      </w:r>
    </w:p>
    <w:p w14:paraId="134A6F2C">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5</w:t>
      </w:r>
      <w:r>
        <w:rPr>
          <w:rFonts w:hint="eastAsia" w:ascii="宋体" w:hAnsi="宋体" w:eastAsia="宋体" w:cs="宋体"/>
          <w:color w:val="000000"/>
          <w:highlight w:val="none"/>
        </w:rPr>
        <w:t>.1投标人存在下列情形的招标人将拒收投标文件:</w:t>
      </w:r>
    </w:p>
    <w:p w14:paraId="39DA2442">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(1) 未在投标截止时间前通过网上招标投标系统递交有效电子投标文件的，开标系统不予接收，投标将被拒绝。</w:t>
      </w:r>
    </w:p>
    <w:p w14:paraId="4E918FFA">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2）所有投标人应在规定时间里完成投标文件的解密工作（投标企业接到远程解密指令后，须在规定时间内解密（以网上开评标系统解密倒计时为准）。因投标人自身原因导致投标文件在规定时间内未能解密、解密失败或解密超时，投标文件无效；因招标人或代理公司原因或网上平台发生故障，导致无法按时完成投标文件解密的，经代理公司申请后可延迟解密时间）。</w:t>
      </w:r>
    </w:p>
    <w:p w14:paraId="313EC776">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lang w:val="en-US" w:eastAsia="zh-CN"/>
        </w:rPr>
        <w:t>5</w:t>
      </w:r>
      <w:r>
        <w:rPr>
          <w:rFonts w:hint="eastAsia" w:ascii="宋体" w:hAnsi="宋体" w:cs="宋体"/>
          <w:color w:val="000000"/>
          <w:highlight w:val="none"/>
        </w:rPr>
        <w:t>.2投标人有下列情形的，经评审后其投标作无效投标处理：</w:t>
      </w:r>
    </w:p>
    <w:p w14:paraId="58EA5EB0">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lang w:val="en-US" w:eastAsia="zh-CN"/>
        </w:rPr>
        <w:t>5</w:t>
      </w:r>
      <w:r>
        <w:rPr>
          <w:rFonts w:hint="eastAsia" w:ascii="宋体" w:hAnsi="宋体" w:cs="宋体"/>
          <w:color w:val="000000"/>
          <w:highlight w:val="none"/>
        </w:rPr>
        <w:t>.2.1商务标评审</w:t>
      </w:r>
    </w:p>
    <w:p w14:paraId="1E9CF2BA">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(1)评标委员会依据《商务标评审表》进行形式性评审和响应性评审。有一项不符合评审标准的，做无效投标处理；</w:t>
      </w:r>
    </w:p>
    <w:p w14:paraId="7B7A9C49">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(2)商务标详细评审标准中有任何一项不能通过评审的，作无效投标处理。</w:t>
      </w:r>
    </w:p>
    <w:p w14:paraId="3C005F12">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lang w:val="en-US" w:eastAsia="zh-CN"/>
        </w:rPr>
        <w:t>5</w:t>
      </w:r>
      <w:r>
        <w:rPr>
          <w:rFonts w:hint="eastAsia" w:ascii="宋体" w:hAnsi="宋体" w:cs="宋体"/>
          <w:color w:val="000000"/>
          <w:highlight w:val="none"/>
        </w:rPr>
        <w:t>.3其他无效投标情况：</w:t>
      </w:r>
    </w:p>
    <w:p w14:paraId="16A0A6AD">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58E5C17A">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（2）调整或修正投标文件的投标报价，调整或修正的价格经投标人书面确认后具有约束力。投标人不接受修正价格的，其投标将被拒绝。</w:t>
      </w:r>
    </w:p>
    <w:p w14:paraId="7BD576F8">
      <w:pPr>
        <w:spacing w:line="440" w:lineRule="exact"/>
        <w:ind w:firstLine="315" w:firstLineChars="150"/>
        <w:jc w:val="left"/>
        <w:rPr>
          <w:rFonts w:hint="eastAsia" w:ascii="宋体" w:hAnsi="宋体" w:eastAsia="宋体" w:cs="宋体"/>
          <w:color w:val="000000"/>
          <w:highlight w:val="none"/>
        </w:rPr>
      </w:pPr>
      <w:r>
        <w:rPr>
          <w:rFonts w:hint="eastAsia" w:ascii="宋体" w:hAnsi="宋体" w:eastAsia="宋体" w:cs="宋体"/>
          <w:color w:val="000000"/>
          <w:highlight w:val="none"/>
        </w:rPr>
        <w:t>（3）第二章“投标人须知”第</w:t>
      </w:r>
      <w:r>
        <w:rPr>
          <w:rFonts w:hint="eastAsia" w:ascii="宋体" w:hAnsi="宋体" w:eastAsia="宋体" w:cs="宋体"/>
          <w:color w:val="000000"/>
          <w:highlight w:val="none"/>
          <w:lang w:val="en-US" w:eastAsia="zh-CN"/>
        </w:rPr>
        <w:t>7</w:t>
      </w:r>
      <w:r>
        <w:rPr>
          <w:rFonts w:hint="eastAsia" w:ascii="宋体" w:hAnsi="宋体" w:eastAsia="宋体" w:cs="宋体"/>
          <w:color w:val="000000"/>
          <w:highlight w:val="none"/>
        </w:rPr>
        <w:t>.3项规定的任何一种情形的。</w:t>
      </w:r>
    </w:p>
    <w:p w14:paraId="524E8475">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lang w:eastAsia="zh-CN"/>
        </w:rPr>
        <w:t>（</w:t>
      </w:r>
      <w:r>
        <w:rPr>
          <w:rFonts w:hint="eastAsia" w:ascii="宋体" w:hAnsi="宋体" w:cs="宋体"/>
          <w:color w:val="000000"/>
          <w:highlight w:val="none"/>
          <w:lang w:val="en-US" w:eastAsia="zh-CN"/>
        </w:rPr>
        <w:t>4）</w:t>
      </w:r>
      <w:r>
        <w:rPr>
          <w:rFonts w:hint="eastAsia" w:ascii="宋体" w:hAnsi="宋体" w:cs="宋体"/>
          <w:color w:val="000000"/>
          <w:highlight w:val="none"/>
        </w:rPr>
        <w:t>投标人有串通投标、视为串通投标、弄虚作假、行贿等违法行为。</w:t>
      </w:r>
    </w:p>
    <w:p w14:paraId="28745C78">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5</w:t>
      </w:r>
      <w:r>
        <w:rPr>
          <w:rFonts w:hint="eastAsia" w:ascii="宋体" w:hAnsi="宋体" w:cs="宋体"/>
          <w:color w:val="000000"/>
          <w:highlight w:val="none"/>
        </w:rPr>
        <w:t>）投标文件没有对招标文件的实质性要求和条件作出响应。</w:t>
      </w:r>
    </w:p>
    <w:p w14:paraId="2E939B55">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6</w:t>
      </w:r>
      <w:r>
        <w:rPr>
          <w:rFonts w:hint="eastAsia" w:ascii="宋体" w:hAnsi="宋体" w:cs="宋体"/>
          <w:color w:val="000000"/>
          <w:highlight w:val="none"/>
        </w:rPr>
        <w:t>）未按规定的格式填写导致实质性内容不全以及实质上不响应，或者关键字迹模糊、无法辨认；经公共资源交易监督部门核准的。</w:t>
      </w:r>
    </w:p>
    <w:p w14:paraId="1F48304C">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7</w:t>
      </w:r>
      <w:r>
        <w:rPr>
          <w:rFonts w:hint="eastAsia" w:ascii="宋体" w:hAnsi="宋体" w:cs="宋体"/>
          <w:color w:val="000000"/>
          <w:highlight w:val="none"/>
        </w:rPr>
        <w:t>）同一投标人提交两个以上不同的投标文件或者投标报价，但招标文件规定提交备选投标的除外。</w:t>
      </w:r>
    </w:p>
    <w:p w14:paraId="7C1CB101">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8</w:t>
      </w:r>
      <w:r>
        <w:rPr>
          <w:rFonts w:hint="eastAsia" w:ascii="宋体" w:hAnsi="宋体" w:cs="宋体"/>
          <w:color w:val="000000"/>
          <w:highlight w:val="none"/>
        </w:rPr>
        <w:t>）投标文件中存在招标人不能接受的其他实质性条件。</w:t>
      </w:r>
    </w:p>
    <w:p w14:paraId="44D65D0A">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9</w:t>
      </w:r>
      <w:r>
        <w:rPr>
          <w:rFonts w:hint="eastAsia" w:ascii="宋体" w:hAnsi="宋体" w:cs="宋体"/>
          <w:color w:val="000000"/>
          <w:highlight w:val="none"/>
        </w:rPr>
        <w:t>）投标文件中填报的拟任项目经理（建造师）与资格审查通过的项目经理（建造师）前后不一致的。</w:t>
      </w:r>
    </w:p>
    <w:p w14:paraId="63F99E8E">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10</w:t>
      </w:r>
      <w:r>
        <w:rPr>
          <w:rFonts w:hint="eastAsia" w:ascii="宋体" w:hAnsi="宋体" w:cs="宋体"/>
          <w:color w:val="000000"/>
          <w:highlight w:val="none"/>
        </w:rPr>
        <w:t>）投标人拒不按照要求对投标文件进行澄清、说明、补正的，或评标委员会根据招标文件的规定对招标文件的计算错误进行修正后，投标人不接受修正的投标报价的。</w:t>
      </w:r>
    </w:p>
    <w:p w14:paraId="64B6D16D">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（1</w:t>
      </w:r>
      <w:r>
        <w:rPr>
          <w:rFonts w:hint="eastAsia" w:ascii="宋体" w:hAnsi="宋体" w:cs="宋体"/>
          <w:color w:val="000000"/>
          <w:highlight w:val="none"/>
          <w:lang w:val="en-US" w:eastAsia="zh-CN"/>
        </w:rPr>
        <w:t>1</w:t>
      </w:r>
      <w:r>
        <w:rPr>
          <w:rFonts w:hint="eastAsia" w:ascii="宋体" w:hAnsi="宋体" w:cs="宋体"/>
          <w:color w:val="000000"/>
          <w:highlight w:val="none"/>
        </w:rPr>
        <w:t>）投标人投标MAC地址一致。</w:t>
      </w:r>
    </w:p>
    <w:p w14:paraId="48216A65">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（1</w:t>
      </w:r>
      <w:r>
        <w:rPr>
          <w:rFonts w:hint="eastAsia" w:ascii="宋体" w:hAnsi="宋体" w:cs="宋体"/>
          <w:color w:val="000000"/>
          <w:highlight w:val="none"/>
          <w:lang w:val="en-US" w:eastAsia="zh-CN"/>
        </w:rPr>
        <w:t>2</w:t>
      </w:r>
      <w:r>
        <w:rPr>
          <w:rFonts w:hint="eastAsia" w:ascii="宋体" w:hAnsi="宋体" w:cs="宋体"/>
          <w:color w:val="000000"/>
          <w:highlight w:val="none"/>
        </w:rPr>
        <w:t>）投标人单方面出现其他投标人材料。</w:t>
      </w:r>
    </w:p>
    <w:p w14:paraId="00640286">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w:t>
      </w:r>
      <w:r>
        <w:rPr>
          <w:rFonts w:hint="eastAsia" w:ascii="宋体" w:hAnsi="宋体" w:cs="宋体"/>
          <w:color w:val="000000"/>
          <w:highlight w:val="none"/>
          <w:lang w:val="en-US" w:eastAsia="zh-CN"/>
        </w:rPr>
        <w:t>13</w:t>
      </w:r>
      <w:r>
        <w:rPr>
          <w:rFonts w:hint="eastAsia" w:ascii="宋体" w:hAnsi="宋体" w:cs="宋体"/>
          <w:color w:val="000000"/>
          <w:highlight w:val="none"/>
        </w:rPr>
        <w:t>）评标时查询投标文件制作机器码、文件创建标识码及造价软件加密锁号。若存在投标文件制作机器码或创建标识码或造价软件加密锁号信息与其他投标人雷同的，投标无效。</w:t>
      </w:r>
    </w:p>
    <w:p w14:paraId="7E7E5E42">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（1</w:t>
      </w:r>
      <w:r>
        <w:rPr>
          <w:rFonts w:hint="eastAsia" w:ascii="宋体" w:hAnsi="宋体" w:cs="宋体"/>
          <w:color w:val="000000"/>
          <w:highlight w:val="none"/>
          <w:lang w:val="en-US" w:eastAsia="zh-CN"/>
        </w:rPr>
        <w:t>4</w:t>
      </w:r>
      <w:r>
        <w:rPr>
          <w:rFonts w:hint="eastAsia" w:ascii="宋体" w:hAnsi="宋体" w:cs="宋体"/>
          <w:color w:val="000000"/>
          <w:highlight w:val="none"/>
        </w:rPr>
        <w:t>）投标人申请开具电子保函MAC地址一致。</w:t>
      </w:r>
    </w:p>
    <w:p w14:paraId="18379DF4">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（1</w:t>
      </w:r>
      <w:r>
        <w:rPr>
          <w:rFonts w:hint="eastAsia" w:ascii="宋体" w:hAnsi="宋体" w:cs="宋体"/>
          <w:color w:val="000000"/>
          <w:highlight w:val="none"/>
          <w:lang w:val="en-US" w:eastAsia="zh-CN"/>
        </w:rPr>
        <w:t>5</w:t>
      </w:r>
      <w:r>
        <w:rPr>
          <w:rFonts w:hint="eastAsia" w:ascii="宋体" w:hAnsi="宋体" w:cs="宋体"/>
          <w:color w:val="000000"/>
          <w:highlight w:val="none"/>
        </w:rPr>
        <w:t>）</w:t>
      </w:r>
      <w:r>
        <w:rPr>
          <w:rFonts w:hint="eastAsia" w:ascii="宋体" w:hAnsi="宋体" w:cs="宋体"/>
          <w:color w:val="000000"/>
          <w:szCs w:val="21"/>
          <w:highlight w:val="none"/>
        </w:rPr>
        <w:t>投标人联系人或联系电话相同的。</w:t>
      </w:r>
    </w:p>
    <w:p w14:paraId="1E7172FC">
      <w:pPr>
        <w:spacing w:line="440" w:lineRule="exact"/>
        <w:ind w:firstLine="315" w:firstLineChars="150"/>
        <w:jc w:val="left"/>
        <w:rPr>
          <w:rFonts w:hint="eastAsia" w:ascii="宋体" w:hAnsi="宋体" w:cs="宋体"/>
          <w:color w:val="000000"/>
          <w:highlight w:val="none"/>
        </w:rPr>
      </w:pPr>
      <w:r>
        <w:rPr>
          <w:rFonts w:hint="eastAsia" w:ascii="宋体" w:hAnsi="宋体" w:cs="宋体"/>
          <w:color w:val="000000"/>
          <w:highlight w:val="none"/>
        </w:rPr>
        <w:t>（1</w:t>
      </w:r>
      <w:r>
        <w:rPr>
          <w:rFonts w:hint="eastAsia" w:ascii="宋体" w:hAnsi="宋体" w:cs="宋体"/>
          <w:color w:val="000000"/>
          <w:highlight w:val="none"/>
          <w:lang w:val="en-US" w:eastAsia="zh-CN"/>
        </w:rPr>
        <w:t>6</w:t>
      </w:r>
      <w:r>
        <w:rPr>
          <w:rFonts w:hint="eastAsia" w:ascii="宋体" w:hAnsi="宋体" w:cs="宋体"/>
          <w:color w:val="000000"/>
          <w:highlight w:val="none"/>
        </w:rPr>
        <w:t>）法律、法规规定的其他情形。</w:t>
      </w:r>
    </w:p>
    <w:p w14:paraId="5407E816">
      <w:pPr>
        <w:spacing w:line="440" w:lineRule="exact"/>
        <w:ind w:firstLine="422" w:firstLineChars="200"/>
        <w:jc w:val="left"/>
        <w:rPr>
          <w:rFonts w:hint="eastAsia" w:ascii="宋体"/>
          <w:b/>
          <w:color w:val="000000"/>
          <w:szCs w:val="21"/>
          <w:highlight w:val="none"/>
        </w:rPr>
      </w:pPr>
      <w:r>
        <w:rPr>
          <w:rFonts w:hint="eastAsia" w:ascii="宋体"/>
          <w:b/>
          <w:color w:val="000000"/>
          <w:szCs w:val="21"/>
          <w:highlight w:val="none"/>
          <w:lang w:val="en-US" w:eastAsia="zh-CN"/>
        </w:rPr>
        <w:t>6</w:t>
      </w:r>
      <w:r>
        <w:rPr>
          <w:rFonts w:hint="eastAsia" w:ascii="宋体"/>
          <w:b/>
          <w:color w:val="000000"/>
          <w:szCs w:val="21"/>
          <w:highlight w:val="none"/>
        </w:rPr>
        <w:t>.投标文件的澄清和补正</w:t>
      </w:r>
      <w:bookmarkEnd w:id="104"/>
    </w:p>
    <w:p w14:paraId="710342CE">
      <w:pPr>
        <w:snapToGrid w:val="0"/>
        <w:spacing w:line="400" w:lineRule="exact"/>
        <w:ind w:firstLine="420"/>
        <w:rPr>
          <w:rFonts w:hint="eastAsia" w:ascii="宋体" w:hAnsi="宋体" w:cs="宋体"/>
          <w:color w:val="000000"/>
          <w:szCs w:val="21"/>
          <w:highlight w:val="none"/>
        </w:rPr>
      </w:pPr>
      <w:bookmarkStart w:id="105" w:name="_Toc95223410"/>
      <w:bookmarkStart w:id="106" w:name="_Toc95223441"/>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1在评标过程中，评标委员会可以书面形式要求投标人对所提交的投标文件中含义不明确、对同类问题表述不一致或者有明显文字和计算错误”，其他评标办法请一并修改的内容进行书面澄清或说明，或者对细微偏差进行补正。评标委员会不接受投标人主动提出的澄清、说明或补正。</w:t>
      </w:r>
    </w:p>
    <w:p w14:paraId="493D8675">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.2澄清、说明和补正不得改变投标文件的实质性内容（算术性错误修正的除外）。投标人的书面澄清、说明和补正属于投标文件的组成部分。</w:t>
      </w:r>
    </w:p>
    <w:p w14:paraId="3B2619B3">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.3评标委员会对投标人提交的澄清、说明和补正有疑问的，可以要求投标人进一步澄清、说明或补正、直至满足评标委员会的要求。</w:t>
      </w:r>
    </w:p>
    <w:p w14:paraId="07646E12">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按照投标文件规定进行澄清、补正后的投标报价经投标人的法定代表人或其委托代理人确认后即为该投标人的最终投标报价。投标人一旦中标，此报价即为中标价。</w:t>
      </w:r>
    </w:p>
    <w:p w14:paraId="410275F3">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.4评委会修正错误的原则：</w:t>
      </w:r>
    </w:p>
    <w:p w14:paraId="6898B016">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4.1如果数字表示的金额和用文字表示的金额不一致时，以文字表示的金额为准；当投标数量与招标数量不一致时，以招标数量为准；当分项报价清单、投标函的投标报价与开标一览表不一致时，以开标一览表为准。</w:t>
      </w:r>
    </w:p>
    <w:p w14:paraId="6558F44A">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.4.2如果单价与数量的乘积和总价不一致，以单价为准，修正总价及开标一览表；当单价小数点有明显的错位时，评委会将以总价为准，并修正其单价。</w:t>
      </w:r>
    </w:p>
    <w:p w14:paraId="51D8453F">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5评委会将按上述修正错误的方法调整投标文件中的投标报价，调整后的价格应对投标人具有约束力。无论投标人是接受或是拒绝调整后的价格，都应当由投标人在系统中确认。投标人拒绝对投标文件出现的错漏按上述原则进行修正、澄清、说明，评标委员会应当否决其投标。</w:t>
      </w:r>
    </w:p>
    <w:bookmarkEnd w:id="105"/>
    <w:p w14:paraId="5B843B72">
      <w:pPr>
        <w:snapToGrid w:val="0"/>
        <w:spacing w:line="400" w:lineRule="exact"/>
        <w:ind w:firstLine="420"/>
        <w:rPr>
          <w:rFonts w:hint="eastAsia" w:ascii="宋体" w:hAnsi="宋体" w:cs="宋体"/>
          <w:color w:val="000000"/>
          <w:szCs w:val="21"/>
          <w:highlight w:val="none"/>
        </w:rPr>
      </w:pPr>
      <w:r>
        <w:rPr>
          <w:rFonts w:hint="eastAsia" w:ascii="宋体"/>
          <w:b/>
          <w:color w:val="000000"/>
          <w:szCs w:val="21"/>
          <w:highlight w:val="none"/>
          <w:lang w:val="en-US" w:eastAsia="zh-CN"/>
        </w:rPr>
        <w:t>7</w:t>
      </w:r>
      <w:r>
        <w:rPr>
          <w:rFonts w:hint="eastAsia" w:ascii="宋体"/>
          <w:b/>
          <w:color w:val="000000"/>
          <w:szCs w:val="21"/>
          <w:highlight w:val="none"/>
        </w:rPr>
        <w:t>.评审结果</w:t>
      </w:r>
      <w:bookmarkEnd w:id="106"/>
    </w:p>
    <w:p w14:paraId="4D738976">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.1除第二章“投标人须知”及其前附表授权直接确定中标人外，评标委员会按照总得分由高到低顺序推荐中标候选人。</w:t>
      </w:r>
    </w:p>
    <w:p w14:paraId="50D3588A">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.2评标委员会完成评标后，应当向招标人提交书面评标报告。评标报告应当如实记载以下内容：</w:t>
      </w:r>
    </w:p>
    <w:p w14:paraId="78560E4B">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（1）基本情况和数据表。</w:t>
      </w:r>
    </w:p>
    <w:p w14:paraId="5E2593BB">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（2）评标委员会成员名单。</w:t>
      </w:r>
    </w:p>
    <w:p w14:paraId="6EB1AEDD">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（3）开标记录。</w:t>
      </w:r>
    </w:p>
    <w:p w14:paraId="57460305">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（4）符合要求的投标人一览表。</w:t>
      </w:r>
    </w:p>
    <w:p w14:paraId="4CFC17AB">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（5）否决投标情况说明。</w:t>
      </w:r>
    </w:p>
    <w:p w14:paraId="5F1E0324">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（6）评标标准、评标方法或者评标因素。</w:t>
      </w:r>
    </w:p>
    <w:p w14:paraId="3DF74B79">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（7）评标情况一览表。</w:t>
      </w:r>
    </w:p>
    <w:p w14:paraId="3B05A55E">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（8）经评审的投标人排序。</w:t>
      </w:r>
    </w:p>
    <w:p w14:paraId="7E087162">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（9）推荐的中标候选人名单与签订合同前要处理的事宜。</w:t>
      </w:r>
    </w:p>
    <w:p w14:paraId="1F0A3EA2">
      <w:pPr>
        <w:snapToGrid w:val="0"/>
        <w:spacing w:line="400" w:lineRule="exact"/>
        <w:ind w:firstLine="420"/>
        <w:rPr>
          <w:rFonts w:hint="eastAsia" w:ascii="宋体" w:hAnsi="宋体" w:cs="宋体"/>
          <w:color w:val="000000"/>
          <w:szCs w:val="21"/>
          <w:highlight w:val="none"/>
        </w:rPr>
      </w:pPr>
      <w:r>
        <w:rPr>
          <w:rFonts w:hint="eastAsia" w:ascii="宋体" w:hAnsi="宋体" w:cs="宋体"/>
          <w:color w:val="000000"/>
          <w:szCs w:val="21"/>
          <w:highlight w:val="none"/>
        </w:rPr>
        <w:t>（10）澄清、说明、补正事项纪要。</w:t>
      </w:r>
    </w:p>
    <w:p w14:paraId="35CFA4F9">
      <w:pPr>
        <w:snapToGrid w:val="0"/>
        <w:spacing w:line="400" w:lineRule="exact"/>
        <w:ind w:firstLine="420"/>
        <w:rPr>
          <w:rFonts w:hint="eastAsia" w:ascii="宋体" w:hAnsi="宋体" w:eastAsia="宋体" w:cs="宋体"/>
          <w:color w:val="000000"/>
          <w:szCs w:val="21"/>
          <w:highlight w:val="none"/>
        </w:rPr>
      </w:pPr>
      <w:bookmarkStart w:id="107" w:name="_Toc95223442"/>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3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0A076059">
      <w:pPr>
        <w:snapToGrid w:val="0"/>
        <w:spacing w:line="400" w:lineRule="exact"/>
        <w:ind w:firstLine="42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37DA492B">
      <w:pPr>
        <w:spacing w:line="440" w:lineRule="exact"/>
        <w:ind w:firstLine="422" w:firstLineChars="200"/>
        <w:jc w:val="left"/>
        <w:rPr>
          <w:rFonts w:hint="eastAsia" w:ascii="宋体"/>
          <w:b/>
          <w:color w:val="000000"/>
          <w:szCs w:val="21"/>
          <w:highlight w:val="none"/>
        </w:rPr>
      </w:pPr>
      <w:r>
        <w:rPr>
          <w:rFonts w:hint="eastAsia" w:ascii="宋体"/>
          <w:b/>
          <w:color w:val="000000"/>
          <w:szCs w:val="21"/>
          <w:highlight w:val="none"/>
          <w:lang w:val="en-US" w:eastAsia="zh-CN"/>
        </w:rPr>
        <w:t>8</w:t>
      </w:r>
      <w:r>
        <w:rPr>
          <w:rFonts w:hint="eastAsia" w:ascii="宋体"/>
          <w:b/>
          <w:color w:val="000000"/>
          <w:szCs w:val="21"/>
          <w:highlight w:val="none"/>
        </w:rPr>
        <w:t>.其他</w:t>
      </w:r>
      <w:bookmarkEnd w:id="107"/>
    </w:p>
    <w:p w14:paraId="00560E70">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jc w:val="both"/>
        <w:textAlignment w:val="auto"/>
        <w:rPr>
          <w:rFonts w:hint="eastAsia" w:ascii="宋体"/>
          <w:b/>
          <w:sz w:val="32"/>
          <w:szCs w:val="32"/>
          <w:highlight w:val="none"/>
        </w:rPr>
      </w:pPr>
      <w:r>
        <w:rPr>
          <w:rFonts w:hint="eastAsia" w:ascii="宋体" w:hAnsi="宋体" w:eastAsia="宋体" w:cs="宋体"/>
          <w:color w:val="000000"/>
          <w:szCs w:val="21"/>
          <w:highlight w:val="none"/>
          <w:lang w:val="en-US" w:eastAsia="zh-CN"/>
        </w:rPr>
        <w:t>8</w:t>
      </w:r>
      <w:r>
        <w:rPr>
          <w:rFonts w:hint="eastAsia" w:ascii="宋体" w:hAnsi="宋体" w:eastAsia="宋体" w:cs="宋体"/>
          <w:color w:val="000000"/>
          <w:szCs w:val="21"/>
          <w:highlight w:val="none"/>
        </w:rPr>
        <w:t>.1投标人提供的与投标文件有关的各类证书、证明、文件、资料等的真实性、合法性由投标人负全责。</w:t>
      </w:r>
      <w:r>
        <w:rPr>
          <w:rFonts w:hint="eastAsia" w:ascii="宋体"/>
          <w:b/>
          <w:sz w:val="32"/>
          <w:szCs w:val="32"/>
          <w:highlight w:val="none"/>
        </w:rPr>
        <w:t xml:space="preserve"> </w:t>
      </w:r>
    </w:p>
    <w:p w14:paraId="6F85BF97">
      <w:pPr>
        <w:keepNext w:val="0"/>
        <w:keepLines w:val="0"/>
        <w:pageBreakBefore w:val="0"/>
        <w:widowControl w:val="0"/>
        <w:numPr>
          <w:ilvl w:val="0"/>
          <w:numId w:val="10"/>
        </w:numPr>
        <w:kinsoku/>
        <w:wordWrap/>
        <w:overflowPunct/>
        <w:topLinePunct w:val="0"/>
        <w:autoSpaceDE/>
        <w:autoSpaceDN/>
        <w:bidi w:val="0"/>
        <w:adjustRightInd/>
        <w:snapToGrid w:val="0"/>
        <w:spacing w:line="480" w:lineRule="exact"/>
        <w:jc w:val="center"/>
        <w:textAlignment w:val="auto"/>
        <w:rPr>
          <w:rFonts w:hint="eastAsia" w:ascii="宋体"/>
          <w:b/>
          <w:sz w:val="32"/>
          <w:szCs w:val="32"/>
          <w:highlight w:val="none"/>
          <w:lang w:eastAsia="zh-CN"/>
        </w:rPr>
        <w:sectPr>
          <w:footerReference r:id="rId12" w:type="default"/>
          <w:pgSz w:w="11906" w:h="16838"/>
          <w:pgMar w:top="850" w:right="707" w:bottom="850" w:left="794" w:header="777" w:footer="1134" w:gutter="0"/>
          <w:pgBorders>
            <w:top w:val="none" w:sz="0" w:space="0"/>
            <w:left w:val="none" w:sz="0" w:space="0"/>
            <w:bottom w:val="none" w:sz="0" w:space="0"/>
            <w:right w:val="none" w:sz="0" w:space="0"/>
          </w:pgBorders>
          <w:pgNumType w:fmt="decimal" w:start="1"/>
          <w:cols w:space="720" w:num="1"/>
        </w:sectPr>
      </w:pPr>
    </w:p>
    <w:p w14:paraId="243C4D0C">
      <w:pPr>
        <w:keepNext w:val="0"/>
        <w:keepLines w:val="0"/>
        <w:pageBreakBefore w:val="0"/>
        <w:widowControl w:val="0"/>
        <w:numPr>
          <w:ilvl w:val="0"/>
          <w:numId w:val="10"/>
        </w:numPr>
        <w:kinsoku/>
        <w:wordWrap/>
        <w:overflowPunct/>
        <w:topLinePunct w:val="0"/>
        <w:autoSpaceDE/>
        <w:autoSpaceDN/>
        <w:bidi w:val="0"/>
        <w:adjustRightInd/>
        <w:snapToGrid w:val="0"/>
        <w:spacing w:line="480" w:lineRule="exact"/>
        <w:jc w:val="center"/>
        <w:textAlignment w:val="auto"/>
        <w:rPr>
          <w:rFonts w:hint="eastAsia" w:ascii="宋体"/>
          <w:b/>
          <w:sz w:val="32"/>
          <w:szCs w:val="32"/>
          <w:highlight w:val="none"/>
          <w:lang w:eastAsia="zh-CN"/>
        </w:rPr>
      </w:pPr>
      <w:r>
        <w:rPr>
          <w:rFonts w:hint="eastAsia" w:ascii="宋体"/>
          <w:b/>
          <w:sz w:val="32"/>
          <w:szCs w:val="32"/>
          <w:highlight w:val="none"/>
          <w:lang w:eastAsia="zh-CN"/>
        </w:rPr>
        <w:t>用户需求书</w:t>
      </w:r>
    </w:p>
    <w:p w14:paraId="529AD20B">
      <w:pPr>
        <w:keepNext w:val="0"/>
        <w:keepLines w:val="0"/>
        <w:pageBreakBefore w:val="0"/>
        <w:widowControl w:val="0"/>
        <w:numPr>
          <w:ilvl w:val="0"/>
          <w:numId w:val="11"/>
        </w:numPr>
        <w:kinsoku/>
        <w:wordWrap/>
        <w:overflowPunct/>
        <w:topLinePunct w:val="0"/>
        <w:autoSpaceDE/>
        <w:autoSpaceDN/>
        <w:bidi w:val="0"/>
        <w:adjustRightInd/>
        <w:snapToGrid w:val="0"/>
        <w:spacing w:line="480" w:lineRule="exact"/>
        <w:ind w:firstLine="422" w:firstLineChars="200"/>
        <w:jc w:val="both"/>
        <w:textAlignment w:val="auto"/>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lang w:val="en-US" w:eastAsia="zh-CN"/>
        </w:rPr>
        <w:t>项目</w:t>
      </w:r>
      <w:r>
        <w:rPr>
          <w:rFonts w:hint="eastAsia" w:ascii="宋体" w:hAnsi="宋体" w:eastAsia="宋体" w:cs="宋体"/>
          <w:b/>
          <w:bCs/>
          <w:color w:val="000000"/>
          <w:szCs w:val="21"/>
          <w:highlight w:val="none"/>
        </w:rPr>
        <w:t>概况</w:t>
      </w:r>
    </w:p>
    <w:p w14:paraId="723B3041">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本项目为2025年至2028年滁州轨道运营消防器材采购项目，所有产品均须符合相关国家标准。</w:t>
      </w:r>
    </w:p>
    <w:p w14:paraId="0106DB8F">
      <w:pPr>
        <w:keepNext w:val="0"/>
        <w:keepLines w:val="0"/>
        <w:pageBreakBefore w:val="0"/>
        <w:numPr>
          <w:ilvl w:val="0"/>
          <w:numId w:val="12"/>
        </w:numPr>
        <w:kinsoku/>
        <w:wordWrap/>
        <w:overflowPunct/>
        <w:topLinePunct w:val="0"/>
        <w:autoSpaceDE/>
        <w:autoSpaceDN/>
        <w:bidi w:val="0"/>
        <w:adjustRightInd/>
        <w:snapToGrid w:val="0"/>
        <w:spacing w:line="400" w:lineRule="exact"/>
        <w:ind w:left="-2" w:leftChars="0" w:firstLine="422" w:firstLineChars="0"/>
        <w:textAlignment w:val="auto"/>
        <w:rPr>
          <w:rFonts w:hint="eastAsia" w:ascii="宋体" w:hAnsi="宋体" w:eastAsia="宋体" w:cs="宋体"/>
          <w:b/>
          <w:bCs/>
          <w:color w:val="000000"/>
          <w:szCs w:val="21"/>
          <w:highlight w:val="none"/>
          <w:lang w:val="en-US" w:eastAsia="zh-CN"/>
        </w:rPr>
      </w:pPr>
      <w:r>
        <w:rPr>
          <w:rFonts w:hint="eastAsia" w:ascii="宋体" w:hAnsi="宋体" w:eastAsia="宋体" w:cs="宋体"/>
          <w:b/>
          <w:bCs/>
          <w:color w:val="000000"/>
          <w:szCs w:val="21"/>
          <w:highlight w:val="none"/>
          <w:lang w:val="en-US" w:eastAsia="zh-CN"/>
        </w:rPr>
        <w:t>采购清单</w:t>
      </w:r>
    </w:p>
    <w:bookmarkEnd w:id="79"/>
    <w:tbl>
      <w:tblPr>
        <w:tblStyle w:val="36"/>
        <w:tblW w:w="1535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43"/>
        <w:gridCol w:w="1239"/>
        <w:gridCol w:w="3030"/>
        <w:gridCol w:w="7231"/>
        <w:gridCol w:w="885"/>
        <w:gridCol w:w="984"/>
        <w:gridCol w:w="1239"/>
      </w:tblGrid>
      <w:tr w14:paraId="548B4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5" w:hRule="atLeast"/>
        </w:trPr>
        <w:tc>
          <w:tcPr>
            <w:tcW w:w="743" w:type="dxa"/>
            <w:shd w:val="clear" w:color="auto" w:fill="auto"/>
            <w:vAlign w:val="center"/>
          </w:tcPr>
          <w:p w14:paraId="344D202E">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序号</w:t>
            </w:r>
          </w:p>
        </w:tc>
        <w:tc>
          <w:tcPr>
            <w:tcW w:w="1239" w:type="dxa"/>
            <w:shd w:val="clear" w:color="auto" w:fill="auto"/>
            <w:vAlign w:val="center"/>
          </w:tcPr>
          <w:p w14:paraId="2F18D836">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物资编码</w:t>
            </w:r>
          </w:p>
        </w:tc>
        <w:tc>
          <w:tcPr>
            <w:tcW w:w="3030" w:type="dxa"/>
            <w:shd w:val="clear" w:color="auto" w:fill="auto"/>
            <w:vAlign w:val="center"/>
          </w:tcPr>
          <w:p w14:paraId="46D8F3B5">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物资名称</w:t>
            </w:r>
          </w:p>
        </w:tc>
        <w:tc>
          <w:tcPr>
            <w:tcW w:w="7231" w:type="dxa"/>
            <w:shd w:val="clear" w:color="auto" w:fill="auto"/>
            <w:vAlign w:val="center"/>
          </w:tcPr>
          <w:p w14:paraId="630793A1">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规格型号</w:t>
            </w:r>
          </w:p>
        </w:tc>
        <w:tc>
          <w:tcPr>
            <w:tcW w:w="885" w:type="dxa"/>
            <w:shd w:val="clear" w:color="auto" w:fill="auto"/>
            <w:vAlign w:val="center"/>
          </w:tcPr>
          <w:p w14:paraId="20F89418">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单位</w:t>
            </w:r>
          </w:p>
        </w:tc>
        <w:tc>
          <w:tcPr>
            <w:tcW w:w="984" w:type="dxa"/>
            <w:shd w:val="clear" w:color="auto" w:fill="auto"/>
            <w:vAlign w:val="center"/>
          </w:tcPr>
          <w:p w14:paraId="512AFD3A">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数量</w:t>
            </w:r>
          </w:p>
        </w:tc>
        <w:tc>
          <w:tcPr>
            <w:tcW w:w="1239" w:type="dxa"/>
            <w:shd w:val="clear" w:color="auto" w:fill="auto"/>
            <w:vAlign w:val="center"/>
          </w:tcPr>
          <w:p w14:paraId="0BC9A2CB">
            <w:pPr>
              <w:keepNext w:val="0"/>
              <w:keepLines w:val="0"/>
              <w:widowControl/>
              <w:suppressLineNumbers w:val="0"/>
              <w:jc w:val="center"/>
              <w:textAlignment w:val="center"/>
              <w:rPr>
                <w:rFonts w:hint="eastAsia" w:ascii="宋体" w:hAnsi="宋体" w:eastAsia="宋体" w:cs="宋体"/>
                <w:b/>
                <w:bCs/>
                <w:i w:val="0"/>
                <w:iCs w:val="0"/>
                <w:color w:val="000000"/>
                <w:kern w:val="2"/>
                <w:sz w:val="21"/>
                <w:szCs w:val="21"/>
                <w:highlight w:val="none"/>
                <w:u w:val="none"/>
                <w:lang w:val="en-US" w:eastAsia="zh-CN" w:bidi="ar-SA"/>
              </w:rPr>
            </w:pPr>
            <w:r>
              <w:rPr>
                <w:rFonts w:hint="eastAsia" w:ascii="宋体" w:hAnsi="宋体" w:eastAsia="宋体" w:cs="宋体"/>
                <w:b/>
                <w:bCs/>
                <w:i w:val="0"/>
                <w:iCs w:val="0"/>
                <w:color w:val="000000"/>
                <w:kern w:val="0"/>
                <w:sz w:val="21"/>
                <w:szCs w:val="21"/>
                <w:highlight w:val="none"/>
                <w:u w:val="none"/>
                <w:lang w:val="en-US" w:eastAsia="zh-CN" w:bidi="ar"/>
              </w:rPr>
              <w:t>备注</w:t>
            </w:r>
          </w:p>
        </w:tc>
      </w:tr>
      <w:tr w14:paraId="5161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43" w:type="dxa"/>
            <w:shd w:val="clear" w:color="auto" w:fill="auto"/>
            <w:vAlign w:val="center"/>
          </w:tcPr>
          <w:p w14:paraId="59B402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 </w:t>
            </w:r>
          </w:p>
        </w:tc>
        <w:tc>
          <w:tcPr>
            <w:tcW w:w="1239" w:type="dxa"/>
            <w:shd w:val="clear" w:color="auto" w:fill="auto"/>
            <w:vAlign w:val="center"/>
          </w:tcPr>
          <w:p w14:paraId="0C4C771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XF1001</w:t>
            </w:r>
          </w:p>
        </w:tc>
        <w:tc>
          <w:tcPr>
            <w:tcW w:w="3030" w:type="dxa"/>
            <w:shd w:val="clear" w:color="auto" w:fill="auto"/>
            <w:vAlign w:val="center"/>
          </w:tcPr>
          <w:p w14:paraId="35CA4C8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1KG手提式干粉灭火器</w:t>
            </w:r>
          </w:p>
        </w:tc>
        <w:tc>
          <w:tcPr>
            <w:tcW w:w="7231" w:type="dxa"/>
            <w:shd w:val="clear" w:color="auto" w:fill="auto"/>
            <w:vAlign w:val="center"/>
          </w:tcPr>
          <w:p w14:paraId="565A5C4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MF/ABCE1，符合《手提式灭火器》GB4351-2023国家规范要求，具有消防产品3C认证。</w:t>
            </w:r>
          </w:p>
        </w:tc>
        <w:tc>
          <w:tcPr>
            <w:tcW w:w="885" w:type="dxa"/>
            <w:shd w:val="clear" w:color="auto" w:fill="auto"/>
            <w:vAlign w:val="center"/>
          </w:tcPr>
          <w:p w14:paraId="2368DD2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4B69682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10 </w:t>
            </w:r>
          </w:p>
        </w:tc>
        <w:tc>
          <w:tcPr>
            <w:tcW w:w="1239" w:type="dxa"/>
            <w:shd w:val="clear" w:color="auto" w:fill="auto"/>
            <w:vAlign w:val="top"/>
          </w:tcPr>
          <w:p w14:paraId="2FD9E8E6">
            <w:pPr>
              <w:jc w:val="left"/>
              <w:rPr>
                <w:rFonts w:hint="eastAsia" w:ascii="宋体" w:hAnsi="宋体" w:eastAsia="宋体" w:cs="宋体"/>
                <w:i w:val="0"/>
                <w:iCs w:val="0"/>
                <w:color w:val="000000"/>
                <w:sz w:val="21"/>
                <w:szCs w:val="21"/>
                <w:highlight w:val="none"/>
                <w:u w:val="none"/>
              </w:rPr>
            </w:pPr>
          </w:p>
        </w:tc>
      </w:tr>
      <w:tr w14:paraId="78AB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561F7A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 </w:t>
            </w:r>
          </w:p>
        </w:tc>
        <w:tc>
          <w:tcPr>
            <w:tcW w:w="1239" w:type="dxa"/>
            <w:shd w:val="clear" w:color="auto" w:fill="auto"/>
            <w:vAlign w:val="center"/>
          </w:tcPr>
          <w:p w14:paraId="7494517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XF1002</w:t>
            </w:r>
          </w:p>
        </w:tc>
        <w:tc>
          <w:tcPr>
            <w:tcW w:w="3030" w:type="dxa"/>
            <w:shd w:val="clear" w:color="auto" w:fill="auto"/>
            <w:vAlign w:val="center"/>
          </w:tcPr>
          <w:p w14:paraId="32CD6E5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2KG手提式干粉灭火器</w:t>
            </w:r>
          </w:p>
        </w:tc>
        <w:tc>
          <w:tcPr>
            <w:tcW w:w="7231" w:type="dxa"/>
            <w:shd w:val="clear" w:color="auto" w:fill="auto"/>
            <w:vAlign w:val="center"/>
          </w:tcPr>
          <w:p w14:paraId="7CBB6F1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MF/ABCE2，符合《手提式灭火器》GB4351-2023国家规范要求，具有消防产品3C认证。</w:t>
            </w:r>
          </w:p>
        </w:tc>
        <w:tc>
          <w:tcPr>
            <w:tcW w:w="885" w:type="dxa"/>
            <w:shd w:val="clear" w:color="auto" w:fill="auto"/>
            <w:vAlign w:val="center"/>
          </w:tcPr>
          <w:p w14:paraId="4C62DD5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1FEFE0BE">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10 </w:t>
            </w:r>
          </w:p>
        </w:tc>
        <w:tc>
          <w:tcPr>
            <w:tcW w:w="1239" w:type="dxa"/>
            <w:shd w:val="clear" w:color="auto" w:fill="auto"/>
            <w:vAlign w:val="top"/>
          </w:tcPr>
          <w:p w14:paraId="4D9830C1">
            <w:pPr>
              <w:jc w:val="left"/>
              <w:rPr>
                <w:rFonts w:hint="eastAsia" w:ascii="宋体" w:hAnsi="宋体" w:eastAsia="宋体" w:cs="宋体"/>
                <w:i w:val="0"/>
                <w:iCs w:val="0"/>
                <w:color w:val="000000"/>
                <w:sz w:val="21"/>
                <w:szCs w:val="21"/>
                <w:highlight w:val="none"/>
                <w:u w:val="none"/>
              </w:rPr>
            </w:pPr>
          </w:p>
        </w:tc>
      </w:tr>
      <w:tr w14:paraId="647A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1C36AA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3 </w:t>
            </w:r>
          </w:p>
        </w:tc>
        <w:tc>
          <w:tcPr>
            <w:tcW w:w="1239" w:type="dxa"/>
            <w:shd w:val="clear" w:color="auto" w:fill="auto"/>
            <w:vAlign w:val="center"/>
          </w:tcPr>
          <w:p w14:paraId="03F9561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XF1003</w:t>
            </w:r>
          </w:p>
        </w:tc>
        <w:tc>
          <w:tcPr>
            <w:tcW w:w="3030" w:type="dxa"/>
            <w:shd w:val="clear" w:color="auto" w:fill="auto"/>
            <w:vAlign w:val="center"/>
          </w:tcPr>
          <w:p w14:paraId="675639B1">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3KG手提式干粉灭火器</w:t>
            </w:r>
          </w:p>
        </w:tc>
        <w:tc>
          <w:tcPr>
            <w:tcW w:w="7231" w:type="dxa"/>
            <w:shd w:val="clear" w:color="auto" w:fill="auto"/>
            <w:vAlign w:val="center"/>
          </w:tcPr>
          <w:p w14:paraId="366D94E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MF/ABCE3，符合《手提式灭火器》GB4351-2023国家规范要求，具有消防产品3C认证。</w:t>
            </w:r>
          </w:p>
        </w:tc>
        <w:tc>
          <w:tcPr>
            <w:tcW w:w="885" w:type="dxa"/>
            <w:shd w:val="clear" w:color="auto" w:fill="auto"/>
            <w:vAlign w:val="center"/>
          </w:tcPr>
          <w:p w14:paraId="3D6CF74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0C77B7B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10 </w:t>
            </w:r>
          </w:p>
        </w:tc>
        <w:tc>
          <w:tcPr>
            <w:tcW w:w="1239" w:type="dxa"/>
            <w:shd w:val="clear" w:color="auto" w:fill="auto"/>
            <w:vAlign w:val="top"/>
          </w:tcPr>
          <w:p w14:paraId="4E6BFC9C">
            <w:pPr>
              <w:jc w:val="left"/>
              <w:rPr>
                <w:rFonts w:hint="eastAsia" w:ascii="宋体" w:hAnsi="宋体" w:eastAsia="宋体" w:cs="宋体"/>
                <w:i w:val="0"/>
                <w:iCs w:val="0"/>
                <w:color w:val="000000"/>
                <w:sz w:val="21"/>
                <w:szCs w:val="21"/>
                <w:highlight w:val="none"/>
                <w:u w:val="none"/>
              </w:rPr>
            </w:pPr>
          </w:p>
        </w:tc>
      </w:tr>
      <w:tr w14:paraId="64A13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6F9E13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4 </w:t>
            </w:r>
          </w:p>
        </w:tc>
        <w:tc>
          <w:tcPr>
            <w:tcW w:w="1239" w:type="dxa"/>
            <w:shd w:val="clear" w:color="auto" w:fill="auto"/>
            <w:vAlign w:val="center"/>
          </w:tcPr>
          <w:p w14:paraId="4C711E6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XF1004</w:t>
            </w:r>
          </w:p>
        </w:tc>
        <w:tc>
          <w:tcPr>
            <w:tcW w:w="3030" w:type="dxa"/>
            <w:shd w:val="clear" w:color="auto" w:fill="auto"/>
            <w:vAlign w:val="center"/>
          </w:tcPr>
          <w:p w14:paraId="6E32882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4KG手提式干粉灭火器</w:t>
            </w:r>
          </w:p>
        </w:tc>
        <w:tc>
          <w:tcPr>
            <w:tcW w:w="7231" w:type="dxa"/>
            <w:shd w:val="clear" w:color="auto" w:fill="auto"/>
            <w:vAlign w:val="center"/>
          </w:tcPr>
          <w:p w14:paraId="300DC68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MF/ABCE4，符合《手提式灭火器》GB4351-2023国家规范要求，具有消防产品3C认证。</w:t>
            </w:r>
          </w:p>
        </w:tc>
        <w:tc>
          <w:tcPr>
            <w:tcW w:w="885" w:type="dxa"/>
            <w:shd w:val="clear" w:color="auto" w:fill="auto"/>
            <w:vAlign w:val="center"/>
          </w:tcPr>
          <w:p w14:paraId="32F594E1">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1194794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500 </w:t>
            </w:r>
          </w:p>
        </w:tc>
        <w:tc>
          <w:tcPr>
            <w:tcW w:w="1239" w:type="dxa"/>
            <w:shd w:val="clear" w:color="auto" w:fill="auto"/>
            <w:vAlign w:val="top"/>
          </w:tcPr>
          <w:p w14:paraId="610CF273">
            <w:pPr>
              <w:jc w:val="left"/>
              <w:rPr>
                <w:rFonts w:hint="eastAsia" w:ascii="宋体" w:hAnsi="宋体" w:eastAsia="宋体" w:cs="宋体"/>
                <w:i w:val="0"/>
                <w:iCs w:val="0"/>
                <w:color w:val="000000"/>
                <w:sz w:val="21"/>
                <w:szCs w:val="21"/>
                <w:highlight w:val="none"/>
                <w:u w:val="none"/>
              </w:rPr>
            </w:pPr>
          </w:p>
        </w:tc>
      </w:tr>
      <w:tr w14:paraId="78AD0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5" w:hRule="atLeast"/>
        </w:trPr>
        <w:tc>
          <w:tcPr>
            <w:tcW w:w="743" w:type="dxa"/>
            <w:shd w:val="clear" w:color="auto" w:fill="auto"/>
            <w:vAlign w:val="center"/>
          </w:tcPr>
          <w:p w14:paraId="5EA965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5 </w:t>
            </w:r>
          </w:p>
        </w:tc>
        <w:tc>
          <w:tcPr>
            <w:tcW w:w="1239" w:type="dxa"/>
            <w:shd w:val="clear" w:color="auto" w:fill="auto"/>
            <w:vAlign w:val="center"/>
          </w:tcPr>
          <w:p w14:paraId="5C435975">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XF1005</w:t>
            </w:r>
          </w:p>
        </w:tc>
        <w:tc>
          <w:tcPr>
            <w:tcW w:w="3030" w:type="dxa"/>
            <w:shd w:val="clear" w:color="auto" w:fill="auto"/>
            <w:vAlign w:val="center"/>
          </w:tcPr>
          <w:p w14:paraId="320BA00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5KG手提式干粉灭火器</w:t>
            </w:r>
          </w:p>
        </w:tc>
        <w:tc>
          <w:tcPr>
            <w:tcW w:w="7231" w:type="dxa"/>
            <w:shd w:val="clear" w:color="auto" w:fill="auto"/>
            <w:vAlign w:val="center"/>
          </w:tcPr>
          <w:p w14:paraId="13AC847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MFZ/ABC5(筒体：碳钢；干粉灭火剂：ABC-NH4H2PO4（75%）、(NH4)2SO4（15%)筒体直径142mm，高度（不含把手）小于440mm），符合GB4351-2023标准要求，具有消防产品3C认证。</w:t>
            </w:r>
          </w:p>
        </w:tc>
        <w:tc>
          <w:tcPr>
            <w:tcW w:w="885" w:type="dxa"/>
            <w:shd w:val="clear" w:color="auto" w:fill="auto"/>
            <w:vAlign w:val="center"/>
          </w:tcPr>
          <w:p w14:paraId="6494B3A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626807A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800 </w:t>
            </w:r>
          </w:p>
        </w:tc>
        <w:tc>
          <w:tcPr>
            <w:tcW w:w="1239" w:type="dxa"/>
            <w:shd w:val="clear" w:color="auto" w:fill="auto"/>
            <w:vAlign w:val="top"/>
          </w:tcPr>
          <w:p w14:paraId="257281FA">
            <w:pPr>
              <w:jc w:val="left"/>
              <w:rPr>
                <w:rFonts w:hint="eastAsia" w:ascii="宋体" w:hAnsi="宋体" w:eastAsia="宋体" w:cs="宋体"/>
                <w:i w:val="0"/>
                <w:iCs w:val="0"/>
                <w:color w:val="000000"/>
                <w:sz w:val="21"/>
                <w:szCs w:val="21"/>
                <w:highlight w:val="none"/>
                <w:u w:val="none"/>
              </w:rPr>
            </w:pPr>
          </w:p>
        </w:tc>
      </w:tr>
      <w:tr w14:paraId="14B73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1DEB12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6 </w:t>
            </w:r>
          </w:p>
        </w:tc>
        <w:tc>
          <w:tcPr>
            <w:tcW w:w="1239" w:type="dxa"/>
            <w:shd w:val="clear" w:color="auto" w:fill="auto"/>
            <w:vAlign w:val="center"/>
          </w:tcPr>
          <w:p w14:paraId="3A566A7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XF1008</w:t>
            </w:r>
          </w:p>
        </w:tc>
        <w:tc>
          <w:tcPr>
            <w:tcW w:w="3030" w:type="dxa"/>
            <w:shd w:val="clear" w:color="auto" w:fill="auto"/>
            <w:vAlign w:val="center"/>
          </w:tcPr>
          <w:p w14:paraId="67235EA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20KG推车式干粉灭火器</w:t>
            </w:r>
          </w:p>
        </w:tc>
        <w:tc>
          <w:tcPr>
            <w:tcW w:w="7231" w:type="dxa"/>
            <w:shd w:val="clear" w:color="auto" w:fill="auto"/>
            <w:vAlign w:val="center"/>
          </w:tcPr>
          <w:p w14:paraId="381A473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MFT/ABCE20，符合《推车式灭火器》GB8109-2023国家规范要求，具有消防产品3C认证。</w:t>
            </w:r>
          </w:p>
        </w:tc>
        <w:tc>
          <w:tcPr>
            <w:tcW w:w="885" w:type="dxa"/>
            <w:shd w:val="clear" w:color="auto" w:fill="auto"/>
            <w:vAlign w:val="center"/>
          </w:tcPr>
          <w:p w14:paraId="6A433191">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0CD3431E">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25 </w:t>
            </w:r>
          </w:p>
        </w:tc>
        <w:tc>
          <w:tcPr>
            <w:tcW w:w="1239" w:type="dxa"/>
            <w:shd w:val="clear" w:color="auto" w:fill="auto"/>
            <w:vAlign w:val="top"/>
          </w:tcPr>
          <w:p w14:paraId="3C274CA5">
            <w:pPr>
              <w:jc w:val="left"/>
              <w:rPr>
                <w:rFonts w:hint="eastAsia" w:ascii="宋体" w:hAnsi="宋体" w:eastAsia="宋体" w:cs="宋体"/>
                <w:i w:val="0"/>
                <w:iCs w:val="0"/>
                <w:color w:val="000000"/>
                <w:sz w:val="21"/>
                <w:szCs w:val="21"/>
                <w:highlight w:val="none"/>
                <w:u w:val="none"/>
              </w:rPr>
            </w:pPr>
          </w:p>
        </w:tc>
      </w:tr>
      <w:tr w14:paraId="194F3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070C35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7 </w:t>
            </w:r>
          </w:p>
        </w:tc>
        <w:tc>
          <w:tcPr>
            <w:tcW w:w="1239" w:type="dxa"/>
            <w:shd w:val="clear" w:color="auto" w:fill="auto"/>
            <w:vAlign w:val="center"/>
          </w:tcPr>
          <w:p w14:paraId="45807F7E">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XF1009</w:t>
            </w:r>
          </w:p>
        </w:tc>
        <w:tc>
          <w:tcPr>
            <w:tcW w:w="3030" w:type="dxa"/>
            <w:shd w:val="clear" w:color="auto" w:fill="auto"/>
            <w:vAlign w:val="center"/>
          </w:tcPr>
          <w:p w14:paraId="644B3A8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35KG推车式干粉灭火器</w:t>
            </w:r>
          </w:p>
        </w:tc>
        <w:tc>
          <w:tcPr>
            <w:tcW w:w="7231" w:type="dxa"/>
            <w:shd w:val="clear" w:color="auto" w:fill="auto"/>
            <w:vAlign w:val="center"/>
          </w:tcPr>
          <w:p w14:paraId="4F919A8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MFT/ABCE35，符合《推车式灭火器》GB8109-2023国家规范要求，具有消防产品3C认证。</w:t>
            </w:r>
          </w:p>
        </w:tc>
        <w:tc>
          <w:tcPr>
            <w:tcW w:w="885" w:type="dxa"/>
            <w:shd w:val="clear" w:color="auto" w:fill="auto"/>
            <w:vAlign w:val="center"/>
          </w:tcPr>
          <w:p w14:paraId="557C74F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6A8EE59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6 </w:t>
            </w:r>
          </w:p>
        </w:tc>
        <w:tc>
          <w:tcPr>
            <w:tcW w:w="1239" w:type="dxa"/>
            <w:shd w:val="clear" w:color="auto" w:fill="auto"/>
            <w:vAlign w:val="top"/>
          </w:tcPr>
          <w:p w14:paraId="303713E2">
            <w:pPr>
              <w:jc w:val="left"/>
              <w:rPr>
                <w:rFonts w:hint="eastAsia" w:ascii="宋体" w:hAnsi="宋体" w:eastAsia="宋体" w:cs="宋体"/>
                <w:i w:val="0"/>
                <w:iCs w:val="0"/>
                <w:color w:val="000000"/>
                <w:sz w:val="21"/>
                <w:szCs w:val="21"/>
                <w:highlight w:val="none"/>
                <w:u w:val="none"/>
              </w:rPr>
            </w:pPr>
          </w:p>
        </w:tc>
      </w:tr>
      <w:tr w14:paraId="0C6B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61CA7F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8 </w:t>
            </w:r>
          </w:p>
        </w:tc>
        <w:tc>
          <w:tcPr>
            <w:tcW w:w="1239" w:type="dxa"/>
            <w:shd w:val="clear" w:color="auto" w:fill="auto"/>
            <w:vAlign w:val="center"/>
          </w:tcPr>
          <w:p w14:paraId="733241FE">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XF1017</w:t>
            </w:r>
          </w:p>
        </w:tc>
        <w:tc>
          <w:tcPr>
            <w:tcW w:w="3030" w:type="dxa"/>
            <w:shd w:val="clear" w:color="auto" w:fill="auto"/>
            <w:vAlign w:val="center"/>
          </w:tcPr>
          <w:p w14:paraId="2602770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3KG手提式二氧化碳灭火器</w:t>
            </w:r>
          </w:p>
        </w:tc>
        <w:tc>
          <w:tcPr>
            <w:tcW w:w="7231" w:type="dxa"/>
            <w:shd w:val="clear" w:color="auto" w:fill="auto"/>
            <w:vAlign w:val="center"/>
          </w:tcPr>
          <w:p w14:paraId="6162D54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MT/BE3，符合《手提式灭火器》GB4351-2023国家规范要求，具有消防产品3C认证。</w:t>
            </w:r>
          </w:p>
        </w:tc>
        <w:tc>
          <w:tcPr>
            <w:tcW w:w="885" w:type="dxa"/>
            <w:shd w:val="clear" w:color="auto" w:fill="auto"/>
            <w:vAlign w:val="center"/>
          </w:tcPr>
          <w:p w14:paraId="21402BC5">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327B848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105 </w:t>
            </w:r>
          </w:p>
        </w:tc>
        <w:tc>
          <w:tcPr>
            <w:tcW w:w="1239" w:type="dxa"/>
            <w:shd w:val="clear" w:color="auto" w:fill="auto"/>
            <w:vAlign w:val="top"/>
          </w:tcPr>
          <w:p w14:paraId="7F99C5F1">
            <w:pPr>
              <w:jc w:val="left"/>
              <w:rPr>
                <w:rFonts w:hint="eastAsia" w:ascii="宋体" w:hAnsi="宋体" w:eastAsia="宋体" w:cs="宋体"/>
                <w:i w:val="0"/>
                <w:iCs w:val="0"/>
                <w:color w:val="000000"/>
                <w:sz w:val="21"/>
                <w:szCs w:val="21"/>
                <w:highlight w:val="none"/>
                <w:u w:val="none"/>
              </w:rPr>
            </w:pPr>
          </w:p>
        </w:tc>
      </w:tr>
      <w:tr w14:paraId="27588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43" w:type="dxa"/>
            <w:shd w:val="clear" w:color="auto" w:fill="auto"/>
            <w:vAlign w:val="center"/>
          </w:tcPr>
          <w:p w14:paraId="564718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9 </w:t>
            </w:r>
          </w:p>
        </w:tc>
        <w:tc>
          <w:tcPr>
            <w:tcW w:w="1239" w:type="dxa"/>
            <w:shd w:val="clear" w:color="auto" w:fill="auto"/>
            <w:vAlign w:val="center"/>
          </w:tcPr>
          <w:p w14:paraId="77D8458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XF1025</w:t>
            </w:r>
          </w:p>
        </w:tc>
        <w:tc>
          <w:tcPr>
            <w:tcW w:w="3030" w:type="dxa"/>
            <w:shd w:val="clear" w:color="auto" w:fill="auto"/>
            <w:vAlign w:val="center"/>
          </w:tcPr>
          <w:p w14:paraId="2405475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4kg悬挂式干粉灭火装置（带温电双控和反馈信号）</w:t>
            </w:r>
          </w:p>
        </w:tc>
        <w:tc>
          <w:tcPr>
            <w:tcW w:w="7231" w:type="dxa"/>
            <w:shd w:val="clear" w:color="auto" w:fill="auto"/>
            <w:vAlign w:val="center"/>
          </w:tcPr>
          <w:p w14:paraId="1A9384D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FZX-ACT4/1.2，ABC超细干粉灭火剂4kg，灭火级别：1A34B，驱动气体：1.2MPaN2，带温电双控和反馈信号，</w:t>
            </w:r>
            <w:r>
              <w:rPr>
                <w:rFonts w:hint="eastAsia" w:ascii="宋体" w:hAnsi="宋体" w:eastAsia="宋体" w:cs="宋体"/>
                <w:i w:val="0"/>
                <w:iCs w:val="0"/>
                <w:color w:val="000000"/>
                <w:kern w:val="0"/>
                <w:sz w:val="21"/>
                <w:szCs w:val="21"/>
                <w:highlight w:val="none"/>
                <w:u w:val="none"/>
                <w:lang w:val="en-US" w:eastAsia="zh-CN" w:bidi="ar"/>
              </w:rPr>
              <w:t>要求提供产品通过消防产品认证，拥有应急管理部消防产品合格评定中心统一管理发放的消防产品自愿性认证标志</w:t>
            </w:r>
            <w:r>
              <w:rPr>
                <w:rFonts w:hint="eastAsia" w:ascii="宋体" w:hAnsi="宋体" w:eastAsia="宋体" w:cs="宋体"/>
                <w:i w:val="0"/>
                <w:iCs w:val="0"/>
                <w:color w:val="000000"/>
                <w:kern w:val="0"/>
                <w:sz w:val="21"/>
                <w:szCs w:val="21"/>
                <w:highlight w:val="none"/>
                <w:u w:val="none"/>
                <w:lang w:val="en-US" w:eastAsia="zh-CN" w:bidi="ar"/>
              </w:rPr>
              <w:t>。</w:t>
            </w:r>
          </w:p>
        </w:tc>
        <w:tc>
          <w:tcPr>
            <w:tcW w:w="885" w:type="dxa"/>
            <w:shd w:val="clear" w:color="auto" w:fill="auto"/>
            <w:vAlign w:val="center"/>
          </w:tcPr>
          <w:p w14:paraId="7B8E840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2CB6DEB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8 </w:t>
            </w:r>
          </w:p>
        </w:tc>
        <w:tc>
          <w:tcPr>
            <w:tcW w:w="1239" w:type="dxa"/>
            <w:shd w:val="clear" w:color="auto" w:fill="auto"/>
            <w:vAlign w:val="top"/>
          </w:tcPr>
          <w:p w14:paraId="11E4026C">
            <w:pPr>
              <w:jc w:val="left"/>
              <w:rPr>
                <w:rFonts w:hint="eastAsia" w:ascii="宋体" w:hAnsi="宋体" w:eastAsia="宋体" w:cs="宋体"/>
                <w:i w:val="0"/>
                <w:iCs w:val="0"/>
                <w:color w:val="000000"/>
                <w:sz w:val="21"/>
                <w:szCs w:val="21"/>
                <w:highlight w:val="none"/>
                <w:u w:val="none"/>
              </w:rPr>
            </w:pPr>
          </w:p>
        </w:tc>
      </w:tr>
      <w:tr w14:paraId="08891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43" w:type="dxa"/>
            <w:shd w:val="clear" w:color="auto" w:fill="auto"/>
            <w:vAlign w:val="center"/>
          </w:tcPr>
          <w:p w14:paraId="10C7BF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10 </w:t>
            </w:r>
          </w:p>
        </w:tc>
        <w:tc>
          <w:tcPr>
            <w:tcW w:w="1239" w:type="dxa"/>
            <w:shd w:val="clear" w:color="auto" w:fill="auto"/>
            <w:vAlign w:val="center"/>
          </w:tcPr>
          <w:p w14:paraId="16DD992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XF1026</w:t>
            </w:r>
          </w:p>
        </w:tc>
        <w:tc>
          <w:tcPr>
            <w:tcW w:w="3030" w:type="dxa"/>
            <w:shd w:val="clear" w:color="auto" w:fill="auto"/>
            <w:vAlign w:val="center"/>
          </w:tcPr>
          <w:p w14:paraId="4F83D4D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灭火毯</w:t>
            </w:r>
          </w:p>
        </w:tc>
        <w:tc>
          <w:tcPr>
            <w:tcW w:w="7231" w:type="dxa"/>
            <w:shd w:val="clear" w:color="auto" w:fill="auto"/>
            <w:vAlign w:val="center"/>
          </w:tcPr>
          <w:p w14:paraId="298C1EB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符合XF1205-2014《灭火毯》标准要求，采用100%无碱玻璃纤维，缝纫线采用耐高温阻燃材料，无异味，尺寸：1米×1米。拥有</w:t>
            </w:r>
            <w:r>
              <w:rPr>
                <w:rFonts w:hint="default" w:ascii="宋体" w:hAnsi="宋体" w:eastAsia="宋体" w:cs="宋体"/>
                <w:b w:val="0"/>
                <w:bCs/>
                <w:color w:val="auto"/>
                <w:sz w:val="21"/>
                <w:szCs w:val="21"/>
                <w:highlight w:val="none"/>
                <w:shd w:val="clear" w:color="auto" w:fill="FFFFFF"/>
                <w:lang w:val="en-US" w:eastAsia="zh-CN"/>
              </w:rPr>
              <w:t>全性能委托检验报告。</w:t>
            </w:r>
            <w:r>
              <w:rPr>
                <w:rFonts w:hint="eastAsia" w:ascii="宋体" w:hAnsi="宋体" w:eastAsia="宋体" w:cs="宋体"/>
                <w:i w:val="0"/>
                <w:iCs w:val="0"/>
                <w:color w:val="000000"/>
                <w:kern w:val="0"/>
                <w:sz w:val="21"/>
                <w:szCs w:val="21"/>
                <w:highlight w:val="none"/>
                <w:u w:val="none"/>
                <w:lang w:val="en-US" w:eastAsia="zh-CN" w:bidi="ar"/>
              </w:rPr>
              <w:t>。</w:t>
            </w:r>
          </w:p>
        </w:tc>
        <w:tc>
          <w:tcPr>
            <w:tcW w:w="885" w:type="dxa"/>
            <w:shd w:val="clear" w:color="auto" w:fill="auto"/>
            <w:vAlign w:val="center"/>
          </w:tcPr>
          <w:p w14:paraId="3BA7D52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块</w:t>
            </w:r>
          </w:p>
        </w:tc>
        <w:tc>
          <w:tcPr>
            <w:tcW w:w="984" w:type="dxa"/>
            <w:shd w:val="clear" w:color="auto" w:fill="auto"/>
            <w:vAlign w:val="center"/>
          </w:tcPr>
          <w:p w14:paraId="0154A355">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50 </w:t>
            </w:r>
          </w:p>
        </w:tc>
        <w:tc>
          <w:tcPr>
            <w:tcW w:w="1239" w:type="dxa"/>
            <w:shd w:val="clear" w:color="auto" w:fill="auto"/>
            <w:vAlign w:val="top"/>
          </w:tcPr>
          <w:p w14:paraId="2A414610">
            <w:pPr>
              <w:jc w:val="left"/>
              <w:rPr>
                <w:rFonts w:hint="eastAsia" w:ascii="宋体" w:hAnsi="宋体" w:eastAsia="宋体" w:cs="宋体"/>
                <w:i w:val="0"/>
                <w:iCs w:val="0"/>
                <w:color w:val="000000"/>
                <w:sz w:val="21"/>
                <w:szCs w:val="21"/>
                <w:highlight w:val="none"/>
                <w:u w:val="none"/>
              </w:rPr>
            </w:pPr>
          </w:p>
        </w:tc>
      </w:tr>
      <w:tr w14:paraId="51ED4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22736C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11 </w:t>
            </w:r>
          </w:p>
        </w:tc>
        <w:tc>
          <w:tcPr>
            <w:tcW w:w="1239" w:type="dxa"/>
            <w:shd w:val="clear" w:color="auto" w:fill="auto"/>
            <w:vAlign w:val="center"/>
          </w:tcPr>
          <w:p w14:paraId="0EA1DCF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XF1036</w:t>
            </w:r>
          </w:p>
        </w:tc>
        <w:tc>
          <w:tcPr>
            <w:tcW w:w="3030" w:type="dxa"/>
            <w:shd w:val="clear" w:color="auto" w:fill="auto"/>
            <w:vAlign w:val="center"/>
          </w:tcPr>
          <w:p w14:paraId="5B67304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有衬里消防水带</w:t>
            </w:r>
          </w:p>
        </w:tc>
        <w:tc>
          <w:tcPr>
            <w:tcW w:w="7231" w:type="dxa"/>
            <w:shd w:val="clear" w:color="auto" w:fill="auto"/>
            <w:vAlign w:val="center"/>
          </w:tcPr>
          <w:p w14:paraId="10199F1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default" w:ascii="宋体" w:hAnsi="宋体" w:eastAsia="宋体" w:cs="宋体"/>
                <w:i w:val="0"/>
                <w:iCs w:val="0"/>
                <w:color w:val="000000"/>
                <w:kern w:val="0"/>
                <w:sz w:val="21"/>
                <w:szCs w:val="21"/>
                <w:highlight w:val="none"/>
                <w:u w:val="none"/>
                <w:lang w:val="en-US" w:eastAsia="zh-CN" w:bidi="ar"/>
              </w:rPr>
              <w:t>符合GB6246-2011《消防水带》标准要求，8-65-25，水带口径为65mm，长度：25m，含水龙带接头；设计工作压力：0.8Mpa，最小爆破压力≥2.4Mpa，在0.5MPa水压下,湿水带表面应渗水均匀、无喷水现象,其1min的渗水量应大于20mL/m·min，湿水带在设计工作压力0.8MPa下,应无喷水现象,其1min的渗水量应不大于200mL/m·min；65型水带的单位长度质量不应超过480克/米，设计工作压力为0.8MPa的水带,在设计工作压力下其轴向延伸率和直径的膨胀率不应大于5%，</w:t>
            </w:r>
            <w:r>
              <w:rPr>
                <w:rFonts w:hint="eastAsia" w:ascii="宋体" w:hAnsi="宋体" w:eastAsia="宋体" w:cs="宋体"/>
                <w:i w:val="0"/>
                <w:iCs w:val="0"/>
                <w:color w:val="000000"/>
                <w:kern w:val="0"/>
                <w:sz w:val="21"/>
                <w:szCs w:val="21"/>
                <w:highlight w:val="none"/>
                <w:u w:val="none"/>
                <w:lang w:val="en-US" w:eastAsia="zh-CN" w:bidi="ar"/>
              </w:rPr>
              <w:t>要求提供产品通过消防产品认证，拥有应急管理部消防产品合格评定中心统一管理发放的消防产品自愿性认证标志</w:t>
            </w:r>
            <w:r>
              <w:rPr>
                <w:rFonts w:hint="eastAsia" w:ascii="宋体" w:hAnsi="宋体" w:eastAsia="宋体" w:cs="宋体"/>
                <w:i w:val="0"/>
                <w:iCs w:val="0"/>
                <w:color w:val="000000"/>
                <w:kern w:val="0"/>
                <w:sz w:val="21"/>
                <w:szCs w:val="21"/>
                <w:highlight w:val="none"/>
                <w:u w:val="none"/>
                <w:lang w:val="en-US" w:eastAsia="zh-CN" w:bidi="ar"/>
              </w:rPr>
              <w:t>。</w:t>
            </w:r>
          </w:p>
        </w:tc>
        <w:tc>
          <w:tcPr>
            <w:tcW w:w="885" w:type="dxa"/>
            <w:shd w:val="clear" w:color="auto" w:fill="auto"/>
            <w:vAlign w:val="center"/>
          </w:tcPr>
          <w:p w14:paraId="39FD929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卷</w:t>
            </w:r>
          </w:p>
        </w:tc>
        <w:tc>
          <w:tcPr>
            <w:tcW w:w="984" w:type="dxa"/>
            <w:shd w:val="clear" w:color="auto" w:fill="auto"/>
            <w:vAlign w:val="center"/>
          </w:tcPr>
          <w:p w14:paraId="5D24658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100 </w:t>
            </w:r>
          </w:p>
        </w:tc>
        <w:tc>
          <w:tcPr>
            <w:tcW w:w="1239" w:type="dxa"/>
            <w:shd w:val="clear" w:color="auto" w:fill="auto"/>
            <w:vAlign w:val="top"/>
          </w:tcPr>
          <w:p w14:paraId="2C223191">
            <w:pPr>
              <w:jc w:val="left"/>
              <w:rPr>
                <w:rFonts w:hint="eastAsia" w:ascii="宋体" w:hAnsi="宋体" w:eastAsia="宋体" w:cs="宋体"/>
                <w:i w:val="0"/>
                <w:iCs w:val="0"/>
                <w:color w:val="000000"/>
                <w:sz w:val="21"/>
                <w:szCs w:val="21"/>
                <w:highlight w:val="none"/>
                <w:u w:val="none"/>
              </w:rPr>
            </w:pPr>
          </w:p>
        </w:tc>
      </w:tr>
      <w:tr w14:paraId="0B27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051954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12 </w:t>
            </w:r>
          </w:p>
        </w:tc>
        <w:tc>
          <w:tcPr>
            <w:tcW w:w="1239" w:type="dxa"/>
            <w:shd w:val="clear" w:color="auto" w:fill="auto"/>
            <w:vAlign w:val="center"/>
          </w:tcPr>
          <w:p w14:paraId="4937C0A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XF1037</w:t>
            </w:r>
          </w:p>
        </w:tc>
        <w:tc>
          <w:tcPr>
            <w:tcW w:w="3030" w:type="dxa"/>
            <w:shd w:val="clear" w:color="auto" w:fill="auto"/>
            <w:vAlign w:val="center"/>
          </w:tcPr>
          <w:p w14:paraId="76EB24BE">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消防直流水枪</w:t>
            </w:r>
          </w:p>
        </w:tc>
        <w:tc>
          <w:tcPr>
            <w:tcW w:w="7231" w:type="dxa"/>
            <w:shd w:val="clear" w:color="auto" w:fill="auto"/>
            <w:vAlign w:val="center"/>
          </w:tcPr>
          <w:p w14:paraId="6A0807C1">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QZ19消防直流水枪，接口公称通径：65mm，当量喷嘴直径：19mm，工作压力额定值：0.35MPa，具有消防产品3C认证书。</w:t>
            </w:r>
            <w:r>
              <w:rPr>
                <w:rFonts w:hint="eastAsia" w:ascii="宋体" w:hAnsi="宋体" w:eastAsia="宋体" w:cs="宋体"/>
                <w:i w:val="0"/>
                <w:iCs w:val="0"/>
                <w:color w:val="000000"/>
                <w:kern w:val="0"/>
                <w:sz w:val="21"/>
                <w:szCs w:val="21"/>
                <w:highlight w:val="none"/>
                <w:u w:val="none"/>
                <w:lang w:val="en-US" w:eastAsia="zh-CN" w:bidi="ar"/>
              </w:rPr>
              <w:t>要求提供产品通过消防产品认证，拥有应急管理部消防产品合格评定中心统一管理发放的消防产品自愿性认证标志</w:t>
            </w:r>
            <w:r>
              <w:rPr>
                <w:rFonts w:hint="eastAsia" w:ascii="宋体" w:hAnsi="宋体" w:eastAsia="宋体" w:cs="宋体"/>
                <w:i w:val="0"/>
                <w:iCs w:val="0"/>
                <w:color w:val="000000"/>
                <w:kern w:val="0"/>
                <w:sz w:val="21"/>
                <w:szCs w:val="21"/>
                <w:highlight w:val="none"/>
                <w:u w:val="none"/>
                <w:lang w:val="en-US" w:eastAsia="zh-CN" w:bidi="ar"/>
              </w:rPr>
              <w:t>。</w:t>
            </w:r>
          </w:p>
        </w:tc>
        <w:tc>
          <w:tcPr>
            <w:tcW w:w="885" w:type="dxa"/>
            <w:shd w:val="clear" w:color="auto" w:fill="auto"/>
            <w:vAlign w:val="center"/>
          </w:tcPr>
          <w:p w14:paraId="5FF99DE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1371A1B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75 </w:t>
            </w:r>
          </w:p>
        </w:tc>
        <w:tc>
          <w:tcPr>
            <w:tcW w:w="1239" w:type="dxa"/>
            <w:shd w:val="clear" w:color="auto" w:fill="auto"/>
            <w:vAlign w:val="top"/>
          </w:tcPr>
          <w:p w14:paraId="3E57B0DC">
            <w:pPr>
              <w:jc w:val="left"/>
              <w:rPr>
                <w:rFonts w:hint="eastAsia" w:ascii="宋体" w:hAnsi="宋体" w:eastAsia="宋体" w:cs="宋体"/>
                <w:i w:val="0"/>
                <w:iCs w:val="0"/>
                <w:color w:val="000000"/>
                <w:sz w:val="21"/>
                <w:szCs w:val="21"/>
                <w:highlight w:val="none"/>
                <w:u w:val="none"/>
              </w:rPr>
            </w:pPr>
          </w:p>
        </w:tc>
      </w:tr>
      <w:tr w14:paraId="769E3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3F44E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13 </w:t>
            </w:r>
          </w:p>
        </w:tc>
        <w:tc>
          <w:tcPr>
            <w:tcW w:w="1239" w:type="dxa"/>
            <w:shd w:val="clear" w:color="auto" w:fill="auto"/>
            <w:vAlign w:val="center"/>
          </w:tcPr>
          <w:p w14:paraId="6E14E1D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XF1040</w:t>
            </w:r>
          </w:p>
        </w:tc>
        <w:tc>
          <w:tcPr>
            <w:tcW w:w="3030" w:type="dxa"/>
            <w:shd w:val="clear" w:color="auto" w:fill="auto"/>
            <w:vAlign w:val="center"/>
          </w:tcPr>
          <w:p w14:paraId="06FF62A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消防员灭火防护服</w:t>
            </w:r>
          </w:p>
        </w:tc>
        <w:tc>
          <w:tcPr>
            <w:tcW w:w="7231" w:type="dxa"/>
            <w:shd w:val="clear" w:color="auto" w:fill="auto"/>
            <w:vAlign w:val="center"/>
          </w:tcPr>
          <w:p w14:paraId="347EB4D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符合XF10-2014《消防员灭火防护服》的要求。包含上衣、背带裤，产品通过消防产品认证，拥有应急管理部消防产品合格评定中心统一管理发放的消防产品自愿性认证标志。</w:t>
            </w:r>
          </w:p>
        </w:tc>
        <w:tc>
          <w:tcPr>
            <w:tcW w:w="885" w:type="dxa"/>
            <w:shd w:val="clear" w:color="auto" w:fill="auto"/>
            <w:vAlign w:val="center"/>
          </w:tcPr>
          <w:p w14:paraId="4622D6A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套</w:t>
            </w:r>
          </w:p>
        </w:tc>
        <w:tc>
          <w:tcPr>
            <w:tcW w:w="984" w:type="dxa"/>
            <w:shd w:val="clear" w:color="auto" w:fill="auto"/>
            <w:vAlign w:val="center"/>
          </w:tcPr>
          <w:p w14:paraId="53D83A1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70 </w:t>
            </w:r>
          </w:p>
        </w:tc>
        <w:tc>
          <w:tcPr>
            <w:tcW w:w="1239" w:type="dxa"/>
            <w:shd w:val="clear" w:color="auto" w:fill="auto"/>
            <w:vAlign w:val="top"/>
          </w:tcPr>
          <w:p w14:paraId="6D354AB2">
            <w:pPr>
              <w:jc w:val="left"/>
              <w:rPr>
                <w:rFonts w:hint="eastAsia" w:ascii="宋体" w:hAnsi="宋体" w:eastAsia="宋体" w:cs="宋体"/>
                <w:i w:val="0"/>
                <w:iCs w:val="0"/>
                <w:color w:val="000000"/>
                <w:sz w:val="21"/>
                <w:szCs w:val="21"/>
                <w:highlight w:val="none"/>
                <w:u w:val="none"/>
              </w:rPr>
            </w:pPr>
          </w:p>
        </w:tc>
      </w:tr>
      <w:tr w14:paraId="395A8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622C2B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14 </w:t>
            </w:r>
          </w:p>
        </w:tc>
        <w:tc>
          <w:tcPr>
            <w:tcW w:w="1239" w:type="dxa"/>
            <w:shd w:val="clear" w:color="auto" w:fill="auto"/>
            <w:vAlign w:val="center"/>
          </w:tcPr>
          <w:p w14:paraId="25F05C1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XF1041</w:t>
            </w:r>
          </w:p>
        </w:tc>
        <w:tc>
          <w:tcPr>
            <w:tcW w:w="3030" w:type="dxa"/>
            <w:shd w:val="clear" w:color="auto" w:fill="auto"/>
            <w:vAlign w:val="center"/>
          </w:tcPr>
          <w:p w14:paraId="2F35621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自吸过滤式逃生呼吸器</w:t>
            </w:r>
          </w:p>
        </w:tc>
        <w:tc>
          <w:tcPr>
            <w:tcW w:w="7231" w:type="dxa"/>
            <w:shd w:val="clear" w:color="auto" w:fill="auto"/>
            <w:vAlign w:val="center"/>
          </w:tcPr>
          <w:p w14:paraId="5BEEB5D5">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default" w:ascii="宋体" w:hAnsi="宋体" w:eastAsia="宋体" w:cs="宋体"/>
                <w:i w:val="0"/>
                <w:iCs w:val="0"/>
                <w:color w:val="000000"/>
                <w:kern w:val="0"/>
                <w:sz w:val="21"/>
                <w:szCs w:val="21"/>
                <w:highlight w:val="none"/>
                <w:u w:val="none"/>
                <w:lang w:val="en-US" w:eastAsia="zh-CN" w:bidi="ar"/>
              </w:rPr>
              <w:t>执行标准为：GB21976.7-2012《建筑火灾逃生避难器材第7部分:过滤式消防自救呼吸器》。</w:t>
            </w:r>
            <w:r>
              <w:rPr>
                <w:rFonts w:hint="eastAsia" w:ascii="宋体" w:hAnsi="宋体" w:eastAsia="宋体" w:cs="宋体"/>
                <w:i w:val="0"/>
                <w:iCs w:val="0"/>
                <w:color w:val="000000"/>
                <w:kern w:val="0"/>
                <w:sz w:val="21"/>
                <w:szCs w:val="21"/>
                <w:highlight w:val="none"/>
                <w:u w:val="none"/>
                <w:lang w:val="en-US" w:eastAsia="zh-CN" w:bidi="ar"/>
              </w:rPr>
              <w:t>具备</w:t>
            </w:r>
            <w:r>
              <w:rPr>
                <w:rFonts w:hint="default" w:ascii="宋体" w:hAnsi="宋体" w:eastAsia="宋体" w:cs="宋体"/>
                <w:i w:val="0"/>
                <w:iCs w:val="0"/>
                <w:color w:val="000000"/>
                <w:kern w:val="0"/>
                <w:sz w:val="21"/>
                <w:szCs w:val="21"/>
                <w:highlight w:val="none"/>
                <w:u w:val="none"/>
                <w:lang w:val="en-US" w:eastAsia="zh-CN" w:bidi="ar"/>
              </w:rPr>
              <w:t>3C认证证书。</w:t>
            </w:r>
          </w:p>
        </w:tc>
        <w:tc>
          <w:tcPr>
            <w:tcW w:w="885" w:type="dxa"/>
            <w:shd w:val="clear" w:color="auto" w:fill="auto"/>
            <w:vAlign w:val="center"/>
          </w:tcPr>
          <w:p w14:paraId="08F092E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4FA16191">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200 </w:t>
            </w:r>
          </w:p>
        </w:tc>
        <w:tc>
          <w:tcPr>
            <w:tcW w:w="1239" w:type="dxa"/>
            <w:shd w:val="clear" w:color="auto" w:fill="auto"/>
            <w:vAlign w:val="top"/>
          </w:tcPr>
          <w:p w14:paraId="519AE080">
            <w:pPr>
              <w:jc w:val="left"/>
              <w:rPr>
                <w:rFonts w:hint="eastAsia" w:ascii="宋体" w:hAnsi="宋体" w:eastAsia="宋体" w:cs="宋体"/>
                <w:i w:val="0"/>
                <w:iCs w:val="0"/>
                <w:color w:val="000000"/>
                <w:sz w:val="21"/>
                <w:szCs w:val="21"/>
                <w:highlight w:val="none"/>
                <w:u w:val="none"/>
              </w:rPr>
            </w:pPr>
          </w:p>
        </w:tc>
      </w:tr>
      <w:tr w14:paraId="00E84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1F614A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15 </w:t>
            </w:r>
          </w:p>
        </w:tc>
        <w:tc>
          <w:tcPr>
            <w:tcW w:w="1239" w:type="dxa"/>
            <w:shd w:val="clear" w:color="auto" w:fill="auto"/>
            <w:vAlign w:val="center"/>
          </w:tcPr>
          <w:p w14:paraId="0838DB3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XF1058</w:t>
            </w:r>
          </w:p>
        </w:tc>
        <w:tc>
          <w:tcPr>
            <w:tcW w:w="3030" w:type="dxa"/>
            <w:shd w:val="clear" w:color="auto" w:fill="auto"/>
            <w:vAlign w:val="center"/>
          </w:tcPr>
          <w:p w14:paraId="551C47A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消防腰带</w:t>
            </w:r>
          </w:p>
        </w:tc>
        <w:tc>
          <w:tcPr>
            <w:tcW w:w="7231" w:type="dxa"/>
            <w:shd w:val="clear" w:color="auto" w:fill="auto"/>
            <w:vAlign w:val="center"/>
          </w:tcPr>
          <w:p w14:paraId="7F4372F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符合XF494-2004《消防用防坠落装备》标准，经国家消防装备质检中心检测合格，符合消防类产品认证实施规则-CCCF-CPRZ-27:2019认证标准，</w:t>
            </w:r>
            <w:r>
              <w:rPr>
                <w:rFonts w:hint="eastAsia" w:ascii="宋体" w:hAnsi="宋体" w:eastAsia="宋体" w:cs="宋体"/>
                <w:i w:val="0"/>
                <w:iCs w:val="0"/>
                <w:color w:val="000000"/>
                <w:kern w:val="0"/>
                <w:sz w:val="21"/>
                <w:szCs w:val="21"/>
                <w:highlight w:val="none"/>
                <w:u w:val="none"/>
                <w:lang w:val="en-US" w:eastAsia="zh-CN" w:bidi="ar"/>
              </w:rPr>
              <w:t>要求提供产品通过消防产品认证，拥有应急管理部消防产品合格评定中心统一管理发放的消防产品自愿性认证标志</w:t>
            </w:r>
            <w:r>
              <w:rPr>
                <w:rFonts w:hint="eastAsia" w:ascii="宋体" w:hAnsi="宋体" w:eastAsia="宋体" w:cs="宋体"/>
                <w:i w:val="0"/>
                <w:iCs w:val="0"/>
                <w:color w:val="000000"/>
                <w:kern w:val="0"/>
                <w:sz w:val="21"/>
                <w:szCs w:val="21"/>
                <w:highlight w:val="none"/>
                <w:u w:val="none"/>
                <w:lang w:val="en-US" w:eastAsia="zh-CN" w:bidi="ar"/>
              </w:rPr>
              <w:t>。</w:t>
            </w:r>
          </w:p>
        </w:tc>
        <w:tc>
          <w:tcPr>
            <w:tcW w:w="885" w:type="dxa"/>
            <w:shd w:val="clear" w:color="auto" w:fill="auto"/>
            <w:vAlign w:val="center"/>
          </w:tcPr>
          <w:p w14:paraId="28D7AA8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25CE01B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95 </w:t>
            </w:r>
          </w:p>
        </w:tc>
        <w:tc>
          <w:tcPr>
            <w:tcW w:w="1239" w:type="dxa"/>
            <w:shd w:val="clear" w:color="auto" w:fill="auto"/>
            <w:vAlign w:val="top"/>
          </w:tcPr>
          <w:p w14:paraId="31D36468">
            <w:pPr>
              <w:jc w:val="left"/>
              <w:rPr>
                <w:rFonts w:hint="eastAsia" w:ascii="宋体" w:hAnsi="宋体" w:eastAsia="宋体" w:cs="宋体"/>
                <w:i w:val="0"/>
                <w:iCs w:val="0"/>
                <w:color w:val="000000"/>
                <w:sz w:val="21"/>
                <w:szCs w:val="21"/>
                <w:highlight w:val="none"/>
                <w:u w:val="none"/>
              </w:rPr>
            </w:pPr>
          </w:p>
        </w:tc>
      </w:tr>
      <w:tr w14:paraId="7704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2EA2F4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16 </w:t>
            </w:r>
          </w:p>
        </w:tc>
        <w:tc>
          <w:tcPr>
            <w:tcW w:w="1239" w:type="dxa"/>
            <w:shd w:val="clear" w:color="auto" w:fill="auto"/>
            <w:vAlign w:val="center"/>
          </w:tcPr>
          <w:p w14:paraId="776A389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XF8009</w:t>
            </w:r>
          </w:p>
        </w:tc>
        <w:tc>
          <w:tcPr>
            <w:tcW w:w="3030" w:type="dxa"/>
            <w:shd w:val="clear" w:color="auto" w:fill="auto"/>
            <w:vAlign w:val="center"/>
          </w:tcPr>
          <w:p w14:paraId="114EA3F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30KG推车式二氧化碳灭火器</w:t>
            </w:r>
          </w:p>
        </w:tc>
        <w:tc>
          <w:tcPr>
            <w:tcW w:w="7231" w:type="dxa"/>
            <w:shd w:val="clear" w:color="auto" w:fill="auto"/>
            <w:vAlign w:val="center"/>
          </w:tcPr>
          <w:p w14:paraId="5914595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MTT/BE30，符合《推车式灭火器》GB8109-2023国家规范要求，具有消防产品3C认证。</w:t>
            </w:r>
          </w:p>
        </w:tc>
        <w:tc>
          <w:tcPr>
            <w:tcW w:w="885" w:type="dxa"/>
            <w:shd w:val="clear" w:color="auto" w:fill="auto"/>
            <w:vAlign w:val="center"/>
          </w:tcPr>
          <w:p w14:paraId="12B13E1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099F423E">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2 </w:t>
            </w:r>
          </w:p>
        </w:tc>
        <w:tc>
          <w:tcPr>
            <w:tcW w:w="1239" w:type="dxa"/>
            <w:shd w:val="clear" w:color="auto" w:fill="auto"/>
            <w:vAlign w:val="top"/>
          </w:tcPr>
          <w:p w14:paraId="41D594EF">
            <w:pPr>
              <w:jc w:val="left"/>
              <w:rPr>
                <w:rFonts w:hint="eastAsia" w:ascii="宋体" w:hAnsi="宋体" w:eastAsia="宋体" w:cs="宋体"/>
                <w:i w:val="0"/>
                <w:iCs w:val="0"/>
                <w:color w:val="000000"/>
                <w:sz w:val="21"/>
                <w:szCs w:val="21"/>
                <w:highlight w:val="none"/>
                <w:u w:val="none"/>
              </w:rPr>
            </w:pPr>
          </w:p>
        </w:tc>
      </w:tr>
      <w:tr w14:paraId="2D44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357796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17 </w:t>
            </w:r>
          </w:p>
        </w:tc>
        <w:tc>
          <w:tcPr>
            <w:tcW w:w="1239" w:type="dxa"/>
            <w:shd w:val="clear" w:color="auto" w:fill="auto"/>
            <w:vAlign w:val="center"/>
          </w:tcPr>
          <w:p w14:paraId="39F6534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XF8012</w:t>
            </w:r>
          </w:p>
        </w:tc>
        <w:tc>
          <w:tcPr>
            <w:tcW w:w="3030" w:type="dxa"/>
            <w:shd w:val="clear" w:color="auto" w:fill="auto"/>
            <w:vAlign w:val="center"/>
          </w:tcPr>
          <w:p w14:paraId="0930B14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7KG手提式二氧化碳灭火器</w:t>
            </w:r>
          </w:p>
        </w:tc>
        <w:tc>
          <w:tcPr>
            <w:tcW w:w="7231" w:type="dxa"/>
            <w:shd w:val="clear" w:color="auto" w:fill="auto"/>
            <w:vAlign w:val="center"/>
          </w:tcPr>
          <w:p w14:paraId="228722F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MT/BE7，符合GB4351-2023《手提式灭火器》国家规范要求，具有消防产品3C认证。</w:t>
            </w:r>
          </w:p>
        </w:tc>
        <w:tc>
          <w:tcPr>
            <w:tcW w:w="885" w:type="dxa"/>
            <w:shd w:val="clear" w:color="auto" w:fill="auto"/>
            <w:vAlign w:val="center"/>
          </w:tcPr>
          <w:p w14:paraId="2598238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244D1AC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10 </w:t>
            </w:r>
          </w:p>
        </w:tc>
        <w:tc>
          <w:tcPr>
            <w:tcW w:w="1239" w:type="dxa"/>
            <w:shd w:val="clear" w:color="auto" w:fill="auto"/>
            <w:vAlign w:val="top"/>
          </w:tcPr>
          <w:p w14:paraId="002551D6">
            <w:pPr>
              <w:jc w:val="left"/>
              <w:rPr>
                <w:rFonts w:hint="eastAsia" w:ascii="宋体" w:hAnsi="宋体" w:eastAsia="宋体" w:cs="宋体"/>
                <w:i w:val="0"/>
                <w:iCs w:val="0"/>
                <w:color w:val="000000"/>
                <w:sz w:val="21"/>
                <w:szCs w:val="21"/>
                <w:highlight w:val="none"/>
                <w:u w:val="none"/>
              </w:rPr>
            </w:pPr>
          </w:p>
        </w:tc>
      </w:tr>
      <w:tr w14:paraId="68FF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43" w:type="dxa"/>
            <w:shd w:val="clear" w:color="auto" w:fill="auto"/>
            <w:noWrap/>
            <w:vAlign w:val="center"/>
          </w:tcPr>
          <w:p w14:paraId="05069C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18 </w:t>
            </w:r>
          </w:p>
        </w:tc>
        <w:tc>
          <w:tcPr>
            <w:tcW w:w="1239" w:type="dxa"/>
            <w:shd w:val="clear" w:color="auto" w:fill="auto"/>
            <w:vAlign w:val="center"/>
          </w:tcPr>
          <w:p w14:paraId="1A8BD22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XF8018</w:t>
            </w:r>
          </w:p>
        </w:tc>
        <w:tc>
          <w:tcPr>
            <w:tcW w:w="3030" w:type="dxa"/>
            <w:shd w:val="clear" w:color="auto" w:fill="auto"/>
            <w:vAlign w:val="center"/>
          </w:tcPr>
          <w:p w14:paraId="6E14047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4kg悬挂式干粉灭火装置（不带温电双控和反馈信号）</w:t>
            </w:r>
          </w:p>
        </w:tc>
        <w:tc>
          <w:tcPr>
            <w:tcW w:w="7231" w:type="dxa"/>
            <w:shd w:val="clear" w:color="auto" w:fill="auto"/>
            <w:vAlign w:val="center"/>
          </w:tcPr>
          <w:p w14:paraId="7463903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FZX-ACT4/1.2，ABC超细干粉灭火剂4kg，灭火级别：1A34B，驱动气体：1.2MPaN2，不带温电双控和反馈信号，</w:t>
            </w:r>
            <w:r>
              <w:rPr>
                <w:rFonts w:hint="eastAsia" w:ascii="宋体" w:hAnsi="宋体" w:eastAsia="宋体" w:cs="宋体"/>
                <w:i w:val="0"/>
                <w:iCs w:val="0"/>
                <w:color w:val="000000"/>
                <w:kern w:val="0"/>
                <w:sz w:val="21"/>
                <w:szCs w:val="21"/>
                <w:highlight w:val="none"/>
                <w:u w:val="none"/>
                <w:lang w:val="en-US" w:eastAsia="zh-CN" w:bidi="ar"/>
              </w:rPr>
              <w:t>要求提供产品通过消防产品认证，拥有应急管理部消防产品合格评定中心统一管理发放的消防产品自愿性认证标志</w:t>
            </w:r>
            <w:r>
              <w:rPr>
                <w:rFonts w:hint="eastAsia" w:ascii="宋体" w:hAnsi="宋体" w:eastAsia="宋体" w:cs="宋体"/>
                <w:i w:val="0"/>
                <w:iCs w:val="0"/>
                <w:color w:val="000000"/>
                <w:kern w:val="0"/>
                <w:sz w:val="21"/>
                <w:szCs w:val="21"/>
                <w:highlight w:val="none"/>
                <w:u w:val="none"/>
                <w:lang w:val="en-US" w:eastAsia="zh-CN" w:bidi="ar"/>
              </w:rPr>
              <w:t>。</w:t>
            </w:r>
          </w:p>
        </w:tc>
        <w:tc>
          <w:tcPr>
            <w:tcW w:w="885" w:type="dxa"/>
            <w:shd w:val="clear" w:color="auto" w:fill="auto"/>
            <w:vAlign w:val="center"/>
          </w:tcPr>
          <w:p w14:paraId="1AB02C2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004BFB5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31 </w:t>
            </w:r>
          </w:p>
        </w:tc>
        <w:tc>
          <w:tcPr>
            <w:tcW w:w="1239" w:type="dxa"/>
            <w:shd w:val="clear" w:color="auto" w:fill="auto"/>
            <w:vAlign w:val="top"/>
          </w:tcPr>
          <w:p w14:paraId="2145457B">
            <w:pPr>
              <w:jc w:val="left"/>
              <w:rPr>
                <w:rFonts w:hint="eastAsia" w:ascii="宋体" w:hAnsi="宋体" w:eastAsia="宋体" w:cs="宋体"/>
                <w:i w:val="0"/>
                <w:iCs w:val="0"/>
                <w:color w:val="000000"/>
                <w:sz w:val="21"/>
                <w:szCs w:val="21"/>
                <w:highlight w:val="none"/>
                <w:u w:val="none"/>
              </w:rPr>
            </w:pPr>
          </w:p>
        </w:tc>
      </w:tr>
      <w:tr w14:paraId="55790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5946DE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19 </w:t>
            </w:r>
          </w:p>
        </w:tc>
        <w:tc>
          <w:tcPr>
            <w:tcW w:w="1239" w:type="dxa"/>
            <w:shd w:val="clear" w:color="auto" w:fill="auto"/>
            <w:vAlign w:val="center"/>
          </w:tcPr>
          <w:p w14:paraId="503CA2F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XF8011</w:t>
            </w:r>
          </w:p>
        </w:tc>
        <w:tc>
          <w:tcPr>
            <w:tcW w:w="3030" w:type="dxa"/>
            <w:shd w:val="clear" w:color="auto" w:fill="auto"/>
            <w:vAlign w:val="center"/>
          </w:tcPr>
          <w:p w14:paraId="750B32B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救生绳</w:t>
            </w:r>
          </w:p>
        </w:tc>
        <w:tc>
          <w:tcPr>
            <w:tcW w:w="7231" w:type="dxa"/>
            <w:shd w:val="clear" w:color="auto" w:fill="auto"/>
            <w:vAlign w:val="center"/>
          </w:tcPr>
          <w:p w14:paraId="7B0D70A3">
            <w:pPr>
              <w:keepNext w:val="0"/>
              <w:keepLines w:val="0"/>
              <w:pageBreakBefore w:val="0"/>
              <w:widowControl/>
              <w:suppressLineNumbers w:val="0"/>
              <w:kinsoku/>
              <w:wordWrap w:val="0"/>
              <w:overflowPunct/>
              <w:topLinePunct w:val="0"/>
              <w:autoSpaceDE/>
              <w:autoSpaceDN/>
              <w:bidi w:val="0"/>
              <w:adjustRightInd/>
              <w:snapToGrid/>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消防轻型</w:t>
            </w:r>
            <w:r>
              <w:rPr>
                <w:rFonts w:hint="default" w:ascii="宋体" w:hAnsi="宋体" w:eastAsia="宋体" w:cs="宋体"/>
                <w:i w:val="0"/>
                <w:iCs w:val="0"/>
                <w:color w:val="000000"/>
                <w:kern w:val="0"/>
                <w:sz w:val="21"/>
                <w:szCs w:val="21"/>
                <w:highlight w:val="none"/>
                <w:u w:val="none"/>
                <w:lang w:val="en-US" w:eastAsia="zh-CN" w:bidi="ar"/>
              </w:rPr>
              <w:t>安全绳</w:t>
            </w:r>
            <w:r>
              <w:rPr>
                <w:rFonts w:hint="eastAsia" w:ascii="宋体" w:hAnsi="宋体" w:eastAsia="宋体" w:cs="宋体"/>
                <w:i w:val="0"/>
                <w:iCs w:val="0"/>
                <w:color w:val="000000"/>
                <w:kern w:val="0"/>
                <w:sz w:val="21"/>
                <w:szCs w:val="21"/>
                <w:highlight w:val="none"/>
                <w:u w:val="none"/>
                <w:lang w:val="en-US" w:eastAsia="zh-CN" w:bidi="ar"/>
              </w:rPr>
              <w:t>，包芯绳，两端裹以透明套管，其中一端采用绳环结构，FZL-S-Q9.5，长度20米，</w:t>
            </w:r>
            <w:r>
              <w:rPr>
                <w:rFonts w:hint="default" w:ascii="宋体" w:hAnsi="宋体" w:eastAsia="宋体" w:cs="宋体"/>
                <w:i w:val="0"/>
                <w:iCs w:val="0"/>
                <w:color w:val="000000"/>
                <w:kern w:val="0"/>
                <w:sz w:val="21"/>
                <w:szCs w:val="21"/>
                <w:highlight w:val="none"/>
                <w:u w:val="none"/>
                <w:lang w:val="en-US" w:eastAsia="zh-CN" w:bidi="ar"/>
              </w:rPr>
              <w:t>执行标准XF494-2023《消防用防坠落装备》</w:t>
            </w: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none"/>
                <w:lang w:val="en-US" w:eastAsia="zh-CN" w:bidi="ar"/>
              </w:rPr>
              <w:t>要求提供产品通过消防产品认证，拥有应急管理部消防产品合格评定中心统一管理发放的消防产品自愿性认证标志</w:t>
            </w:r>
            <w:r>
              <w:rPr>
                <w:rFonts w:hint="eastAsia" w:ascii="宋体" w:hAnsi="宋体" w:eastAsia="宋体" w:cs="宋体"/>
                <w:i w:val="0"/>
                <w:iCs w:val="0"/>
                <w:color w:val="000000"/>
                <w:kern w:val="0"/>
                <w:sz w:val="21"/>
                <w:szCs w:val="21"/>
                <w:highlight w:val="none"/>
                <w:u w:val="none"/>
                <w:lang w:val="en-US" w:eastAsia="zh-CN" w:bidi="ar"/>
              </w:rPr>
              <w:t>。</w:t>
            </w:r>
          </w:p>
        </w:tc>
        <w:tc>
          <w:tcPr>
            <w:tcW w:w="885" w:type="dxa"/>
            <w:shd w:val="clear" w:color="auto" w:fill="auto"/>
            <w:vAlign w:val="center"/>
          </w:tcPr>
          <w:p w14:paraId="031A226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根</w:t>
            </w:r>
          </w:p>
        </w:tc>
        <w:tc>
          <w:tcPr>
            <w:tcW w:w="984" w:type="dxa"/>
            <w:shd w:val="clear" w:color="auto" w:fill="auto"/>
            <w:vAlign w:val="center"/>
          </w:tcPr>
          <w:p w14:paraId="279374F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90 </w:t>
            </w:r>
          </w:p>
        </w:tc>
        <w:tc>
          <w:tcPr>
            <w:tcW w:w="1239" w:type="dxa"/>
            <w:shd w:val="clear" w:color="auto" w:fill="auto"/>
            <w:vAlign w:val="top"/>
          </w:tcPr>
          <w:p w14:paraId="516BF59D">
            <w:pPr>
              <w:jc w:val="left"/>
              <w:rPr>
                <w:rFonts w:hint="eastAsia" w:ascii="宋体" w:hAnsi="宋体" w:eastAsia="宋体" w:cs="宋体"/>
                <w:i w:val="0"/>
                <w:iCs w:val="0"/>
                <w:color w:val="000000"/>
                <w:sz w:val="21"/>
                <w:szCs w:val="21"/>
                <w:highlight w:val="none"/>
                <w:u w:val="none"/>
              </w:rPr>
            </w:pPr>
          </w:p>
        </w:tc>
      </w:tr>
      <w:tr w14:paraId="45686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14899E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20 </w:t>
            </w:r>
          </w:p>
        </w:tc>
        <w:tc>
          <w:tcPr>
            <w:tcW w:w="1239" w:type="dxa"/>
            <w:shd w:val="clear" w:color="auto" w:fill="auto"/>
            <w:vAlign w:val="center"/>
          </w:tcPr>
          <w:p w14:paraId="408E5A8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XF1032</w:t>
            </w:r>
          </w:p>
        </w:tc>
        <w:tc>
          <w:tcPr>
            <w:tcW w:w="3030" w:type="dxa"/>
            <w:shd w:val="clear" w:color="auto" w:fill="auto"/>
            <w:vAlign w:val="center"/>
          </w:tcPr>
          <w:p w14:paraId="3E1E864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消防头盔</w:t>
            </w:r>
          </w:p>
        </w:tc>
        <w:tc>
          <w:tcPr>
            <w:tcW w:w="7231" w:type="dxa"/>
            <w:shd w:val="clear" w:color="auto" w:fill="auto"/>
            <w:vAlign w:val="center"/>
          </w:tcPr>
          <w:p w14:paraId="6D9B1EF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default" w:ascii="宋体" w:hAnsi="宋体" w:eastAsia="宋体" w:cs="宋体"/>
                <w:b w:val="0"/>
                <w:bCs/>
                <w:color w:val="auto"/>
                <w:sz w:val="21"/>
                <w:szCs w:val="21"/>
                <w:highlight w:val="none"/>
                <w:shd w:val="clear" w:color="auto" w:fill="FFFFFF"/>
                <w:lang w:val="en-US" w:eastAsia="zh-CN"/>
              </w:rPr>
              <w:t>总体性能符合</w:t>
            </w:r>
            <w:r>
              <w:rPr>
                <w:rFonts w:hint="eastAsia" w:ascii="宋体" w:hAnsi="宋体" w:eastAsia="宋体" w:cs="宋体"/>
                <w:b w:val="0"/>
                <w:bCs/>
                <w:color w:val="auto"/>
                <w:sz w:val="21"/>
                <w:szCs w:val="21"/>
                <w:highlight w:val="none"/>
                <w:shd w:val="clear" w:color="auto" w:fill="FFFFFF"/>
                <w:lang w:val="en-US" w:eastAsia="zh-CN"/>
              </w:rPr>
              <w:t>XF</w:t>
            </w:r>
            <w:r>
              <w:rPr>
                <w:rFonts w:hint="default" w:ascii="宋体" w:hAnsi="宋体" w:eastAsia="宋体" w:cs="宋体"/>
                <w:b w:val="0"/>
                <w:bCs/>
                <w:color w:val="auto"/>
                <w:sz w:val="21"/>
                <w:szCs w:val="21"/>
                <w:highlight w:val="none"/>
                <w:shd w:val="clear" w:color="auto" w:fill="FFFFFF"/>
                <w:lang w:val="en-US" w:eastAsia="zh-CN"/>
              </w:rPr>
              <w:t>44-2015《消防头盔》</w:t>
            </w:r>
            <w:r>
              <w:rPr>
                <w:rFonts w:hint="eastAsia" w:ascii="宋体" w:hAnsi="宋体" w:eastAsia="宋体" w:cs="宋体"/>
                <w:b w:val="0"/>
                <w:bCs/>
                <w:color w:val="auto"/>
                <w:sz w:val="21"/>
                <w:szCs w:val="21"/>
                <w:highlight w:val="none"/>
                <w:shd w:val="clear" w:color="auto" w:fill="FFFFFF"/>
                <w:lang w:val="en-US" w:eastAsia="zh-CN"/>
              </w:rPr>
              <w:t>要求。</w:t>
            </w:r>
            <w:r>
              <w:rPr>
                <w:rFonts w:hint="default" w:ascii="宋体" w:hAnsi="宋体" w:eastAsia="宋体" w:cs="宋体"/>
                <w:b w:val="0"/>
                <w:bCs/>
                <w:color w:val="auto"/>
                <w:sz w:val="21"/>
                <w:szCs w:val="21"/>
                <w:highlight w:val="none"/>
                <w:shd w:val="clear" w:color="auto" w:fill="FFFFFF"/>
                <w:lang w:val="en-US" w:eastAsia="zh-CN"/>
              </w:rPr>
              <w:t>消防头盔由盔壳、滑轨、缓冲层、舒适衬垫、佩戴装置、面罩、披肩等组成。盔壳</w:t>
            </w:r>
            <w:r>
              <w:rPr>
                <w:rFonts w:hint="eastAsia" w:ascii="宋体" w:hAnsi="宋体" w:eastAsia="宋体" w:cs="宋体"/>
                <w:b w:val="0"/>
                <w:bCs/>
                <w:color w:val="auto"/>
                <w:sz w:val="21"/>
                <w:szCs w:val="21"/>
                <w:highlight w:val="none"/>
                <w:shd w:val="clear" w:color="auto" w:fill="FFFFFF"/>
                <w:lang w:val="en-US" w:eastAsia="zh-CN"/>
              </w:rPr>
              <w:t>为</w:t>
            </w:r>
            <w:r>
              <w:rPr>
                <w:rFonts w:hint="default" w:ascii="宋体" w:hAnsi="宋体" w:eastAsia="宋体" w:cs="宋体"/>
                <w:b w:val="0"/>
                <w:bCs/>
                <w:color w:val="auto"/>
                <w:sz w:val="21"/>
                <w:szCs w:val="21"/>
                <w:highlight w:val="none"/>
                <w:shd w:val="clear" w:color="auto" w:fill="FFFFFF"/>
                <w:lang w:val="en-US" w:eastAsia="zh-CN"/>
              </w:rPr>
              <w:t>耐高温阻燃材质，指挥员头盔为红色，战斗员头盔为黄色。滑轨：盔体两侧设黑色多功能模块化滑轨，耐高温阻燃材质。缓冲层：耐高温阻燃材质，颜色为黑色。舒适衬垫：顶部为芳纶网状衬垫，四周为舒适层（与帽箍一体）可调节戴帽高度。佩戴装置：包括帽箍和系带，耐高温阻燃材质。在盔体后沿下侧设头围调节旋钮；系带可调节佩戴松紧，加装可拆洗阻燃舒适软垫；插扣为快脱插扣。面罩：耐高温阻燃材质，为外翻直板式。披肩：防水处理芳纶材料，颜色为藏蓝色，可快速拆卸、安装。反光标识：两侧粘贴弧形反光标识条，为耐高温材质，红色头盔使用荧光黄色反光标识条，黄色头盔使用荧光桔红色反光标识条</w:t>
            </w:r>
            <w:r>
              <w:rPr>
                <w:rFonts w:hint="eastAsia" w:ascii="宋体" w:hAnsi="宋体" w:eastAsia="宋体" w:cs="宋体"/>
                <w:b w:val="0"/>
                <w:bCs/>
                <w:color w:val="auto"/>
                <w:sz w:val="21"/>
                <w:szCs w:val="21"/>
                <w:highlight w:val="none"/>
                <w:shd w:val="clear" w:color="auto" w:fill="FFFFFF"/>
                <w:lang w:val="en-US" w:eastAsia="zh-CN"/>
              </w:rPr>
              <w:t>。产品</w:t>
            </w:r>
            <w:r>
              <w:rPr>
                <w:rFonts w:hint="default" w:ascii="宋体" w:hAnsi="宋体" w:eastAsia="宋体" w:cs="宋体"/>
                <w:b w:val="0"/>
                <w:bCs/>
                <w:color w:val="auto"/>
                <w:sz w:val="21"/>
                <w:szCs w:val="21"/>
                <w:highlight w:val="none"/>
                <w:shd w:val="clear" w:color="auto" w:fill="FFFFFF"/>
                <w:lang w:val="en-US" w:eastAsia="zh-CN"/>
              </w:rPr>
              <w:t>通过消防产品认证</w:t>
            </w:r>
            <w:r>
              <w:rPr>
                <w:rFonts w:hint="eastAsia" w:ascii="宋体" w:hAnsi="宋体" w:eastAsia="宋体" w:cs="宋体"/>
                <w:b w:val="0"/>
                <w:bCs/>
                <w:color w:val="auto"/>
                <w:sz w:val="21"/>
                <w:szCs w:val="21"/>
                <w:highlight w:val="none"/>
                <w:shd w:val="clear" w:color="auto" w:fill="FFFFFF"/>
                <w:lang w:val="en-US" w:eastAsia="zh-CN"/>
              </w:rPr>
              <w:t>，拥有应急管理部消防产品合格评定中心统一管理发放的消防产品自愿性认证标志。</w:t>
            </w:r>
          </w:p>
        </w:tc>
        <w:tc>
          <w:tcPr>
            <w:tcW w:w="885" w:type="dxa"/>
            <w:shd w:val="clear" w:color="auto" w:fill="auto"/>
            <w:vAlign w:val="center"/>
          </w:tcPr>
          <w:p w14:paraId="7BF0C92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顶</w:t>
            </w:r>
          </w:p>
        </w:tc>
        <w:tc>
          <w:tcPr>
            <w:tcW w:w="984" w:type="dxa"/>
            <w:shd w:val="clear" w:color="auto" w:fill="auto"/>
            <w:vAlign w:val="center"/>
          </w:tcPr>
          <w:p w14:paraId="4CCB5F1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40 </w:t>
            </w:r>
          </w:p>
        </w:tc>
        <w:tc>
          <w:tcPr>
            <w:tcW w:w="1239" w:type="dxa"/>
            <w:shd w:val="clear" w:color="auto" w:fill="auto"/>
            <w:vAlign w:val="top"/>
          </w:tcPr>
          <w:p w14:paraId="63983F13">
            <w:pPr>
              <w:jc w:val="left"/>
              <w:rPr>
                <w:rFonts w:hint="eastAsia" w:ascii="宋体" w:hAnsi="宋体" w:eastAsia="宋体" w:cs="宋体"/>
                <w:i w:val="0"/>
                <w:iCs w:val="0"/>
                <w:color w:val="000000"/>
                <w:sz w:val="21"/>
                <w:szCs w:val="21"/>
                <w:highlight w:val="none"/>
                <w:u w:val="none"/>
              </w:rPr>
            </w:pPr>
          </w:p>
        </w:tc>
      </w:tr>
      <w:tr w14:paraId="0337F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59A3F9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21 </w:t>
            </w:r>
          </w:p>
        </w:tc>
        <w:tc>
          <w:tcPr>
            <w:tcW w:w="1239" w:type="dxa"/>
            <w:shd w:val="clear" w:color="auto" w:fill="auto"/>
            <w:vAlign w:val="center"/>
          </w:tcPr>
          <w:p w14:paraId="2073B99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XF1033</w:t>
            </w:r>
          </w:p>
        </w:tc>
        <w:tc>
          <w:tcPr>
            <w:tcW w:w="3030" w:type="dxa"/>
            <w:shd w:val="clear" w:color="auto" w:fill="auto"/>
            <w:vAlign w:val="center"/>
          </w:tcPr>
          <w:p w14:paraId="79F642E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消防手套</w:t>
            </w:r>
          </w:p>
        </w:tc>
        <w:tc>
          <w:tcPr>
            <w:tcW w:w="7231" w:type="dxa"/>
            <w:shd w:val="clear" w:color="auto" w:fill="auto"/>
            <w:vAlign w:val="center"/>
          </w:tcPr>
          <w:p w14:paraId="4B385AD5">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符合XF7-2004《消防手套》标准，</w:t>
            </w:r>
            <w:r>
              <w:rPr>
                <w:rFonts w:hint="eastAsia" w:ascii="宋体" w:hAnsi="宋体" w:eastAsia="宋体" w:cs="宋体"/>
                <w:i w:val="0"/>
                <w:iCs w:val="0"/>
                <w:color w:val="000000"/>
                <w:kern w:val="0"/>
                <w:sz w:val="21"/>
                <w:szCs w:val="21"/>
                <w:highlight w:val="none"/>
                <w:u w:val="none"/>
                <w:lang w:val="en-US" w:eastAsia="zh-CN" w:bidi="ar"/>
              </w:rPr>
              <w:t>要求提供产品通过消防产品认证，拥有应急管理部消防产品合格评定中心统一管理发放的消防产品自愿性认证标志</w:t>
            </w:r>
            <w:r>
              <w:rPr>
                <w:rFonts w:hint="eastAsia" w:ascii="宋体" w:hAnsi="宋体" w:eastAsia="宋体" w:cs="宋体"/>
                <w:i w:val="0"/>
                <w:iCs w:val="0"/>
                <w:color w:val="000000"/>
                <w:kern w:val="0"/>
                <w:sz w:val="21"/>
                <w:szCs w:val="21"/>
                <w:highlight w:val="none"/>
                <w:u w:val="none"/>
                <w:lang w:val="en-US" w:eastAsia="zh-CN" w:bidi="ar"/>
              </w:rPr>
              <w:t>。</w:t>
            </w:r>
          </w:p>
        </w:tc>
        <w:tc>
          <w:tcPr>
            <w:tcW w:w="885" w:type="dxa"/>
            <w:shd w:val="clear" w:color="auto" w:fill="auto"/>
            <w:vAlign w:val="center"/>
          </w:tcPr>
          <w:p w14:paraId="5BC273A5">
            <w:pPr>
              <w:keepNext w:val="0"/>
              <w:keepLines w:val="0"/>
              <w:widowControl/>
              <w:suppressLineNumbers w:val="0"/>
              <w:jc w:val="center"/>
              <w:textAlignment w:val="center"/>
              <w:rPr>
                <w:rFonts w:hint="default"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color w:val="000000"/>
                <w:kern w:val="2"/>
                <w:sz w:val="21"/>
                <w:szCs w:val="21"/>
                <w:highlight w:val="none"/>
                <w:u w:val="none"/>
                <w:lang w:val="en-US" w:eastAsia="zh-CN" w:bidi="ar-SA"/>
              </w:rPr>
              <w:t>副</w:t>
            </w:r>
          </w:p>
        </w:tc>
        <w:tc>
          <w:tcPr>
            <w:tcW w:w="984" w:type="dxa"/>
            <w:shd w:val="clear" w:color="auto" w:fill="auto"/>
            <w:vAlign w:val="center"/>
          </w:tcPr>
          <w:p w14:paraId="2689029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35 </w:t>
            </w:r>
          </w:p>
        </w:tc>
        <w:tc>
          <w:tcPr>
            <w:tcW w:w="1239" w:type="dxa"/>
            <w:shd w:val="clear" w:color="auto" w:fill="auto"/>
            <w:vAlign w:val="top"/>
          </w:tcPr>
          <w:p w14:paraId="6154933A">
            <w:pPr>
              <w:jc w:val="left"/>
              <w:rPr>
                <w:rFonts w:hint="eastAsia" w:ascii="宋体" w:hAnsi="宋体" w:eastAsia="宋体" w:cs="宋体"/>
                <w:i w:val="0"/>
                <w:iCs w:val="0"/>
                <w:color w:val="000000"/>
                <w:sz w:val="21"/>
                <w:szCs w:val="21"/>
                <w:highlight w:val="none"/>
                <w:u w:val="none"/>
              </w:rPr>
            </w:pPr>
          </w:p>
        </w:tc>
      </w:tr>
      <w:tr w14:paraId="569A7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0063F1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22 </w:t>
            </w:r>
          </w:p>
        </w:tc>
        <w:tc>
          <w:tcPr>
            <w:tcW w:w="1239" w:type="dxa"/>
            <w:shd w:val="clear" w:color="auto" w:fill="auto"/>
            <w:vAlign w:val="center"/>
          </w:tcPr>
          <w:p w14:paraId="4670F07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XF1034</w:t>
            </w:r>
          </w:p>
        </w:tc>
        <w:tc>
          <w:tcPr>
            <w:tcW w:w="3030" w:type="dxa"/>
            <w:shd w:val="clear" w:color="auto" w:fill="auto"/>
            <w:vAlign w:val="center"/>
          </w:tcPr>
          <w:p w14:paraId="69F4319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消防员灭火防护靴</w:t>
            </w:r>
          </w:p>
        </w:tc>
        <w:tc>
          <w:tcPr>
            <w:tcW w:w="7231" w:type="dxa"/>
            <w:shd w:val="clear" w:color="auto" w:fill="auto"/>
            <w:vAlign w:val="center"/>
          </w:tcPr>
          <w:p w14:paraId="1033E31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符合XF6-2004《消防员灭火防护靴》标准要求，材质：帮面、靴面、靴底材料均为橡胶。防滑、防电击、耐刺穿，防火，防水，防油，防砸及防穿刺。</w:t>
            </w:r>
            <w:r>
              <w:rPr>
                <w:rFonts w:hint="eastAsia" w:ascii="宋体" w:hAnsi="宋体" w:eastAsia="宋体" w:cs="宋体"/>
                <w:i w:val="0"/>
                <w:iCs w:val="0"/>
                <w:color w:val="000000"/>
                <w:kern w:val="0"/>
                <w:sz w:val="21"/>
                <w:szCs w:val="21"/>
                <w:highlight w:val="none"/>
                <w:u w:val="none"/>
                <w:lang w:val="en-US" w:eastAsia="zh-CN" w:bidi="ar"/>
              </w:rPr>
              <w:t>要求提供产品通过消防产品认证，拥有应急管理部消防产品合格评定中心统一管理发放的消防产品自愿性认证标志</w:t>
            </w:r>
            <w:r>
              <w:rPr>
                <w:rFonts w:hint="eastAsia" w:ascii="宋体" w:hAnsi="宋体" w:eastAsia="宋体" w:cs="宋体"/>
                <w:i w:val="0"/>
                <w:iCs w:val="0"/>
                <w:color w:val="000000"/>
                <w:kern w:val="0"/>
                <w:sz w:val="21"/>
                <w:szCs w:val="21"/>
                <w:highlight w:val="none"/>
                <w:u w:val="none"/>
                <w:lang w:val="en-US" w:eastAsia="zh-CN" w:bidi="ar"/>
              </w:rPr>
              <w:t>。</w:t>
            </w:r>
          </w:p>
        </w:tc>
        <w:tc>
          <w:tcPr>
            <w:tcW w:w="885" w:type="dxa"/>
            <w:shd w:val="clear" w:color="auto" w:fill="auto"/>
            <w:vAlign w:val="center"/>
          </w:tcPr>
          <w:p w14:paraId="0E043ED1">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双</w:t>
            </w:r>
          </w:p>
        </w:tc>
        <w:tc>
          <w:tcPr>
            <w:tcW w:w="984" w:type="dxa"/>
            <w:shd w:val="clear" w:color="auto" w:fill="auto"/>
            <w:vAlign w:val="center"/>
          </w:tcPr>
          <w:p w14:paraId="7671CD7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70 </w:t>
            </w:r>
          </w:p>
        </w:tc>
        <w:tc>
          <w:tcPr>
            <w:tcW w:w="1239" w:type="dxa"/>
            <w:shd w:val="clear" w:color="auto" w:fill="auto"/>
            <w:vAlign w:val="top"/>
          </w:tcPr>
          <w:p w14:paraId="61C0FD2A">
            <w:pPr>
              <w:jc w:val="left"/>
              <w:rPr>
                <w:rFonts w:hint="eastAsia" w:ascii="宋体" w:hAnsi="宋体" w:eastAsia="宋体" w:cs="宋体"/>
                <w:i w:val="0"/>
                <w:iCs w:val="0"/>
                <w:color w:val="000000"/>
                <w:sz w:val="21"/>
                <w:szCs w:val="21"/>
                <w:highlight w:val="none"/>
                <w:u w:val="none"/>
              </w:rPr>
            </w:pPr>
          </w:p>
        </w:tc>
      </w:tr>
      <w:tr w14:paraId="25A00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3" w:hRule="atLeast"/>
        </w:trPr>
        <w:tc>
          <w:tcPr>
            <w:tcW w:w="743" w:type="dxa"/>
            <w:shd w:val="clear" w:color="auto" w:fill="auto"/>
            <w:vAlign w:val="center"/>
          </w:tcPr>
          <w:p w14:paraId="077F32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23 </w:t>
            </w:r>
          </w:p>
        </w:tc>
        <w:tc>
          <w:tcPr>
            <w:tcW w:w="1239" w:type="dxa"/>
            <w:shd w:val="clear" w:color="auto" w:fill="auto"/>
            <w:vAlign w:val="center"/>
          </w:tcPr>
          <w:p w14:paraId="4A697971">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XF1015</w:t>
            </w:r>
          </w:p>
        </w:tc>
        <w:tc>
          <w:tcPr>
            <w:tcW w:w="3030" w:type="dxa"/>
            <w:shd w:val="clear" w:color="auto" w:fill="auto"/>
            <w:vAlign w:val="center"/>
          </w:tcPr>
          <w:p w14:paraId="394A687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干粉灭火器箱</w:t>
            </w:r>
          </w:p>
        </w:tc>
        <w:tc>
          <w:tcPr>
            <w:tcW w:w="7231" w:type="dxa"/>
            <w:shd w:val="clear" w:color="auto" w:fill="auto"/>
            <w:vAlign w:val="center"/>
          </w:tcPr>
          <w:p w14:paraId="7354D94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容纳5KG*2，1.0mm厚铁皮。</w:t>
            </w:r>
          </w:p>
        </w:tc>
        <w:tc>
          <w:tcPr>
            <w:tcW w:w="885" w:type="dxa"/>
            <w:shd w:val="clear" w:color="auto" w:fill="auto"/>
            <w:vAlign w:val="center"/>
          </w:tcPr>
          <w:p w14:paraId="21656D3E">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1279A97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200 </w:t>
            </w:r>
          </w:p>
        </w:tc>
        <w:tc>
          <w:tcPr>
            <w:tcW w:w="1239" w:type="dxa"/>
            <w:shd w:val="clear" w:color="auto" w:fill="auto"/>
            <w:vAlign w:val="top"/>
          </w:tcPr>
          <w:p w14:paraId="4063E88E">
            <w:pPr>
              <w:jc w:val="left"/>
              <w:rPr>
                <w:rFonts w:hint="eastAsia" w:ascii="宋体" w:hAnsi="宋体" w:eastAsia="宋体" w:cs="宋体"/>
                <w:i w:val="0"/>
                <w:iCs w:val="0"/>
                <w:color w:val="000000"/>
                <w:sz w:val="21"/>
                <w:szCs w:val="21"/>
                <w:highlight w:val="none"/>
                <w:u w:val="none"/>
              </w:rPr>
            </w:pPr>
          </w:p>
        </w:tc>
      </w:tr>
      <w:tr w14:paraId="4ABF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5" w:hRule="atLeast"/>
        </w:trPr>
        <w:tc>
          <w:tcPr>
            <w:tcW w:w="743" w:type="dxa"/>
            <w:shd w:val="clear" w:color="auto" w:fill="auto"/>
            <w:vAlign w:val="center"/>
          </w:tcPr>
          <w:p w14:paraId="1B768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24 </w:t>
            </w:r>
          </w:p>
        </w:tc>
        <w:tc>
          <w:tcPr>
            <w:tcW w:w="1239" w:type="dxa"/>
            <w:shd w:val="clear" w:color="auto" w:fill="auto"/>
            <w:vAlign w:val="center"/>
          </w:tcPr>
          <w:p w14:paraId="61168CF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XF1016</w:t>
            </w:r>
          </w:p>
        </w:tc>
        <w:tc>
          <w:tcPr>
            <w:tcW w:w="3030" w:type="dxa"/>
            <w:shd w:val="clear" w:color="auto" w:fill="auto"/>
            <w:vAlign w:val="center"/>
          </w:tcPr>
          <w:p w14:paraId="711A600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不锈钢干粉灭火器箱</w:t>
            </w:r>
          </w:p>
        </w:tc>
        <w:tc>
          <w:tcPr>
            <w:tcW w:w="7231" w:type="dxa"/>
            <w:shd w:val="clear" w:color="auto" w:fill="auto"/>
            <w:vAlign w:val="center"/>
          </w:tcPr>
          <w:p w14:paraId="636A9D4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容纳5KG*2，不锈钢标号304，板厚1.0mm。</w:t>
            </w:r>
          </w:p>
        </w:tc>
        <w:tc>
          <w:tcPr>
            <w:tcW w:w="885" w:type="dxa"/>
            <w:shd w:val="clear" w:color="auto" w:fill="auto"/>
            <w:vAlign w:val="center"/>
          </w:tcPr>
          <w:p w14:paraId="0B7E3EC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490584F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200 </w:t>
            </w:r>
          </w:p>
        </w:tc>
        <w:tc>
          <w:tcPr>
            <w:tcW w:w="1239" w:type="dxa"/>
            <w:shd w:val="clear" w:color="auto" w:fill="auto"/>
            <w:vAlign w:val="top"/>
          </w:tcPr>
          <w:p w14:paraId="434EFB28">
            <w:pPr>
              <w:jc w:val="left"/>
              <w:rPr>
                <w:rFonts w:hint="eastAsia" w:ascii="宋体" w:hAnsi="宋体" w:eastAsia="宋体" w:cs="宋体"/>
                <w:i w:val="0"/>
                <w:iCs w:val="0"/>
                <w:color w:val="000000"/>
                <w:sz w:val="21"/>
                <w:szCs w:val="21"/>
                <w:highlight w:val="none"/>
                <w:u w:val="none"/>
              </w:rPr>
            </w:pPr>
          </w:p>
        </w:tc>
      </w:tr>
      <w:tr w14:paraId="3C5D1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0" w:hRule="atLeast"/>
        </w:trPr>
        <w:tc>
          <w:tcPr>
            <w:tcW w:w="743" w:type="dxa"/>
            <w:shd w:val="clear" w:color="auto" w:fill="auto"/>
            <w:vAlign w:val="center"/>
          </w:tcPr>
          <w:p w14:paraId="269CE9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25 </w:t>
            </w:r>
          </w:p>
        </w:tc>
        <w:tc>
          <w:tcPr>
            <w:tcW w:w="1239" w:type="dxa"/>
            <w:shd w:val="clear" w:color="auto" w:fill="auto"/>
            <w:vAlign w:val="center"/>
          </w:tcPr>
          <w:p w14:paraId="2D02BD4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XF1029</w:t>
            </w:r>
          </w:p>
        </w:tc>
        <w:tc>
          <w:tcPr>
            <w:tcW w:w="3030" w:type="dxa"/>
            <w:shd w:val="clear" w:color="auto" w:fill="auto"/>
            <w:vAlign w:val="center"/>
          </w:tcPr>
          <w:p w14:paraId="0D40083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消防演习烟雾</w:t>
            </w:r>
          </w:p>
        </w:tc>
        <w:tc>
          <w:tcPr>
            <w:tcW w:w="7231" w:type="dxa"/>
            <w:shd w:val="clear" w:color="auto" w:fill="auto"/>
            <w:vAlign w:val="center"/>
          </w:tcPr>
          <w:p w14:paraId="737DEB4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烟雾颜色：白色，发烟时间：＞3分钟。</w:t>
            </w:r>
          </w:p>
        </w:tc>
        <w:tc>
          <w:tcPr>
            <w:tcW w:w="885" w:type="dxa"/>
            <w:shd w:val="clear" w:color="auto" w:fill="auto"/>
            <w:vAlign w:val="center"/>
          </w:tcPr>
          <w:p w14:paraId="6BEB08E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瓶</w:t>
            </w:r>
          </w:p>
        </w:tc>
        <w:tc>
          <w:tcPr>
            <w:tcW w:w="984" w:type="dxa"/>
            <w:shd w:val="clear" w:color="auto" w:fill="auto"/>
            <w:vAlign w:val="center"/>
          </w:tcPr>
          <w:p w14:paraId="36B7C24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100 </w:t>
            </w:r>
          </w:p>
        </w:tc>
        <w:tc>
          <w:tcPr>
            <w:tcW w:w="1239" w:type="dxa"/>
            <w:shd w:val="clear" w:color="auto" w:fill="auto"/>
            <w:vAlign w:val="top"/>
          </w:tcPr>
          <w:p w14:paraId="7A1E2069">
            <w:pPr>
              <w:jc w:val="left"/>
              <w:rPr>
                <w:rFonts w:hint="eastAsia" w:ascii="宋体" w:hAnsi="宋体" w:eastAsia="宋体" w:cs="宋体"/>
                <w:i w:val="0"/>
                <w:iCs w:val="0"/>
                <w:color w:val="000000"/>
                <w:sz w:val="21"/>
                <w:szCs w:val="21"/>
                <w:highlight w:val="none"/>
                <w:u w:val="none"/>
              </w:rPr>
            </w:pPr>
          </w:p>
        </w:tc>
      </w:tr>
      <w:tr w14:paraId="0768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5" w:hRule="atLeast"/>
        </w:trPr>
        <w:tc>
          <w:tcPr>
            <w:tcW w:w="743" w:type="dxa"/>
            <w:shd w:val="clear" w:color="auto" w:fill="auto"/>
            <w:vAlign w:val="center"/>
          </w:tcPr>
          <w:p w14:paraId="530A9F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26 </w:t>
            </w:r>
          </w:p>
        </w:tc>
        <w:tc>
          <w:tcPr>
            <w:tcW w:w="1239" w:type="dxa"/>
            <w:shd w:val="clear" w:color="auto" w:fill="auto"/>
            <w:vAlign w:val="center"/>
          </w:tcPr>
          <w:p w14:paraId="430B362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XF1038</w:t>
            </w:r>
          </w:p>
        </w:tc>
        <w:tc>
          <w:tcPr>
            <w:tcW w:w="3030" w:type="dxa"/>
            <w:shd w:val="clear" w:color="auto" w:fill="auto"/>
            <w:vAlign w:val="center"/>
          </w:tcPr>
          <w:p w14:paraId="5D2FFD1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消防器材放置柜</w:t>
            </w:r>
          </w:p>
        </w:tc>
        <w:tc>
          <w:tcPr>
            <w:tcW w:w="7231" w:type="dxa"/>
            <w:shd w:val="clear" w:color="auto" w:fill="auto"/>
            <w:vAlign w:val="center"/>
          </w:tcPr>
          <w:p w14:paraId="140802B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标准双开门，整体采用1.5mm优质冷轧钢板加工焊接而成，表面烤漆消防红色。透明钢化玻璃长视窗设计，玻璃厚度不小于1mm，产品规格：1600×1200×400（H×W×D/MM）。</w:t>
            </w:r>
          </w:p>
        </w:tc>
        <w:tc>
          <w:tcPr>
            <w:tcW w:w="885" w:type="dxa"/>
            <w:shd w:val="clear" w:color="auto" w:fill="auto"/>
            <w:vAlign w:val="center"/>
          </w:tcPr>
          <w:p w14:paraId="515F801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554AB9A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20 </w:t>
            </w:r>
          </w:p>
        </w:tc>
        <w:tc>
          <w:tcPr>
            <w:tcW w:w="1239" w:type="dxa"/>
            <w:shd w:val="clear" w:color="auto" w:fill="auto"/>
            <w:vAlign w:val="top"/>
          </w:tcPr>
          <w:p w14:paraId="2D7F4BA6">
            <w:pPr>
              <w:jc w:val="left"/>
              <w:rPr>
                <w:rFonts w:hint="eastAsia" w:ascii="宋体" w:hAnsi="宋体" w:eastAsia="宋体" w:cs="宋体"/>
                <w:i w:val="0"/>
                <w:iCs w:val="0"/>
                <w:color w:val="000000"/>
                <w:sz w:val="21"/>
                <w:szCs w:val="21"/>
                <w:highlight w:val="none"/>
                <w:u w:val="none"/>
              </w:rPr>
            </w:pPr>
          </w:p>
        </w:tc>
      </w:tr>
      <w:tr w14:paraId="1F24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6" w:hRule="atLeast"/>
        </w:trPr>
        <w:tc>
          <w:tcPr>
            <w:tcW w:w="743" w:type="dxa"/>
            <w:shd w:val="clear" w:color="auto" w:fill="auto"/>
            <w:vAlign w:val="center"/>
          </w:tcPr>
          <w:p w14:paraId="041F34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27 </w:t>
            </w:r>
          </w:p>
        </w:tc>
        <w:tc>
          <w:tcPr>
            <w:tcW w:w="1239" w:type="dxa"/>
            <w:shd w:val="clear" w:color="auto" w:fill="auto"/>
            <w:vAlign w:val="center"/>
          </w:tcPr>
          <w:p w14:paraId="06BF42F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XF1054</w:t>
            </w:r>
          </w:p>
        </w:tc>
        <w:tc>
          <w:tcPr>
            <w:tcW w:w="3030" w:type="dxa"/>
            <w:shd w:val="clear" w:color="auto" w:fill="auto"/>
            <w:vAlign w:val="center"/>
          </w:tcPr>
          <w:p w14:paraId="393BEE9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疏散引导棒（充电款）</w:t>
            </w:r>
          </w:p>
        </w:tc>
        <w:tc>
          <w:tcPr>
            <w:tcW w:w="7231" w:type="dxa"/>
            <w:shd w:val="clear" w:color="auto" w:fill="auto"/>
            <w:vAlign w:val="center"/>
          </w:tcPr>
          <w:p w14:paraId="3D683C2E">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材质：PC+ABS,尺寸：54*4CM，使用时间8-15小时，可视距离：100-200米（黑暗环境），颜色：红色，光源模式：爆闪方式、闪光-长亮-关闭，电池：1200毫安</w:t>
            </w:r>
          </w:p>
        </w:tc>
        <w:tc>
          <w:tcPr>
            <w:tcW w:w="885" w:type="dxa"/>
            <w:shd w:val="clear" w:color="auto" w:fill="auto"/>
            <w:vAlign w:val="center"/>
          </w:tcPr>
          <w:p w14:paraId="3D4FF5B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根</w:t>
            </w:r>
          </w:p>
        </w:tc>
        <w:tc>
          <w:tcPr>
            <w:tcW w:w="984" w:type="dxa"/>
            <w:shd w:val="clear" w:color="auto" w:fill="auto"/>
            <w:vAlign w:val="center"/>
          </w:tcPr>
          <w:p w14:paraId="5A74E4B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60 </w:t>
            </w:r>
          </w:p>
        </w:tc>
        <w:tc>
          <w:tcPr>
            <w:tcW w:w="1239" w:type="dxa"/>
            <w:shd w:val="clear" w:color="auto" w:fill="auto"/>
            <w:vAlign w:val="top"/>
          </w:tcPr>
          <w:p w14:paraId="1BD7AD19">
            <w:pPr>
              <w:jc w:val="left"/>
              <w:rPr>
                <w:rFonts w:hint="eastAsia" w:ascii="宋体" w:hAnsi="宋体" w:eastAsia="宋体" w:cs="宋体"/>
                <w:i w:val="0"/>
                <w:iCs w:val="0"/>
                <w:color w:val="000000"/>
                <w:sz w:val="21"/>
                <w:szCs w:val="21"/>
                <w:highlight w:val="none"/>
                <w:u w:val="none"/>
              </w:rPr>
            </w:pPr>
          </w:p>
        </w:tc>
      </w:tr>
      <w:tr w14:paraId="6795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6" w:hRule="atLeast"/>
        </w:trPr>
        <w:tc>
          <w:tcPr>
            <w:tcW w:w="743" w:type="dxa"/>
            <w:shd w:val="clear" w:color="auto" w:fill="auto"/>
            <w:vAlign w:val="center"/>
          </w:tcPr>
          <w:p w14:paraId="0EEE8D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28 </w:t>
            </w:r>
          </w:p>
        </w:tc>
        <w:tc>
          <w:tcPr>
            <w:tcW w:w="1239" w:type="dxa"/>
            <w:shd w:val="clear" w:color="auto" w:fill="auto"/>
            <w:vAlign w:val="center"/>
          </w:tcPr>
          <w:p w14:paraId="6D6652FE">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XF1061</w:t>
            </w:r>
          </w:p>
        </w:tc>
        <w:tc>
          <w:tcPr>
            <w:tcW w:w="3030" w:type="dxa"/>
            <w:shd w:val="clear" w:color="auto" w:fill="auto"/>
            <w:vAlign w:val="center"/>
          </w:tcPr>
          <w:p w14:paraId="0EA1DC8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推车式灭火器罩（35KG）</w:t>
            </w:r>
          </w:p>
        </w:tc>
        <w:tc>
          <w:tcPr>
            <w:tcW w:w="7231" w:type="dxa"/>
            <w:shd w:val="clear" w:color="auto" w:fill="auto"/>
            <w:vAlign w:val="center"/>
          </w:tcPr>
          <w:p w14:paraId="6F737C6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防雨防锈，防雪抗冻，推车顶部有荧光条，夜间便于查看，保护罩字体清晰，材质：牛津布料，圆形直径40CM左右，高度90CM左右。适用于35KG推车式干粉灭火器。</w:t>
            </w:r>
          </w:p>
        </w:tc>
        <w:tc>
          <w:tcPr>
            <w:tcW w:w="885" w:type="dxa"/>
            <w:shd w:val="clear" w:color="auto" w:fill="auto"/>
            <w:vAlign w:val="center"/>
          </w:tcPr>
          <w:p w14:paraId="673A05A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388BAFC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30 </w:t>
            </w:r>
          </w:p>
        </w:tc>
        <w:tc>
          <w:tcPr>
            <w:tcW w:w="1239" w:type="dxa"/>
            <w:shd w:val="clear" w:color="auto" w:fill="auto"/>
            <w:vAlign w:val="top"/>
          </w:tcPr>
          <w:p w14:paraId="505A4EB1">
            <w:pPr>
              <w:jc w:val="left"/>
              <w:rPr>
                <w:rFonts w:hint="eastAsia" w:ascii="宋体" w:hAnsi="宋体" w:eastAsia="宋体" w:cs="宋体"/>
                <w:i w:val="0"/>
                <w:iCs w:val="0"/>
                <w:color w:val="000000"/>
                <w:sz w:val="21"/>
                <w:szCs w:val="21"/>
                <w:highlight w:val="none"/>
                <w:u w:val="none"/>
              </w:rPr>
            </w:pPr>
          </w:p>
        </w:tc>
      </w:tr>
      <w:tr w14:paraId="4E35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743" w:type="dxa"/>
            <w:shd w:val="clear" w:color="auto" w:fill="auto"/>
            <w:vAlign w:val="center"/>
          </w:tcPr>
          <w:p w14:paraId="551A7B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29 </w:t>
            </w:r>
          </w:p>
        </w:tc>
        <w:tc>
          <w:tcPr>
            <w:tcW w:w="1239" w:type="dxa"/>
            <w:shd w:val="clear" w:color="auto" w:fill="auto"/>
            <w:vAlign w:val="center"/>
          </w:tcPr>
          <w:p w14:paraId="6D4FF40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XF1063</w:t>
            </w:r>
          </w:p>
        </w:tc>
        <w:tc>
          <w:tcPr>
            <w:tcW w:w="3030" w:type="dxa"/>
            <w:shd w:val="clear" w:color="auto" w:fill="auto"/>
            <w:vAlign w:val="center"/>
          </w:tcPr>
          <w:p w14:paraId="65A7561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自发光地面逃生标识（不干胶地贴）</w:t>
            </w:r>
          </w:p>
        </w:tc>
        <w:tc>
          <w:tcPr>
            <w:tcW w:w="7231" w:type="dxa"/>
            <w:shd w:val="clear" w:color="auto" w:fill="auto"/>
            <w:vAlign w:val="center"/>
          </w:tcPr>
          <w:p w14:paraId="1A0F3FF6">
            <w:pPr>
              <w:pStyle w:val="3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2"/>
                <w:sz w:val="21"/>
                <w:szCs w:val="21"/>
                <w:highlight w:val="none"/>
                <w:u w:val="none"/>
                <w:lang w:val="en-US" w:eastAsia="zh-CN" w:bidi="ar-SA"/>
              </w:rPr>
            </w:pPr>
            <w:r>
              <w:rPr>
                <w:rFonts w:hint="default" w:ascii="宋体" w:hAnsi="宋体" w:eastAsia="宋体" w:cs="宋体"/>
                <w:b w:val="0"/>
                <w:bCs/>
                <w:color w:val="auto"/>
                <w:sz w:val="21"/>
                <w:szCs w:val="21"/>
                <w:highlight w:val="none"/>
                <w:shd w:val="clear" w:color="auto" w:fill="FFFFFF"/>
                <w:lang w:val="en-US" w:eastAsia="zh-CN"/>
              </w:rPr>
              <w:t>自发光不干胶形式的标识标牌</w:t>
            </w:r>
            <w:r>
              <w:rPr>
                <w:rFonts w:hint="eastAsia" w:ascii="宋体" w:hAnsi="宋体" w:eastAsia="宋体" w:cs="宋体"/>
                <w:b w:val="0"/>
                <w:bCs/>
                <w:color w:val="auto"/>
                <w:sz w:val="21"/>
                <w:szCs w:val="21"/>
                <w:highlight w:val="none"/>
                <w:shd w:val="clear" w:color="auto" w:fill="FFFFFF"/>
                <w:lang w:val="en-US" w:eastAsia="zh-CN"/>
              </w:rPr>
              <w:t>，尺寸不小于14.5×29cm，PVC加厚材料，防腐蚀，韧性强，自带背胶，防水防污，耐磨防滑。</w:t>
            </w:r>
          </w:p>
        </w:tc>
        <w:tc>
          <w:tcPr>
            <w:tcW w:w="885" w:type="dxa"/>
            <w:shd w:val="clear" w:color="auto" w:fill="auto"/>
            <w:vAlign w:val="center"/>
          </w:tcPr>
          <w:p w14:paraId="1613851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张</w:t>
            </w:r>
          </w:p>
        </w:tc>
        <w:tc>
          <w:tcPr>
            <w:tcW w:w="984" w:type="dxa"/>
            <w:shd w:val="clear" w:color="auto" w:fill="auto"/>
            <w:vAlign w:val="center"/>
          </w:tcPr>
          <w:p w14:paraId="12D2443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500 </w:t>
            </w:r>
          </w:p>
        </w:tc>
        <w:tc>
          <w:tcPr>
            <w:tcW w:w="1239" w:type="dxa"/>
            <w:shd w:val="clear" w:color="auto" w:fill="auto"/>
            <w:vAlign w:val="top"/>
          </w:tcPr>
          <w:p w14:paraId="32295E25">
            <w:pPr>
              <w:jc w:val="left"/>
              <w:rPr>
                <w:rFonts w:hint="eastAsia" w:ascii="宋体" w:hAnsi="宋体" w:eastAsia="宋体" w:cs="宋体"/>
                <w:i w:val="0"/>
                <w:iCs w:val="0"/>
                <w:color w:val="000000"/>
                <w:sz w:val="21"/>
                <w:szCs w:val="21"/>
                <w:highlight w:val="none"/>
                <w:u w:val="none"/>
              </w:rPr>
            </w:pPr>
          </w:p>
        </w:tc>
      </w:tr>
      <w:tr w14:paraId="53845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5" w:hRule="atLeast"/>
        </w:trPr>
        <w:tc>
          <w:tcPr>
            <w:tcW w:w="743" w:type="dxa"/>
            <w:shd w:val="clear" w:color="auto" w:fill="auto"/>
            <w:vAlign w:val="center"/>
          </w:tcPr>
          <w:p w14:paraId="3839EF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30 </w:t>
            </w:r>
          </w:p>
        </w:tc>
        <w:tc>
          <w:tcPr>
            <w:tcW w:w="1239" w:type="dxa"/>
            <w:shd w:val="clear" w:color="auto" w:fill="auto"/>
            <w:vAlign w:val="center"/>
          </w:tcPr>
          <w:p w14:paraId="0F26E64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XF1064</w:t>
            </w:r>
          </w:p>
        </w:tc>
        <w:tc>
          <w:tcPr>
            <w:tcW w:w="3030" w:type="dxa"/>
            <w:shd w:val="clear" w:color="auto" w:fill="auto"/>
            <w:vAlign w:val="center"/>
          </w:tcPr>
          <w:p w14:paraId="3ECCA96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消防管理标牌40*60（消火栓）</w:t>
            </w:r>
          </w:p>
        </w:tc>
        <w:tc>
          <w:tcPr>
            <w:tcW w:w="7231" w:type="dxa"/>
            <w:shd w:val="clear" w:color="auto" w:fill="auto"/>
            <w:vAlign w:val="center"/>
          </w:tcPr>
          <w:p w14:paraId="0D5EC7C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字体清晰，安装方便，带背胶。</w:t>
            </w:r>
          </w:p>
        </w:tc>
        <w:tc>
          <w:tcPr>
            <w:tcW w:w="885" w:type="dxa"/>
            <w:shd w:val="clear" w:color="auto" w:fill="auto"/>
            <w:vAlign w:val="center"/>
          </w:tcPr>
          <w:p w14:paraId="5D7FB2E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张</w:t>
            </w:r>
          </w:p>
        </w:tc>
        <w:tc>
          <w:tcPr>
            <w:tcW w:w="984" w:type="dxa"/>
            <w:shd w:val="clear" w:color="auto" w:fill="auto"/>
            <w:vAlign w:val="center"/>
          </w:tcPr>
          <w:p w14:paraId="0001B7D5">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1500 </w:t>
            </w:r>
          </w:p>
        </w:tc>
        <w:tc>
          <w:tcPr>
            <w:tcW w:w="1239" w:type="dxa"/>
            <w:shd w:val="clear" w:color="auto" w:fill="auto"/>
            <w:vAlign w:val="top"/>
          </w:tcPr>
          <w:p w14:paraId="679F496A">
            <w:pPr>
              <w:jc w:val="left"/>
              <w:rPr>
                <w:rFonts w:hint="eastAsia" w:ascii="宋体" w:hAnsi="宋体" w:eastAsia="宋体" w:cs="宋体"/>
                <w:i w:val="0"/>
                <w:iCs w:val="0"/>
                <w:color w:val="000000"/>
                <w:sz w:val="21"/>
                <w:szCs w:val="21"/>
                <w:highlight w:val="none"/>
                <w:u w:val="none"/>
              </w:rPr>
            </w:pPr>
          </w:p>
        </w:tc>
      </w:tr>
      <w:tr w14:paraId="6FA8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43" w:type="dxa"/>
            <w:shd w:val="clear" w:color="auto" w:fill="auto"/>
            <w:vAlign w:val="center"/>
          </w:tcPr>
          <w:p w14:paraId="7C443A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31 </w:t>
            </w:r>
          </w:p>
        </w:tc>
        <w:tc>
          <w:tcPr>
            <w:tcW w:w="1239" w:type="dxa"/>
            <w:shd w:val="clear" w:color="auto" w:fill="auto"/>
            <w:vAlign w:val="center"/>
          </w:tcPr>
          <w:p w14:paraId="13C698B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XF1065</w:t>
            </w:r>
          </w:p>
        </w:tc>
        <w:tc>
          <w:tcPr>
            <w:tcW w:w="3030" w:type="dxa"/>
            <w:shd w:val="clear" w:color="auto" w:fill="auto"/>
            <w:vAlign w:val="center"/>
          </w:tcPr>
          <w:p w14:paraId="490CF99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消防管理标牌30*40（灭火器）</w:t>
            </w:r>
          </w:p>
        </w:tc>
        <w:tc>
          <w:tcPr>
            <w:tcW w:w="7231" w:type="dxa"/>
            <w:shd w:val="clear" w:color="auto" w:fill="auto"/>
            <w:vAlign w:val="center"/>
          </w:tcPr>
          <w:p w14:paraId="6459ACE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字体清晰，安装方便，带背胶。</w:t>
            </w:r>
          </w:p>
        </w:tc>
        <w:tc>
          <w:tcPr>
            <w:tcW w:w="885" w:type="dxa"/>
            <w:shd w:val="clear" w:color="auto" w:fill="auto"/>
            <w:vAlign w:val="center"/>
          </w:tcPr>
          <w:p w14:paraId="2D42058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张</w:t>
            </w:r>
          </w:p>
        </w:tc>
        <w:tc>
          <w:tcPr>
            <w:tcW w:w="984" w:type="dxa"/>
            <w:shd w:val="clear" w:color="auto" w:fill="auto"/>
            <w:vAlign w:val="center"/>
          </w:tcPr>
          <w:p w14:paraId="1F95E0D1">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1500 </w:t>
            </w:r>
          </w:p>
        </w:tc>
        <w:tc>
          <w:tcPr>
            <w:tcW w:w="1239" w:type="dxa"/>
            <w:shd w:val="clear" w:color="auto" w:fill="auto"/>
            <w:vAlign w:val="top"/>
          </w:tcPr>
          <w:p w14:paraId="2E7A0B5E">
            <w:pPr>
              <w:jc w:val="left"/>
              <w:rPr>
                <w:rFonts w:hint="eastAsia" w:ascii="宋体" w:hAnsi="宋体" w:eastAsia="宋体" w:cs="宋体"/>
                <w:i w:val="0"/>
                <w:iCs w:val="0"/>
                <w:color w:val="000000"/>
                <w:sz w:val="21"/>
                <w:szCs w:val="21"/>
                <w:highlight w:val="none"/>
                <w:u w:val="none"/>
              </w:rPr>
            </w:pPr>
          </w:p>
        </w:tc>
      </w:tr>
      <w:tr w14:paraId="2A832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0221A8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32 </w:t>
            </w:r>
          </w:p>
        </w:tc>
        <w:tc>
          <w:tcPr>
            <w:tcW w:w="1239" w:type="dxa"/>
            <w:shd w:val="clear" w:color="auto" w:fill="auto"/>
            <w:vAlign w:val="center"/>
          </w:tcPr>
          <w:p w14:paraId="354107A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XF1066</w:t>
            </w:r>
          </w:p>
        </w:tc>
        <w:tc>
          <w:tcPr>
            <w:tcW w:w="3030" w:type="dxa"/>
            <w:shd w:val="clear" w:color="auto" w:fill="auto"/>
            <w:vAlign w:val="center"/>
          </w:tcPr>
          <w:p w14:paraId="24679F0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消防演练燃烧铁桶</w:t>
            </w:r>
          </w:p>
        </w:tc>
        <w:tc>
          <w:tcPr>
            <w:tcW w:w="7231" w:type="dxa"/>
            <w:shd w:val="clear" w:color="auto" w:fill="auto"/>
            <w:vAlign w:val="center"/>
          </w:tcPr>
          <w:p w14:paraId="6F3F582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内部结构光滑，烤漆均匀，灵活拉手，便于运输，底部加高，抗震耐摔。直径60cm，高30cm。</w:t>
            </w:r>
          </w:p>
        </w:tc>
        <w:tc>
          <w:tcPr>
            <w:tcW w:w="885" w:type="dxa"/>
            <w:shd w:val="clear" w:color="auto" w:fill="auto"/>
            <w:vAlign w:val="center"/>
          </w:tcPr>
          <w:p w14:paraId="3228A9E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5D12631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5 </w:t>
            </w:r>
          </w:p>
        </w:tc>
        <w:tc>
          <w:tcPr>
            <w:tcW w:w="1239" w:type="dxa"/>
            <w:shd w:val="clear" w:color="auto" w:fill="auto"/>
            <w:vAlign w:val="top"/>
          </w:tcPr>
          <w:p w14:paraId="7E206097">
            <w:pPr>
              <w:jc w:val="left"/>
              <w:rPr>
                <w:rFonts w:hint="eastAsia" w:ascii="宋体" w:hAnsi="宋体" w:eastAsia="宋体" w:cs="宋体"/>
                <w:i w:val="0"/>
                <w:iCs w:val="0"/>
                <w:color w:val="000000"/>
                <w:sz w:val="21"/>
                <w:szCs w:val="21"/>
                <w:highlight w:val="none"/>
                <w:u w:val="none"/>
              </w:rPr>
            </w:pPr>
          </w:p>
        </w:tc>
      </w:tr>
      <w:tr w14:paraId="07F49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2D85EA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33 </w:t>
            </w:r>
          </w:p>
        </w:tc>
        <w:tc>
          <w:tcPr>
            <w:tcW w:w="1239" w:type="dxa"/>
            <w:shd w:val="clear" w:color="auto" w:fill="auto"/>
            <w:vAlign w:val="center"/>
          </w:tcPr>
          <w:p w14:paraId="382E861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XF1067</w:t>
            </w:r>
          </w:p>
        </w:tc>
        <w:tc>
          <w:tcPr>
            <w:tcW w:w="3030" w:type="dxa"/>
            <w:shd w:val="clear" w:color="auto" w:fill="auto"/>
            <w:vAlign w:val="center"/>
          </w:tcPr>
          <w:p w14:paraId="3E9B846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消防扳手加厚</w:t>
            </w:r>
          </w:p>
        </w:tc>
        <w:tc>
          <w:tcPr>
            <w:tcW w:w="7231" w:type="dxa"/>
            <w:shd w:val="clear" w:color="auto" w:fill="auto"/>
            <w:vAlign w:val="center"/>
          </w:tcPr>
          <w:p w14:paraId="278D21F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铁质能方便开启地上消火栓开关。</w:t>
            </w:r>
          </w:p>
        </w:tc>
        <w:tc>
          <w:tcPr>
            <w:tcW w:w="885" w:type="dxa"/>
            <w:shd w:val="clear" w:color="auto" w:fill="auto"/>
            <w:vAlign w:val="center"/>
          </w:tcPr>
          <w:p w14:paraId="68D77BD1">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把</w:t>
            </w:r>
          </w:p>
        </w:tc>
        <w:tc>
          <w:tcPr>
            <w:tcW w:w="984" w:type="dxa"/>
            <w:shd w:val="clear" w:color="auto" w:fill="auto"/>
            <w:vAlign w:val="center"/>
          </w:tcPr>
          <w:p w14:paraId="7A680BCD">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20 </w:t>
            </w:r>
          </w:p>
        </w:tc>
        <w:tc>
          <w:tcPr>
            <w:tcW w:w="1239" w:type="dxa"/>
            <w:shd w:val="clear" w:color="auto" w:fill="auto"/>
            <w:vAlign w:val="top"/>
          </w:tcPr>
          <w:p w14:paraId="0B6580BC">
            <w:pPr>
              <w:jc w:val="left"/>
              <w:rPr>
                <w:rFonts w:hint="eastAsia" w:ascii="宋体" w:hAnsi="宋体" w:eastAsia="宋体" w:cs="宋体"/>
                <w:i w:val="0"/>
                <w:iCs w:val="0"/>
                <w:color w:val="000000"/>
                <w:sz w:val="21"/>
                <w:szCs w:val="21"/>
                <w:highlight w:val="none"/>
                <w:u w:val="none"/>
              </w:rPr>
            </w:pPr>
          </w:p>
        </w:tc>
      </w:tr>
      <w:tr w14:paraId="7B42E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trPr>
        <w:tc>
          <w:tcPr>
            <w:tcW w:w="743" w:type="dxa"/>
            <w:shd w:val="clear" w:color="auto" w:fill="auto"/>
            <w:vAlign w:val="center"/>
          </w:tcPr>
          <w:p w14:paraId="0C7F32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34 </w:t>
            </w:r>
          </w:p>
        </w:tc>
        <w:tc>
          <w:tcPr>
            <w:tcW w:w="1239" w:type="dxa"/>
            <w:shd w:val="clear" w:color="auto" w:fill="auto"/>
            <w:vAlign w:val="center"/>
          </w:tcPr>
          <w:p w14:paraId="4246673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XF1070</w:t>
            </w:r>
          </w:p>
        </w:tc>
        <w:tc>
          <w:tcPr>
            <w:tcW w:w="3030" w:type="dxa"/>
            <w:shd w:val="clear" w:color="auto" w:fill="auto"/>
            <w:vAlign w:val="center"/>
          </w:tcPr>
          <w:p w14:paraId="63DF3E7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消防破拆工具（撬棍）</w:t>
            </w:r>
          </w:p>
        </w:tc>
        <w:tc>
          <w:tcPr>
            <w:tcW w:w="7231" w:type="dxa"/>
            <w:shd w:val="clear" w:color="auto" w:fill="auto"/>
            <w:vAlign w:val="center"/>
          </w:tcPr>
          <w:p w14:paraId="51B2880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总长1m,直径25mm，由高碳六棱钢锻打制成，铁铤一头为羊角撬头一头为尖可凿、撬、抬、起钉等功能。经淬火工艺硬度（HRC）48-55之间，适用于城市破拆、地震救援等功能。</w:t>
            </w:r>
          </w:p>
        </w:tc>
        <w:tc>
          <w:tcPr>
            <w:tcW w:w="885" w:type="dxa"/>
            <w:shd w:val="clear" w:color="auto" w:fill="auto"/>
            <w:vAlign w:val="center"/>
          </w:tcPr>
          <w:p w14:paraId="586CF8B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062B0FF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30 </w:t>
            </w:r>
          </w:p>
        </w:tc>
        <w:tc>
          <w:tcPr>
            <w:tcW w:w="1239" w:type="dxa"/>
            <w:shd w:val="clear" w:color="auto" w:fill="auto"/>
            <w:vAlign w:val="top"/>
          </w:tcPr>
          <w:p w14:paraId="6C953720">
            <w:pPr>
              <w:jc w:val="left"/>
              <w:rPr>
                <w:rFonts w:hint="eastAsia" w:ascii="宋体" w:hAnsi="宋体" w:eastAsia="宋体" w:cs="宋体"/>
                <w:i w:val="0"/>
                <w:iCs w:val="0"/>
                <w:color w:val="000000"/>
                <w:sz w:val="21"/>
                <w:szCs w:val="21"/>
                <w:highlight w:val="none"/>
                <w:u w:val="none"/>
              </w:rPr>
            </w:pPr>
          </w:p>
        </w:tc>
      </w:tr>
      <w:tr w14:paraId="7743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58" w:hRule="atLeast"/>
        </w:trPr>
        <w:tc>
          <w:tcPr>
            <w:tcW w:w="743" w:type="dxa"/>
            <w:shd w:val="clear" w:color="auto" w:fill="auto"/>
            <w:vAlign w:val="center"/>
          </w:tcPr>
          <w:p w14:paraId="6732D7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35 </w:t>
            </w:r>
          </w:p>
        </w:tc>
        <w:tc>
          <w:tcPr>
            <w:tcW w:w="1239" w:type="dxa"/>
            <w:shd w:val="clear" w:color="auto" w:fill="auto"/>
            <w:vAlign w:val="center"/>
          </w:tcPr>
          <w:p w14:paraId="741CC01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XF1071</w:t>
            </w:r>
          </w:p>
        </w:tc>
        <w:tc>
          <w:tcPr>
            <w:tcW w:w="3030" w:type="dxa"/>
            <w:shd w:val="clear" w:color="auto" w:fill="auto"/>
            <w:vAlign w:val="center"/>
          </w:tcPr>
          <w:p w14:paraId="4DDA7827">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消防破拆工具（绝缘断线钳）</w:t>
            </w:r>
          </w:p>
        </w:tc>
        <w:tc>
          <w:tcPr>
            <w:tcW w:w="7231" w:type="dxa"/>
            <w:shd w:val="clear" w:color="auto" w:fill="auto"/>
            <w:vAlign w:val="center"/>
          </w:tcPr>
          <w:p w14:paraId="68391328">
            <w:pPr>
              <w:pStyle w:val="31"/>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i w:val="0"/>
                <w:iCs w:val="0"/>
                <w:color w:val="000000"/>
                <w:kern w:val="2"/>
                <w:sz w:val="21"/>
                <w:szCs w:val="21"/>
                <w:highlight w:val="none"/>
                <w:u w:val="none"/>
                <w:lang w:val="en-US" w:eastAsia="zh-CN" w:bidi="ar-SA"/>
              </w:rPr>
            </w:pPr>
            <w:r>
              <w:rPr>
                <w:rFonts w:hint="default" w:ascii="宋体" w:hAnsi="宋体" w:eastAsia="宋体" w:cs="宋体"/>
                <w:b w:val="0"/>
                <w:bCs/>
                <w:color w:val="auto"/>
                <w:sz w:val="21"/>
                <w:szCs w:val="21"/>
                <w:highlight w:val="none"/>
                <w:shd w:val="clear" w:color="auto" w:fill="FFFFFF"/>
                <w:lang w:val="en-US" w:eastAsia="zh-CN"/>
              </w:rPr>
              <w:t>剪刃口硬度：HRC56—58，剪柄耐电压</w:t>
            </w:r>
            <w:r>
              <w:rPr>
                <w:rFonts w:hint="eastAsia" w:ascii="宋体" w:hAnsi="宋体" w:eastAsia="宋体" w:cs="宋体"/>
                <w:b w:val="0"/>
                <w:bCs/>
                <w:color w:val="auto"/>
                <w:sz w:val="21"/>
                <w:szCs w:val="21"/>
                <w:highlight w:val="none"/>
                <w:shd w:val="clear" w:color="auto" w:fill="FFFFFF"/>
                <w:lang w:val="en-US" w:eastAsia="zh-CN"/>
              </w:rPr>
              <w:t>≥</w:t>
            </w:r>
            <w:r>
              <w:rPr>
                <w:rFonts w:hint="default" w:ascii="宋体" w:hAnsi="宋体" w:eastAsia="宋体" w:cs="宋体"/>
                <w:b w:val="0"/>
                <w:bCs/>
                <w:color w:val="auto"/>
                <w:sz w:val="21"/>
                <w:szCs w:val="21"/>
                <w:highlight w:val="none"/>
                <w:shd w:val="clear" w:color="auto" w:fill="FFFFFF"/>
                <w:lang w:val="en-US" w:eastAsia="zh-CN"/>
              </w:rPr>
              <w:t>5000V</w:t>
            </w:r>
            <w:r>
              <w:rPr>
                <w:rFonts w:hint="eastAsia" w:ascii="宋体" w:hAnsi="宋体" w:eastAsia="宋体" w:cs="宋体"/>
                <w:b w:val="0"/>
                <w:bCs/>
                <w:color w:val="auto"/>
                <w:sz w:val="21"/>
                <w:szCs w:val="21"/>
                <w:highlight w:val="none"/>
                <w:shd w:val="clear" w:color="auto" w:fill="FFFFFF"/>
                <w:lang w:val="en-US" w:eastAsia="zh-CN"/>
              </w:rPr>
              <w:t>，绝缘≥380V，</w:t>
            </w:r>
            <w:r>
              <w:rPr>
                <w:rFonts w:hint="default" w:ascii="宋体" w:hAnsi="宋体" w:eastAsia="宋体" w:cs="宋体"/>
                <w:b w:val="0"/>
                <w:bCs/>
                <w:color w:val="auto"/>
                <w:sz w:val="21"/>
                <w:szCs w:val="21"/>
                <w:highlight w:val="none"/>
                <w:shd w:val="clear" w:color="auto" w:fill="FFFFFF"/>
                <w:lang w:val="en-US" w:eastAsia="zh-CN"/>
              </w:rPr>
              <w:t>铬钒钢钳头，环氧树脂手柄2.2mm均厚。双拼加厚手柄，产品规格：36寸</w:t>
            </w:r>
            <w:r>
              <w:rPr>
                <w:rFonts w:hint="eastAsia" w:ascii="宋体" w:hAnsi="宋体" w:eastAsia="宋体" w:cs="宋体"/>
                <w:b w:val="0"/>
                <w:bCs/>
                <w:color w:val="auto"/>
                <w:sz w:val="21"/>
                <w:szCs w:val="21"/>
                <w:highlight w:val="none"/>
                <w:shd w:val="clear" w:color="auto" w:fill="FFFFFF"/>
                <w:lang w:val="en-US" w:eastAsia="zh-CN"/>
              </w:rPr>
              <w:t>，</w:t>
            </w:r>
            <w:r>
              <w:rPr>
                <w:rFonts w:hint="default" w:ascii="宋体" w:hAnsi="宋体" w:eastAsia="宋体" w:cs="宋体"/>
                <w:b w:val="0"/>
                <w:bCs/>
                <w:color w:val="auto"/>
                <w:sz w:val="21"/>
                <w:szCs w:val="21"/>
                <w:highlight w:val="none"/>
                <w:shd w:val="clear" w:color="auto" w:fill="FFFFFF"/>
                <w:lang w:val="en-US" w:eastAsia="zh-CN"/>
              </w:rPr>
              <w:t>剪切能力：12mm钢筋剪切，22mm线缆剪切。产品重量</w:t>
            </w:r>
            <w:r>
              <w:rPr>
                <w:rFonts w:hint="eastAsia" w:ascii="宋体" w:hAnsi="宋体" w:eastAsia="宋体" w:cs="宋体"/>
                <w:b w:val="0"/>
                <w:bCs/>
                <w:color w:val="auto"/>
                <w:sz w:val="21"/>
                <w:szCs w:val="21"/>
                <w:highlight w:val="none"/>
                <w:shd w:val="clear" w:color="auto" w:fill="FFFFFF"/>
                <w:lang w:val="en-US" w:eastAsia="zh-CN"/>
              </w:rPr>
              <w:t>约</w:t>
            </w:r>
            <w:r>
              <w:rPr>
                <w:rFonts w:hint="default" w:ascii="宋体" w:hAnsi="宋体" w:eastAsia="宋体" w:cs="宋体"/>
                <w:b w:val="0"/>
                <w:bCs/>
                <w:color w:val="auto"/>
                <w:sz w:val="21"/>
                <w:szCs w:val="21"/>
                <w:highlight w:val="none"/>
                <w:shd w:val="clear" w:color="auto" w:fill="FFFFFF"/>
                <w:lang w:val="en-US" w:eastAsia="zh-CN"/>
              </w:rPr>
              <w:t>5.9kg</w:t>
            </w:r>
            <w:r>
              <w:rPr>
                <w:rFonts w:hint="eastAsia" w:ascii="宋体" w:hAnsi="宋体" w:eastAsia="宋体" w:cs="宋体"/>
                <w:b w:val="0"/>
                <w:bCs/>
                <w:color w:val="auto"/>
                <w:sz w:val="21"/>
                <w:szCs w:val="21"/>
                <w:highlight w:val="none"/>
                <w:shd w:val="clear" w:color="auto" w:fill="FFFFFF"/>
                <w:lang w:val="en-US" w:eastAsia="zh-CN"/>
              </w:rPr>
              <w:t>左右</w:t>
            </w:r>
            <w:r>
              <w:rPr>
                <w:rFonts w:hint="default" w:ascii="宋体" w:hAnsi="宋体" w:eastAsia="宋体" w:cs="宋体"/>
                <w:b w:val="0"/>
                <w:bCs/>
                <w:color w:val="auto"/>
                <w:sz w:val="21"/>
                <w:szCs w:val="21"/>
                <w:highlight w:val="none"/>
                <w:shd w:val="clear" w:color="auto" w:fill="FFFFFF"/>
                <w:lang w:val="en-US" w:eastAsia="zh-CN"/>
              </w:rPr>
              <w:t>，符合QBT2206-2011断线钳标准</w:t>
            </w:r>
            <w:r>
              <w:rPr>
                <w:rFonts w:hint="eastAsia" w:ascii="宋体" w:hAnsi="宋体" w:eastAsia="宋体" w:cs="宋体"/>
                <w:b w:val="0"/>
                <w:bCs/>
                <w:color w:val="auto"/>
                <w:sz w:val="21"/>
                <w:szCs w:val="21"/>
                <w:highlight w:val="none"/>
                <w:shd w:val="clear" w:color="auto" w:fill="FFFFFF"/>
                <w:lang w:val="en-US" w:eastAsia="zh-CN"/>
              </w:rPr>
              <w:t>。</w:t>
            </w:r>
            <w:r>
              <w:rPr>
                <w:rFonts w:hint="default" w:ascii="宋体" w:hAnsi="宋体" w:eastAsia="宋体" w:cs="宋体"/>
                <w:b w:val="0"/>
                <w:bCs/>
                <w:color w:val="auto"/>
                <w:sz w:val="21"/>
                <w:szCs w:val="21"/>
                <w:highlight w:val="none"/>
                <w:shd w:val="clear" w:color="auto" w:fill="FFFFFF"/>
                <w:lang w:val="en-US" w:eastAsia="zh-CN"/>
              </w:rPr>
              <w:t>施加工频电压7kv，时间1min试验中未出现闪络或击穿，试验后无放电、灼伤痕迹，无明显发热现象。符合《电力安全工器具预防性试验规程》DL/T1476-2015标准。绝缘断线钳主要用来剪电线的</w:t>
            </w:r>
            <w:r>
              <w:rPr>
                <w:rFonts w:hint="eastAsia" w:ascii="宋体" w:hAnsi="宋体" w:eastAsia="宋体" w:cs="宋体"/>
                <w:b w:val="0"/>
                <w:bCs/>
                <w:color w:val="auto"/>
                <w:sz w:val="21"/>
                <w:szCs w:val="21"/>
                <w:highlight w:val="none"/>
                <w:shd w:val="clear" w:color="auto" w:fill="FFFFFF"/>
                <w:lang w:val="en-US" w:eastAsia="zh-CN"/>
              </w:rPr>
              <w:t>，在紧急情况下也需要其满足细小</w:t>
            </w:r>
            <w:r>
              <w:rPr>
                <w:rFonts w:hint="default" w:ascii="宋体" w:hAnsi="宋体" w:eastAsia="宋体" w:cs="宋体"/>
                <w:b w:val="0"/>
                <w:bCs/>
                <w:color w:val="auto"/>
                <w:sz w:val="21"/>
                <w:szCs w:val="21"/>
                <w:highlight w:val="none"/>
                <w:shd w:val="clear" w:color="auto" w:fill="FFFFFF"/>
                <w:lang w:val="en-US" w:eastAsia="zh-CN"/>
              </w:rPr>
              <w:t>钢筋剪切</w:t>
            </w:r>
            <w:r>
              <w:rPr>
                <w:rFonts w:hint="eastAsia" w:ascii="宋体" w:hAnsi="宋体" w:eastAsia="宋体" w:cs="宋体"/>
                <w:b w:val="0"/>
                <w:bCs/>
                <w:color w:val="auto"/>
                <w:sz w:val="21"/>
                <w:szCs w:val="21"/>
                <w:highlight w:val="none"/>
                <w:shd w:val="clear" w:color="auto" w:fill="FFFFFF"/>
                <w:lang w:val="en-US" w:eastAsia="zh-CN"/>
              </w:rPr>
              <w:t>的需求。</w:t>
            </w:r>
          </w:p>
        </w:tc>
        <w:tc>
          <w:tcPr>
            <w:tcW w:w="885" w:type="dxa"/>
            <w:shd w:val="clear" w:color="auto" w:fill="auto"/>
            <w:vAlign w:val="center"/>
          </w:tcPr>
          <w:p w14:paraId="16E58EF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2B39BC6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20 </w:t>
            </w:r>
          </w:p>
        </w:tc>
        <w:tc>
          <w:tcPr>
            <w:tcW w:w="1239" w:type="dxa"/>
            <w:shd w:val="clear" w:color="auto" w:fill="auto"/>
            <w:vAlign w:val="top"/>
          </w:tcPr>
          <w:p w14:paraId="2F7C9E26">
            <w:pPr>
              <w:jc w:val="left"/>
              <w:rPr>
                <w:rFonts w:hint="eastAsia" w:ascii="宋体" w:hAnsi="宋体" w:eastAsia="宋体" w:cs="宋体"/>
                <w:i w:val="0"/>
                <w:iCs w:val="0"/>
                <w:color w:val="000000"/>
                <w:sz w:val="21"/>
                <w:szCs w:val="21"/>
                <w:highlight w:val="none"/>
                <w:u w:val="none"/>
              </w:rPr>
            </w:pPr>
          </w:p>
        </w:tc>
      </w:tr>
      <w:tr w14:paraId="0A420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30" w:hRule="atLeast"/>
        </w:trPr>
        <w:tc>
          <w:tcPr>
            <w:tcW w:w="743" w:type="dxa"/>
            <w:shd w:val="clear" w:color="auto" w:fill="auto"/>
            <w:vAlign w:val="center"/>
          </w:tcPr>
          <w:p w14:paraId="055FA6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36 </w:t>
            </w:r>
          </w:p>
        </w:tc>
        <w:tc>
          <w:tcPr>
            <w:tcW w:w="1239" w:type="dxa"/>
            <w:shd w:val="clear" w:color="auto" w:fill="auto"/>
            <w:vAlign w:val="center"/>
          </w:tcPr>
          <w:p w14:paraId="333BD61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XF1072</w:t>
            </w:r>
          </w:p>
        </w:tc>
        <w:tc>
          <w:tcPr>
            <w:tcW w:w="3030" w:type="dxa"/>
            <w:shd w:val="clear" w:color="auto" w:fill="auto"/>
            <w:vAlign w:val="center"/>
          </w:tcPr>
          <w:p w14:paraId="7C93143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消防破拆工具（破窗锤）</w:t>
            </w:r>
          </w:p>
        </w:tc>
        <w:tc>
          <w:tcPr>
            <w:tcW w:w="7231" w:type="dxa"/>
            <w:shd w:val="clear" w:color="auto" w:fill="auto"/>
            <w:vAlign w:val="center"/>
          </w:tcPr>
          <w:p w14:paraId="3AC6731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全金属材质，耐高温，耐低温，尺寸：总长约228mm，与底座配有防盗弹簧钢丝绳，可安装在玻璃上，适用于玻璃厚度：12至15mm，玻璃面积：2至4平方米。</w:t>
            </w:r>
          </w:p>
        </w:tc>
        <w:tc>
          <w:tcPr>
            <w:tcW w:w="885" w:type="dxa"/>
            <w:shd w:val="clear" w:color="auto" w:fill="auto"/>
            <w:vAlign w:val="center"/>
          </w:tcPr>
          <w:p w14:paraId="42EA7A0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44B5EF80">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30 </w:t>
            </w:r>
          </w:p>
        </w:tc>
        <w:tc>
          <w:tcPr>
            <w:tcW w:w="1239" w:type="dxa"/>
            <w:shd w:val="clear" w:color="auto" w:fill="auto"/>
            <w:vAlign w:val="top"/>
          </w:tcPr>
          <w:p w14:paraId="238C3E4B">
            <w:pPr>
              <w:jc w:val="left"/>
              <w:rPr>
                <w:rFonts w:hint="eastAsia" w:ascii="宋体" w:hAnsi="宋体" w:eastAsia="宋体" w:cs="宋体"/>
                <w:i w:val="0"/>
                <w:iCs w:val="0"/>
                <w:color w:val="000000"/>
                <w:sz w:val="21"/>
                <w:szCs w:val="21"/>
                <w:highlight w:val="none"/>
                <w:u w:val="none"/>
              </w:rPr>
            </w:pPr>
          </w:p>
        </w:tc>
      </w:tr>
      <w:tr w14:paraId="6C6C8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43" w:type="dxa"/>
            <w:shd w:val="clear" w:color="auto" w:fill="auto"/>
            <w:vAlign w:val="center"/>
          </w:tcPr>
          <w:p w14:paraId="327E9B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37 </w:t>
            </w:r>
          </w:p>
        </w:tc>
        <w:tc>
          <w:tcPr>
            <w:tcW w:w="1239" w:type="dxa"/>
            <w:shd w:val="clear" w:color="auto" w:fill="auto"/>
            <w:vAlign w:val="center"/>
          </w:tcPr>
          <w:p w14:paraId="1A651A21">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XF8013</w:t>
            </w:r>
          </w:p>
        </w:tc>
        <w:tc>
          <w:tcPr>
            <w:tcW w:w="3030" w:type="dxa"/>
            <w:shd w:val="clear" w:color="auto" w:fill="auto"/>
            <w:vAlign w:val="center"/>
          </w:tcPr>
          <w:p w14:paraId="7BC78AA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新能源汽车灭火毯</w:t>
            </w:r>
          </w:p>
        </w:tc>
        <w:tc>
          <w:tcPr>
            <w:tcW w:w="7231" w:type="dxa"/>
            <w:shd w:val="clear" w:color="auto" w:fill="auto"/>
            <w:vAlign w:val="center"/>
          </w:tcPr>
          <w:p w14:paraId="30AE345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符合XF1205-2014《灭火毯》标准要求，采用100%无碱玻璃纤维，缝纫线采用耐高温阻燃材料，无异味，尺寸：3米×4米。</w:t>
            </w:r>
          </w:p>
        </w:tc>
        <w:tc>
          <w:tcPr>
            <w:tcW w:w="885" w:type="dxa"/>
            <w:shd w:val="clear" w:color="auto" w:fill="auto"/>
            <w:vAlign w:val="center"/>
          </w:tcPr>
          <w:p w14:paraId="0B37679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块</w:t>
            </w:r>
          </w:p>
        </w:tc>
        <w:tc>
          <w:tcPr>
            <w:tcW w:w="984" w:type="dxa"/>
            <w:shd w:val="clear" w:color="auto" w:fill="auto"/>
            <w:vAlign w:val="center"/>
          </w:tcPr>
          <w:p w14:paraId="60F52BF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50 </w:t>
            </w:r>
          </w:p>
        </w:tc>
        <w:tc>
          <w:tcPr>
            <w:tcW w:w="1239" w:type="dxa"/>
            <w:shd w:val="clear" w:color="auto" w:fill="auto"/>
            <w:vAlign w:val="top"/>
          </w:tcPr>
          <w:p w14:paraId="776BABBD">
            <w:pPr>
              <w:jc w:val="left"/>
              <w:rPr>
                <w:rFonts w:hint="eastAsia" w:ascii="宋体" w:hAnsi="宋体" w:eastAsia="宋体" w:cs="宋体"/>
                <w:i w:val="0"/>
                <w:iCs w:val="0"/>
                <w:color w:val="000000"/>
                <w:sz w:val="21"/>
                <w:szCs w:val="21"/>
                <w:highlight w:val="none"/>
                <w:u w:val="none"/>
              </w:rPr>
            </w:pPr>
          </w:p>
        </w:tc>
      </w:tr>
      <w:tr w14:paraId="12FA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43" w:type="dxa"/>
            <w:shd w:val="clear" w:color="auto" w:fill="auto"/>
            <w:vAlign w:val="center"/>
          </w:tcPr>
          <w:p w14:paraId="238BD5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38 </w:t>
            </w:r>
          </w:p>
        </w:tc>
        <w:tc>
          <w:tcPr>
            <w:tcW w:w="1239" w:type="dxa"/>
            <w:shd w:val="clear" w:color="auto" w:fill="auto"/>
            <w:vAlign w:val="center"/>
          </w:tcPr>
          <w:p w14:paraId="563A3D3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XF8014</w:t>
            </w:r>
          </w:p>
        </w:tc>
        <w:tc>
          <w:tcPr>
            <w:tcW w:w="3030" w:type="dxa"/>
            <w:shd w:val="clear" w:color="auto" w:fill="auto"/>
            <w:vAlign w:val="center"/>
          </w:tcPr>
          <w:p w14:paraId="37FE801F">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灭火器通用备件</w:t>
            </w:r>
          </w:p>
        </w:tc>
        <w:tc>
          <w:tcPr>
            <w:tcW w:w="7231" w:type="dxa"/>
            <w:shd w:val="clear" w:color="auto" w:fill="auto"/>
            <w:vAlign w:val="center"/>
          </w:tcPr>
          <w:p w14:paraId="7776324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含干粉灭火器、二氧化碳灭火器插销、铅封、软管、压力表、压把、喷嘴、软管绑带等。</w:t>
            </w:r>
          </w:p>
        </w:tc>
        <w:tc>
          <w:tcPr>
            <w:tcW w:w="885" w:type="dxa"/>
            <w:shd w:val="clear" w:color="auto" w:fill="auto"/>
            <w:vAlign w:val="center"/>
          </w:tcPr>
          <w:p w14:paraId="112C297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035C8CD4">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1000 </w:t>
            </w:r>
          </w:p>
        </w:tc>
        <w:tc>
          <w:tcPr>
            <w:tcW w:w="1239" w:type="dxa"/>
            <w:shd w:val="clear" w:color="auto" w:fill="auto"/>
            <w:vAlign w:val="top"/>
          </w:tcPr>
          <w:p w14:paraId="001ECCBB">
            <w:pPr>
              <w:jc w:val="left"/>
              <w:rPr>
                <w:rFonts w:hint="eastAsia" w:ascii="宋体" w:hAnsi="宋体" w:eastAsia="宋体" w:cs="宋体"/>
                <w:i w:val="0"/>
                <w:iCs w:val="0"/>
                <w:color w:val="000000"/>
                <w:sz w:val="21"/>
                <w:szCs w:val="21"/>
                <w:highlight w:val="none"/>
                <w:u w:val="none"/>
              </w:rPr>
            </w:pPr>
          </w:p>
        </w:tc>
      </w:tr>
      <w:tr w14:paraId="343B9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43" w:type="dxa"/>
            <w:shd w:val="clear" w:color="auto" w:fill="auto"/>
            <w:vAlign w:val="center"/>
          </w:tcPr>
          <w:p w14:paraId="792C46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39 </w:t>
            </w:r>
          </w:p>
        </w:tc>
        <w:tc>
          <w:tcPr>
            <w:tcW w:w="1239" w:type="dxa"/>
            <w:shd w:val="clear" w:color="auto" w:fill="auto"/>
            <w:vAlign w:val="center"/>
          </w:tcPr>
          <w:p w14:paraId="39617AA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XF8015</w:t>
            </w:r>
          </w:p>
        </w:tc>
        <w:tc>
          <w:tcPr>
            <w:tcW w:w="3030" w:type="dxa"/>
            <w:shd w:val="clear" w:color="auto" w:fill="auto"/>
            <w:vAlign w:val="center"/>
          </w:tcPr>
          <w:p w14:paraId="3BB3252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灭火器箱通用备件</w:t>
            </w:r>
          </w:p>
        </w:tc>
        <w:tc>
          <w:tcPr>
            <w:tcW w:w="7231" w:type="dxa"/>
            <w:shd w:val="clear" w:color="auto" w:fill="auto"/>
            <w:vAlign w:val="center"/>
          </w:tcPr>
          <w:p w14:paraId="5335EDE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含箱盖铰链、箱把手等。</w:t>
            </w:r>
          </w:p>
        </w:tc>
        <w:tc>
          <w:tcPr>
            <w:tcW w:w="885" w:type="dxa"/>
            <w:shd w:val="clear" w:color="auto" w:fill="auto"/>
            <w:vAlign w:val="center"/>
          </w:tcPr>
          <w:p w14:paraId="4FBC73E2">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07B8503A">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1000 </w:t>
            </w:r>
          </w:p>
        </w:tc>
        <w:tc>
          <w:tcPr>
            <w:tcW w:w="1239" w:type="dxa"/>
            <w:shd w:val="clear" w:color="auto" w:fill="auto"/>
            <w:vAlign w:val="top"/>
          </w:tcPr>
          <w:p w14:paraId="0BD69633">
            <w:pPr>
              <w:jc w:val="left"/>
              <w:rPr>
                <w:rFonts w:hint="eastAsia" w:ascii="宋体" w:hAnsi="宋体" w:eastAsia="宋体" w:cs="宋体"/>
                <w:i w:val="0"/>
                <w:iCs w:val="0"/>
                <w:color w:val="000000"/>
                <w:sz w:val="21"/>
                <w:szCs w:val="21"/>
                <w:highlight w:val="none"/>
                <w:u w:val="none"/>
              </w:rPr>
            </w:pPr>
          </w:p>
        </w:tc>
      </w:tr>
      <w:tr w14:paraId="165A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571541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40 </w:t>
            </w:r>
          </w:p>
        </w:tc>
        <w:tc>
          <w:tcPr>
            <w:tcW w:w="1239" w:type="dxa"/>
            <w:shd w:val="clear" w:color="auto" w:fill="auto"/>
            <w:vAlign w:val="center"/>
          </w:tcPr>
          <w:p w14:paraId="1706537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XF8016</w:t>
            </w:r>
          </w:p>
        </w:tc>
        <w:tc>
          <w:tcPr>
            <w:tcW w:w="3030" w:type="dxa"/>
            <w:shd w:val="clear" w:color="auto" w:fill="auto"/>
            <w:vAlign w:val="center"/>
          </w:tcPr>
          <w:p w14:paraId="1A8A9E23">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二氧化碳灭火器箱</w:t>
            </w:r>
          </w:p>
        </w:tc>
        <w:tc>
          <w:tcPr>
            <w:tcW w:w="7231" w:type="dxa"/>
            <w:shd w:val="clear" w:color="auto" w:fill="auto"/>
            <w:vAlign w:val="center"/>
          </w:tcPr>
          <w:p w14:paraId="4545433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容纳7KG*2,1.0mm厚铁皮。</w:t>
            </w:r>
          </w:p>
        </w:tc>
        <w:tc>
          <w:tcPr>
            <w:tcW w:w="885" w:type="dxa"/>
            <w:shd w:val="clear" w:color="auto" w:fill="auto"/>
            <w:vAlign w:val="center"/>
          </w:tcPr>
          <w:p w14:paraId="596A876C">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3A06972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20 </w:t>
            </w:r>
          </w:p>
        </w:tc>
        <w:tc>
          <w:tcPr>
            <w:tcW w:w="1239" w:type="dxa"/>
            <w:shd w:val="clear" w:color="auto" w:fill="auto"/>
            <w:vAlign w:val="top"/>
          </w:tcPr>
          <w:p w14:paraId="2995A28E">
            <w:pPr>
              <w:jc w:val="left"/>
              <w:rPr>
                <w:rFonts w:hint="eastAsia" w:ascii="宋体" w:hAnsi="宋体" w:eastAsia="宋体" w:cs="宋体"/>
                <w:i w:val="0"/>
                <w:iCs w:val="0"/>
                <w:color w:val="000000"/>
                <w:sz w:val="21"/>
                <w:szCs w:val="21"/>
                <w:highlight w:val="none"/>
                <w:u w:val="none"/>
              </w:rPr>
            </w:pPr>
          </w:p>
        </w:tc>
      </w:tr>
      <w:tr w14:paraId="1A9C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0" w:hRule="atLeast"/>
        </w:trPr>
        <w:tc>
          <w:tcPr>
            <w:tcW w:w="743" w:type="dxa"/>
            <w:shd w:val="clear" w:color="auto" w:fill="auto"/>
            <w:vAlign w:val="center"/>
          </w:tcPr>
          <w:p w14:paraId="3110ED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2"/>
                <w:sz w:val="21"/>
                <w:szCs w:val="21"/>
                <w:highlight w:val="none"/>
                <w:u w:val="none"/>
                <w:lang w:val="en-US" w:eastAsia="zh-CN" w:bidi="ar-SA"/>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 xml:space="preserve">41 </w:t>
            </w:r>
          </w:p>
        </w:tc>
        <w:tc>
          <w:tcPr>
            <w:tcW w:w="1239" w:type="dxa"/>
            <w:shd w:val="clear" w:color="auto" w:fill="auto"/>
            <w:vAlign w:val="center"/>
          </w:tcPr>
          <w:p w14:paraId="64148F06">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XF8017</w:t>
            </w:r>
          </w:p>
        </w:tc>
        <w:tc>
          <w:tcPr>
            <w:tcW w:w="3030" w:type="dxa"/>
            <w:shd w:val="clear" w:color="auto" w:fill="auto"/>
            <w:vAlign w:val="center"/>
          </w:tcPr>
          <w:p w14:paraId="57DD6759">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消防扩音器</w:t>
            </w:r>
          </w:p>
        </w:tc>
        <w:tc>
          <w:tcPr>
            <w:tcW w:w="7231" w:type="dxa"/>
            <w:shd w:val="clear" w:color="auto" w:fill="auto"/>
            <w:vAlign w:val="center"/>
          </w:tcPr>
          <w:p w14:paraId="5C1D5D3B">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录音时间不少于60秒，传送距离不少于500米，续航不少于8小时，产品为红色机身。</w:t>
            </w:r>
          </w:p>
        </w:tc>
        <w:tc>
          <w:tcPr>
            <w:tcW w:w="885" w:type="dxa"/>
            <w:shd w:val="clear" w:color="auto" w:fill="auto"/>
            <w:vAlign w:val="center"/>
          </w:tcPr>
          <w:p w14:paraId="59271F98">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个</w:t>
            </w:r>
          </w:p>
        </w:tc>
        <w:tc>
          <w:tcPr>
            <w:tcW w:w="984" w:type="dxa"/>
            <w:shd w:val="clear" w:color="auto" w:fill="auto"/>
            <w:vAlign w:val="center"/>
          </w:tcPr>
          <w:p w14:paraId="664EB2F5">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 xml:space="preserve">10 </w:t>
            </w:r>
          </w:p>
        </w:tc>
        <w:tc>
          <w:tcPr>
            <w:tcW w:w="1239" w:type="dxa"/>
            <w:shd w:val="clear" w:color="auto" w:fill="auto"/>
            <w:vAlign w:val="top"/>
          </w:tcPr>
          <w:p w14:paraId="56F4CAA4">
            <w:pPr>
              <w:jc w:val="left"/>
              <w:rPr>
                <w:rFonts w:hint="eastAsia" w:ascii="宋体" w:hAnsi="宋体" w:eastAsia="宋体" w:cs="宋体"/>
                <w:i w:val="0"/>
                <w:iCs w:val="0"/>
                <w:color w:val="000000"/>
                <w:sz w:val="21"/>
                <w:szCs w:val="21"/>
                <w:highlight w:val="none"/>
                <w:u w:val="none"/>
              </w:rPr>
            </w:pPr>
          </w:p>
        </w:tc>
      </w:tr>
    </w:tbl>
    <w:p w14:paraId="10448412">
      <w:pPr>
        <w:pStyle w:val="35"/>
        <w:keepNext w:val="0"/>
        <w:keepLines w:val="0"/>
        <w:pageBreakBefore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color w:val="000000"/>
          <w:sz w:val="24"/>
          <w:szCs w:val="24"/>
          <w:highlight w:val="none"/>
          <w:lang w:val="en-US" w:eastAsia="zh-CN"/>
        </w:rPr>
      </w:pPr>
    </w:p>
    <w:p w14:paraId="5386555F">
      <w:pPr>
        <w:pStyle w:val="35"/>
        <w:keepNext w:val="0"/>
        <w:keepLines w:val="0"/>
        <w:pageBreakBefore w:val="0"/>
        <w:numPr>
          <w:ilvl w:val="0"/>
          <w:numId w:val="0"/>
        </w:numPr>
        <w:kinsoku/>
        <w:wordWrap/>
        <w:overflowPunct/>
        <w:topLinePunct w:val="0"/>
        <w:autoSpaceDE/>
        <w:autoSpaceDN/>
        <w:bidi w:val="0"/>
        <w:adjustRightInd/>
        <w:snapToGrid/>
        <w:jc w:val="both"/>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备注：</w:t>
      </w:r>
    </w:p>
    <w:p w14:paraId="4AC76CF8">
      <w:pPr>
        <w:pStyle w:val="35"/>
        <w:keepNext w:val="0"/>
        <w:keepLines w:val="0"/>
        <w:pageBreakBefore w:val="0"/>
        <w:numPr>
          <w:ilvl w:val="0"/>
          <w:numId w:val="13"/>
        </w:numPr>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投标文件中须提供上述采购清单中所有所投产品的图样资料，未提供的按无效投标处理。（供货时投标产品的主要参数以图片厂家对外发布的参数为准）。</w:t>
      </w:r>
    </w:p>
    <w:p w14:paraId="602601A0">
      <w:pPr>
        <w:pStyle w:val="35"/>
        <w:keepNext w:val="0"/>
        <w:keepLines w:val="0"/>
        <w:pageBreakBefore w:val="0"/>
        <w:numPr>
          <w:ilvl w:val="0"/>
          <w:numId w:val="13"/>
        </w:numPr>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上述清单中第1-8项、第</w:t>
      </w:r>
      <w:r>
        <w:rPr>
          <w:rFonts w:hint="eastAsia" w:ascii="宋体" w:hAnsi="宋体" w:cs="宋体"/>
          <w:b/>
          <w:bCs/>
          <w:color w:val="000000"/>
          <w:sz w:val="24"/>
          <w:szCs w:val="24"/>
          <w:highlight w:val="none"/>
          <w:lang w:val="en-US" w:eastAsia="zh-CN"/>
        </w:rPr>
        <w:t>14项、</w:t>
      </w:r>
      <w:r>
        <w:rPr>
          <w:rFonts w:hint="eastAsia" w:ascii="宋体" w:hAnsi="宋体" w:eastAsia="宋体" w:cs="宋体"/>
          <w:b/>
          <w:bCs/>
          <w:color w:val="000000"/>
          <w:sz w:val="24"/>
          <w:szCs w:val="24"/>
          <w:highlight w:val="none"/>
          <w:lang w:val="en-US" w:eastAsia="zh-CN"/>
        </w:rPr>
        <w:t>第</w:t>
      </w:r>
      <w:r>
        <w:rPr>
          <w:rFonts w:hint="eastAsia" w:ascii="宋体" w:hAnsi="宋体" w:cs="宋体"/>
          <w:b/>
          <w:bCs/>
          <w:color w:val="000000"/>
          <w:sz w:val="24"/>
          <w:szCs w:val="24"/>
          <w:highlight w:val="none"/>
          <w:lang w:val="en-US" w:eastAsia="zh-CN"/>
        </w:rPr>
        <w:t>16项、</w:t>
      </w:r>
      <w:r>
        <w:rPr>
          <w:rFonts w:hint="eastAsia" w:ascii="宋体" w:hAnsi="宋体" w:eastAsia="宋体" w:cs="宋体"/>
          <w:b/>
          <w:bCs/>
          <w:color w:val="000000"/>
          <w:sz w:val="24"/>
          <w:szCs w:val="24"/>
          <w:highlight w:val="none"/>
          <w:lang w:val="en-US" w:eastAsia="zh-CN"/>
        </w:rPr>
        <w:t>第</w:t>
      </w:r>
      <w:r>
        <w:rPr>
          <w:rFonts w:hint="eastAsia" w:ascii="宋体" w:hAnsi="宋体" w:cs="宋体"/>
          <w:b/>
          <w:bCs/>
          <w:color w:val="000000"/>
          <w:sz w:val="24"/>
          <w:szCs w:val="24"/>
          <w:highlight w:val="none"/>
          <w:lang w:val="en-US" w:eastAsia="zh-CN"/>
        </w:rPr>
        <w:t>17项</w:t>
      </w:r>
      <w:r>
        <w:rPr>
          <w:rFonts w:hint="eastAsia" w:ascii="宋体" w:hAnsi="宋体" w:eastAsia="宋体" w:cs="宋体"/>
          <w:b/>
          <w:bCs/>
          <w:color w:val="000000"/>
          <w:sz w:val="24"/>
          <w:szCs w:val="24"/>
          <w:highlight w:val="none"/>
          <w:lang w:val="en-US" w:eastAsia="zh-CN"/>
        </w:rPr>
        <w:t>须在投标文件中提供消防产品3C认证证书扫描；上述清单中第10项在须投标文件中提供全性能委托检验报告；上述清单中第9项、第11-13项、第15项、第18-22项须在投标文件中提供</w:t>
      </w:r>
      <w:r>
        <w:rPr>
          <w:rFonts w:hint="default" w:ascii="宋体" w:hAnsi="宋体" w:eastAsia="宋体" w:cs="宋体"/>
          <w:b/>
          <w:bCs/>
          <w:color w:val="000000"/>
          <w:sz w:val="24"/>
          <w:szCs w:val="24"/>
          <w:highlight w:val="none"/>
          <w:lang w:val="en-US" w:eastAsia="zh-CN"/>
        </w:rPr>
        <w:t>消防产品认证</w:t>
      </w:r>
      <w:r>
        <w:rPr>
          <w:rFonts w:hint="eastAsia" w:ascii="宋体" w:hAnsi="宋体" w:eastAsia="宋体" w:cs="宋体"/>
          <w:b/>
          <w:bCs/>
          <w:color w:val="000000"/>
          <w:sz w:val="24"/>
          <w:szCs w:val="24"/>
          <w:highlight w:val="none"/>
          <w:lang w:val="en-US" w:eastAsia="zh-CN"/>
        </w:rPr>
        <w:t>证书扫描件，拥有应急管理部消防产品合格评定中心统一管理发放的消防产品自愿性认证标志。未提供或提供不全的按无效投标处理。</w:t>
      </w:r>
    </w:p>
    <w:p w14:paraId="7F3FA881">
      <w:pPr>
        <w:pStyle w:val="35"/>
        <w:keepNext w:val="0"/>
        <w:keepLines w:val="0"/>
        <w:pageBreakBefore w:val="0"/>
        <w:numPr>
          <w:ilvl w:val="0"/>
          <w:numId w:val="13"/>
        </w:numPr>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采购清单中的技术规格以及参照的品牌或型号、推荐品牌仅起说明作用，并没有任何限制性。投标人在投标过程中可以选用替代标准、品牌/型号，但这些替代要实质上满足或者优于采购清单的相关要求。</w:t>
      </w:r>
    </w:p>
    <w:p w14:paraId="5A649665">
      <w:pPr>
        <w:pStyle w:val="35"/>
        <w:keepNext w:val="0"/>
        <w:keepLines w:val="0"/>
        <w:pageBreakBefore w:val="0"/>
        <w:numPr>
          <w:ilvl w:val="0"/>
          <w:numId w:val="13"/>
        </w:numPr>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采购清单</w:t>
      </w:r>
      <w:r>
        <w:rPr>
          <w:rFonts w:hint="eastAsia" w:ascii="宋体" w:hAnsi="宋体" w:eastAsia="宋体" w:cs="宋体"/>
          <w:b/>
          <w:bCs/>
          <w:color w:val="000000"/>
          <w:sz w:val="24"/>
          <w:szCs w:val="24"/>
          <w:highlight w:val="none"/>
          <w:lang w:val="zh-CN" w:eastAsia="zh-CN"/>
        </w:rPr>
        <w:t>数量为预估数量，实际采购数量以签订合同后招标人每次下达的《订货通知单》为准，</w:t>
      </w:r>
      <w:r>
        <w:rPr>
          <w:rFonts w:hint="eastAsia" w:ascii="宋体" w:hAnsi="宋体" w:eastAsia="宋体" w:cs="宋体"/>
          <w:b/>
          <w:bCs/>
          <w:color w:val="000000"/>
          <w:sz w:val="24"/>
          <w:szCs w:val="24"/>
          <w:highlight w:val="none"/>
          <w:lang w:val="en-US" w:eastAsia="zh-CN"/>
        </w:rPr>
        <w:t>并按实结算。</w:t>
      </w:r>
    </w:p>
    <w:p w14:paraId="47F3233A">
      <w:pPr>
        <w:pStyle w:val="35"/>
        <w:keepNext w:val="0"/>
        <w:keepLines w:val="0"/>
        <w:pageBreakBefore w:val="0"/>
        <w:numPr>
          <w:ilvl w:val="0"/>
          <w:numId w:val="13"/>
        </w:numPr>
        <w:kinsoku/>
        <w:wordWrap/>
        <w:overflowPunct/>
        <w:topLinePunct w:val="0"/>
        <w:autoSpaceDE/>
        <w:autoSpaceDN/>
        <w:bidi w:val="0"/>
        <w:adjustRightInd/>
        <w:snapToGrid/>
        <w:ind w:left="0" w:leftChars="0" w:firstLine="482" w:firstLineChars="200"/>
        <w:jc w:val="both"/>
        <w:textAlignment w:val="auto"/>
        <w:rPr>
          <w:rFonts w:hint="eastAsia" w:ascii="宋体" w:hAnsi="宋体" w:eastAsia="宋体" w:cs="宋体"/>
          <w:b/>
          <w:bCs/>
          <w:color w:val="000000"/>
          <w:sz w:val="24"/>
          <w:szCs w:val="24"/>
          <w:highlight w:val="none"/>
          <w:lang w:val="en-US" w:eastAsia="zh-CN"/>
        </w:rPr>
        <w:sectPr>
          <w:pgSz w:w="16838" w:h="11906" w:orient="landscape"/>
          <w:pgMar w:top="794" w:right="850" w:bottom="709" w:left="850" w:header="777" w:footer="1134" w:gutter="0"/>
          <w:pgBorders>
            <w:top w:val="none" w:sz="0" w:space="0"/>
            <w:left w:val="none" w:sz="0" w:space="0"/>
            <w:bottom w:val="none" w:sz="0" w:space="0"/>
            <w:right w:val="none" w:sz="0" w:space="0"/>
          </w:pgBorders>
          <w:pgNumType w:fmt="decimal"/>
          <w:cols w:space="720" w:num="1"/>
          <w:rtlGutter w:val="0"/>
          <w:docGrid w:linePitch="0" w:charSpace="0"/>
        </w:sectPr>
      </w:pPr>
    </w:p>
    <w:p w14:paraId="2664E8D5">
      <w:pPr>
        <w:pStyle w:val="68"/>
        <w:keepNext w:val="0"/>
        <w:keepLines w:val="0"/>
        <w:pageBreakBefore w:val="0"/>
        <w:widowControl/>
        <w:numPr>
          <w:ilvl w:val="2"/>
          <w:numId w:val="0"/>
        </w:numPr>
        <w:kinsoku/>
        <w:wordWrap/>
        <w:overflowPunct/>
        <w:topLinePunct w:val="0"/>
        <w:bidi w:val="0"/>
        <w:adjustRightInd/>
        <w:snapToGrid/>
        <w:spacing w:before="0" w:beforeLines="0" w:after="0" w:afterLines="0" w:line="440" w:lineRule="exact"/>
        <w:ind w:left="0" w:leftChars="0" w:firstLine="0" w:firstLineChars="0"/>
        <w:jc w:val="center"/>
        <w:textAlignment w:val="auto"/>
        <w:rPr>
          <w:rFonts w:hint="eastAsia" w:ascii="宋体" w:hAnsi="Times New Roman" w:eastAsia="宋体" w:cs="Times New Roman"/>
          <w:b/>
          <w:bCs w:val="0"/>
          <w:color w:val="auto"/>
          <w:kern w:val="2"/>
          <w:sz w:val="32"/>
          <w:szCs w:val="32"/>
          <w:highlight w:val="none"/>
          <w:lang w:val="en-US" w:eastAsia="zh-CN" w:bidi="ar-SA"/>
        </w:rPr>
      </w:pPr>
      <w:r>
        <w:rPr>
          <w:rFonts w:hint="eastAsia" w:ascii="宋体" w:hAnsi="Times New Roman" w:eastAsia="宋体" w:cs="Times New Roman"/>
          <w:b/>
          <w:bCs w:val="0"/>
          <w:color w:val="auto"/>
          <w:kern w:val="2"/>
          <w:sz w:val="32"/>
          <w:szCs w:val="32"/>
          <w:highlight w:val="none"/>
          <w:lang w:val="en-US" w:eastAsia="zh-CN" w:bidi="ar-SA"/>
        </w:rPr>
        <w:t>第六章  合同条款及格式</w:t>
      </w:r>
    </w:p>
    <w:p w14:paraId="29407B77">
      <w:pPr>
        <w:rPr>
          <w:highlight w:val="none"/>
        </w:rPr>
      </w:pPr>
    </w:p>
    <w:tbl>
      <w:tblPr>
        <w:tblStyle w:val="37"/>
        <w:tblW w:w="0" w:type="auto"/>
        <w:tblInd w:w="56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66"/>
        <w:gridCol w:w="4690"/>
      </w:tblGrid>
      <w:tr w14:paraId="07D15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66" w:type="dxa"/>
            <w:noWrap w:val="0"/>
            <w:vAlign w:val="top"/>
          </w:tcPr>
          <w:p w14:paraId="21AAB51F">
            <w:pPr>
              <w:spacing w:line="360" w:lineRule="auto"/>
              <w:rPr>
                <w:rFonts w:hint="eastAsia" w:ascii="宋体" w:hAnsi="宋体" w:eastAsia="宋体"/>
                <w:szCs w:val="21"/>
                <w:highlight w:val="none"/>
                <w:lang w:val="en-US" w:eastAsia="zh-CN"/>
              </w:rPr>
            </w:pPr>
            <w:r>
              <w:rPr>
                <w:rFonts w:hint="eastAsia" w:ascii="宋体" w:hAnsi="宋体"/>
                <w:szCs w:val="21"/>
                <w:highlight w:val="none"/>
              </w:rPr>
              <w:t>合同</w:t>
            </w:r>
            <w:r>
              <w:rPr>
                <w:rFonts w:ascii="宋体" w:hAnsi="宋体"/>
                <w:szCs w:val="21"/>
                <w:highlight w:val="none"/>
              </w:rPr>
              <w:t>编号：</w:t>
            </w:r>
          </w:p>
          <w:p w14:paraId="1F96182B">
            <w:pPr>
              <w:pStyle w:val="3"/>
              <w:numPr>
                <w:ilvl w:val="0"/>
                <w:numId w:val="0"/>
              </w:numPr>
              <w:spacing w:before="0" w:after="0" w:line="360" w:lineRule="auto"/>
              <w:rPr>
                <w:rFonts w:ascii="宋体" w:hAnsi="宋体" w:eastAsia="宋体"/>
                <w:b w:val="0"/>
                <w:bCs w:val="0"/>
                <w:sz w:val="21"/>
                <w:szCs w:val="21"/>
                <w:highlight w:val="none"/>
              </w:rPr>
            </w:pPr>
            <w:r>
              <w:rPr>
                <w:rFonts w:hint="eastAsia" w:ascii="宋体" w:hAnsi="宋体" w:eastAsia="宋体"/>
                <w:b w:val="0"/>
                <w:bCs w:val="0"/>
                <w:sz w:val="21"/>
                <w:szCs w:val="21"/>
                <w:highlight w:val="none"/>
              </w:rPr>
              <w:t>买方：滁州市轨道交通运营有限公司</w:t>
            </w:r>
          </w:p>
          <w:p w14:paraId="7BA89253">
            <w:pPr>
              <w:spacing w:line="360" w:lineRule="auto"/>
              <w:rPr>
                <w:rFonts w:ascii="宋体" w:hAnsi="宋体"/>
                <w:szCs w:val="21"/>
                <w:highlight w:val="none"/>
              </w:rPr>
            </w:pPr>
            <w:r>
              <w:rPr>
                <w:rFonts w:hint="eastAsia" w:ascii="宋体" w:hAnsi="宋体"/>
                <w:szCs w:val="21"/>
                <w:highlight w:val="none"/>
              </w:rPr>
              <w:t>地址：安徽省滁州市南谯区徽州路701号</w:t>
            </w:r>
          </w:p>
          <w:p w14:paraId="5128201E">
            <w:pPr>
              <w:pStyle w:val="3"/>
              <w:numPr>
                <w:ilvl w:val="0"/>
                <w:numId w:val="0"/>
              </w:numPr>
              <w:spacing w:before="0" w:after="0" w:line="360" w:lineRule="auto"/>
              <w:rPr>
                <w:rFonts w:ascii="宋体" w:hAnsi="宋体" w:eastAsia="宋体"/>
                <w:b w:val="0"/>
                <w:bCs w:val="0"/>
                <w:sz w:val="21"/>
                <w:szCs w:val="21"/>
                <w:highlight w:val="none"/>
              </w:rPr>
            </w:pPr>
            <w:r>
              <w:rPr>
                <w:rFonts w:hint="eastAsia" w:ascii="宋体" w:hAnsi="宋体" w:eastAsia="宋体"/>
                <w:b w:val="0"/>
                <w:bCs w:val="0"/>
                <w:sz w:val="21"/>
                <w:szCs w:val="21"/>
                <w:highlight w:val="none"/>
              </w:rPr>
              <w:t>电话：0550-3352129</w:t>
            </w:r>
          </w:p>
          <w:p w14:paraId="3B54AE42">
            <w:pPr>
              <w:spacing w:line="360" w:lineRule="auto"/>
              <w:rPr>
                <w:rFonts w:ascii="宋体" w:hAnsi="宋体"/>
                <w:szCs w:val="21"/>
                <w:highlight w:val="none"/>
              </w:rPr>
            </w:pPr>
            <w:r>
              <w:rPr>
                <w:rFonts w:hint="eastAsia" w:ascii="宋体" w:hAnsi="宋体"/>
                <w:szCs w:val="21"/>
                <w:highlight w:val="none"/>
              </w:rPr>
              <w:t>开户银行：中信银行滁州分行营业部</w:t>
            </w:r>
          </w:p>
          <w:p w14:paraId="73FFF479">
            <w:pPr>
              <w:pStyle w:val="3"/>
              <w:numPr>
                <w:ilvl w:val="0"/>
                <w:numId w:val="0"/>
              </w:numPr>
              <w:spacing w:before="0" w:after="0" w:line="360" w:lineRule="auto"/>
              <w:rPr>
                <w:rFonts w:ascii="宋体" w:hAnsi="宋体" w:eastAsia="宋体"/>
                <w:b w:val="0"/>
                <w:bCs w:val="0"/>
                <w:sz w:val="21"/>
                <w:szCs w:val="21"/>
                <w:highlight w:val="none"/>
              </w:rPr>
            </w:pPr>
            <w:r>
              <w:rPr>
                <w:rFonts w:hint="eastAsia" w:ascii="宋体" w:hAnsi="宋体" w:eastAsia="宋体"/>
                <w:b w:val="0"/>
                <w:bCs w:val="0"/>
                <w:sz w:val="21"/>
                <w:szCs w:val="21"/>
                <w:highlight w:val="none"/>
              </w:rPr>
              <w:t>账号：8112301012400814542</w:t>
            </w:r>
          </w:p>
          <w:p w14:paraId="7EA6ABB2">
            <w:pPr>
              <w:spacing w:line="360" w:lineRule="auto"/>
              <w:rPr>
                <w:rFonts w:ascii="宋体" w:hAnsi="宋体"/>
                <w:szCs w:val="21"/>
                <w:highlight w:val="none"/>
              </w:rPr>
            </w:pPr>
            <w:r>
              <w:rPr>
                <w:rFonts w:hint="eastAsia" w:ascii="宋体" w:hAnsi="宋体"/>
                <w:szCs w:val="21"/>
                <w:highlight w:val="none"/>
              </w:rPr>
              <w:t>税号：91341100MA8N5FE85H</w:t>
            </w:r>
          </w:p>
        </w:tc>
        <w:tc>
          <w:tcPr>
            <w:tcW w:w="4690" w:type="dxa"/>
            <w:noWrap w:val="0"/>
            <w:vAlign w:val="top"/>
          </w:tcPr>
          <w:p w14:paraId="1C72C2EF">
            <w:pPr>
              <w:spacing w:line="360" w:lineRule="auto"/>
              <w:rPr>
                <w:rFonts w:ascii="宋体" w:hAnsi="宋体"/>
                <w:szCs w:val="21"/>
                <w:highlight w:val="none"/>
              </w:rPr>
            </w:pPr>
            <w:r>
              <w:rPr>
                <w:rFonts w:hint="eastAsia" w:ascii="宋体" w:hAnsi="宋体"/>
                <w:szCs w:val="21"/>
                <w:highlight w:val="none"/>
              </w:rPr>
              <w:t>签订</w:t>
            </w:r>
            <w:r>
              <w:rPr>
                <w:rFonts w:ascii="宋体" w:hAnsi="宋体"/>
                <w:szCs w:val="21"/>
                <w:highlight w:val="none"/>
              </w:rPr>
              <w:t>地点：</w:t>
            </w:r>
            <w:r>
              <w:rPr>
                <w:rFonts w:hint="eastAsia" w:ascii="宋体" w:hAnsi="宋体"/>
                <w:szCs w:val="21"/>
                <w:highlight w:val="none"/>
              </w:rPr>
              <w:t>滁州</w:t>
            </w:r>
            <w:r>
              <w:rPr>
                <w:rFonts w:ascii="宋体" w:hAnsi="宋体"/>
                <w:szCs w:val="21"/>
                <w:highlight w:val="none"/>
              </w:rPr>
              <w:t>市</w:t>
            </w:r>
          </w:p>
          <w:p w14:paraId="0C230B81">
            <w:pPr>
              <w:pStyle w:val="3"/>
              <w:numPr>
                <w:ilvl w:val="0"/>
                <w:numId w:val="0"/>
              </w:numPr>
              <w:spacing w:before="0" w:after="0" w:line="360" w:lineRule="auto"/>
              <w:rPr>
                <w:rFonts w:hint="eastAsia" w:ascii="宋体" w:hAnsi="宋体" w:eastAsia="宋体"/>
                <w:b w:val="0"/>
                <w:bCs w:val="0"/>
                <w:sz w:val="21"/>
                <w:szCs w:val="21"/>
                <w:highlight w:val="none"/>
                <w:lang w:val="en-US" w:eastAsia="zh-CN"/>
              </w:rPr>
            </w:pPr>
            <w:r>
              <w:rPr>
                <w:rFonts w:hint="eastAsia" w:ascii="宋体" w:hAnsi="宋体" w:eastAsia="宋体"/>
                <w:b w:val="0"/>
                <w:bCs w:val="0"/>
                <w:sz w:val="21"/>
                <w:szCs w:val="21"/>
                <w:highlight w:val="none"/>
              </w:rPr>
              <w:t>卖方：</w:t>
            </w:r>
          </w:p>
          <w:p w14:paraId="5FD5A49D">
            <w:pPr>
              <w:spacing w:line="360" w:lineRule="auto"/>
              <w:rPr>
                <w:rFonts w:hint="eastAsia" w:ascii="宋体" w:hAnsi="宋体"/>
                <w:szCs w:val="21"/>
                <w:highlight w:val="none"/>
              </w:rPr>
            </w:pPr>
            <w:r>
              <w:rPr>
                <w:rFonts w:hint="eastAsia" w:ascii="宋体" w:hAnsi="宋体"/>
                <w:szCs w:val="21"/>
                <w:highlight w:val="none"/>
              </w:rPr>
              <w:t>地址：</w:t>
            </w:r>
          </w:p>
          <w:p w14:paraId="789D04BB">
            <w:pPr>
              <w:spacing w:line="360" w:lineRule="auto"/>
              <w:rPr>
                <w:rFonts w:hint="default" w:ascii="宋体" w:hAnsi="宋体" w:eastAsia="宋体"/>
                <w:szCs w:val="21"/>
                <w:highlight w:val="none"/>
                <w:lang w:val="en-US" w:eastAsia="zh-CN"/>
              </w:rPr>
            </w:pPr>
            <w:r>
              <w:rPr>
                <w:rFonts w:hint="eastAsia" w:ascii="宋体" w:hAnsi="宋体"/>
                <w:szCs w:val="21"/>
                <w:highlight w:val="none"/>
              </w:rPr>
              <w:t>电话：</w:t>
            </w:r>
          </w:p>
          <w:p w14:paraId="2708603E">
            <w:pPr>
              <w:spacing w:line="360" w:lineRule="auto"/>
              <w:rPr>
                <w:rFonts w:hint="eastAsia" w:ascii="宋体" w:hAnsi="宋体"/>
                <w:szCs w:val="21"/>
                <w:highlight w:val="none"/>
              </w:rPr>
            </w:pPr>
            <w:r>
              <w:rPr>
                <w:rFonts w:hint="eastAsia" w:ascii="宋体" w:hAnsi="宋体"/>
                <w:szCs w:val="21"/>
                <w:highlight w:val="none"/>
              </w:rPr>
              <w:t>开户银行：</w:t>
            </w:r>
          </w:p>
          <w:p w14:paraId="720AA236">
            <w:pPr>
              <w:spacing w:line="360" w:lineRule="auto"/>
              <w:rPr>
                <w:rFonts w:hint="eastAsia" w:ascii="宋体" w:hAnsi="宋体"/>
                <w:szCs w:val="21"/>
                <w:highlight w:val="none"/>
              </w:rPr>
            </w:pPr>
            <w:r>
              <w:rPr>
                <w:rFonts w:hint="eastAsia" w:ascii="宋体" w:hAnsi="宋体"/>
                <w:szCs w:val="21"/>
                <w:highlight w:val="none"/>
              </w:rPr>
              <w:t>账号：</w:t>
            </w:r>
          </w:p>
          <w:p w14:paraId="3285C21F">
            <w:pPr>
              <w:pStyle w:val="3"/>
              <w:numPr>
                <w:ilvl w:val="0"/>
                <w:numId w:val="0"/>
              </w:numPr>
              <w:spacing w:before="0" w:after="0" w:line="360" w:lineRule="auto"/>
              <w:rPr>
                <w:rFonts w:hint="eastAsia" w:ascii="宋体" w:hAnsi="宋体" w:eastAsia="黑体"/>
                <w:szCs w:val="21"/>
                <w:highlight w:val="none"/>
                <w:lang w:eastAsia="zh-CN"/>
              </w:rPr>
            </w:pPr>
            <w:r>
              <w:rPr>
                <w:rFonts w:hint="eastAsia" w:ascii="宋体" w:hAnsi="宋体" w:eastAsia="宋体" w:cs="Times New Roman"/>
                <w:b w:val="0"/>
                <w:bCs w:val="0"/>
                <w:kern w:val="2"/>
                <w:sz w:val="21"/>
                <w:szCs w:val="21"/>
                <w:highlight w:val="none"/>
                <w:lang w:val="en-US" w:eastAsia="zh-CN" w:bidi="ar-SA"/>
              </w:rPr>
              <w:t>税号：</w:t>
            </w:r>
          </w:p>
        </w:tc>
      </w:tr>
    </w:tbl>
    <w:p w14:paraId="54E5A31A">
      <w:pPr>
        <w:spacing w:line="300" w:lineRule="auto"/>
        <w:rPr>
          <w:rFonts w:ascii="宋体" w:hAnsi="宋体"/>
          <w:b/>
          <w:sz w:val="10"/>
          <w:highlight w:val="none"/>
        </w:rPr>
      </w:pPr>
    </w:p>
    <w:p w14:paraId="41975702">
      <w:pPr>
        <w:snapToGrid w:val="0"/>
        <w:spacing w:line="360" w:lineRule="auto"/>
        <w:rPr>
          <w:highlight w:val="none"/>
        </w:rPr>
      </w:pPr>
      <w:r>
        <w:rPr>
          <w:rFonts w:hint="eastAsia" w:ascii="宋体" w:hAnsi="宋体"/>
          <w:szCs w:val="21"/>
          <w:highlight w:val="none"/>
        </w:rPr>
        <w:t xml:space="preserve">    根据平等互利、互守信用原则，经友好协商，买方与卖方就买方购置、卖方销售本合同约定的货物事宜达成协议，并一致同意按如下条款签订本合同。本合同中的“双方”仅指本合同的缔约方，即上述买方和卖方。</w:t>
      </w:r>
    </w:p>
    <w:p w14:paraId="09DCEACC">
      <w:pPr>
        <w:snapToGrid w:val="0"/>
        <w:spacing w:line="360" w:lineRule="auto"/>
        <w:rPr>
          <w:rFonts w:ascii="宋体" w:hAnsi="宋体"/>
          <w:b/>
          <w:bCs/>
          <w:szCs w:val="21"/>
          <w:highlight w:val="none"/>
        </w:rPr>
      </w:pPr>
      <w:r>
        <w:rPr>
          <w:rFonts w:hint="eastAsia" w:ascii="宋体" w:hAnsi="宋体"/>
          <w:b/>
          <w:szCs w:val="21"/>
          <w:highlight w:val="none"/>
        </w:rPr>
        <w:t xml:space="preserve">1.   </w:t>
      </w:r>
      <w:r>
        <w:rPr>
          <w:rFonts w:hint="eastAsia" w:ascii="宋体" w:hAnsi="宋体"/>
          <w:b/>
          <w:bCs/>
          <w:szCs w:val="21"/>
          <w:highlight w:val="none"/>
        </w:rPr>
        <w:t>货物的名称、规格、数量、</w:t>
      </w:r>
      <w:r>
        <w:rPr>
          <w:rFonts w:hint="eastAsia" w:ascii="宋体" w:hAnsi="宋体"/>
          <w:b/>
          <w:bCs/>
          <w:color w:val="000000"/>
          <w:szCs w:val="21"/>
          <w:highlight w:val="none"/>
        </w:rPr>
        <w:t>技术要求</w:t>
      </w:r>
      <w:r>
        <w:rPr>
          <w:rFonts w:hint="eastAsia" w:ascii="宋体" w:hAnsi="宋体"/>
          <w:b/>
          <w:bCs/>
          <w:szCs w:val="21"/>
          <w:highlight w:val="none"/>
        </w:rPr>
        <w:t xml:space="preserve"> </w:t>
      </w:r>
    </w:p>
    <w:p w14:paraId="510AC800">
      <w:pPr>
        <w:snapToGrid w:val="0"/>
        <w:spacing w:line="360" w:lineRule="auto"/>
        <w:ind w:left="556" w:leftChars="265"/>
        <w:rPr>
          <w:rFonts w:ascii="宋体" w:hAnsi="宋体"/>
          <w:szCs w:val="21"/>
          <w:highlight w:val="none"/>
        </w:rPr>
      </w:pPr>
      <w:r>
        <w:rPr>
          <w:rFonts w:hint="eastAsia" w:ascii="宋体" w:hAnsi="宋体"/>
          <w:szCs w:val="21"/>
          <w:highlight w:val="none"/>
        </w:rPr>
        <w:t>买方和卖方同意由卖方作为供应商，</w:t>
      </w:r>
      <w:bookmarkStart w:id="108" w:name="_Hlk50671119"/>
      <w:r>
        <w:rPr>
          <w:rFonts w:hint="eastAsia" w:ascii="宋体" w:hAnsi="宋体"/>
          <w:szCs w:val="21"/>
          <w:highlight w:val="none"/>
        </w:rPr>
        <w:t>自本框架合同签订之日起至</w:t>
      </w:r>
      <w:r>
        <w:rPr>
          <w:rFonts w:hint="eastAsia" w:ascii="宋体" w:hAnsi="宋体"/>
          <w:szCs w:val="21"/>
          <w:highlight w:val="none"/>
          <w:u w:val="single"/>
          <w:lang w:val="en-US" w:eastAsia="zh-CN"/>
        </w:rPr>
        <w:t xml:space="preserve">    </w:t>
      </w:r>
      <w:r>
        <w:rPr>
          <w:rFonts w:hint="eastAsia" w:ascii="宋体" w:hAnsi="宋体"/>
          <w:szCs w:val="21"/>
          <w:highlight w:val="none"/>
        </w:rPr>
        <w:t>年</w:t>
      </w:r>
      <w:r>
        <w:rPr>
          <w:rFonts w:hint="eastAsia" w:ascii="宋体" w:hAnsi="宋体"/>
          <w:szCs w:val="21"/>
          <w:highlight w:val="none"/>
          <w:u w:val="single"/>
          <w:lang w:val="en-US" w:eastAsia="zh-CN"/>
        </w:rPr>
        <w:t xml:space="preserve">   </w:t>
      </w:r>
      <w:r>
        <w:rPr>
          <w:rFonts w:hint="eastAsia" w:ascii="宋体" w:hAnsi="宋体"/>
          <w:szCs w:val="21"/>
          <w:highlight w:val="none"/>
        </w:rPr>
        <w:t>月</w:t>
      </w:r>
      <w:r>
        <w:rPr>
          <w:rFonts w:hint="eastAsia" w:ascii="宋体" w:hAnsi="宋体"/>
          <w:szCs w:val="21"/>
          <w:highlight w:val="none"/>
          <w:u w:val="single"/>
          <w:lang w:val="en-US" w:eastAsia="zh-CN"/>
        </w:rPr>
        <w:t xml:space="preserve">   </w:t>
      </w:r>
      <w:r>
        <w:rPr>
          <w:rFonts w:hint="eastAsia" w:ascii="宋体" w:hAnsi="宋体"/>
          <w:szCs w:val="21"/>
          <w:highlight w:val="none"/>
        </w:rPr>
        <w:t>日或买方下次采购结果</w:t>
      </w:r>
      <w:r>
        <w:rPr>
          <w:rFonts w:hint="eastAsia" w:ascii="宋体" w:hAnsi="宋体"/>
          <w:szCs w:val="21"/>
          <w:highlight w:val="none"/>
          <w:lang w:val="en-US" w:eastAsia="zh-CN"/>
        </w:rPr>
        <w:t>确定</w:t>
      </w:r>
      <w:r>
        <w:rPr>
          <w:rFonts w:hint="eastAsia" w:ascii="宋体" w:hAnsi="宋体"/>
          <w:szCs w:val="21"/>
          <w:highlight w:val="none"/>
        </w:rPr>
        <w:t>时止</w:t>
      </w:r>
      <w:bookmarkEnd w:id="108"/>
      <w:r>
        <w:rPr>
          <w:rFonts w:hint="eastAsia" w:ascii="宋体" w:hAnsi="宋体"/>
          <w:szCs w:val="21"/>
          <w:highlight w:val="none"/>
        </w:rPr>
        <w:t>，在本框架合同金额上限范围内，按照本框架合同约定的条件和《订货通知单》向买方出售货物。</w:t>
      </w:r>
      <w:bookmarkStart w:id="109" w:name="_Hlk50669640"/>
      <w:r>
        <w:rPr>
          <w:rFonts w:hint="eastAsia" w:ascii="宋体" w:hAnsi="宋体"/>
          <w:szCs w:val="21"/>
          <w:highlight w:val="none"/>
        </w:rPr>
        <w:t>货物的名称、规格、价格详见附件</w:t>
      </w:r>
      <w:r>
        <w:rPr>
          <w:rFonts w:ascii="宋体" w:hAnsi="宋体"/>
          <w:szCs w:val="21"/>
          <w:highlight w:val="none"/>
        </w:rPr>
        <w:t>1</w:t>
      </w:r>
      <w:r>
        <w:rPr>
          <w:rFonts w:hint="eastAsia" w:ascii="宋体" w:hAnsi="宋体"/>
          <w:szCs w:val="21"/>
          <w:highlight w:val="none"/>
        </w:rPr>
        <w:t>《货物清单》。</w:t>
      </w:r>
      <w:bookmarkEnd w:id="109"/>
      <w:r>
        <w:rPr>
          <w:rFonts w:hint="eastAsia" w:ascii="宋体" w:hAnsi="宋体"/>
          <w:szCs w:val="21"/>
          <w:highlight w:val="none"/>
        </w:rPr>
        <w:t>每次订购货物（为《货物清单》中的部分或全部）的名称、规格、数量以《订货通知单》为准。</w:t>
      </w:r>
    </w:p>
    <w:p w14:paraId="001FBC0B">
      <w:pPr>
        <w:snapToGrid w:val="0"/>
        <w:spacing w:line="360" w:lineRule="auto"/>
        <w:rPr>
          <w:rFonts w:ascii="宋体" w:hAnsi="宋体"/>
          <w:b/>
          <w:szCs w:val="21"/>
          <w:highlight w:val="none"/>
        </w:rPr>
      </w:pPr>
      <w:r>
        <w:rPr>
          <w:rFonts w:hint="eastAsia" w:ascii="宋体" w:hAnsi="宋体"/>
          <w:b/>
          <w:szCs w:val="21"/>
          <w:highlight w:val="none"/>
        </w:rPr>
        <w:t>2.   价格</w:t>
      </w:r>
    </w:p>
    <w:p w14:paraId="34C08C3D">
      <w:pPr>
        <w:snapToGrid w:val="0"/>
        <w:spacing w:line="360" w:lineRule="auto"/>
        <w:ind w:left="525" w:hanging="525" w:hangingChars="250"/>
        <w:rPr>
          <w:rFonts w:ascii="宋体" w:hAnsi="宋体"/>
          <w:szCs w:val="21"/>
          <w:highlight w:val="none"/>
        </w:rPr>
      </w:pPr>
      <w:r>
        <w:rPr>
          <w:rFonts w:hint="eastAsia" w:ascii="宋体" w:hAnsi="宋体"/>
          <w:szCs w:val="21"/>
          <w:highlight w:val="none"/>
        </w:rPr>
        <w:t>2.1  本框架合同的总金额（含税）上限为人民币（大写）</w:t>
      </w:r>
      <w:r>
        <w:rPr>
          <w:rFonts w:hint="eastAsia" w:ascii="宋体" w:hAnsi="宋体"/>
          <w:b/>
          <w:bCs/>
          <w:szCs w:val="21"/>
          <w:highlight w:val="none"/>
          <w:u w:val="single"/>
          <w:lang w:val="en-US" w:eastAsia="zh-CN"/>
        </w:rPr>
        <w:t xml:space="preserve">            </w:t>
      </w:r>
      <w:r>
        <w:rPr>
          <w:rFonts w:hint="eastAsia" w:ascii="宋体" w:hAnsi="宋体"/>
          <w:szCs w:val="21"/>
          <w:highlight w:val="none"/>
        </w:rPr>
        <w:t>（</w:t>
      </w:r>
      <w:r>
        <w:rPr>
          <w:rFonts w:hint="eastAsia" w:ascii="宋体" w:hAnsi="宋体" w:eastAsia="宋体" w:cs="Times New Roman"/>
          <w:b/>
          <w:bCs/>
          <w:szCs w:val="21"/>
          <w:highlight w:val="none"/>
          <w:u w:val="single"/>
        </w:rPr>
        <w:t>¥</w:t>
      </w:r>
      <w:r>
        <w:rPr>
          <w:rFonts w:hint="eastAsia" w:ascii="宋体" w:hAnsi="宋体" w:eastAsia="宋体" w:cs="Times New Roman"/>
          <w:b/>
          <w:bCs/>
          <w:szCs w:val="21"/>
          <w:highlight w:val="none"/>
          <w:u w:val="single"/>
          <w:lang w:val="en-US" w:eastAsia="zh-CN"/>
        </w:rPr>
        <w:t xml:space="preserve">      </w:t>
      </w:r>
      <w:r>
        <w:rPr>
          <w:rFonts w:hint="eastAsia" w:ascii="宋体" w:hAnsi="宋体" w:eastAsia="宋体" w:cs="Times New Roman"/>
          <w:b/>
          <w:bCs/>
          <w:szCs w:val="21"/>
          <w:highlight w:val="none"/>
          <w:u w:val="single"/>
        </w:rPr>
        <w:t>元</w:t>
      </w:r>
      <w:r>
        <w:rPr>
          <w:rFonts w:hint="eastAsia" w:ascii="宋体" w:hAnsi="宋体"/>
          <w:szCs w:val="21"/>
          <w:highlight w:val="none"/>
        </w:rPr>
        <w:t>）,采购种类、采购单价（不含税）详见附件1。买方与卖方签订的各《订货通知单》的结算总金额达到本框架合同上限总金额的</w:t>
      </w:r>
      <w:r>
        <w:rPr>
          <w:rFonts w:hint="eastAsia" w:ascii="宋体" w:hAnsi="宋体"/>
          <w:szCs w:val="21"/>
          <w:highlight w:val="none"/>
          <w:u w:val="single"/>
        </w:rPr>
        <w:t>95%</w:t>
      </w:r>
      <w:r>
        <w:rPr>
          <w:rFonts w:hint="eastAsia" w:ascii="宋体" w:hAnsi="宋体"/>
          <w:szCs w:val="21"/>
          <w:highlight w:val="none"/>
        </w:rPr>
        <w:t>至</w:t>
      </w:r>
      <w:r>
        <w:rPr>
          <w:rFonts w:hint="eastAsia" w:ascii="宋体" w:hAnsi="宋体"/>
          <w:szCs w:val="21"/>
          <w:highlight w:val="none"/>
          <w:u w:val="single"/>
        </w:rPr>
        <w:t>100%</w:t>
      </w:r>
      <w:r>
        <w:rPr>
          <w:rFonts w:hint="eastAsia" w:ascii="宋体" w:hAnsi="宋体"/>
          <w:szCs w:val="21"/>
          <w:highlight w:val="none"/>
        </w:rPr>
        <w:t>，买方有权终止本</w:t>
      </w:r>
      <w:r>
        <w:rPr>
          <w:rFonts w:hint="eastAsia" w:ascii="宋体" w:hAnsi="宋体"/>
          <w:szCs w:val="21"/>
          <w:highlight w:val="none"/>
          <w:lang w:val="en-US" w:eastAsia="zh-CN"/>
        </w:rPr>
        <w:t>框架</w:t>
      </w:r>
      <w:r>
        <w:rPr>
          <w:rFonts w:hint="eastAsia" w:ascii="宋体" w:hAnsi="宋体"/>
          <w:szCs w:val="21"/>
          <w:highlight w:val="none"/>
        </w:rPr>
        <w:t>合同。</w:t>
      </w:r>
    </w:p>
    <w:p w14:paraId="06F9D60A">
      <w:pPr>
        <w:snapToGrid w:val="0"/>
        <w:spacing w:line="360" w:lineRule="auto"/>
        <w:ind w:left="525" w:hanging="525" w:hangingChars="250"/>
        <w:rPr>
          <w:rFonts w:ascii="宋体" w:hAnsi="宋体"/>
          <w:szCs w:val="21"/>
          <w:highlight w:val="none"/>
        </w:rPr>
      </w:pPr>
      <w:r>
        <w:rPr>
          <w:rFonts w:hint="eastAsia" w:ascii="宋体" w:hAnsi="宋体"/>
          <w:szCs w:val="21"/>
          <w:highlight w:val="none"/>
        </w:rPr>
        <w:t>2.2  根据本框架合同签订的《订货通知单》受本框架合同的约束，在本合同终止或解除后，买方不再签订《订货通知单》，但各方仍应按照本合同的其他约定和已签订的《订货通知单》履行各项义务，直到该订货通知单下的权利义务履行完毕并无争议时止。《订货通知单》的终止或解除，不影响本框架合同的效力。</w:t>
      </w:r>
    </w:p>
    <w:p w14:paraId="6B60EC6D">
      <w:pPr>
        <w:snapToGrid w:val="0"/>
        <w:spacing w:line="360" w:lineRule="auto"/>
        <w:ind w:left="525" w:hanging="525" w:hangingChars="250"/>
        <w:rPr>
          <w:rFonts w:ascii="宋体" w:hAnsi="宋体"/>
          <w:szCs w:val="21"/>
          <w:highlight w:val="none"/>
        </w:rPr>
      </w:pPr>
      <w:r>
        <w:rPr>
          <w:rFonts w:hint="eastAsia" w:ascii="宋体" w:hAnsi="宋体"/>
          <w:szCs w:val="21"/>
          <w:highlight w:val="none"/>
        </w:rPr>
        <w:t>2.3  本合同中约定的价格为合同有效期内（自本框架合同签订之日起至</w:t>
      </w:r>
      <w:r>
        <w:rPr>
          <w:rFonts w:hint="eastAsia" w:ascii="宋体" w:hAnsi="宋体"/>
          <w:szCs w:val="21"/>
          <w:highlight w:val="none"/>
          <w:u w:val="single"/>
          <w:lang w:val="en-US" w:eastAsia="zh-CN"/>
        </w:rPr>
        <w:t xml:space="preserve">    </w:t>
      </w:r>
      <w:r>
        <w:rPr>
          <w:rFonts w:hint="eastAsia" w:ascii="宋体" w:hAnsi="宋体"/>
          <w:szCs w:val="21"/>
          <w:highlight w:val="none"/>
        </w:rPr>
        <w:t>年</w:t>
      </w:r>
      <w:r>
        <w:rPr>
          <w:rFonts w:hint="eastAsia" w:ascii="宋体" w:hAnsi="宋体"/>
          <w:szCs w:val="21"/>
          <w:highlight w:val="none"/>
          <w:u w:val="single"/>
          <w:lang w:val="en-US" w:eastAsia="zh-CN"/>
        </w:rPr>
        <w:t xml:space="preserve">   </w:t>
      </w:r>
      <w:r>
        <w:rPr>
          <w:rFonts w:hint="eastAsia" w:ascii="宋体" w:hAnsi="宋体"/>
          <w:szCs w:val="21"/>
          <w:highlight w:val="none"/>
        </w:rPr>
        <w:t>月</w:t>
      </w:r>
      <w:r>
        <w:rPr>
          <w:rFonts w:hint="eastAsia" w:ascii="宋体" w:hAnsi="宋体"/>
          <w:szCs w:val="21"/>
          <w:highlight w:val="none"/>
          <w:u w:val="single"/>
          <w:lang w:val="en-US" w:eastAsia="zh-CN"/>
        </w:rPr>
        <w:t xml:space="preserve">   </w:t>
      </w:r>
      <w:r>
        <w:rPr>
          <w:rFonts w:hint="eastAsia" w:ascii="宋体" w:hAnsi="宋体"/>
          <w:szCs w:val="21"/>
          <w:highlight w:val="none"/>
        </w:rPr>
        <w:t>日或买方下次采购结果</w:t>
      </w:r>
      <w:r>
        <w:rPr>
          <w:rFonts w:hint="eastAsia" w:ascii="宋体" w:hAnsi="宋体"/>
          <w:szCs w:val="21"/>
          <w:highlight w:val="none"/>
          <w:lang w:val="en-US" w:eastAsia="zh-CN"/>
        </w:rPr>
        <w:t>确定</w:t>
      </w:r>
      <w:r>
        <w:rPr>
          <w:rFonts w:hint="eastAsia" w:ascii="宋体" w:hAnsi="宋体"/>
          <w:szCs w:val="21"/>
          <w:highlight w:val="none"/>
        </w:rPr>
        <w:t>时止）的货物单价（见附件1《货物清单》）。该单价为买方指定地点交货价（人民币），包含货物设计、制造、包装、仓储、运输、保险、售后服务等所发生的一切费用。</w:t>
      </w:r>
    </w:p>
    <w:p w14:paraId="3AAC3C4F">
      <w:pPr>
        <w:tabs>
          <w:tab w:val="left" w:pos="540"/>
        </w:tabs>
        <w:snapToGrid w:val="0"/>
        <w:spacing w:line="360" w:lineRule="auto"/>
        <w:rPr>
          <w:rFonts w:ascii="宋体" w:hAnsi="宋体"/>
          <w:b/>
          <w:szCs w:val="21"/>
          <w:highlight w:val="none"/>
        </w:rPr>
      </w:pPr>
      <w:r>
        <w:rPr>
          <w:rFonts w:hint="eastAsia" w:ascii="宋体" w:hAnsi="宋体"/>
          <w:b/>
          <w:szCs w:val="21"/>
          <w:highlight w:val="none"/>
        </w:rPr>
        <w:t xml:space="preserve">3.   交货地点 </w:t>
      </w:r>
    </w:p>
    <w:p w14:paraId="37073A94">
      <w:pPr>
        <w:snapToGrid w:val="0"/>
        <w:spacing w:line="360" w:lineRule="auto"/>
        <w:ind w:firstLine="558" w:firstLineChars="266"/>
        <w:rPr>
          <w:rFonts w:ascii="宋体" w:hAnsi="宋体"/>
          <w:highlight w:val="none"/>
        </w:rPr>
      </w:pPr>
      <w:r>
        <w:rPr>
          <w:rFonts w:hint="eastAsia" w:ascii="宋体" w:hAnsi="宋体"/>
          <w:highlight w:val="none"/>
        </w:rPr>
        <w:t>滁州市买方指定地点。</w:t>
      </w:r>
    </w:p>
    <w:p w14:paraId="218071CA">
      <w:pPr>
        <w:snapToGrid w:val="0"/>
        <w:spacing w:line="360" w:lineRule="auto"/>
        <w:rPr>
          <w:rFonts w:ascii="宋体" w:hAnsi="宋体"/>
          <w:b/>
          <w:szCs w:val="21"/>
          <w:highlight w:val="none"/>
        </w:rPr>
      </w:pPr>
      <w:r>
        <w:rPr>
          <w:rFonts w:hint="eastAsia" w:ascii="宋体" w:hAnsi="宋体"/>
          <w:b/>
          <w:szCs w:val="21"/>
          <w:highlight w:val="none"/>
        </w:rPr>
        <w:t>4.   交货时间</w:t>
      </w:r>
    </w:p>
    <w:p w14:paraId="484AB3F5">
      <w:pPr>
        <w:tabs>
          <w:tab w:val="left" w:pos="540"/>
        </w:tabs>
        <w:snapToGrid w:val="0"/>
        <w:spacing w:line="360" w:lineRule="auto"/>
        <w:ind w:left="525" w:leftChars="250"/>
        <w:rPr>
          <w:rFonts w:ascii="宋体" w:hAnsi="宋体"/>
          <w:color w:val="3366FF"/>
          <w:szCs w:val="21"/>
          <w:highlight w:val="none"/>
        </w:rPr>
      </w:pPr>
      <w:r>
        <w:rPr>
          <w:rFonts w:hint="eastAsia" w:ascii="宋体" w:hAnsi="宋体"/>
          <w:szCs w:val="21"/>
          <w:highlight w:val="none"/>
        </w:rPr>
        <w:t>卖方于接到买方《订货通知单》之时起</w:t>
      </w:r>
      <w:r>
        <w:rPr>
          <w:rFonts w:hint="eastAsia" w:ascii="宋体" w:hAnsi="宋体"/>
          <w:szCs w:val="21"/>
          <w:highlight w:val="none"/>
          <w:u w:val="single"/>
          <w:lang w:val="en-US" w:eastAsia="zh-CN"/>
        </w:rPr>
        <w:t xml:space="preserve">    </w:t>
      </w:r>
      <w:r>
        <w:rPr>
          <w:rFonts w:hint="eastAsia" w:ascii="宋体" w:hAnsi="宋体"/>
          <w:szCs w:val="21"/>
          <w:highlight w:val="none"/>
        </w:rPr>
        <w:t>个日历天内，将货物全部送达上述指定地点</w:t>
      </w:r>
      <w:r>
        <w:rPr>
          <w:rFonts w:hint="eastAsia" w:ascii="宋体" w:hAnsi="宋体"/>
          <w:color w:val="000000"/>
          <w:szCs w:val="21"/>
          <w:highlight w:val="none"/>
        </w:rPr>
        <w:t>。</w:t>
      </w:r>
    </w:p>
    <w:p w14:paraId="71A01AB1">
      <w:pPr>
        <w:tabs>
          <w:tab w:val="left" w:pos="435"/>
          <w:tab w:val="left" w:pos="3135"/>
        </w:tabs>
        <w:snapToGrid w:val="0"/>
        <w:spacing w:line="360" w:lineRule="auto"/>
        <w:rPr>
          <w:rFonts w:ascii="宋体" w:hAnsi="宋体"/>
          <w:b/>
          <w:szCs w:val="21"/>
          <w:highlight w:val="none"/>
        </w:rPr>
      </w:pPr>
      <w:r>
        <w:rPr>
          <w:rFonts w:hint="eastAsia" w:ascii="宋体" w:hAnsi="宋体"/>
          <w:b/>
          <w:szCs w:val="21"/>
          <w:highlight w:val="none"/>
        </w:rPr>
        <w:t>5.</w:t>
      </w:r>
      <w:r>
        <w:rPr>
          <w:rFonts w:hint="eastAsia" w:ascii="宋体" w:hAnsi="宋体"/>
          <w:szCs w:val="21"/>
          <w:highlight w:val="none"/>
        </w:rPr>
        <w:t xml:space="preserve">   </w:t>
      </w:r>
      <w:r>
        <w:rPr>
          <w:rFonts w:hint="eastAsia" w:ascii="宋体" w:hAnsi="宋体"/>
          <w:b/>
          <w:szCs w:val="21"/>
          <w:highlight w:val="none"/>
        </w:rPr>
        <w:t>质量保证</w:t>
      </w:r>
    </w:p>
    <w:p w14:paraId="0583EDE4">
      <w:pPr>
        <w:snapToGrid w:val="0"/>
        <w:spacing w:line="360" w:lineRule="auto"/>
        <w:ind w:left="525" w:hanging="525" w:hangingChars="250"/>
        <w:rPr>
          <w:rFonts w:ascii="宋体" w:hAnsi="宋体"/>
          <w:szCs w:val="21"/>
          <w:highlight w:val="none"/>
        </w:rPr>
      </w:pPr>
      <w:r>
        <w:rPr>
          <w:rFonts w:hint="eastAsia" w:ascii="宋体" w:hAnsi="宋体"/>
          <w:szCs w:val="21"/>
          <w:highlight w:val="none"/>
        </w:rPr>
        <w:t>5.1  卖方应保证货物是全新、未使用过的原装合格正品，并完全符合合同约定、国家规定的质量、规格和性能的要求。如卖方提供的货物是假冒伪劣的，除应退换货物外，还应按照该货物合同总价款的两倍向买方进行赔偿。</w:t>
      </w:r>
    </w:p>
    <w:p w14:paraId="12AA3E47">
      <w:pPr>
        <w:snapToGrid w:val="0"/>
        <w:spacing w:line="360" w:lineRule="auto"/>
        <w:ind w:left="525" w:hanging="525" w:hangingChars="250"/>
        <w:rPr>
          <w:rFonts w:ascii="宋体" w:hAnsi="宋体"/>
          <w:color w:val="3366FF"/>
          <w:szCs w:val="21"/>
          <w:highlight w:val="none"/>
        </w:rPr>
      </w:pPr>
      <w:r>
        <w:rPr>
          <w:rFonts w:hint="eastAsia" w:ascii="宋体" w:hAnsi="宋体"/>
          <w:szCs w:val="21"/>
          <w:highlight w:val="none"/>
        </w:rPr>
        <w:t>5.2  卖方所提供货物的技术性能若无特殊说明，则按生产企业或国家有关部门最新颁布的标准及规范为准。对于国家强制性产品认证（CCC认证）目录内的产品，必须具有3C认证证书及标志，否则买方有权拒绝接收货物</w:t>
      </w:r>
      <w:r>
        <w:rPr>
          <w:rFonts w:hint="eastAsia"/>
          <w:highlight w:val="none"/>
        </w:rPr>
        <w:t>。</w:t>
      </w:r>
    </w:p>
    <w:p w14:paraId="4E1002DE">
      <w:pPr>
        <w:tabs>
          <w:tab w:val="left" w:pos="540"/>
        </w:tabs>
        <w:snapToGrid w:val="0"/>
        <w:spacing w:line="360" w:lineRule="auto"/>
        <w:ind w:left="525" w:hanging="525" w:hangingChars="250"/>
        <w:rPr>
          <w:rFonts w:ascii="宋体" w:hAnsi="宋体"/>
          <w:szCs w:val="21"/>
          <w:highlight w:val="none"/>
        </w:rPr>
      </w:pPr>
      <w:r>
        <w:rPr>
          <w:rFonts w:hint="eastAsia" w:ascii="宋体" w:hAnsi="宋体"/>
          <w:szCs w:val="21"/>
          <w:highlight w:val="none"/>
        </w:rPr>
        <w:t>5.3  卖方所供货物如有缺陷或隐蔽瑕疵，应书面如实告知买方，否则，应对货物缺陷或隐蔽瑕疵而造成的损失承担全部赔偿责任。</w:t>
      </w:r>
    </w:p>
    <w:p w14:paraId="4C2670CC">
      <w:pPr>
        <w:tabs>
          <w:tab w:val="left" w:pos="540"/>
        </w:tabs>
        <w:adjustRightInd w:val="0"/>
        <w:snapToGrid w:val="0"/>
        <w:spacing w:line="360" w:lineRule="auto"/>
        <w:ind w:left="525" w:hanging="525" w:hangingChars="250"/>
        <w:rPr>
          <w:rFonts w:ascii="宋体" w:hAnsi="宋体"/>
          <w:szCs w:val="21"/>
          <w:highlight w:val="none"/>
        </w:rPr>
      </w:pPr>
      <w:r>
        <w:rPr>
          <w:rFonts w:hint="eastAsia" w:ascii="宋体" w:hAnsi="宋体"/>
          <w:szCs w:val="21"/>
          <w:highlight w:val="none"/>
        </w:rPr>
        <w:t>5.4  卖方应保证其提供的货物在正确安装、使用和保养下，在其使用寿命内具有良好的性能。货物验收后，卖方应对由于货物设计缺陷、质量缺陷、其它内在缺陷等原因造成的损失负责，所需费用由卖方承担。</w:t>
      </w:r>
    </w:p>
    <w:p w14:paraId="0F2D3CB3">
      <w:pPr>
        <w:adjustRightInd w:val="0"/>
        <w:snapToGrid w:val="0"/>
        <w:spacing w:line="360" w:lineRule="auto"/>
        <w:ind w:left="525" w:hanging="525" w:hangingChars="250"/>
        <w:rPr>
          <w:rFonts w:ascii="宋体" w:hAnsi="宋体" w:cs="宋体"/>
          <w:color w:val="000000"/>
          <w:kern w:val="0"/>
          <w:szCs w:val="21"/>
          <w:highlight w:val="none"/>
        </w:rPr>
      </w:pPr>
      <w:r>
        <w:rPr>
          <w:rFonts w:hint="eastAsia" w:ascii="宋体" w:hAnsi="宋体"/>
          <w:szCs w:val="21"/>
          <w:highlight w:val="none"/>
        </w:rPr>
        <w:t>5.5  卖方出售的货物造成人身损害、财产损失的，卖方应当承担赔偿责任</w:t>
      </w:r>
      <w:r>
        <w:rPr>
          <w:rFonts w:hint="eastAsia" w:ascii="宋体" w:hAnsi="宋体" w:cs="宋体"/>
          <w:color w:val="000000"/>
          <w:kern w:val="0"/>
          <w:szCs w:val="21"/>
          <w:highlight w:val="none"/>
        </w:rPr>
        <w:t>。</w:t>
      </w:r>
    </w:p>
    <w:p w14:paraId="36307BB5">
      <w:pPr>
        <w:adjustRightInd w:val="0"/>
        <w:snapToGrid w:val="0"/>
        <w:spacing w:line="360" w:lineRule="auto"/>
        <w:ind w:left="525" w:hanging="525" w:hangingChars="250"/>
        <w:rPr>
          <w:rFonts w:ascii="宋体" w:hAnsi="宋体" w:cs="宋体"/>
          <w:color w:val="000000"/>
          <w:kern w:val="0"/>
          <w:szCs w:val="21"/>
          <w:highlight w:val="none"/>
        </w:rPr>
      </w:pPr>
      <w:r>
        <w:rPr>
          <w:rFonts w:hint="eastAsia" w:ascii="宋体" w:hAnsi="宋体" w:cs="宋体"/>
          <w:color w:val="000000"/>
          <w:kern w:val="0"/>
          <w:szCs w:val="21"/>
          <w:highlight w:val="none"/>
        </w:rPr>
        <w:t>5.6  除专用合同条款和(或)供货要求等合同文件另有约定外，如果在合同货物设计使用寿命期内发生合同项下备品备件停止生产的情况，卖方应事先将拟停止生产的计划通知买方， 使买方有足够的时间考虑备品备件的需求量。根据买方要求，卖方应：</w:t>
      </w:r>
    </w:p>
    <w:p w14:paraId="6FCB0F49">
      <w:pPr>
        <w:adjustRightInd w:val="0"/>
        <w:snapToGrid w:val="0"/>
        <w:spacing w:line="360" w:lineRule="auto"/>
        <w:ind w:left="525"/>
        <w:rPr>
          <w:rFonts w:ascii="宋体" w:hAnsi="宋体" w:cs="宋体"/>
          <w:color w:val="000000"/>
          <w:kern w:val="0"/>
          <w:szCs w:val="21"/>
          <w:highlight w:val="none"/>
        </w:rPr>
      </w:pPr>
      <w:r>
        <w:rPr>
          <w:rFonts w:hint="eastAsia" w:ascii="宋体" w:hAnsi="宋体" w:cs="宋体"/>
          <w:color w:val="000000"/>
          <w:kern w:val="0"/>
          <w:szCs w:val="21"/>
          <w:highlight w:val="none"/>
        </w:rPr>
        <w:t>(1)以不高于同期市场价格或其向任何第三方销售同类产品的价格提供合同设备正常运行所需的全部备品备件。</w:t>
      </w:r>
      <w:r>
        <w:rPr>
          <w:rFonts w:hint="eastAsia" w:ascii="宋体" w:hAnsi="宋体" w:cs="宋体"/>
          <w:kern w:val="0"/>
          <w:szCs w:val="21"/>
          <w:highlight w:val="none"/>
        </w:rPr>
        <w:t>或</w:t>
      </w:r>
    </w:p>
    <w:p w14:paraId="7D98FD98">
      <w:pPr>
        <w:adjustRightInd w:val="0"/>
        <w:snapToGrid w:val="0"/>
        <w:spacing w:line="360" w:lineRule="auto"/>
        <w:ind w:left="525"/>
        <w:rPr>
          <w:rFonts w:ascii="宋体" w:hAnsi="宋体" w:cs="宋体"/>
          <w:color w:val="000000"/>
          <w:kern w:val="0"/>
          <w:szCs w:val="21"/>
          <w:highlight w:val="none"/>
        </w:rPr>
      </w:pPr>
      <w:r>
        <w:rPr>
          <w:rFonts w:hint="eastAsia" w:ascii="宋体" w:hAnsi="宋体" w:cs="宋体"/>
          <w:color w:val="000000"/>
          <w:kern w:val="0"/>
          <w:szCs w:val="21"/>
          <w:highlight w:val="none"/>
        </w:rPr>
        <w:t>(2)免费提供可供买方或第三方制造停产备品备件所需的全部技术资料，以便买方持续获得上述备品备件以满足合同货物在寿命期内正常运行的需要。卖方保证买方或买方委托的第三方制造及买方使用这些备品备件不侵犯任何人的知识产权。</w:t>
      </w:r>
    </w:p>
    <w:p w14:paraId="6A1CAE96">
      <w:pPr>
        <w:tabs>
          <w:tab w:val="left" w:pos="540"/>
        </w:tabs>
        <w:snapToGrid w:val="0"/>
        <w:spacing w:line="360" w:lineRule="auto"/>
        <w:rPr>
          <w:rFonts w:ascii="宋体" w:hAnsi="宋体"/>
          <w:b/>
          <w:szCs w:val="21"/>
          <w:highlight w:val="none"/>
        </w:rPr>
      </w:pPr>
      <w:r>
        <w:rPr>
          <w:rFonts w:hint="eastAsia" w:ascii="宋体" w:hAnsi="宋体"/>
          <w:b/>
          <w:szCs w:val="21"/>
          <w:highlight w:val="none"/>
        </w:rPr>
        <w:t>6.   包装、包装标志及环境保护</w:t>
      </w:r>
    </w:p>
    <w:p w14:paraId="4CAC2F14">
      <w:pPr>
        <w:snapToGrid w:val="0"/>
        <w:spacing w:line="360" w:lineRule="auto"/>
        <w:ind w:left="525" w:hanging="525" w:hangingChars="250"/>
        <w:rPr>
          <w:rFonts w:ascii="宋体" w:hAnsi="宋体"/>
          <w:szCs w:val="21"/>
          <w:highlight w:val="none"/>
        </w:rPr>
      </w:pPr>
      <w:r>
        <w:rPr>
          <w:rFonts w:hint="eastAsia" w:ascii="宋体" w:hAnsi="宋体"/>
          <w:szCs w:val="21"/>
          <w:highlight w:val="none"/>
        </w:rPr>
        <w:t>6.1  卖方对所提供的货物应采用保护性措施进行包装，应适合远程运输，并能防潮、防冻、防震、防压以及防锈等，不致因上述原因出现任何损坏。卖方应对包装不妥造成的损坏及其它损失承担责任。包装材料应采用可回收材料并确保不会造成环境污染。除合同另有约定外，买方无需将包装物退还给卖方。</w:t>
      </w:r>
    </w:p>
    <w:p w14:paraId="04F5F2D1">
      <w:pPr>
        <w:tabs>
          <w:tab w:val="left" w:pos="540"/>
        </w:tabs>
        <w:snapToGrid w:val="0"/>
        <w:spacing w:line="360" w:lineRule="auto"/>
        <w:rPr>
          <w:rFonts w:ascii="宋体" w:hAnsi="宋体"/>
          <w:szCs w:val="21"/>
          <w:highlight w:val="none"/>
        </w:rPr>
      </w:pPr>
      <w:r>
        <w:rPr>
          <w:rFonts w:hint="eastAsia" w:ascii="宋体" w:hAnsi="宋体"/>
          <w:szCs w:val="21"/>
          <w:highlight w:val="none"/>
        </w:rPr>
        <w:t>6.2  卖方应在每一包装箱的适当位置作出下列标记：</w:t>
      </w:r>
    </w:p>
    <w:p w14:paraId="37DFCDE7">
      <w:pPr>
        <w:snapToGrid w:val="0"/>
        <w:spacing w:line="360" w:lineRule="auto"/>
        <w:ind w:left="525" w:leftChars="250"/>
        <w:rPr>
          <w:rFonts w:ascii="宋体" w:hAnsi="宋体"/>
          <w:szCs w:val="21"/>
          <w:highlight w:val="none"/>
        </w:rPr>
      </w:pPr>
      <w:r>
        <w:rPr>
          <w:rFonts w:hint="eastAsia" w:ascii="宋体" w:hAnsi="宋体"/>
          <w:szCs w:val="21"/>
          <w:highlight w:val="none"/>
        </w:rPr>
        <w:t>1）收货人；</w:t>
      </w:r>
    </w:p>
    <w:p w14:paraId="5336D580">
      <w:pPr>
        <w:snapToGrid w:val="0"/>
        <w:spacing w:line="360" w:lineRule="auto"/>
        <w:ind w:left="525" w:leftChars="250"/>
        <w:rPr>
          <w:rFonts w:ascii="宋体" w:hAnsi="宋体"/>
          <w:szCs w:val="21"/>
          <w:highlight w:val="none"/>
        </w:rPr>
      </w:pPr>
      <w:r>
        <w:rPr>
          <w:rFonts w:hint="eastAsia" w:ascii="宋体" w:hAnsi="宋体"/>
          <w:szCs w:val="21"/>
          <w:highlight w:val="none"/>
        </w:rPr>
        <w:t>2）货物名称、件数；</w:t>
      </w:r>
    </w:p>
    <w:p w14:paraId="3199BDF0">
      <w:pPr>
        <w:snapToGrid w:val="0"/>
        <w:spacing w:line="360" w:lineRule="auto"/>
        <w:ind w:left="525" w:leftChars="250"/>
        <w:rPr>
          <w:rFonts w:ascii="宋体" w:hAnsi="宋体"/>
          <w:szCs w:val="21"/>
          <w:highlight w:val="none"/>
        </w:rPr>
      </w:pPr>
      <w:r>
        <w:rPr>
          <w:rFonts w:hint="eastAsia" w:ascii="宋体" w:hAnsi="宋体"/>
          <w:szCs w:val="21"/>
          <w:highlight w:val="none"/>
        </w:rPr>
        <w:t>3）毛重、净重；</w:t>
      </w:r>
    </w:p>
    <w:p w14:paraId="096F28FA">
      <w:pPr>
        <w:snapToGrid w:val="0"/>
        <w:spacing w:line="360" w:lineRule="auto"/>
        <w:ind w:left="525" w:leftChars="250"/>
        <w:rPr>
          <w:rFonts w:ascii="宋体" w:hAnsi="宋体"/>
          <w:szCs w:val="21"/>
          <w:highlight w:val="none"/>
        </w:rPr>
      </w:pPr>
      <w:r>
        <w:rPr>
          <w:rFonts w:hint="eastAsia" w:ascii="宋体" w:hAnsi="宋体"/>
          <w:szCs w:val="21"/>
          <w:highlight w:val="none"/>
        </w:rPr>
        <w:t>4）体积（长×宽×高，用毫米表示）；</w:t>
      </w:r>
    </w:p>
    <w:p w14:paraId="3B65BC50">
      <w:pPr>
        <w:snapToGrid w:val="0"/>
        <w:spacing w:line="360" w:lineRule="auto"/>
        <w:ind w:left="525" w:leftChars="250"/>
        <w:rPr>
          <w:rFonts w:ascii="宋体" w:hAnsi="宋体"/>
          <w:szCs w:val="21"/>
          <w:highlight w:val="none"/>
        </w:rPr>
      </w:pPr>
      <w:r>
        <w:rPr>
          <w:rFonts w:hint="eastAsia" w:ascii="宋体" w:hAnsi="宋体"/>
          <w:szCs w:val="21"/>
          <w:highlight w:val="none"/>
        </w:rPr>
        <w:t>5）货物运输警示标识；</w:t>
      </w:r>
    </w:p>
    <w:p w14:paraId="35DFC88C">
      <w:pPr>
        <w:snapToGrid w:val="0"/>
        <w:spacing w:line="360" w:lineRule="auto"/>
        <w:ind w:left="525" w:leftChars="250"/>
        <w:rPr>
          <w:rFonts w:ascii="宋体" w:hAnsi="宋体"/>
          <w:szCs w:val="21"/>
          <w:highlight w:val="none"/>
        </w:rPr>
      </w:pPr>
      <w:r>
        <w:rPr>
          <w:rFonts w:hint="eastAsia" w:ascii="宋体" w:hAnsi="宋体"/>
          <w:szCs w:val="21"/>
          <w:highlight w:val="none"/>
        </w:rPr>
        <w:t>6）合同号；</w:t>
      </w:r>
    </w:p>
    <w:p w14:paraId="1B3A9BAA">
      <w:pPr>
        <w:snapToGrid w:val="0"/>
        <w:spacing w:line="360" w:lineRule="auto"/>
        <w:ind w:left="525" w:leftChars="250"/>
        <w:rPr>
          <w:rFonts w:ascii="宋体" w:hAnsi="宋体"/>
          <w:szCs w:val="21"/>
          <w:highlight w:val="none"/>
        </w:rPr>
      </w:pPr>
      <w:r>
        <w:rPr>
          <w:rFonts w:hint="eastAsia" w:ascii="宋体" w:hAnsi="宋体"/>
          <w:szCs w:val="21"/>
          <w:highlight w:val="none"/>
        </w:rPr>
        <w:t>7）其他应标记内容。</w:t>
      </w:r>
    </w:p>
    <w:p w14:paraId="1A745762">
      <w:pPr>
        <w:snapToGrid w:val="0"/>
        <w:spacing w:line="360" w:lineRule="auto"/>
        <w:ind w:left="525" w:leftChars="250"/>
        <w:rPr>
          <w:rFonts w:ascii="宋体" w:hAnsi="宋体"/>
          <w:szCs w:val="21"/>
          <w:highlight w:val="none"/>
        </w:rPr>
      </w:pPr>
      <w:r>
        <w:rPr>
          <w:rFonts w:hint="eastAsia" w:ascii="宋体" w:hAnsi="宋体"/>
          <w:szCs w:val="21"/>
          <w:highlight w:val="none"/>
        </w:rPr>
        <w:t>按照货物的特点及装卸和运输上的不同要求，包装箱上应明显印刷有“轻放”、“勿倒置”和“防雨”等字样，危险品包装应有警示标志。</w:t>
      </w:r>
    </w:p>
    <w:p w14:paraId="1BBADF1A">
      <w:pPr>
        <w:adjustRightInd w:val="0"/>
        <w:snapToGrid w:val="0"/>
        <w:spacing w:line="360" w:lineRule="auto"/>
        <w:rPr>
          <w:rFonts w:ascii="宋体" w:hAnsi="宋体"/>
          <w:b/>
          <w:szCs w:val="21"/>
          <w:highlight w:val="none"/>
        </w:rPr>
      </w:pPr>
      <w:r>
        <w:rPr>
          <w:rFonts w:hint="eastAsia" w:ascii="宋体" w:hAnsi="宋体"/>
          <w:b/>
          <w:szCs w:val="21"/>
          <w:highlight w:val="none"/>
        </w:rPr>
        <w:t>7.</w:t>
      </w:r>
      <w:r>
        <w:rPr>
          <w:rFonts w:hint="eastAsia" w:ascii="宋体" w:hAnsi="宋体"/>
          <w:szCs w:val="21"/>
          <w:highlight w:val="none"/>
        </w:rPr>
        <w:t xml:space="preserve">   </w:t>
      </w:r>
      <w:r>
        <w:rPr>
          <w:rFonts w:hint="eastAsia" w:ascii="宋体" w:hAnsi="宋体"/>
          <w:b/>
          <w:szCs w:val="21"/>
          <w:highlight w:val="none"/>
        </w:rPr>
        <w:t>交货和验收</w:t>
      </w:r>
    </w:p>
    <w:p w14:paraId="62453A82">
      <w:pPr>
        <w:snapToGrid w:val="0"/>
        <w:spacing w:line="360" w:lineRule="auto"/>
        <w:ind w:left="525" w:hanging="525" w:hangingChars="250"/>
        <w:rPr>
          <w:rFonts w:ascii="宋体" w:hAnsi="宋体"/>
          <w:szCs w:val="21"/>
          <w:highlight w:val="none"/>
        </w:rPr>
      </w:pPr>
      <w:r>
        <w:rPr>
          <w:rFonts w:hint="eastAsia" w:ascii="宋体" w:hAnsi="宋体"/>
          <w:szCs w:val="21"/>
          <w:highlight w:val="none"/>
        </w:rPr>
        <w:t>7.1  除双方另有书面约定或买方自提外，本合同项下货物的所有权及毁损、灭失之风险自卖方运到买方仓库或买方指定地点完成交付之日起转移。</w:t>
      </w:r>
    </w:p>
    <w:p w14:paraId="130DB946">
      <w:pPr>
        <w:snapToGrid w:val="0"/>
        <w:spacing w:line="360" w:lineRule="auto"/>
        <w:ind w:left="525" w:hanging="525" w:hangingChars="250"/>
        <w:rPr>
          <w:rFonts w:ascii="宋体" w:hAnsi="宋体"/>
          <w:szCs w:val="21"/>
          <w:highlight w:val="none"/>
        </w:rPr>
      </w:pPr>
      <w:r>
        <w:rPr>
          <w:rFonts w:hint="eastAsia" w:ascii="宋体" w:hAnsi="宋体"/>
          <w:szCs w:val="21"/>
          <w:highlight w:val="none"/>
        </w:rPr>
        <w:t>7.2  卖方应按照本合同规定的时间、地点和方式，向买方交付货物。如未按规定送至买方指定的地点，由此引起的</w:t>
      </w:r>
      <w:r>
        <w:rPr>
          <w:rFonts w:hint="eastAsia"/>
          <w:bCs/>
          <w:snapToGrid w:val="0"/>
          <w:szCs w:val="21"/>
          <w:highlight w:val="none"/>
        </w:rPr>
        <w:t>遗失或损坏等一切</w:t>
      </w:r>
      <w:r>
        <w:rPr>
          <w:rFonts w:hint="eastAsia" w:ascii="宋体" w:hAnsi="宋体"/>
          <w:szCs w:val="21"/>
          <w:highlight w:val="none"/>
        </w:rPr>
        <w:t>问题，由卖方承担全部责任。</w:t>
      </w:r>
    </w:p>
    <w:p w14:paraId="29C0640F">
      <w:pPr>
        <w:snapToGrid w:val="0"/>
        <w:spacing w:line="360" w:lineRule="auto"/>
        <w:ind w:left="525" w:hanging="525" w:hangingChars="250"/>
        <w:rPr>
          <w:rFonts w:ascii="宋体" w:hAnsi="宋体"/>
          <w:b/>
          <w:bCs/>
          <w:szCs w:val="21"/>
          <w:highlight w:val="none"/>
        </w:rPr>
      </w:pPr>
      <w:r>
        <w:rPr>
          <w:rFonts w:hint="eastAsia" w:ascii="宋体" w:hAnsi="宋体"/>
          <w:szCs w:val="21"/>
          <w:highlight w:val="none"/>
        </w:rPr>
        <w:t>7.3  卖方送货时必须附有详细的送货清单(详见附件3），内容应包括本</w:t>
      </w:r>
      <w:r>
        <w:rPr>
          <w:rFonts w:hint="eastAsia" w:ascii="宋体" w:hAnsi="宋体"/>
          <w:color w:val="000000"/>
          <w:szCs w:val="21"/>
          <w:highlight w:val="none"/>
        </w:rPr>
        <w:t>合同编号、货物名</w:t>
      </w:r>
      <w:r>
        <w:rPr>
          <w:rFonts w:hint="eastAsia" w:ascii="宋体" w:hAnsi="宋体"/>
          <w:szCs w:val="21"/>
          <w:highlight w:val="none"/>
        </w:rPr>
        <w:t>称、规格/型号、品牌/生产厂、数量及采购人等。</w:t>
      </w:r>
      <w:r>
        <w:rPr>
          <w:rFonts w:hint="eastAsia" w:ascii="宋体" w:hAnsi="宋体"/>
          <w:color w:val="000000"/>
          <w:szCs w:val="21"/>
          <w:highlight w:val="none"/>
        </w:rPr>
        <w:t>所有易燃、易爆化学品均必须提供相应的MSDS、成份、存储要求、有效期、注意事项等。所有计量器具均必须提供法定计量机构出具的计量器具检定证书。</w:t>
      </w:r>
      <w:r>
        <w:rPr>
          <w:rFonts w:hint="eastAsia" w:ascii="宋体" w:hAnsi="宋体"/>
          <w:b/>
          <w:bCs/>
          <w:color w:val="000000"/>
          <w:szCs w:val="21"/>
          <w:highlight w:val="none"/>
        </w:rPr>
        <w:t>卖方</w:t>
      </w:r>
      <w:r>
        <w:rPr>
          <w:rFonts w:hint="eastAsia" w:ascii="宋体" w:hAnsi="宋体"/>
          <w:b/>
          <w:bCs/>
          <w:szCs w:val="21"/>
          <w:highlight w:val="none"/>
        </w:rPr>
        <w:t>如未提供上述材料、提供有误或不完整，导致买方无法及时验收和使用，买方将有权推迟向卖方支付货款，推迟时间为自货物验收合格之日起（从次日起算）</w:t>
      </w:r>
      <w:r>
        <w:rPr>
          <w:rFonts w:hint="eastAsia" w:ascii="宋体" w:hAnsi="宋体"/>
          <w:b/>
          <w:bCs/>
          <w:szCs w:val="21"/>
          <w:highlight w:val="none"/>
          <w:u w:val="single"/>
        </w:rPr>
        <w:t>180</w:t>
      </w:r>
      <w:r>
        <w:rPr>
          <w:rFonts w:hint="eastAsia" w:ascii="宋体" w:hAnsi="宋体"/>
          <w:b/>
          <w:bCs/>
          <w:szCs w:val="21"/>
          <w:highlight w:val="none"/>
        </w:rPr>
        <w:t>个日历天。</w:t>
      </w:r>
    </w:p>
    <w:p w14:paraId="51FBA4BB">
      <w:pPr>
        <w:snapToGrid w:val="0"/>
        <w:spacing w:line="360" w:lineRule="auto"/>
        <w:ind w:left="525" w:hanging="525" w:hangingChars="250"/>
        <w:rPr>
          <w:rFonts w:ascii="宋体" w:hAnsi="宋体"/>
          <w:szCs w:val="21"/>
          <w:highlight w:val="none"/>
        </w:rPr>
      </w:pPr>
      <w:r>
        <w:rPr>
          <w:rFonts w:hint="eastAsia" w:ascii="宋体" w:hAnsi="宋体"/>
          <w:szCs w:val="21"/>
          <w:highlight w:val="none"/>
        </w:rPr>
        <w:t>7.4  当卖方选择第三方物流/快递公司承担运输交货工作时，除需遵照6.2条款在包装箱的适当位置做出相关标记外，另需在包装箱内附上详细的送货清单，具体内容参照7.3条款执行。买方在清点货物时发现的问题，将由卖方承担全部责任。</w:t>
      </w:r>
    </w:p>
    <w:p w14:paraId="134BB669">
      <w:pPr>
        <w:snapToGrid w:val="0"/>
        <w:spacing w:line="360" w:lineRule="auto"/>
        <w:ind w:left="525" w:hanging="525" w:hangingChars="250"/>
        <w:rPr>
          <w:rFonts w:ascii="宋体" w:hAnsi="宋体"/>
          <w:szCs w:val="21"/>
          <w:highlight w:val="none"/>
        </w:rPr>
      </w:pPr>
      <w:r>
        <w:rPr>
          <w:rFonts w:hint="eastAsia" w:ascii="宋体" w:hAnsi="宋体"/>
          <w:szCs w:val="21"/>
          <w:highlight w:val="none"/>
        </w:rPr>
        <w:t>7.5  自卖方提供完整无误的送货清单等文件并且交付货物之日起（从次日起算）</w:t>
      </w:r>
      <w:r>
        <w:rPr>
          <w:rFonts w:hint="eastAsia" w:ascii="宋体" w:hAnsi="宋体"/>
          <w:szCs w:val="21"/>
          <w:highlight w:val="none"/>
          <w:u w:val="single"/>
        </w:rPr>
        <w:t xml:space="preserve"> 5 </w:t>
      </w:r>
      <w:r>
        <w:rPr>
          <w:rFonts w:hint="eastAsia" w:ascii="宋体" w:hAnsi="宋体"/>
          <w:szCs w:val="21"/>
          <w:highlight w:val="none"/>
        </w:rPr>
        <w:t>个工作日内，买方对货物进行验收；需要卖方对货物或系统进行安装调试的，买方应在货物安装调试完毕后的</w:t>
      </w:r>
      <w:r>
        <w:rPr>
          <w:rFonts w:hint="eastAsia" w:ascii="宋体" w:hAnsi="宋体"/>
          <w:szCs w:val="21"/>
          <w:highlight w:val="none"/>
          <w:u w:val="single"/>
        </w:rPr>
        <w:t xml:space="preserve"> 5 </w:t>
      </w:r>
      <w:r>
        <w:rPr>
          <w:rFonts w:hint="eastAsia" w:ascii="宋体" w:hAnsi="宋体"/>
          <w:szCs w:val="21"/>
          <w:highlight w:val="none"/>
        </w:rPr>
        <w:t>个工作日内进行质量验收。验收包括但不限于：货物名称、规格型号、数量、外观质量及货物包装是否完好，安装调试是否合格，性能是否满足要求，货物的装箱清单、用户手册、合格证两份（或原件及加盖公章的复印件各一份）、出厂检验报告两份（或原件及加盖公章的复印件各一份）原厂保修卡、随机资料及配件、随机工具等是否齐全（如有）。</w:t>
      </w:r>
    </w:p>
    <w:p w14:paraId="7FE9F632">
      <w:pPr>
        <w:snapToGrid w:val="0"/>
        <w:spacing w:line="360" w:lineRule="auto"/>
        <w:ind w:left="525" w:hanging="525" w:hangingChars="250"/>
        <w:rPr>
          <w:rFonts w:ascii="宋体" w:hAnsi="宋体"/>
          <w:szCs w:val="21"/>
          <w:highlight w:val="none"/>
        </w:rPr>
      </w:pPr>
      <w:r>
        <w:rPr>
          <w:rFonts w:hint="eastAsia" w:ascii="宋体" w:hAnsi="宋体"/>
          <w:color w:val="000000"/>
          <w:szCs w:val="21"/>
          <w:highlight w:val="none"/>
        </w:rPr>
        <w:t>7.6</w:t>
      </w:r>
      <w:r>
        <w:rPr>
          <w:rFonts w:hint="eastAsia" w:ascii="宋体" w:hAnsi="宋体"/>
          <w:szCs w:val="21"/>
          <w:highlight w:val="none"/>
        </w:rPr>
        <w:t xml:space="preserve">  货物验收按买方的规定进行</w:t>
      </w:r>
      <w:r>
        <w:rPr>
          <w:rFonts w:hint="eastAsia" w:ascii="宋体" w:hAnsi="宋体"/>
          <w:color w:val="000000"/>
          <w:szCs w:val="21"/>
          <w:highlight w:val="none"/>
        </w:rPr>
        <w:t>（政府有强制验收要求的按政府规定办理），买方在验收中如发现货物的品种、型号、规格、花色和质量等不符合规定或约定的，有权拒收货物，并且有权拒付合同约定的款项。</w:t>
      </w:r>
      <w:r>
        <w:rPr>
          <w:rFonts w:hint="eastAsia" w:ascii="宋体" w:hAnsi="宋体" w:eastAsia="宋体" w:cs="Times New Roman"/>
          <w:kern w:val="2"/>
          <w:sz w:val="21"/>
          <w:szCs w:val="21"/>
          <w:highlight w:val="none"/>
          <w:lang w:val="en-US" w:eastAsia="zh-CN" w:bidi="ar"/>
        </w:rPr>
        <w:t>本条款下买方的验收仅为对外观颜色、数量等可视化部分的验收，不应视为对标的货物最终质量的确认。</w:t>
      </w:r>
    </w:p>
    <w:p w14:paraId="0B4E4C14">
      <w:pPr>
        <w:adjustRightInd w:val="0"/>
        <w:snapToGrid w:val="0"/>
        <w:spacing w:line="360" w:lineRule="auto"/>
        <w:rPr>
          <w:rFonts w:ascii="宋体" w:hAnsi="宋体"/>
          <w:szCs w:val="21"/>
          <w:highlight w:val="none"/>
        </w:rPr>
      </w:pPr>
      <w:r>
        <w:rPr>
          <w:rFonts w:hint="eastAsia" w:ascii="宋体" w:hAnsi="宋体"/>
          <w:b/>
          <w:bCs/>
          <w:szCs w:val="21"/>
          <w:highlight w:val="none"/>
        </w:rPr>
        <w:t xml:space="preserve">8.   </w:t>
      </w:r>
      <w:r>
        <w:rPr>
          <w:rFonts w:hint="eastAsia" w:ascii="宋体" w:hAnsi="宋体"/>
          <w:b/>
          <w:szCs w:val="21"/>
          <w:highlight w:val="none"/>
        </w:rPr>
        <w:t>伴随服务／售后服务</w:t>
      </w:r>
    </w:p>
    <w:p w14:paraId="49DD7602">
      <w:pPr>
        <w:adjustRightInd w:val="0"/>
        <w:snapToGrid w:val="0"/>
        <w:spacing w:line="360" w:lineRule="auto"/>
        <w:ind w:left="525" w:hanging="525" w:hangingChars="250"/>
        <w:rPr>
          <w:rFonts w:ascii="宋体" w:hAnsi="宋体"/>
          <w:color w:val="000000"/>
          <w:szCs w:val="21"/>
          <w:highlight w:val="none"/>
        </w:rPr>
      </w:pPr>
      <w:r>
        <w:rPr>
          <w:rFonts w:hint="eastAsia" w:ascii="宋体" w:hAnsi="宋体"/>
          <w:color w:val="000000"/>
          <w:szCs w:val="21"/>
          <w:highlight w:val="none"/>
        </w:rPr>
        <w:t>8.1  卖方应按照国家有关法律法规和“三包”规定提供服务。</w:t>
      </w:r>
    </w:p>
    <w:p w14:paraId="1E64AA3C">
      <w:pPr>
        <w:adjustRightInd w:val="0"/>
        <w:snapToGrid w:val="0"/>
        <w:spacing w:line="360" w:lineRule="auto"/>
        <w:ind w:left="525" w:hanging="525" w:hangingChars="250"/>
        <w:rPr>
          <w:rFonts w:ascii="宋体" w:hAnsi="宋体"/>
          <w:color w:val="000000"/>
          <w:szCs w:val="21"/>
          <w:highlight w:val="none"/>
        </w:rPr>
      </w:pPr>
      <w:r>
        <w:rPr>
          <w:rFonts w:hint="eastAsia" w:ascii="宋体" w:hAnsi="宋体"/>
          <w:color w:val="000000"/>
          <w:szCs w:val="21"/>
          <w:highlight w:val="none"/>
        </w:rPr>
        <w:t>8.2  除前款规定外，根据买方需要，卖方还应提供下列服务：</w:t>
      </w:r>
    </w:p>
    <w:p w14:paraId="10A77975">
      <w:pPr>
        <w:adjustRightInd w:val="0"/>
        <w:snapToGrid w:val="0"/>
        <w:spacing w:line="360" w:lineRule="auto"/>
        <w:ind w:left="525" w:hanging="525" w:hangingChars="250"/>
        <w:rPr>
          <w:rFonts w:ascii="宋体" w:hAnsi="宋体"/>
          <w:color w:val="000000"/>
          <w:szCs w:val="21"/>
          <w:highlight w:val="none"/>
        </w:rPr>
      </w:pPr>
      <w:r>
        <w:rPr>
          <w:rFonts w:hint="eastAsia" w:ascii="宋体" w:hAnsi="宋体"/>
          <w:color w:val="000000"/>
          <w:szCs w:val="21"/>
          <w:highlight w:val="none"/>
        </w:rPr>
        <w:t>　</w:t>
      </w:r>
      <w:r>
        <w:rPr>
          <w:rFonts w:hint="eastAsia" w:ascii="宋体" w:hAnsi="宋体"/>
          <w:color w:val="000000"/>
          <w:szCs w:val="21"/>
          <w:highlight w:val="none"/>
        </w:rPr>
        <w:tab/>
      </w:r>
      <w:r>
        <w:rPr>
          <w:rFonts w:hint="eastAsia" w:ascii="宋体" w:hAnsi="宋体"/>
          <w:color w:val="000000"/>
          <w:szCs w:val="21"/>
          <w:highlight w:val="none"/>
        </w:rPr>
        <w:t>1）货物的现场安装、调试，卖方应在到货之日起（从次日起算）</w:t>
      </w:r>
      <w:r>
        <w:rPr>
          <w:rFonts w:hint="eastAsia" w:ascii="宋体" w:hAnsi="宋体"/>
          <w:color w:val="000000"/>
          <w:szCs w:val="21"/>
          <w:highlight w:val="none"/>
          <w:u w:val="single"/>
        </w:rPr>
        <w:t xml:space="preserve"> / </w:t>
      </w:r>
      <w:r>
        <w:rPr>
          <w:rFonts w:hint="eastAsia" w:ascii="宋体" w:hAnsi="宋体"/>
          <w:color w:val="000000"/>
          <w:szCs w:val="21"/>
          <w:highlight w:val="none"/>
        </w:rPr>
        <w:t>日内完成；</w:t>
      </w:r>
    </w:p>
    <w:p w14:paraId="43DCCFB7">
      <w:pPr>
        <w:adjustRightInd w:val="0"/>
        <w:snapToGrid w:val="0"/>
        <w:spacing w:line="360" w:lineRule="auto"/>
        <w:ind w:left="525"/>
        <w:rPr>
          <w:rFonts w:ascii="宋体" w:hAnsi="宋体"/>
          <w:color w:val="000000"/>
          <w:szCs w:val="21"/>
          <w:highlight w:val="none"/>
        </w:rPr>
      </w:pPr>
      <w:r>
        <w:rPr>
          <w:rFonts w:hint="eastAsia" w:ascii="宋体" w:hAnsi="宋体"/>
          <w:color w:val="000000"/>
          <w:szCs w:val="21"/>
          <w:highlight w:val="none"/>
        </w:rPr>
        <w:t>2）就货物的安装、启动、运行及维护等对买方人员进行免费培训。</w:t>
      </w:r>
    </w:p>
    <w:p w14:paraId="68290357">
      <w:pPr>
        <w:adjustRightInd w:val="0"/>
        <w:snapToGrid w:val="0"/>
        <w:spacing w:line="360" w:lineRule="auto"/>
        <w:ind w:left="525" w:hanging="525" w:hangingChars="250"/>
        <w:rPr>
          <w:rFonts w:ascii="宋体" w:hAnsi="宋体"/>
          <w:szCs w:val="21"/>
          <w:highlight w:val="none"/>
        </w:rPr>
      </w:pPr>
      <w:r>
        <w:rPr>
          <w:rFonts w:hint="eastAsia" w:ascii="宋体" w:hAnsi="宋体"/>
          <w:szCs w:val="21"/>
          <w:highlight w:val="none"/>
        </w:rPr>
        <w:t>8.3  在安装调试期间对有质量问题的货物，卖方应予以调换。对于双方协商确定的安装、调试和运行技术服务方案，卖方如有修改，须以书面形式通知买方，经买方确认后方可实施。为适应现场条件的要求，买方有权提出变更或修改意见，并书面通知卖方，卖方应给予充分考虑，尽量满足买方要求。</w:t>
      </w:r>
    </w:p>
    <w:p w14:paraId="7A9BBDA8">
      <w:pPr>
        <w:adjustRightInd w:val="0"/>
        <w:snapToGrid w:val="0"/>
        <w:spacing w:line="360" w:lineRule="auto"/>
        <w:ind w:left="525" w:hanging="525" w:hangingChars="250"/>
        <w:rPr>
          <w:rFonts w:ascii="宋体" w:hAnsi="宋体"/>
          <w:szCs w:val="21"/>
          <w:highlight w:val="none"/>
        </w:rPr>
      </w:pPr>
      <w:r>
        <w:rPr>
          <w:rFonts w:hint="eastAsia" w:ascii="宋体" w:hAnsi="宋体"/>
          <w:szCs w:val="21"/>
          <w:highlight w:val="none"/>
        </w:rPr>
        <w:t>8.4  在安装调试期间，卖方应遵守买方安全管理规定，做好自身工作人员安全管理；卖方工作人员自身的一切安全问题，由卖方承担全部责任。</w:t>
      </w:r>
    </w:p>
    <w:p w14:paraId="245B4005">
      <w:pPr>
        <w:tabs>
          <w:tab w:val="left" w:pos="360"/>
          <w:tab w:val="left" w:pos="540"/>
        </w:tabs>
        <w:snapToGrid w:val="0"/>
        <w:spacing w:line="360" w:lineRule="auto"/>
        <w:rPr>
          <w:rFonts w:ascii="宋体" w:hAnsi="宋体"/>
          <w:b/>
          <w:bCs/>
          <w:szCs w:val="21"/>
          <w:highlight w:val="none"/>
        </w:rPr>
      </w:pPr>
      <w:r>
        <w:rPr>
          <w:rFonts w:hint="eastAsia" w:ascii="宋体" w:hAnsi="宋体"/>
          <w:b/>
          <w:bCs/>
          <w:szCs w:val="21"/>
          <w:highlight w:val="none"/>
        </w:rPr>
        <w:t>9.   质保期</w:t>
      </w:r>
    </w:p>
    <w:p w14:paraId="48A5E2E7">
      <w:pPr>
        <w:tabs>
          <w:tab w:val="left" w:pos="360"/>
        </w:tabs>
        <w:snapToGrid w:val="0"/>
        <w:spacing w:line="360" w:lineRule="auto"/>
        <w:ind w:left="525" w:hanging="525" w:hangingChars="250"/>
        <w:rPr>
          <w:rFonts w:ascii="宋体" w:hAnsi="宋体"/>
          <w:szCs w:val="21"/>
          <w:highlight w:val="none"/>
        </w:rPr>
      </w:pPr>
      <w:r>
        <w:rPr>
          <w:rFonts w:hint="eastAsia" w:ascii="宋体" w:hAnsi="宋体"/>
          <w:szCs w:val="21"/>
          <w:highlight w:val="none"/>
        </w:rPr>
        <w:t>9.1  自货物验收合格之日起（从次日起算）</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rPr>
        <w:t>个月（货物依法标注有效期的，其有效期不得少于质保期；国家有期限规定的，从其规定）为质保期。对于这期间产品的质量问题，卖方必须在收到买方通知1小时内给予满意答复，若不能用传真及电话沟通解决，而该产品又在运营使用之中，卖方应派员在48小时之内到货物使用现场给予解决，由此产生的一切费用由卖方承担。如果卖方未在上述时间内作出响应，则买方有权自行或委托他人处理上述质量问题，卖方应承担由此发生的全部费用。</w:t>
      </w:r>
    </w:p>
    <w:p w14:paraId="1407FFD8">
      <w:pPr>
        <w:tabs>
          <w:tab w:val="left" w:pos="540"/>
        </w:tabs>
        <w:snapToGrid w:val="0"/>
        <w:spacing w:line="360" w:lineRule="auto"/>
        <w:ind w:left="525" w:hanging="525" w:hangingChars="250"/>
        <w:rPr>
          <w:rFonts w:ascii="宋体" w:hAnsi="宋体"/>
          <w:szCs w:val="21"/>
          <w:highlight w:val="none"/>
        </w:rPr>
      </w:pPr>
      <w:r>
        <w:rPr>
          <w:rFonts w:hint="eastAsia" w:ascii="宋体" w:hAnsi="宋体"/>
          <w:szCs w:val="21"/>
          <w:highlight w:val="none"/>
        </w:rPr>
        <w:t>9.2  在从合同货物运至交货地点之日起至质量保证期结束之日的期间，如发现卖方提供的合同货物有缺陷，不符合本合同规定时，买方有权选择且卖方需采取以下补救措施：</w:t>
      </w:r>
    </w:p>
    <w:p w14:paraId="08F36EB5">
      <w:pPr>
        <w:tabs>
          <w:tab w:val="left" w:pos="540"/>
        </w:tabs>
        <w:snapToGrid w:val="0"/>
        <w:spacing w:line="360" w:lineRule="auto"/>
        <w:ind w:left="525" w:hanging="525" w:hangingChars="250"/>
        <w:rPr>
          <w:rFonts w:ascii="宋体" w:hAnsi="宋体"/>
          <w:szCs w:val="21"/>
          <w:highlight w:val="none"/>
        </w:rPr>
      </w:pPr>
      <w:r>
        <w:rPr>
          <w:rFonts w:hint="eastAsia" w:ascii="宋体" w:hAnsi="宋体"/>
          <w:szCs w:val="21"/>
          <w:highlight w:val="none"/>
        </w:rPr>
        <w:tab/>
      </w:r>
      <w:r>
        <w:rPr>
          <w:rFonts w:hint="eastAsia" w:ascii="宋体" w:hAnsi="宋体"/>
          <w:szCs w:val="21"/>
          <w:highlight w:val="none"/>
        </w:rPr>
        <w:t>1）修理：卖方对不符合合同规定的合同货物进行修理，以使其符合合同要求，费用由卖方承担。除非买方同意，修理工作应在</w:t>
      </w:r>
      <w:r>
        <w:rPr>
          <w:rFonts w:hint="eastAsia" w:ascii="宋体" w:hAnsi="宋体"/>
          <w:szCs w:val="21"/>
          <w:highlight w:val="none"/>
          <w:u w:val="single"/>
        </w:rPr>
        <w:t xml:space="preserve"> 7 </w:t>
      </w:r>
      <w:r>
        <w:rPr>
          <w:rFonts w:hint="eastAsia" w:ascii="宋体" w:hAnsi="宋体"/>
          <w:szCs w:val="21"/>
          <w:highlight w:val="none"/>
        </w:rPr>
        <w:t>天内（含本数）完成。</w:t>
      </w:r>
    </w:p>
    <w:p w14:paraId="33EA9811">
      <w:pPr>
        <w:tabs>
          <w:tab w:val="left" w:pos="540"/>
        </w:tabs>
        <w:snapToGrid w:val="0"/>
        <w:spacing w:line="360" w:lineRule="auto"/>
        <w:ind w:left="525" w:hanging="525" w:hangingChars="250"/>
        <w:rPr>
          <w:rFonts w:ascii="宋体" w:hAnsi="宋体"/>
          <w:szCs w:val="21"/>
          <w:highlight w:val="none"/>
        </w:rPr>
      </w:pPr>
      <w:r>
        <w:rPr>
          <w:rFonts w:hint="eastAsia" w:ascii="宋体" w:hAnsi="宋体"/>
          <w:szCs w:val="21"/>
          <w:highlight w:val="none"/>
        </w:rPr>
        <w:tab/>
      </w:r>
      <w:r>
        <w:rPr>
          <w:rFonts w:hint="eastAsia" w:ascii="宋体" w:hAnsi="宋体"/>
          <w:szCs w:val="21"/>
          <w:highlight w:val="none"/>
        </w:rPr>
        <w:t>2）更换：卖方以符合合同要求的货物替换不符合要求的合同货物，费用由卖方承担。除非买方同意，更换应在</w:t>
      </w:r>
      <w:r>
        <w:rPr>
          <w:rFonts w:hint="eastAsia" w:ascii="宋体" w:hAnsi="宋体"/>
          <w:szCs w:val="21"/>
          <w:highlight w:val="none"/>
          <w:u w:val="single"/>
        </w:rPr>
        <w:t xml:space="preserve"> 30 </w:t>
      </w:r>
      <w:r>
        <w:rPr>
          <w:rFonts w:hint="eastAsia" w:ascii="宋体" w:hAnsi="宋体"/>
          <w:szCs w:val="21"/>
          <w:highlight w:val="none"/>
        </w:rPr>
        <w:t>天内（含本数）完成。</w:t>
      </w:r>
    </w:p>
    <w:p w14:paraId="45A1C8CE">
      <w:pPr>
        <w:tabs>
          <w:tab w:val="left" w:pos="540"/>
        </w:tabs>
        <w:snapToGrid w:val="0"/>
        <w:spacing w:line="360" w:lineRule="auto"/>
        <w:ind w:left="525" w:hanging="525" w:hangingChars="250"/>
        <w:rPr>
          <w:rFonts w:ascii="宋体" w:hAnsi="宋体"/>
          <w:szCs w:val="21"/>
          <w:highlight w:val="none"/>
        </w:rPr>
      </w:pPr>
      <w:r>
        <w:rPr>
          <w:rFonts w:hint="eastAsia" w:ascii="宋体" w:hAnsi="宋体"/>
          <w:szCs w:val="21"/>
          <w:highlight w:val="none"/>
        </w:rPr>
        <w:tab/>
      </w:r>
      <w:r>
        <w:rPr>
          <w:rFonts w:hint="eastAsia" w:ascii="宋体" w:hAnsi="宋体"/>
          <w:szCs w:val="21"/>
          <w:highlight w:val="none"/>
        </w:rPr>
        <w:t>3）退货：买方将有缺陷的合同货物退还卖方，卖方负责将被退还的合同货物运出安装现场。在此种情况下，卖方应退还已收取的该货物的货款并承担买方支出的安装、拆卸、运输、保险及购买替代品的差价等费用。</w:t>
      </w:r>
    </w:p>
    <w:p w14:paraId="76B9D6E4">
      <w:pPr>
        <w:tabs>
          <w:tab w:val="left" w:pos="540"/>
        </w:tabs>
        <w:snapToGrid w:val="0"/>
        <w:spacing w:line="360" w:lineRule="auto"/>
        <w:ind w:left="525" w:hanging="525" w:hangingChars="250"/>
        <w:rPr>
          <w:rFonts w:ascii="宋体" w:hAnsi="宋体"/>
          <w:szCs w:val="21"/>
          <w:highlight w:val="none"/>
        </w:rPr>
      </w:pPr>
      <w:r>
        <w:rPr>
          <w:rFonts w:hint="eastAsia" w:ascii="宋体" w:hAnsi="宋体"/>
          <w:szCs w:val="21"/>
          <w:highlight w:val="none"/>
        </w:rPr>
        <w:tab/>
      </w:r>
      <w:r>
        <w:rPr>
          <w:rFonts w:hint="eastAsia" w:ascii="宋体" w:hAnsi="宋体"/>
          <w:szCs w:val="21"/>
          <w:highlight w:val="none"/>
        </w:rPr>
        <w:t>4）削价：在买卖双方同意的前提下，对有缺陷的合同货物作削价处理，卖方应将有缺陷的合同货物原合同价与削减后价格之间的差额退回买方。</w:t>
      </w:r>
    </w:p>
    <w:p w14:paraId="480D140E">
      <w:pPr>
        <w:tabs>
          <w:tab w:val="left" w:pos="540"/>
        </w:tabs>
        <w:snapToGrid w:val="0"/>
        <w:spacing w:line="360" w:lineRule="auto"/>
        <w:ind w:left="525" w:hanging="525" w:hangingChars="250"/>
        <w:rPr>
          <w:rFonts w:ascii="宋体" w:hAnsi="宋体"/>
          <w:szCs w:val="21"/>
          <w:highlight w:val="none"/>
        </w:rPr>
      </w:pPr>
      <w:r>
        <w:rPr>
          <w:rFonts w:hint="eastAsia" w:ascii="宋体" w:hAnsi="宋体"/>
          <w:szCs w:val="21"/>
          <w:highlight w:val="none"/>
        </w:rPr>
        <w:tab/>
      </w:r>
      <w:r>
        <w:rPr>
          <w:rFonts w:hint="eastAsia" w:ascii="宋体" w:hAnsi="宋体"/>
          <w:szCs w:val="21"/>
          <w:highlight w:val="none"/>
        </w:rPr>
        <w:t>5）赔偿损失：除已有规定外，卖方应赔偿买方因采取上述措施所发生的损失。</w:t>
      </w:r>
    </w:p>
    <w:p w14:paraId="71BC31ED">
      <w:pPr>
        <w:numPr>
          <w:ilvl w:val="0"/>
          <w:numId w:val="14"/>
        </w:numPr>
        <w:snapToGrid w:val="0"/>
        <w:spacing w:line="360" w:lineRule="auto"/>
        <w:ind w:left="0" w:firstLine="0"/>
        <w:rPr>
          <w:rFonts w:ascii="宋体" w:hAnsi="宋体"/>
          <w:b/>
          <w:szCs w:val="21"/>
          <w:highlight w:val="none"/>
        </w:rPr>
      </w:pPr>
      <w:r>
        <w:rPr>
          <w:rFonts w:hint="eastAsia" w:ascii="宋体" w:hAnsi="宋体"/>
          <w:b/>
          <w:szCs w:val="21"/>
          <w:highlight w:val="none"/>
        </w:rPr>
        <w:t>货款支付</w:t>
      </w:r>
    </w:p>
    <w:p w14:paraId="20260977">
      <w:pPr>
        <w:snapToGrid w:val="0"/>
        <w:spacing w:line="360" w:lineRule="auto"/>
        <w:ind w:left="525" w:hanging="525" w:hangingChars="250"/>
        <w:rPr>
          <w:rFonts w:ascii="宋体" w:hAnsi="宋体"/>
          <w:szCs w:val="21"/>
          <w:highlight w:val="none"/>
        </w:rPr>
      </w:pPr>
      <w:r>
        <w:rPr>
          <w:rFonts w:hint="eastAsia" w:ascii="宋体" w:hAnsi="宋体"/>
          <w:szCs w:val="21"/>
          <w:highlight w:val="none"/>
        </w:rPr>
        <w:t>10.1 本合同项下所有款项均在卖方货物交付验收合格并提交与交付货物总价相一致的有效增值税专用发票（税率</w:t>
      </w:r>
      <w:r>
        <w:rPr>
          <w:rFonts w:hint="eastAsia" w:ascii="宋体" w:hAnsi="宋体"/>
          <w:szCs w:val="21"/>
          <w:highlight w:val="none"/>
          <w:u w:val="single"/>
        </w:rPr>
        <w:t>1</w:t>
      </w:r>
      <w:r>
        <w:rPr>
          <w:rFonts w:ascii="宋体" w:hAnsi="宋体"/>
          <w:szCs w:val="21"/>
          <w:highlight w:val="none"/>
          <w:u w:val="single"/>
        </w:rPr>
        <w:t>3</w:t>
      </w:r>
      <w:r>
        <w:rPr>
          <w:rFonts w:hint="eastAsia" w:ascii="宋体" w:hAnsi="宋体"/>
          <w:szCs w:val="21"/>
          <w:highlight w:val="none"/>
          <w:u w:val="single"/>
        </w:rPr>
        <w:t>%</w:t>
      </w:r>
      <w:r>
        <w:rPr>
          <w:rFonts w:hint="eastAsia" w:ascii="宋体" w:hAnsi="宋体"/>
          <w:szCs w:val="21"/>
          <w:highlight w:val="none"/>
        </w:rPr>
        <w:t>)后支付，发票备注栏需注明本合同编号；若是开“货物一批”单张增值税专用发票时，应附有加盖发票专用章的货物明细清单。</w:t>
      </w:r>
    </w:p>
    <w:p w14:paraId="665613CC">
      <w:pPr>
        <w:tabs>
          <w:tab w:val="left" w:pos="180"/>
          <w:tab w:val="left" w:pos="540"/>
        </w:tabs>
        <w:snapToGrid w:val="0"/>
        <w:spacing w:line="360" w:lineRule="auto"/>
        <w:ind w:left="525" w:hanging="525" w:hangingChars="250"/>
        <w:rPr>
          <w:rFonts w:ascii="宋体" w:hAnsi="宋体"/>
          <w:szCs w:val="21"/>
          <w:highlight w:val="none"/>
        </w:rPr>
      </w:pPr>
      <w:r>
        <w:rPr>
          <w:rFonts w:hint="eastAsia" w:ascii="宋体" w:hAnsi="宋体"/>
          <w:szCs w:val="21"/>
          <w:highlight w:val="none"/>
        </w:rPr>
        <w:t>10.2</w:t>
      </w:r>
      <w:r>
        <w:rPr>
          <w:rFonts w:ascii="宋体" w:hAnsi="宋体"/>
          <w:szCs w:val="21"/>
          <w:highlight w:val="none"/>
        </w:rPr>
        <w:t xml:space="preserve"> </w:t>
      </w:r>
      <w:r>
        <w:rPr>
          <w:rFonts w:hint="eastAsia" w:ascii="宋体" w:hAnsi="宋体" w:eastAsia="宋体" w:cs="Times New Roman"/>
          <w:kern w:val="2"/>
          <w:sz w:val="21"/>
          <w:szCs w:val="21"/>
          <w:highlight w:val="none"/>
          <w:u w:val="none"/>
          <w:lang w:val="en-US" w:eastAsia="zh-CN" w:bidi="ar"/>
        </w:rPr>
        <w:t>货物到货经买方验收合格、卖方开具的</w:t>
      </w:r>
      <w:r>
        <w:rPr>
          <w:rFonts w:hint="eastAsia" w:ascii="宋体" w:hAnsi="宋体" w:eastAsia="宋体"/>
          <w:szCs w:val="21"/>
          <w:highlight w:val="none"/>
          <w:u w:val="none"/>
        </w:rPr>
        <w:t>增值税专用发票</w:t>
      </w:r>
      <w:r>
        <w:rPr>
          <w:rFonts w:hint="eastAsia" w:ascii="宋体" w:hAnsi="宋体" w:eastAsia="宋体"/>
          <w:szCs w:val="21"/>
          <w:highlight w:val="none"/>
          <w:u w:val="none"/>
          <w:lang w:val="en-US" w:eastAsia="zh-CN"/>
        </w:rPr>
        <w:t>经买方审核无误以</w:t>
      </w:r>
      <w:r>
        <w:rPr>
          <w:rFonts w:hint="eastAsia" w:ascii="宋体" w:hAnsi="宋体" w:eastAsia="宋体"/>
          <w:szCs w:val="21"/>
          <w:highlight w:val="none"/>
          <w:u w:val="none"/>
        </w:rPr>
        <w:t>及货物明细清单经双方确认无异后，</w:t>
      </w:r>
      <w:r>
        <w:rPr>
          <w:rFonts w:hint="eastAsia" w:ascii="宋体" w:hAnsi="宋体" w:eastAsia="宋体"/>
          <w:szCs w:val="21"/>
          <w:highlight w:val="none"/>
          <w:u w:val="none"/>
          <w:lang w:val="en-US" w:eastAsia="zh-CN"/>
        </w:rPr>
        <w:t>买方</w:t>
      </w:r>
      <w:r>
        <w:rPr>
          <w:rFonts w:hint="eastAsia" w:ascii="宋体" w:hAnsi="宋体" w:eastAsia="宋体" w:cs="Times New Roman"/>
          <w:kern w:val="2"/>
          <w:sz w:val="21"/>
          <w:szCs w:val="21"/>
          <w:highlight w:val="none"/>
          <w:u w:val="none"/>
          <w:lang w:val="en-US" w:eastAsia="zh-CN" w:bidi="ar"/>
        </w:rPr>
        <w:t>按合同价款全额</w:t>
      </w:r>
      <w:r>
        <w:rPr>
          <w:rFonts w:hint="eastAsia" w:ascii="宋体" w:hAnsi="宋体" w:cs="Times New Roman"/>
          <w:kern w:val="2"/>
          <w:sz w:val="21"/>
          <w:szCs w:val="21"/>
          <w:highlight w:val="none"/>
          <w:u w:val="none"/>
          <w:lang w:val="en-US" w:eastAsia="zh-CN" w:bidi="ar"/>
        </w:rPr>
        <w:t>（或交付货物金额）</w:t>
      </w:r>
      <w:r>
        <w:rPr>
          <w:rFonts w:hint="eastAsia" w:ascii="宋体" w:hAnsi="宋体" w:eastAsia="宋体" w:cs="Times New Roman"/>
          <w:kern w:val="2"/>
          <w:sz w:val="21"/>
          <w:szCs w:val="21"/>
          <w:highlight w:val="none"/>
          <w:u w:val="none"/>
          <w:lang w:val="en-US" w:eastAsia="zh-CN" w:bidi="ar"/>
        </w:rPr>
        <w:t>的</w:t>
      </w:r>
      <w:r>
        <w:rPr>
          <w:rFonts w:hint="eastAsia" w:ascii="宋体" w:hAnsi="宋体" w:cs="Times New Roman"/>
          <w:kern w:val="2"/>
          <w:sz w:val="21"/>
          <w:szCs w:val="21"/>
          <w:highlight w:val="none"/>
          <w:u w:val="single"/>
          <w:lang w:val="en-US" w:eastAsia="zh-CN" w:bidi="ar"/>
        </w:rPr>
        <w:t>95</w:t>
      </w:r>
      <w:r>
        <w:rPr>
          <w:rFonts w:hint="eastAsia" w:ascii="宋体" w:hAnsi="宋体" w:eastAsia="宋体" w:cs="Times New Roman"/>
          <w:kern w:val="2"/>
          <w:sz w:val="21"/>
          <w:szCs w:val="21"/>
          <w:highlight w:val="none"/>
          <w:u w:val="single"/>
          <w:lang w:val="en-US" w:eastAsia="zh-CN" w:bidi="ar"/>
        </w:rPr>
        <w:t>%</w:t>
      </w:r>
      <w:r>
        <w:rPr>
          <w:rFonts w:hint="eastAsia" w:ascii="宋体" w:hAnsi="宋体" w:eastAsia="宋体" w:cs="Times New Roman"/>
          <w:kern w:val="2"/>
          <w:sz w:val="21"/>
          <w:szCs w:val="21"/>
          <w:highlight w:val="none"/>
          <w:u w:val="none"/>
          <w:lang w:val="en-US" w:eastAsia="zh-CN" w:bidi="ar"/>
        </w:rPr>
        <w:t>在90个工作日内予以支付</w:t>
      </w:r>
      <w:r>
        <w:rPr>
          <w:rFonts w:hint="eastAsia" w:ascii="宋体" w:hAnsi="宋体" w:cs="Times New Roman"/>
          <w:kern w:val="2"/>
          <w:sz w:val="21"/>
          <w:szCs w:val="21"/>
          <w:highlight w:val="none"/>
          <w:u w:val="none"/>
          <w:lang w:val="en-US" w:eastAsia="zh-CN" w:bidi="ar"/>
        </w:rPr>
        <w:t>，</w:t>
      </w:r>
      <w:r>
        <w:rPr>
          <w:rFonts w:hint="eastAsia" w:ascii="宋体" w:hAnsi="宋体"/>
          <w:szCs w:val="21"/>
          <w:highlight w:val="none"/>
        </w:rPr>
        <w:t>余款自货物验收合格之日起（从次日起算）一年内无任何质量问题，由买方</w:t>
      </w:r>
      <w:r>
        <w:rPr>
          <w:rFonts w:hint="eastAsia" w:ascii="宋体" w:hAnsi="宋体"/>
          <w:szCs w:val="21"/>
          <w:highlight w:val="none"/>
          <w:u w:val="single"/>
        </w:rPr>
        <w:t>90</w:t>
      </w:r>
      <w:r>
        <w:rPr>
          <w:rFonts w:hint="eastAsia" w:ascii="宋体" w:hAnsi="宋体"/>
          <w:szCs w:val="21"/>
          <w:highlight w:val="none"/>
        </w:rPr>
        <w:t>个工作日内向卖方支付</w:t>
      </w:r>
      <w:r>
        <w:rPr>
          <w:rFonts w:hint="eastAsia" w:ascii="宋体" w:hAnsi="宋体" w:eastAsia="宋体" w:cs="Times New Roman"/>
          <w:kern w:val="2"/>
          <w:sz w:val="21"/>
          <w:szCs w:val="21"/>
          <w:highlight w:val="none"/>
          <w:u w:val="none"/>
          <w:lang w:val="en-US" w:eastAsia="zh-CN" w:bidi="ar"/>
        </w:rPr>
        <w:t>。</w:t>
      </w:r>
      <w:r>
        <w:rPr>
          <w:rFonts w:hint="eastAsia" w:ascii="宋体" w:hAnsi="宋体" w:cs="Times New Roman"/>
          <w:kern w:val="2"/>
          <w:sz w:val="21"/>
          <w:szCs w:val="21"/>
          <w:highlight w:val="none"/>
          <w:u w:val="none"/>
          <w:lang w:val="en-US" w:eastAsia="zh-CN" w:bidi="ar"/>
        </w:rPr>
        <w:t>如果卖方未能及时开具发票，买方有权拒绝支付相应货款而不承担任何责任。</w:t>
      </w:r>
    </w:p>
    <w:p w14:paraId="10CA37B6">
      <w:pPr>
        <w:snapToGrid w:val="0"/>
        <w:spacing w:line="360" w:lineRule="auto"/>
        <w:ind w:left="525" w:hanging="525" w:hangingChars="250"/>
        <w:rPr>
          <w:rFonts w:ascii="宋体" w:hAnsi="宋体"/>
          <w:szCs w:val="21"/>
          <w:highlight w:val="none"/>
        </w:rPr>
      </w:pPr>
      <w:r>
        <w:rPr>
          <w:rFonts w:hint="eastAsia" w:ascii="宋体" w:hAnsi="宋体"/>
          <w:szCs w:val="21"/>
          <w:highlight w:val="none"/>
        </w:rPr>
        <w:t xml:space="preserve">10.3 </w:t>
      </w:r>
      <w:r>
        <w:rPr>
          <w:rFonts w:hint="eastAsia" w:ascii="宋体" w:hAnsi="宋体"/>
          <w:b/>
          <w:bCs/>
          <w:szCs w:val="21"/>
          <w:highlight w:val="none"/>
        </w:rPr>
        <w:t>在提交发票时，需附有详细的发票清单（详见附件4），</w:t>
      </w:r>
      <w:r>
        <w:rPr>
          <w:rFonts w:hint="eastAsia" w:ascii="宋体" w:hAnsi="宋体"/>
          <w:b/>
          <w:bCs/>
          <w:color w:val="000000"/>
          <w:szCs w:val="21"/>
          <w:highlight w:val="none"/>
        </w:rPr>
        <w:t>卖方</w:t>
      </w:r>
      <w:r>
        <w:rPr>
          <w:rFonts w:hint="eastAsia" w:ascii="宋体" w:hAnsi="宋体"/>
          <w:b/>
          <w:bCs/>
          <w:szCs w:val="21"/>
          <w:highlight w:val="none"/>
        </w:rPr>
        <w:t>如未提供上述材料、提供有误或不完整，买方将有权推迟向卖方支付货款，推迟时间为自货物验收合格之日起（从次日起算）</w:t>
      </w:r>
      <w:r>
        <w:rPr>
          <w:rFonts w:hint="eastAsia" w:ascii="宋体" w:hAnsi="宋体"/>
          <w:b/>
          <w:bCs/>
          <w:szCs w:val="21"/>
          <w:highlight w:val="none"/>
          <w:u w:val="single"/>
        </w:rPr>
        <w:t>90</w:t>
      </w:r>
      <w:r>
        <w:rPr>
          <w:rFonts w:hint="eastAsia" w:ascii="宋体" w:hAnsi="宋体"/>
          <w:b/>
          <w:bCs/>
          <w:szCs w:val="21"/>
          <w:highlight w:val="none"/>
        </w:rPr>
        <w:t>个日历天。</w:t>
      </w:r>
    </w:p>
    <w:p w14:paraId="258C9CAD">
      <w:pPr>
        <w:snapToGrid w:val="0"/>
        <w:spacing w:line="360" w:lineRule="auto"/>
        <w:rPr>
          <w:rFonts w:ascii="宋体" w:hAnsi="宋体"/>
          <w:szCs w:val="21"/>
          <w:highlight w:val="none"/>
        </w:rPr>
      </w:pPr>
      <w:r>
        <w:rPr>
          <w:rFonts w:hint="eastAsia" w:ascii="宋体" w:hAnsi="宋体"/>
          <w:szCs w:val="21"/>
          <w:highlight w:val="none"/>
        </w:rPr>
        <w:t>10.4 货款以银行转账方式结算。</w:t>
      </w:r>
    </w:p>
    <w:p w14:paraId="5455F412">
      <w:pPr>
        <w:snapToGrid w:val="0"/>
        <w:spacing w:line="360" w:lineRule="auto"/>
        <w:ind w:left="525" w:hanging="525" w:hangingChars="250"/>
        <w:rPr>
          <w:rFonts w:ascii="宋体" w:hAnsi="宋体"/>
          <w:szCs w:val="21"/>
          <w:highlight w:val="none"/>
        </w:rPr>
      </w:pPr>
      <w:r>
        <w:rPr>
          <w:rFonts w:hint="eastAsia" w:ascii="宋体" w:hAnsi="宋体"/>
          <w:szCs w:val="21"/>
          <w:highlight w:val="none"/>
        </w:rPr>
        <w:t>10.5 本合同约定的含税价款不因国家税率变化而变化。在合同履行期间，如遇国家的税率调整或其他政策影响税率的，则价税合计金额不做相应调整。</w:t>
      </w:r>
    </w:p>
    <w:p w14:paraId="10B6178E">
      <w:pPr>
        <w:snapToGrid w:val="0"/>
        <w:spacing w:line="360" w:lineRule="auto"/>
        <w:ind w:left="525" w:hanging="525" w:hangingChars="250"/>
        <w:rPr>
          <w:rFonts w:ascii="宋体" w:hAnsi="宋体"/>
          <w:szCs w:val="21"/>
          <w:highlight w:val="none"/>
        </w:rPr>
      </w:pPr>
      <w:r>
        <w:rPr>
          <w:rFonts w:hint="eastAsia" w:ascii="宋体" w:hAnsi="宋体"/>
          <w:szCs w:val="21"/>
          <w:highlight w:val="none"/>
        </w:rPr>
        <w:t>10.6 因卖方提供的发票不符合国家发票管理等法规要求，导致买方从卖方取得的增值税专用发票被税务管理机关认定为不得作为增值税进项税额抵扣凭证或税前扣除凭据的，而给买方造成的经济损失，由卖方负责赔偿。</w:t>
      </w:r>
    </w:p>
    <w:p w14:paraId="36DE7503">
      <w:pPr>
        <w:snapToGrid w:val="0"/>
        <w:spacing w:line="360" w:lineRule="auto"/>
        <w:ind w:left="527" w:hanging="527" w:hangingChars="250"/>
        <w:rPr>
          <w:rFonts w:ascii="宋体" w:hAnsi="宋体"/>
          <w:b/>
          <w:bCs/>
          <w:szCs w:val="21"/>
          <w:highlight w:val="none"/>
        </w:rPr>
      </w:pPr>
      <w:r>
        <w:rPr>
          <w:rFonts w:hint="eastAsia" w:ascii="宋体" w:hAnsi="宋体"/>
          <w:b/>
          <w:bCs/>
          <w:szCs w:val="21"/>
          <w:highlight w:val="none"/>
        </w:rPr>
        <w:t>11</w:t>
      </w:r>
      <w:r>
        <w:rPr>
          <w:rFonts w:ascii="宋体" w:hAnsi="宋体"/>
          <w:b/>
          <w:bCs/>
          <w:szCs w:val="21"/>
          <w:highlight w:val="none"/>
        </w:rPr>
        <w:t xml:space="preserve">.  </w:t>
      </w:r>
      <w:r>
        <w:rPr>
          <w:rFonts w:hint="eastAsia" w:ascii="宋体" w:hAnsi="宋体"/>
          <w:b/>
          <w:bCs/>
          <w:szCs w:val="21"/>
          <w:highlight w:val="none"/>
        </w:rPr>
        <w:t>履约保证金</w:t>
      </w:r>
    </w:p>
    <w:p w14:paraId="1E9DECB2">
      <w:pPr>
        <w:snapToGrid w:val="0"/>
        <w:spacing w:line="360" w:lineRule="auto"/>
        <w:ind w:left="525" w:hanging="525" w:hangingChars="250"/>
        <w:rPr>
          <w:rFonts w:ascii="宋体" w:hAnsi="宋体"/>
          <w:bCs/>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hint="eastAsia" w:ascii="宋体" w:hAnsi="宋体"/>
          <w:szCs w:val="21"/>
          <w:highlight w:val="none"/>
        </w:rPr>
        <w:t xml:space="preserve"> </w:t>
      </w:r>
      <w:r>
        <w:rPr>
          <w:rFonts w:ascii="宋体" w:hAnsi="宋体"/>
          <w:szCs w:val="21"/>
          <w:highlight w:val="none"/>
        </w:rPr>
        <w:t>在本合同签订时，卖方应向买方提交履约保证金，金额</w:t>
      </w:r>
      <w:r>
        <w:rPr>
          <w:rFonts w:hint="eastAsia" w:ascii="宋体" w:hAnsi="宋体"/>
          <w:bCs/>
          <w:szCs w:val="21"/>
          <w:highlight w:val="none"/>
        </w:rPr>
        <w:t>为人民币（大写）</w:t>
      </w:r>
      <w:r>
        <w:rPr>
          <w:rFonts w:hint="eastAsia" w:ascii="宋体" w:hAnsi="宋体"/>
          <w:b/>
          <w:szCs w:val="21"/>
          <w:highlight w:val="none"/>
          <w:u w:val="single"/>
          <w:lang w:val="en-US" w:eastAsia="zh-CN"/>
        </w:rPr>
        <w:t xml:space="preserve">        </w:t>
      </w:r>
      <w:r>
        <w:rPr>
          <w:rFonts w:hint="eastAsia" w:ascii="宋体" w:hAnsi="宋体"/>
          <w:bCs/>
          <w:szCs w:val="21"/>
          <w:highlight w:val="none"/>
        </w:rPr>
        <w:t>（</w:t>
      </w:r>
      <w:r>
        <w:rPr>
          <w:rFonts w:hint="eastAsia" w:ascii="宋体" w:hAnsi="宋体"/>
          <w:b/>
          <w:szCs w:val="21"/>
          <w:highlight w:val="none"/>
        </w:rPr>
        <w:t>¥</w:t>
      </w:r>
      <w:r>
        <w:rPr>
          <w:rFonts w:hint="eastAsia" w:ascii="宋体" w:hAnsi="宋体"/>
          <w:b/>
          <w:szCs w:val="21"/>
          <w:highlight w:val="none"/>
          <w:u w:val="single"/>
          <w:lang w:val="en-US" w:eastAsia="zh-CN"/>
        </w:rPr>
        <w:t xml:space="preserve">         </w:t>
      </w:r>
      <w:r>
        <w:rPr>
          <w:rFonts w:hint="eastAsia" w:ascii="宋体" w:hAnsi="宋体"/>
          <w:bCs/>
          <w:szCs w:val="21"/>
          <w:highlight w:val="none"/>
        </w:rPr>
        <w:t>元）。</w:t>
      </w:r>
    </w:p>
    <w:p w14:paraId="41EE9361">
      <w:pPr>
        <w:snapToGrid w:val="0"/>
        <w:spacing w:line="360" w:lineRule="auto"/>
        <w:ind w:left="525" w:hanging="525" w:hangingChars="250"/>
        <w:rPr>
          <w:rFonts w:hint="eastAsia" w:ascii="宋体" w:hAnsi="宋体" w:eastAsia="宋体"/>
          <w:b w:val="0"/>
          <w:bCs w:val="0"/>
          <w:sz w:val="21"/>
          <w:szCs w:val="21"/>
          <w:highlight w:val="none"/>
          <w:lang w:eastAsia="zh-CN"/>
        </w:rPr>
      </w:pPr>
      <w:r>
        <w:rPr>
          <w:rFonts w:hint="eastAsia" w:ascii="宋体" w:hAnsi="宋体"/>
          <w:bCs/>
          <w:szCs w:val="21"/>
          <w:highlight w:val="none"/>
          <w:lang w:val="en-US" w:eastAsia="zh-CN"/>
        </w:rPr>
        <w:t xml:space="preserve">11.2 </w:t>
      </w:r>
      <w:r>
        <w:rPr>
          <w:rFonts w:hint="eastAsia" w:ascii="宋体" w:hAnsi="宋体" w:eastAsia="宋体"/>
          <w:b w:val="0"/>
          <w:bCs w:val="0"/>
          <w:sz w:val="21"/>
          <w:szCs w:val="21"/>
          <w:highlight w:val="none"/>
        </w:rPr>
        <w:t>履约保证金提交方式：应按照本合同要求向</w:t>
      </w:r>
      <w:r>
        <w:rPr>
          <w:rFonts w:hint="eastAsia" w:ascii="宋体" w:hAnsi="宋体" w:eastAsia="宋体"/>
          <w:b w:val="0"/>
          <w:bCs w:val="0"/>
          <w:sz w:val="21"/>
          <w:szCs w:val="21"/>
          <w:highlight w:val="none"/>
          <w:lang w:val="en-US" w:eastAsia="zh-CN"/>
        </w:rPr>
        <w:t>买</w:t>
      </w:r>
      <w:r>
        <w:rPr>
          <w:rFonts w:hint="eastAsia" w:ascii="宋体" w:hAnsi="宋体" w:eastAsia="宋体"/>
          <w:b w:val="0"/>
          <w:bCs w:val="0"/>
          <w:sz w:val="21"/>
          <w:szCs w:val="21"/>
          <w:highlight w:val="none"/>
        </w:rPr>
        <w:t>方提交履约保证金或按</w:t>
      </w:r>
      <w:r>
        <w:rPr>
          <w:rFonts w:hint="eastAsia" w:ascii="宋体" w:hAnsi="宋体" w:eastAsia="宋体"/>
          <w:b w:val="0"/>
          <w:bCs w:val="0"/>
          <w:sz w:val="21"/>
          <w:szCs w:val="21"/>
          <w:highlight w:val="none"/>
          <w:lang w:val="en-US" w:eastAsia="zh-CN"/>
        </w:rPr>
        <w:t>买</w:t>
      </w:r>
      <w:r>
        <w:rPr>
          <w:rFonts w:hint="eastAsia" w:ascii="宋体" w:hAnsi="宋体" w:eastAsia="宋体"/>
          <w:b w:val="0"/>
          <w:bCs w:val="0"/>
          <w:sz w:val="21"/>
          <w:szCs w:val="21"/>
          <w:highlight w:val="none"/>
        </w:rPr>
        <w:t>方要求开具同等金额的银行保函</w:t>
      </w:r>
      <w:r>
        <w:rPr>
          <w:rFonts w:hint="eastAsia" w:ascii="宋体" w:hAnsi="宋体" w:eastAsia="宋体"/>
          <w:b w:val="0"/>
          <w:bCs w:val="0"/>
          <w:sz w:val="21"/>
          <w:szCs w:val="21"/>
          <w:highlight w:val="none"/>
          <w:lang w:eastAsia="zh-CN"/>
        </w:rPr>
        <w:t>。</w:t>
      </w:r>
    </w:p>
    <w:p w14:paraId="4A4F132C">
      <w:pPr>
        <w:snapToGrid w:val="0"/>
        <w:spacing w:line="360" w:lineRule="auto"/>
        <w:ind w:left="525" w:hanging="525" w:hangingChars="250"/>
        <w:rPr>
          <w:rFonts w:ascii="宋体" w:hAnsi="宋体"/>
          <w:szCs w:val="21"/>
          <w:highlight w:val="none"/>
        </w:rPr>
      </w:pPr>
      <w:r>
        <w:rPr>
          <w:rFonts w:hint="eastAsia" w:ascii="宋体" w:hAnsi="宋体"/>
          <w:bCs/>
          <w:szCs w:val="21"/>
          <w:highlight w:val="none"/>
        </w:rPr>
        <w:t>11.</w:t>
      </w:r>
      <w:r>
        <w:rPr>
          <w:rFonts w:hint="eastAsia" w:ascii="宋体" w:hAnsi="宋体"/>
          <w:bCs/>
          <w:szCs w:val="21"/>
          <w:highlight w:val="none"/>
          <w:lang w:val="en-US" w:eastAsia="zh-CN"/>
        </w:rPr>
        <w:t>3</w:t>
      </w:r>
      <w:r>
        <w:rPr>
          <w:rFonts w:ascii="宋体" w:hAnsi="宋体"/>
          <w:bCs/>
          <w:szCs w:val="21"/>
          <w:highlight w:val="none"/>
        </w:rPr>
        <w:t xml:space="preserve"> </w:t>
      </w:r>
      <w:r>
        <w:rPr>
          <w:rFonts w:hint="eastAsia" w:ascii="宋体" w:hAnsi="宋体"/>
          <w:bCs/>
          <w:szCs w:val="21"/>
          <w:highlight w:val="none"/>
        </w:rPr>
        <w:t>履约保证金由买方持有，买方有权在该履约保证金内扣除任何卖方应付而未付之任何款项（包括但不限于合同约定的卖方应支付款项、买方垫付的其他费用等），及任何因卖方在不遵守或不履行本合同条款之任何部分而导致的任何费用支出、违约金、损失或损害赔偿金。</w:t>
      </w:r>
    </w:p>
    <w:p w14:paraId="635A2E5E">
      <w:pPr>
        <w:snapToGrid w:val="0"/>
        <w:spacing w:line="360" w:lineRule="auto"/>
        <w:ind w:left="525" w:hanging="525" w:hangingChars="250"/>
        <w:rPr>
          <w:rFonts w:ascii="宋体" w:hAnsi="宋体"/>
          <w:b/>
          <w:bCs/>
          <w:color w:val="FF0000"/>
          <w:szCs w:val="21"/>
          <w:highlight w:val="none"/>
        </w:rPr>
      </w:pPr>
      <w:r>
        <w:rPr>
          <w:rFonts w:hint="eastAsia" w:ascii="宋体" w:hAnsi="宋体"/>
          <w:szCs w:val="21"/>
          <w:highlight w:val="none"/>
        </w:rPr>
        <w:t>11.</w:t>
      </w:r>
      <w:r>
        <w:rPr>
          <w:rFonts w:hint="eastAsia" w:ascii="宋体" w:hAnsi="宋体"/>
          <w:szCs w:val="21"/>
          <w:highlight w:val="none"/>
          <w:lang w:val="en-US" w:eastAsia="zh-CN"/>
        </w:rPr>
        <w:t>4</w:t>
      </w:r>
      <w:r>
        <w:rPr>
          <w:rFonts w:ascii="宋体" w:hAnsi="宋体"/>
          <w:szCs w:val="21"/>
          <w:highlight w:val="none"/>
        </w:rPr>
        <w:t xml:space="preserve"> </w:t>
      </w:r>
      <w:r>
        <w:rPr>
          <w:rFonts w:hint="eastAsia" w:ascii="宋体" w:hAnsi="宋体"/>
          <w:szCs w:val="21"/>
          <w:highlight w:val="none"/>
        </w:rPr>
        <w:t>如买方根据本合同的约定扣除履约保证金，卖方必须在扣款后</w:t>
      </w:r>
      <w:r>
        <w:rPr>
          <w:rFonts w:hint="eastAsia" w:ascii="宋体" w:hAnsi="宋体"/>
          <w:szCs w:val="21"/>
          <w:highlight w:val="none"/>
          <w:u w:val="single"/>
          <w:lang w:val="en-US" w:eastAsia="zh-CN"/>
        </w:rPr>
        <w:t xml:space="preserve"> 5 </w:t>
      </w:r>
      <w:r>
        <w:rPr>
          <w:rFonts w:hint="eastAsia" w:ascii="宋体" w:hAnsi="宋体"/>
          <w:szCs w:val="21"/>
          <w:highlight w:val="none"/>
        </w:rPr>
        <w:t>个工作日内，补足相等于该扣除款额的履约保证金，以保证合同履行期间履约保证金的完整。如履约保证金尚不能弥补买方的损失，买方有权向卖方另行主张赔偿。</w:t>
      </w:r>
    </w:p>
    <w:p w14:paraId="48254AB2">
      <w:pPr>
        <w:keepNext w:val="0"/>
        <w:keepLines w:val="0"/>
        <w:pageBreakBefore w:val="0"/>
        <w:widowControl/>
        <w:suppressLineNumbers w:val="0"/>
        <w:kinsoku/>
        <w:wordWrap/>
        <w:overflowPunct/>
        <w:topLinePunct w:val="0"/>
        <w:autoSpaceDE/>
        <w:autoSpaceDN/>
        <w:bidi w:val="0"/>
        <w:adjustRightInd/>
        <w:snapToGrid/>
        <w:spacing w:line="360" w:lineRule="auto"/>
        <w:ind w:left="525" w:hanging="525" w:hangingChars="250"/>
        <w:jc w:val="left"/>
        <w:textAlignment w:val="auto"/>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lang w:val="en-US" w:eastAsia="zh-CN"/>
        </w:rPr>
        <w:t xml:space="preserve">5 </w:t>
      </w:r>
      <w:r>
        <w:rPr>
          <w:rFonts w:hint="eastAsia" w:ascii="宋体" w:hAnsi="宋体" w:eastAsia="宋体"/>
          <w:bCs/>
          <w:szCs w:val="21"/>
          <w:highlight w:val="none"/>
          <w:lang w:val="en-US" w:eastAsia="zh-CN"/>
        </w:rPr>
        <w:t>履约保证金的有效期限至本</w:t>
      </w:r>
      <w:r>
        <w:rPr>
          <w:rFonts w:hint="eastAsia" w:ascii="宋体" w:hAnsi="宋体" w:eastAsia="宋体" w:cs="Times New Roman"/>
          <w:bCs/>
          <w:kern w:val="2"/>
          <w:sz w:val="21"/>
          <w:szCs w:val="21"/>
          <w:highlight w:val="none"/>
          <w:lang w:val="en-US" w:eastAsia="zh-CN" w:bidi="ar"/>
        </w:rPr>
        <w:t>合同项下最后一批货物经买方验收合格之日止。履约保证金有效期满后，买方审核无误后于</w:t>
      </w:r>
      <w:r>
        <w:rPr>
          <w:rFonts w:hint="eastAsia" w:ascii="宋体" w:hAnsi="宋体" w:eastAsia="宋体"/>
          <w:b w:val="0"/>
          <w:bCs w:val="0"/>
          <w:szCs w:val="21"/>
          <w:highlight w:val="none"/>
          <w:u w:val="single"/>
          <w:lang w:val="en-US" w:eastAsia="zh-CN"/>
        </w:rPr>
        <w:t>30</w:t>
      </w:r>
      <w:r>
        <w:rPr>
          <w:rFonts w:hint="eastAsia" w:ascii="宋体" w:hAnsi="宋体"/>
          <w:b w:val="0"/>
          <w:bCs w:val="0"/>
          <w:szCs w:val="21"/>
          <w:highlight w:val="none"/>
        </w:rPr>
        <w:t>个</w:t>
      </w:r>
      <w:r>
        <w:rPr>
          <w:rFonts w:hint="eastAsia" w:ascii="宋体" w:hAnsi="宋体"/>
          <w:b w:val="0"/>
          <w:bCs w:val="0"/>
          <w:szCs w:val="21"/>
          <w:highlight w:val="none"/>
          <w:lang w:val="en-US" w:eastAsia="zh-CN"/>
        </w:rPr>
        <w:t>工作日</w:t>
      </w:r>
      <w:r>
        <w:rPr>
          <w:rFonts w:hint="eastAsia" w:ascii="宋体" w:hAnsi="宋体" w:eastAsia="宋体" w:cs="Times New Roman"/>
          <w:bCs/>
          <w:kern w:val="2"/>
          <w:sz w:val="21"/>
          <w:szCs w:val="21"/>
          <w:highlight w:val="none"/>
          <w:lang w:val="en-US" w:eastAsia="zh-CN" w:bidi="ar"/>
        </w:rPr>
        <w:t>内无息退回。履约保证金有效期期满后，卖方需继续履行质保期义务。</w:t>
      </w:r>
    </w:p>
    <w:p w14:paraId="70DBDE38">
      <w:pPr>
        <w:keepNext w:val="0"/>
        <w:keepLines w:val="0"/>
        <w:pageBreakBefore w:val="0"/>
        <w:widowControl w:val="0"/>
        <w:kinsoku/>
        <w:wordWrap/>
        <w:overflowPunct/>
        <w:topLinePunct w:val="0"/>
        <w:autoSpaceDE/>
        <w:autoSpaceDN/>
        <w:bidi w:val="0"/>
        <w:adjustRightInd/>
        <w:snapToGrid w:val="0"/>
        <w:spacing w:line="360" w:lineRule="auto"/>
        <w:ind w:left="525" w:hanging="527" w:hangingChars="250"/>
        <w:textAlignment w:val="auto"/>
        <w:rPr>
          <w:rFonts w:ascii="宋体" w:hAnsi="宋体"/>
          <w:b/>
          <w:szCs w:val="21"/>
          <w:highlight w:val="none"/>
        </w:rPr>
      </w:pPr>
      <w:r>
        <w:rPr>
          <w:rFonts w:hint="eastAsia" w:ascii="宋体" w:hAnsi="宋体"/>
          <w:b/>
          <w:bCs/>
          <w:szCs w:val="21"/>
          <w:highlight w:val="none"/>
        </w:rPr>
        <w:t>12.</w:t>
      </w:r>
      <w:r>
        <w:rPr>
          <w:rFonts w:hint="eastAsia" w:ascii="宋体" w:hAnsi="宋体"/>
          <w:szCs w:val="21"/>
          <w:highlight w:val="none"/>
        </w:rPr>
        <w:t xml:space="preserve">  </w:t>
      </w:r>
      <w:r>
        <w:rPr>
          <w:rFonts w:hint="eastAsia" w:ascii="宋体" w:hAnsi="宋体"/>
          <w:b/>
          <w:szCs w:val="21"/>
          <w:highlight w:val="none"/>
        </w:rPr>
        <w:t>保密条款</w:t>
      </w:r>
    </w:p>
    <w:p w14:paraId="2A1646E3">
      <w:pPr>
        <w:snapToGrid w:val="0"/>
        <w:spacing w:line="360" w:lineRule="auto"/>
        <w:ind w:left="525" w:hanging="525" w:hangingChars="250"/>
        <w:rPr>
          <w:rFonts w:ascii="宋体" w:hAnsi="宋体"/>
          <w:bCs/>
          <w:szCs w:val="21"/>
          <w:highlight w:val="none"/>
        </w:rPr>
      </w:pPr>
      <w:r>
        <w:rPr>
          <w:rFonts w:hint="eastAsia" w:ascii="宋体" w:hAnsi="宋体"/>
          <w:bCs/>
          <w:szCs w:val="21"/>
          <w:highlight w:val="none"/>
        </w:rPr>
        <w:t>12.1 买、卖双方应对因履行合同而取得的另一方的信息、资料等予以保密。未经另一方书面同意，任何一方均不得为与履行合同无关的目的使用或向第三方披露另一方当事人提供的信息、资料。</w:t>
      </w:r>
    </w:p>
    <w:p w14:paraId="456D9930">
      <w:pPr>
        <w:snapToGrid w:val="0"/>
        <w:spacing w:line="360" w:lineRule="auto"/>
        <w:ind w:left="525" w:hanging="525" w:hangingChars="250"/>
        <w:rPr>
          <w:rFonts w:ascii="宋体" w:hAnsi="宋体"/>
          <w:bCs/>
          <w:szCs w:val="21"/>
          <w:highlight w:val="none"/>
        </w:rPr>
      </w:pPr>
      <w:r>
        <w:rPr>
          <w:rFonts w:hint="eastAsia" w:ascii="宋体" w:hAnsi="宋体"/>
          <w:bCs/>
          <w:szCs w:val="21"/>
          <w:highlight w:val="none"/>
        </w:rPr>
        <w:t>12.2 买、卖双方的保密义务不适用于下列信息：(1)非因接受信息一方的过失现在或以后进入公共领域的信息； (2)接受信息一方当事人合法地从第三方获得并且据其善意了解第三方也不对此承担保密义务的信息；(3)法律或法律的执行要求披露的信息。</w:t>
      </w:r>
    </w:p>
    <w:p w14:paraId="51A5F43E">
      <w:pPr>
        <w:tabs>
          <w:tab w:val="left" w:pos="360"/>
        </w:tabs>
        <w:snapToGrid w:val="0"/>
        <w:spacing w:line="360" w:lineRule="auto"/>
        <w:rPr>
          <w:rFonts w:ascii="宋体" w:hAnsi="宋体"/>
          <w:szCs w:val="21"/>
          <w:highlight w:val="none"/>
        </w:rPr>
      </w:pPr>
      <w:r>
        <w:rPr>
          <w:rFonts w:hint="eastAsia" w:ascii="宋体" w:hAnsi="宋体"/>
          <w:b/>
          <w:bCs/>
          <w:szCs w:val="21"/>
          <w:highlight w:val="none"/>
        </w:rPr>
        <w:t>13.</w:t>
      </w:r>
      <w:r>
        <w:rPr>
          <w:rFonts w:hint="eastAsia" w:ascii="宋体" w:hAnsi="宋体"/>
          <w:szCs w:val="21"/>
          <w:highlight w:val="none"/>
        </w:rPr>
        <w:t xml:space="preserve">  </w:t>
      </w:r>
      <w:r>
        <w:rPr>
          <w:rFonts w:hint="eastAsia" w:ascii="宋体" w:hAnsi="宋体"/>
          <w:b/>
          <w:szCs w:val="21"/>
          <w:highlight w:val="none"/>
        </w:rPr>
        <w:t>违约责任</w:t>
      </w:r>
    </w:p>
    <w:p w14:paraId="161E4836">
      <w:pPr>
        <w:snapToGrid w:val="0"/>
        <w:spacing w:line="360" w:lineRule="auto"/>
        <w:ind w:left="525" w:hanging="525" w:hangingChars="250"/>
        <w:rPr>
          <w:rFonts w:ascii="宋体" w:hAnsi="宋体"/>
          <w:szCs w:val="21"/>
          <w:highlight w:val="none"/>
        </w:rPr>
      </w:pPr>
      <w:r>
        <w:rPr>
          <w:rFonts w:hint="eastAsia" w:ascii="宋体" w:hAnsi="宋体"/>
          <w:szCs w:val="21"/>
          <w:highlight w:val="none"/>
        </w:rPr>
        <w:t>13.1 买方不得无正当理由拒收货物、拒付货款，非经卖方原因，买方延期付款，经卖方书面告知后</w:t>
      </w:r>
      <w:r>
        <w:rPr>
          <w:rFonts w:hint="eastAsia" w:ascii="宋体" w:hAnsi="宋体"/>
          <w:szCs w:val="21"/>
          <w:highlight w:val="none"/>
          <w:u w:val="single"/>
        </w:rPr>
        <w:t xml:space="preserve"> 30 </w:t>
      </w:r>
      <w:r>
        <w:rPr>
          <w:rFonts w:hint="eastAsia" w:ascii="宋体" w:hAnsi="宋体"/>
          <w:szCs w:val="21"/>
          <w:highlight w:val="none"/>
        </w:rPr>
        <w:t>个工作日内仍未付款的，每迟延一日，买方应向卖方支付迟延付款金额的</w:t>
      </w:r>
      <w:r>
        <w:rPr>
          <w:rFonts w:hint="eastAsia" w:ascii="宋体" w:hAnsi="宋体" w:cs="宋体"/>
          <w:szCs w:val="21"/>
          <w:highlight w:val="none"/>
          <w:u w:val="single"/>
        </w:rPr>
        <w:t>0.3</w:t>
      </w:r>
      <w:r>
        <w:rPr>
          <w:rFonts w:hint="eastAsia" w:ascii="宋体" w:hAnsi="宋体"/>
          <w:szCs w:val="21"/>
          <w:highlight w:val="none"/>
          <w:u w:val="single"/>
        </w:rPr>
        <w:t>‰</w:t>
      </w:r>
      <w:r>
        <w:rPr>
          <w:rFonts w:hint="eastAsia" w:ascii="宋体" w:hAnsi="宋体"/>
          <w:szCs w:val="21"/>
          <w:highlight w:val="none"/>
        </w:rPr>
        <w:t>的违约金，直至款项付清之日，但卖方不得以此为由迟延交付货物。</w:t>
      </w:r>
    </w:p>
    <w:p w14:paraId="481AE656">
      <w:pPr>
        <w:snapToGrid w:val="0"/>
        <w:spacing w:line="360" w:lineRule="auto"/>
        <w:ind w:left="525" w:hanging="525" w:hangingChars="250"/>
        <w:rPr>
          <w:rFonts w:ascii="宋体" w:hAnsi="宋体"/>
          <w:szCs w:val="21"/>
          <w:highlight w:val="none"/>
        </w:rPr>
      </w:pPr>
      <w:r>
        <w:rPr>
          <w:rFonts w:hint="eastAsia" w:ascii="宋体" w:hAnsi="宋体"/>
          <w:szCs w:val="21"/>
          <w:highlight w:val="none"/>
        </w:rPr>
        <w:t>13.2 若卖方未能按本合同约定时间及方式将全部货物交付至买方指定地点，每迟延一日，应向买方支付该批货物总价的</w:t>
      </w:r>
      <w:r>
        <w:rPr>
          <w:rFonts w:hint="eastAsia" w:ascii="宋体" w:hAnsi="宋体" w:cs="宋体"/>
          <w:szCs w:val="21"/>
          <w:highlight w:val="none"/>
          <w:u w:val="single"/>
        </w:rPr>
        <w:t>1</w:t>
      </w:r>
      <w:r>
        <w:rPr>
          <w:rFonts w:hint="eastAsia" w:ascii="宋体" w:hAnsi="宋体"/>
          <w:szCs w:val="21"/>
          <w:highlight w:val="none"/>
          <w:u w:val="single"/>
        </w:rPr>
        <w:t>‰</w:t>
      </w:r>
      <w:r>
        <w:rPr>
          <w:rFonts w:hint="eastAsia" w:ascii="宋体" w:hAnsi="宋体"/>
          <w:szCs w:val="21"/>
          <w:highlight w:val="none"/>
        </w:rPr>
        <w:t>的违约金，直至货物交付之日。若卖方迟延交货超过</w:t>
      </w:r>
      <w:r>
        <w:rPr>
          <w:rFonts w:hint="eastAsia" w:ascii="宋体" w:hAnsi="宋体"/>
          <w:szCs w:val="21"/>
          <w:highlight w:val="none"/>
          <w:u w:val="single"/>
        </w:rPr>
        <w:t xml:space="preserve"> 30 </w:t>
      </w:r>
      <w:r>
        <w:rPr>
          <w:rFonts w:hint="eastAsia" w:ascii="宋体" w:hAnsi="宋体"/>
          <w:szCs w:val="21"/>
          <w:highlight w:val="none"/>
        </w:rPr>
        <w:t>日，买方有权书面通知卖方单方面解除本合同，且有权要求卖方支付相当于合同总价5%的违约金，若该违约金不足以补偿给买方造成的损失，则卖方还应当补足差额部分。</w:t>
      </w:r>
    </w:p>
    <w:p w14:paraId="3EBB28D5">
      <w:pPr>
        <w:snapToGrid w:val="0"/>
        <w:spacing w:line="360" w:lineRule="auto"/>
        <w:ind w:left="525" w:hanging="525" w:hangingChars="250"/>
        <w:rPr>
          <w:rFonts w:ascii="宋体" w:hAnsi="宋体"/>
          <w:color w:val="000000"/>
          <w:szCs w:val="21"/>
          <w:highlight w:val="none"/>
        </w:rPr>
      </w:pPr>
      <w:r>
        <w:rPr>
          <w:rFonts w:hint="eastAsia" w:ascii="宋体" w:hAnsi="宋体"/>
          <w:color w:val="000000"/>
          <w:szCs w:val="21"/>
          <w:highlight w:val="none"/>
        </w:rPr>
        <w:t>13.3 卖方所交付的货物品种、规格型号不符合合同规定的，买方有权拒收，卖方应向买方支付拒收不合格货物货款总额</w:t>
      </w:r>
      <w:r>
        <w:rPr>
          <w:rFonts w:hint="eastAsia" w:ascii="宋体" w:hAnsi="宋体" w:cs="宋体"/>
          <w:color w:val="000000"/>
          <w:szCs w:val="21"/>
          <w:highlight w:val="none"/>
          <w:u w:val="single"/>
        </w:rPr>
        <w:t>5</w:t>
      </w:r>
      <w:r>
        <w:rPr>
          <w:rFonts w:hint="eastAsia" w:ascii="宋体" w:hAnsi="宋体"/>
          <w:color w:val="000000"/>
          <w:szCs w:val="21"/>
          <w:highlight w:val="none"/>
          <w:u w:val="single"/>
        </w:rPr>
        <w:t>％</w:t>
      </w:r>
      <w:r>
        <w:rPr>
          <w:rFonts w:hint="eastAsia" w:ascii="宋体" w:hAnsi="宋体"/>
          <w:color w:val="000000"/>
          <w:szCs w:val="21"/>
          <w:highlight w:val="none"/>
        </w:rPr>
        <w:t>的违约金。</w:t>
      </w:r>
    </w:p>
    <w:p w14:paraId="6FFE4F83">
      <w:pPr>
        <w:snapToGrid w:val="0"/>
        <w:spacing w:line="360" w:lineRule="auto"/>
        <w:ind w:left="525" w:hanging="525" w:hangingChars="250"/>
        <w:rPr>
          <w:rFonts w:ascii="宋体" w:hAnsi="宋体"/>
          <w:color w:val="000000"/>
          <w:szCs w:val="21"/>
          <w:highlight w:val="none"/>
        </w:rPr>
      </w:pPr>
      <w:r>
        <w:rPr>
          <w:rFonts w:hint="eastAsia" w:ascii="宋体" w:hAnsi="宋体"/>
          <w:color w:val="000000"/>
          <w:szCs w:val="21"/>
          <w:highlight w:val="none"/>
        </w:rPr>
        <w:t>13.4 在卖方承诺或国家规定的质保期内(取两者中最长的期限)，如经卖方两次维修或更换，货物仍不能达到合同约定的质量标准，买方有权退货，卖方应退回全部货款，并支付合同总价</w:t>
      </w:r>
      <w:r>
        <w:rPr>
          <w:rFonts w:hint="eastAsia" w:ascii="宋体" w:hAnsi="宋体"/>
          <w:color w:val="000000"/>
          <w:szCs w:val="21"/>
          <w:highlight w:val="none"/>
          <w:u w:val="single"/>
        </w:rPr>
        <w:t>5%</w:t>
      </w:r>
      <w:r>
        <w:rPr>
          <w:rFonts w:hint="eastAsia" w:ascii="宋体" w:hAnsi="宋体"/>
          <w:color w:val="000000"/>
          <w:szCs w:val="21"/>
          <w:highlight w:val="none"/>
        </w:rPr>
        <w:t>的违约金。</w:t>
      </w:r>
    </w:p>
    <w:p w14:paraId="5D61828B">
      <w:pPr>
        <w:snapToGrid w:val="0"/>
        <w:spacing w:line="360" w:lineRule="auto"/>
        <w:ind w:left="525" w:hanging="525" w:hangingChars="250"/>
        <w:rPr>
          <w:rFonts w:ascii="宋体" w:hAnsi="宋体"/>
          <w:color w:val="000000"/>
          <w:szCs w:val="21"/>
          <w:highlight w:val="none"/>
        </w:rPr>
      </w:pPr>
      <w:r>
        <w:rPr>
          <w:rFonts w:hint="eastAsia" w:ascii="宋体" w:hAnsi="宋体"/>
          <w:color w:val="000000"/>
          <w:szCs w:val="21"/>
          <w:highlight w:val="none"/>
        </w:rPr>
        <w:t>13.5 卖方未按本合同的规定和“服务承诺”提供伴随服务/售后服务的，应按合同总额的</w:t>
      </w:r>
      <w:r>
        <w:rPr>
          <w:rFonts w:hint="eastAsia" w:ascii="宋体" w:hAnsi="宋体"/>
          <w:color w:val="000000"/>
          <w:szCs w:val="21"/>
          <w:highlight w:val="none"/>
          <w:u w:val="single"/>
        </w:rPr>
        <w:t>5%</w:t>
      </w:r>
      <w:r>
        <w:rPr>
          <w:rFonts w:hint="eastAsia" w:ascii="宋体" w:hAnsi="宋体"/>
          <w:color w:val="000000"/>
          <w:szCs w:val="21"/>
          <w:highlight w:val="none"/>
        </w:rPr>
        <w:t>向买方承担违约责任。</w:t>
      </w:r>
    </w:p>
    <w:p w14:paraId="7197A3C3">
      <w:pPr>
        <w:tabs>
          <w:tab w:val="left" w:pos="360"/>
        </w:tabs>
        <w:snapToGrid w:val="0"/>
        <w:spacing w:line="360" w:lineRule="auto"/>
        <w:ind w:left="525" w:hanging="525" w:hangingChars="250"/>
        <w:rPr>
          <w:rFonts w:ascii="宋体" w:hAnsi="宋体"/>
          <w:color w:val="000000"/>
          <w:szCs w:val="21"/>
          <w:highlight w:val="none"/>
        </w:rPr>
      </w:pPr>
      <w:r>
        <w:rPr>
          <w:rFonts w:hint="eastAsia" w:ascii="宋体" w:hAnsi="宋体"/>
          <w:color w:val="000000"/>
          <w:szCs w:val="21"/>
          <w:highlight w:val="none"/>
        </w:rPr>
        <w:t>13.6 鉴于买方属</w:t>
      </w:r>
      <w:r>
        <w:rPr>
          <w:rFonts w:hint="eastAsia" w:ascii="宋体" w:hAnsi="宋体"/>
          <w:color w:val="000000"/>
          <w:szCs w:val="21"/>
          <w:highlight w:val="none"/>
          <w:lang w:val="en-US" w:eastAsia="zh-CN"/>
        </w:rPr>
        <w:t>轨道交通</w:t>
      </w:r>
      <w:r>
        <w:rPr>
          <w:rFonts w:hint="eastAsia" w:ascii="宋体" w:hAnsi="宋体"/>
          <w:color w:val="000000"/>
          <w:szCs w:val="21"/>
          <w:highlight w:val="none"/>
        </w:rPr>
        <w:t>运营单位，对该货物的使用有时间上及效能上的特殊要求，如卖方明确表示无法供货或买方有理由认为卖方无法供货的，买方有权终止全部或部分合同，同时有权要求卖方向买方支付合同总价款一倍的赔偿金。</w:t>
      </w:r>
    </w:p>
    <w:p w14:paraId="6C733C8D">
      <w:pPr>
        <w:tabs>
          <w:tab w:val="left" w:pos="360"/>
        </w:tabs>
        <w:snapToGrid w:val="0"/>
        <w:spacing w:line="360" w:lineRule="auto"/>
        <w:ind w:left="525" w:hanging="525" w:hangingChars="250"/>
        <w:rPr>
          <w:rFonts w:ascii="宋体" w:hAnsi="宋体"/>
          <w:color w:val="000000"/>
          <w:szCs w:val="21"/>
          <w:highlight w:val="none"/>
        </w:rPr>
      </w:pPr>
      <w:r>
        <w:rPr>
          <w:rFonts w:hint="eastAsia" w:ascii="宋体" w:hAnsi="宋体"/>
          <w:color w:val="000000"/>
          <w:szCs w:val="21"/>
          <w:highlight w:val="none"/>
        </w:rPr>
        <w:t>13.7 无论何等原因，卖方未履行合同约定主要义务，包括不限于13.2-13.6条约定部分，或卖方未能及时配合买方为实现合同的要求卖方实施相关行为的，均视为卖方违约。买、卖双方一致同意，如果卖方发生本合同约定的违约情形，买方有权按照13.2-13.7条的规定，从合同价款、履约保证金中扣除相应的金额作为卖方的违约金。</w:t>
      </w:r>
    </w:p>
    <w:p w14:paraId="651DAA88">
      <w:pPr>
        <w:tabs>
          <w:tab w:val="left" w:pos="360"/>
        </w:tabs>
        <w:snapToGrid w:val="0"/>
        <w:spacing w:line="360" w:lineRule="auto"/>
        <w:ind w:left="525" w:hanging="525" w:hangingChars="250"/>
        <w:rPr>
          <w:rFonts w:ascii="宋体" w:hAnsi="宋体"/>
          <w:color w:val="000000"/>
          <w:szCs w:val="21"/>
          <w:highlight w:val="none"/>
        </w:rPr>
      </w:pPr>
      <w:r>
        <w:rPr>
          <w:rFonts w:hint="eastAsia" w:ascii="宋体" w:hAnsi="宋体"/>
          <w:color w:val="000000"/>
          <w:szCs w:val="21"/>
          <w:highlight w:val="none"/>
        </w:rPr>
        <w:t>13.8</w:t>
      </w:r>
      <w:r>
        <w:rPr>
          <w:rFonts w:hint="eastAsia" w:ascii="宋体" w:hAnsi="宋体"/>
          <w:color w:val="000000"/>
          <w:szCs w:val="21"/>
          <w:highlight w:val="none"/>
          <w:lang w:val="en-US" w:eastAsia="zh-CN"/>
        </w:rPr>
        <w:t xml:space="preserve"> </w:t>
      </w:r>
      <w:r>
        <w:rPr>
          <w:rFonts w:hint="eastAsia" w:ascii="宋体" w:hAnsi="宋体"/>
          <w:color w:val="000000"/>
          <w:szCs w:val="21"/>
          <w:highlight w:val="none"/>
        </w:rPr>
        <w:t>如果出现如下情形之一或者全部的，买方有权直接通知卖方解除或者终止合同：</w:t>
      </w:r>
    </w:p>
    <w:p w14:paraId="39D08238">
      <w:pPr>
        <w:keepNext w:val="0"/>
        <w:keepLines w:val="0"/>
        <w:pageBreakBefore w:val="0"/>
        <w:widowControl w:val="0"/>
        <w:tabs>
          <w:tab w:val="left" w:pos="360"/>
        </w:tabs>
        <w:kinsoku/>
        <w:wordWrap/>
        <w:overflowPunct/>
        <w:topLinePunct w:val="0"/>
        <w:autoSpaceDE/>
        <w:autoSpaceDN/>
        <w:bidi w:val="0"/>
        <w:adjustRightInd/>
        <w:snapToGrid w:val="0"/>
        <w:spacing w:line="360" w:lineRule="auto"/>
        <w:ind w:left="525" w:hanging="525" w:hangingChars="250"/>
        <w:textAlignment w:val="auto"/>
        <w:rPr>
          <w:rFonts w:ascii="宋体" w:hAnsi="宋体"/>
          <w:color w:val="000000"/>
          <w:szCs w:val="21"/>
          <w:highlight w:val="none"/>
        </w:rPr>
      </w:pPr>
      <w:r>
        <w:rPr>
          <w:rFonts w:hint="eastAsia" w:ascii="宋体" w:hAnsi="宋体"/>
          <w:color w:val="000000"/>
          <w:szCs w:val="21"/>
          <w:highlight w:val="none"/>
          <w:lang w:val="en-US" w:eastAsia="zh-CN"/>
        </w:rPr>
        <w:tab/>
      </w:r>
      <w:r>
        <w:rPr>
          <w:rFonts w:hint="eastAsia" w:ascii="宋体" w:hAnsi="宋体"/>
          <w:color w:val="000000"/>
          <w:szCs w:val="21"/>
          <w:highlight w:val="none"/>
          <w:lang w:val="en-US" w:eastAsia="zh-CN"/>
        </w:rPr>
        <w:tab/>
      </w:r>
      <w:r>
        <w:rPr>
          <w:rFonts w:hint="eastAsia" w:ascii="宋体" w:hAnsi="宋体"/>
          <w:color w:val="000000"/>
          <w:szCs w:val="21"/>
          <w:highlight w:val="none"/>
        </w:rPr>
        <w:t>1）因不可抗力导致买方不能实现合同目的；</w:t>
      </w:r>
    </w:p>
    <w:p w14:paraId="0B991A63">
      <w:pPr>
        <w:keepNext w:val="0"/>
        <w:keepLines w:val="0"/>
        <w:pageBreakBefore w:val="0"/>
        <w:widowControl w:val="0"/>
        <w:tabs>
          <w:tab w:val="left" w:pos="360"/>
        </w:tabs>
        <w:kinsoku/>
        <w:wordWrap/>
        <w:overflowPunct/>
        <w:topLinePunct w:val="0"/>
        <w:autoSpaceDE/>
        <w:autoSpaceDN/>
        <w:bidi w:val="0"/>
        <w:adjustRightInd/>
        <w:snapToGrid w:val="0"/>
        <w:spacing w:line="360" w:lineRule="auto"/>
        <w:ind w:left="525" w:hanging="525" w:hangingChars="250"/>
        <w:textAlignment w:val="auto"/>
        <w:rPr>
          <w:rFonts w:ascii="宋体" w:hAnsi="宋体"/>
          <w:color w:val="000000"/>
          <w:szCs w:val="21"/>
          <w:highlight w:val="none"/>
        </w:rPr>
      </w:pPr>
      <w:r>
        <w:rPr>
          <w:rFonts w:hint="eastAsia" w:ascii="宋体" w:hAnsi="宋体"/>
          <w:color w:val="000000"/>
          <w:szCs w:val="21"/>
          <w:highlight w:val="none"/>
          <w:lang w:val="en-US" w:eastAsia="zh-CN"/>
        </w:rPr>
        <w:tab/>
      </w:r>
      <w:r>
        <w:rPr>
          <w:rFonts w:hint="eastAsia" w:ascii="宋体" w:hAnsi="宋体"/>
          <w:color w:val="000000"/>
          <w:szCs w:val="21"/>
          <w:highlight w:val="none"/>
          <w:lang w:val="en-US" w:eastAsia="zh-CN"/>
        </w:rPr>
        <w:tab/>
      </w:r>
      <w:r>
        <w:rPr>
          <w:rFonts w:hint="eastAsia" w:ascii="宋体" w:hAnsi="宋体"/>
          <w:color w:val="000000"/>
          <w:szCs w:val="21"/>
          <w:highlight w:val="none"/>
        </w:rPr>
        <w:t>2）在合同约定的履行期届满之前，卖方明确表示或者以自己的行为</w:t>
      </w:r>
      <w:r>
        <w:rPr>
          <w:rFonts w:hint="eastAsia" w:ascii="宋体" w:hAnsi="宋体"/>
          <w:color w:val="000000"/>
          <w:szCs w:val="21"/>
          <w:highlight w:val="none"/>
          <w:lang w:val="en-US" w:eastAsia="zh-CN"/>
        </w:rPr>
        <w:t>表</w:t>
      </w:r>
      <w:r>
        <w:rPr>
          <w:rFonts w:hint="eastAsia" w:ascii="宋体" w:hAnsi="宋体"/>
          <w:color w:val="000000"/>
          <w:szCs w:val="21"/>
          <w:highlight w:val="none"/>
        </w:rPr>
        <w:t>明不履行相应义务的；</w:t>
      </w:r>
    </w:p>
    <w:p w14:paraId="0313F5CD">
      <w:pPr>
        <w:keepNext w:val="0"/>
        <w:keepLines w:val="0"/>
        <w:pageBreakBefore w:val="0"/>
        <w:widowControl w:val="0"/>
        <w:tabs>
          <w:tab w:val="left" w:pos="360"/>
        </w:tabs>
        <w:kinsoku/>
        <w:wordWrap/>
        <w:overflowPunct/>
        <w:topLinePunct w:val="0"/>
        <w:autoSpaceDE/>
        <w:autoSpaceDN/>
        <w:bidi w:val="0"/>
        <w:adjustRightInd/>
        <w:snapToGrid w:val="0"/>
        <w:spacing w:line="360" w:lineRule="auto"/>
        <w:ind w:left="525" w:leftChars="0" w:hanging="525" w:hangingChars="250"/>
        <w:textAlignment w:val="auto"/>
        <w:rPr>
          <w:rFonts w:ascii="宋体" w:hAnsi="宋体"/>
          <w:color w:val="000000"/>
          <w:szCs w:val="21"/>
          <w:highlight w:val="none"/>
        </w:rPr>
      </w:pPr>
      <w:r>
        <w:rPr>
          <w:rFonts w:hint="eastAsia" w:ascii="宋体" w:hAnsi="宋体"/>
          <w:color w:val="000000"/>
          <w:szCs w:val="21"/>
          <w:highlight w:val="none"/>
          <w:lang w:val="en-US" w:eastAsia="zh-CN"/>
        </w:rPr>
        <w:tab/>
      </w:r>
      <w:r>
        <w:rPr>
          <w:rFonts w:hint="eastAsia" w:ascii="宋体" w:hAnsi="宋体"/>
          <w:color w:val="000000"/>
          <w:szCs w:val="21"/>
          <w:highlight w:val="none"/>
          <w:lang w:val="en-US" w:eastAsia="zh-CN"/>
        </w:rPr>
        <w:tab/>
      </w:r>
      <w:r>
        <w:rPr>
          <w:rFonts w:hint="eastAsia" w:ascii="宋体" w:hAnsi="宋体"/>
          <w:color w:val="000000"/>
          <w:szCs w:val="21"/>
          <w:highlight w:val="none"/>
        </w:rPr>
        <w:t>3）卖方延迟履行部分或者全部</w:t>
      </w:r>
      <w:r>
        <w:rPr>
          <w:rFonts w:hint="eastAsia" w:ascii="宋体" w:hAnsi="宋体"/>
          <w:color w:val="000000"/>
          <w:szCs w:val="21"/>
          <w:highlight w:val="none"/>
          <w:lang w:val="en-US" w:eastAsia="zh-CN"/>
        </w:rPr>
        <w:t>义务</w:t>
      </w:r>
      <w:r>
        <w:rPr>
          <w:rFonts w:hint="eastAsia" w:ascii="宋体" w:hAnsi="宋体"/>
          <w:color w:val="000000"/>
          <w:szCs w:val="21"/>
          <w:highlight w:val="none"/>
        </w:rPr>
        <w:t>，</w:t>
      </w:r>
      <w:r>
        <w:rPr>
          <w:rFonts w:hint="eastAsia" w:ascii="宋体" w:hAnsi="宋体"/>
          <w:color w:val="000000"/>
          <w:szCs w:val="21"/>
          <w:highlight w:val="none"/>
          <w:lang w:val="en-US" w:eastAsia="zh-CN"/>
        </w:rPr>
        <w:t>经催告后仍未在买方规定期限履行的；</w:t>
      </w:r>
    </w:p>
    <w:p w14:paraId="54DEA813">
      <w:pPr>
        <w:keepNext w:val="0"/>
        <w:keepLines w:val="0"/>
        <w:pageBreakBefore w:val="0"/>
        <w:widowControl w:val="0"/>
        <w:tabs>
          <w:tab w:val="left" w:pos="360"/>
        </w:tabs>
        <w:kinsoku/>
        <w:wordWrap/>
        <w:overflowPunct/>
        <w:topLinePunct w:val="0"/>
        <w:autoSpaceDE/>
        <w:autoSpaceDN/>
        <w:bidi w:val="0"/>
        <w:adjustRightInd/>
        <w:snapToGrid w:val="0"/>
        <w:spacing w:line="360" w:lineRule="auto"/>
        <w:ind w:firstLine="525" w:firstLineChars="250"/>
        <w:textAlignment w:val="auto"/>
        <w:rPr>
          <w:rFonts w:ascii="宋体" w:hAnsi="宋体"/>
          <w:color w:val="000000"/>
          <w:szCs w:val="21"/>
          <w:highlight w:val="none"/>
        </w:rPr>
      </w:pPr>
      <w:r>
        <w:rPr>
          <w:rFonts w:hint="eastAsia" w:ascii="宋体" w:hAnsi="宋体"/>
          <w:color w:val="000000"/>
          <w:szCs w:val="21"/>
          <w:highlight w:val="none"/>
          <w:lang w:val="en-US" w:eastAsia="zh-CN"/>
        </w:rPr>
        <w:t>4）卖方</w:t>
      </w:r>
      <w:r>
        <w:rPr>
          <w:rFonts w:hint="eastAsia" w:ascii="宋体" w:hAnsi="宋体"/>
          <w:color w:val="000000"/>
          <w:szCs w:val="21"/>
          <w:highlight w:val="none"/>
        </w:rPr>
        <w:t>发生其他</w:t>
      </w:r>
      <w:r>
        <w:rPr>
          <w:rFonts w:hint="eastAsia" w:ascii="宋体" w:hAnsi="宋体"/>
          <w:color w:val="000000"/>
          <w:szCs w:val="21"/>
          <w:highlight w:val="none"/>
          <w:lang w:val="en-US" w:eastAsia="zh-CN"/>
        </w:rPr>
        <w:t>根本违约行为的。</w:t>
      </w:r>
    </w:p>
    <w:p w14:paraId="2061C01C">
      <w:pPr>
        <w:snapToGrid w:val="0"/>
        <w:spacing w:line="360" w:lineRule="auto"/>
        <w:rPr>
          <w:rFonts w:ascii="宋体" w:hAnsi="宋体"/>
          <w:color w:val="000000"/>
          <w:szCs w:val="21"/>
          <w:highlight w:val="none"/>
        </w:rPr>
      </w:pPr>
      <w:r>
        <w:rPr>
          <w:rFonts w:hint="eastAsia" w:ascii="宋体" w:hAnsi="宋体"/>
          <w:b/>
          <w:bCs/>
          <w:szCs w:val="21"/>
          <w:highlight w:val="none"/>
        </w:rPr>
        <w:t xml:space="preserve">14.  </w:t>
      </w:r>
      <w:r>
        <w:rPr>
          <w:rFonts w:hint="eastAsia" w:ascii="宋体" w:hAnsi="宋体"/>
          <w:b/>
          <w:szCs w:val="21"/>
          <w:highlight w:val="none"/>
        </w:rPr>
        <w:t>不可抗力</w:t>
      </w:r>
    </w:p>
    <w:p w14:paraId="0C7DB6D5">
      <w:pPr>
        <w:snapToGrid w:val="0"/>
        <w:spacing w:line="360" w:lineRule="auto"/>
        <w:ind w:left="525" w:hanging="525" w:hangingChars="250"/>
        <w:rPr>
          <w:rFonts w:ascii="宋体" w:hAnsi="宋体"/>
          <w:color w:val="000000"/>
          <w:szCs w:val="21"/>
          <w:highlight w:val="none"/>
        </w:rPr>
      </w:pPr>
      <w:r>
        <w:rPr>
          <w:rFonts w:hint="eastAsia" w:ascii="宋体" w:hAnsi="宋体"/>
          <w:color w:val="000000"/>
          <w:szCs w:val="21"/>
          <w:highlight w:val="none"/>
        </w:rPr>
        <w:t>14.1 因出现不可预见、不可避免、不可克服的事件，导致本合同无法有效及时履行时，遭遇不可抗力方应立即用电话、传真、电子邮件等尽可能迅速的通讯方式通知对方，并在通知后的</w:t>
      </w:r>
      <w:r>
        <w:rPr>
          <w:rFonts w:hint="eastAsia" w:ascii="宋体" w:hAnsi="宋体"/>
          <w:color w:val="000000"/>
          <w:szCs w:val="21"/>
          <w:highlight w:val="none"/>
          <w:u w:val="single"/>
        </w:rPr>
        <w:t xml:space="preserve"> 30 </w:t>
      </w:r>
      <w:r>
        <w:rPr>
          <w:rFonts w:hint="eastAsia" w:ascii="宋体" w:hAnsi="宋体"/>
          <w:color w:val="000000"/>
          <w:szCs w:val="21"/>
          <w:highlight w:val="none"/>
        </w:rPr>
        <w:t>日内将不可抗力的书面有效证明及本合同无法有效及时履行的书面理由提交给对方确认。遭受不可抗力的一方凭此证明免除全部或部分违约责任，具体免除范围和方式由双方另行协商。</w:t>
      </w:r>
    </w:p>
    <w:p w14:paraId="2AF7057D">
      <w:pPr>
        <w:snapToGrid w:val="0"/>
        <w:spacing w:line="360" w:lineRule="auto"/>
        <w:ind w:left="525" w:hanging="525" w:hangingChars="250"/>
        <w:rPr>
          <w:rFonts w:ascii="宋体" w:hAnsi="宋体"/>
          <w:color w:val="000000"/>
          <w:szCs w:val="21"/>
          <w:highlight w:val="none"/>
        </w:rPr>
      </w:pPr>
      <w:r>
        <w:rPr>
          <w:rFonts w:hint="eastAsia" w:ascii="宋体" w:hAnsi="宋体"/>
          <w:color w:val="000000"/>
          <w:szCs w:val="21"/>
          <w:highlight w:val="none"/>
        </w:rPr>
        <w:t>14.2 遭遇不可抗力方应当在可能的范围内，尽最大努力减轻不可抗力事件对本合同的不利影响。双方应根据不可抗力事件对本合同的影响程度，协商决定是否解除/变更本合同，或者免除本合同部分条款的履行，或者延期履行本合同。</w:t>
      </w:r>
    </w:p>
    <w:p w14:paraId="6ACCCC60">
      <w:pPr>
        <w:tabs>
          <w:tab w:val="left" w:pos="360"/>
        </w:tabs>
        <w:snapToGrid w:val="0"/>
        <w:spacing w:line="360" w:lineRule="auto"/>
        <w:rPr>
          <w:bCs/>
          <w:snapToGrid w:val="0"/>
          <w:szCs w:val="21"/>
          <w:highlight w:val="none"/>
        </w:rPr>
      </w:pPr>
      <w:r>
        <w:rPr>
          <w:rFonts w:hint="eastAsia" w:ascii="宋体" w:hAnsi="宋体"/>
          <w:b/>
          <w:bCs/>
          <w:szCs w:val="21"/>
          <w:highlight w:val="none"/>
        </w:rPr>
        <w:t>15.</w:t>
      </w:r>
      <w:r>
        <w:rPr>
          <w:rFonts w:hint="eastAsia" w:ascii="宋体" w:hAnsi="宋体"/>
          <w:b/>
          <w:szCs w:val="21"/>
          <w:highlight w:val="none"/>
        </w:rPr>
        <w:t xml:space="preserve">  知识产权</w:t>
      </w:r>
    </w:p>
    <w:p w14:paraId="4310607B">
      <w:pPr>
        <w:tabs>
          <w:tab w:val="left" w:pos="360"/>
        </w:tabs>
        <w:snapToGrid w:val="0"/>
        <w:spacing w:line="360" w:lineRule="auto"/>
        <w:rPr>
          <w:rFonts w:ascii="宋体" w:hAnsi="宋体"/>
          <w:color w:val="000000"/>
          <w:kern w:val="0"/>
          <w:szCs w:val="21"/>
          <w:highlight w:val="none"/>
        </w:rPr>
      </w:pPr>
      <w:r>
        <w:rPr>
          <w:rFonts w:hint="eastAsia" w:ascii="宋体" w:hAnsi="宋体"/>
          <w:color w:val="000000"/>
          <w:kern w:val="0"/>
          <w:szCs w:val="21"/>
          <w:highlight w:val="none"/>
        </w:rPr>
        <w:t>15.1 买方在履行合同过程中提供给卖方的全部图纸、文件和其他含有数据和信息的资料，其知识产权属于买方。</w:t>
      </w:r>
    </w:p>
    <w:p w14:paraId="69E039C4">
      <w:pPr>
        <w:tabs>
          <w:tab w:val="left" w:pos="360"/>
        </w:tabs>
        <w:snapToGrid w:val="0"/>
        <w:spacing w:line="360" w:lineRule="auto"/>
        <w:ind w:left="525" w:hanging="525" w:hangingChars="250"/>
        <w:rPr>
          <w:rFonts w:ascii="宋体" w:hAnsi="宋体"/>
          <w:color w:val="000000"/>
          <w:kern w:val="0"/>
          <w:szCs w:val="21"/>
          <w:highlight w:val="none"/>
        </w:rPr>
      </w:pPr>
      <w:r>
        <w:rPr>
          <w:rFonts w:hint="eastAsia" w:ascii="宋体" w:hAnsi="宋体"/>
          <w:color w:val="000000"/>
          <w:kern w:val="0"/>
          <w:szCs w:val="21"/>
          <w:highlight w:val="none"/>
        </w:rPr>
        <w:t>15.2 买方不因签署和履行合同而享有卖方在履行合同过程中提供给买方的图纸、文件、配套软件、电子辅助程序和其他含有数据和信息的资料的知识产权。</w:t>
      </w:r>
    </w:p>
    <w:p w14:paraId="1A3A6D0D">
      <w:pPr>
        <w:tabs>
          <w:tab w:val="left" w:pos="360"/>
        </w:tabs>
        <w:snapToGrid w:val="0"/>
        <w:spacing w:line="360" w:lineRule="auto"/>
        <w:ind w:left="525" w:hanging="525" w:hangingChars="250"/>
        <w:rPr>
          <w:rFonts w:ascii="宋体" w:hAnsi="宋体"/>
          <w:color w:val="000000"/>
          <w:kern w:val="0"/>
          <w:szCs w:val="21"/>
          <w:highlight w:val="none"/>
        </w:rPr>
      </w:pPr>
      <w:r>
        <w:rPr>
          <w:rFonts w:hint="eastAsia" w:ascii="宋体" w:hAnsi="宋体"/>
          <w:color w:val="000000"/>
          <w:kern w:val="0"/>
          <w:szCs w:val="21"/>
          <w:highlight w:val="none"/>
        </w:rPr>
        <w:t>15.3 卖方保证，买方在使用本合同项下货物或该货物的任何一部分时，免受第三方提出的侵犯其专利权、商标权、著作权或其他知识产权的起诉。</w:t>
      </w:r>
    </w:p>
    <w:p w14:paraId="1DC85E35">
      <w:pPr>
        <w:tabs>
          <w:tab w:val="left" w:pos="360"/>
        </w:tabs>
        <w:snapToGrid w:val="0"/>
        <w:spacing w:line="360" w:lineRule="auto"/>
        <w:ind w:left="525" w:hanging="525" w:hangingChars="250"/>
        <w:rPr>
          <w:bCs/>
          <w:snapToGrid w:val="0"/>
          <w:szCs w:val="21"/>
          <w:highlight w:val="none"/>
        </w:rPr>
      </w:pPr>
      <w:r>
        <w:rPr>
          <w:rFonts w:hint="eastAsia" w:ascii="宋体" w:hAnsi="宋体"/>
          <w:color w:val="000000"/>
          <w:kern w:val="0"/>
          <w:szCs w:val="21"/>
          <w:highlight w:val="none"/>
        </w:rPr>
        <w:t>15.4 如果买方收到任何第三方有关知识产权的主张、索赔或诉讼，卖方在收到买方通知后，卖方应立即协助买方处理与第三方的索赔或诉讼，并赔偿买方因此发生的费用（包括但不限于律师费、诉讼费、鉴定费、生效裁判规定的赔偿金额等）和遭受的损失。</w:t>
      </w:r>
    </w:p>
    <w:p w14:paraId="783248AB">
      <w:pPr>
        <w:tabs>
          <w:tab w:val="left" w:pos="360"/>
        </w:tabs>
        <w:snapToGrid w:val="0"/>
        <w:spacing w:line="360" w:lineRule="auto"/>
        <w:rPr>
          <w:bCs/>
          <w:snapToGrid w:val="0"/>
          <w:szCs w:val="21"/>
          <w:highlight w:val="none"/>
        </w:rPr>
      </w:pPr>
      <w:r>
        <w:rPr>
          <w:rFonts w:hint="eastAsia" w:ascii="宋体" w:hAnsi="宋体"/>
          <w:b/>
          <w:bCs/>
          <w:szCs w:val="21"/>
          <w:highlight w:val="none"/>
        </w:rPr>
        <w:t>16.</w:t>
      </w:r>
      <w:r>
        <w:rPr>
          <w:rFonts w:hint="eastAsia" w:ascii="宋体" w:hAnsi="宋体"/>
          <w:b/>
          <w:szCs w:val="21"/>
          <w:highlight w:val="none"/>
        </w:rPr>
        <w:t xml:space="preserve">  合同的变更或终止</w:t>
      </w:r>
    </w:p>
    <w:p w14:paraId="58D09065">
      <w:pPr>
        <w:tabs>
          <w:tab w:val="left" w:pos="360"/>
          <w:tab w:val="left" w:pos="540"/>
        </w:tabs>
        <w:snapToGrid w:val="0"/>
        <w:spacing w:line="360" w:lineRule="auto"/>
        <w:ind w:left="525" w:hanging="525" w:hangingChars="250"/>
        <w:rPr>
          <w:rFonts w:ascii="宋体" w:hAnsi="宋体"/>
          <w:color w:val="000000"/>
          <w:szCs w:val="21"/>
          <w:highlight w:val="none"/>
        </w:rPr>
      </w:pPr>
      <w:r>
        <w:rPr>
          <w:rFonts w:hint="eastAsia" w:ascii="宋体" w:hAnsi="宋体"/>
          <w:color w:val="000000"/>
          <w:szCs w:val="21"/>
          <w:highlight w:val="none"/>
        </w:rPr>
        <w:t>16.1 买方有权向卖方发出书面通知，从以下方面对合同内容进行变更，卖方应无条件执行买方的变更要求：</w:t>
      </w:r>
    </w:p>
    <w:p w14:paraId="75B1CE4A">
      <w:pPr>
        <w:tabs>
          <w:tab w:val="left" w:pos="360"/>
          <w:tab w:val="left" w:pos="540"/>
        </w:tabs>
        <w:snapToGrid w:val="0"/>
        <w:spacing w:line="360" w:lineRule="auto"/>
        <w:ind w:left="525" w:leftChars="250"/>
        <w:rPr>
          <w:rFonts w:ascii="宋体" w:hAnsi="宋体"/>
          <w:color w:val="000000"/>
          <w:szCs w:val="21"/>
          <w:highlight w:val="none"/>
        </w:rPr>
      </w:pPr>
      <w:r>
        <w:rPr>
          <w:rFonts w:hint="eastAsia" w:ascii="宋体" w:hAnsi="宋体"/>
          <w:color w:val="000000"/>
          <w:szCs w:val="21"/>
          <w:highlight w:val="none"/>
        </w:rPr>
        <w:t>1）提前、推迟或暂停合同货物的交货，但应在交货期</w:t>
      </w:r>
      <w:r>
        <w:rPr>
          <w:rFonts w:hint="eastAsia" w:ascii="宋体" w:hAnsi="宋体"/>
          <w:color w:val="000000"/>
          <w:szCs w:val="21"/>
          <w:highlight w:val="none"/>
          <w:u w:val="single"/>
        </w:rPr>
        <w:t xml:space="preserve"> 30 </w:t>
      </w:r>
      <w:r>
        <w:rPr>
          <w:rFonts w:hint="eastAsia" w:ascii="宋体" w:hAnsi="宋体"/>
          <w:color w:val="000000"/>
          <w:szCs w:val="21"/>
          <w:highlight w:val="none"/>
        </w:rPr>
        <w:t>天前（含本数）通知卖方，以便卖方提前做好各项生产准备工作。提前、推迟、暂停及重新确定交货时间均应办理有关合同变更手续。</w:t>
      </w:r>
    </w:p>
    <w:p w14:paraId="67CEBDBA">
      <w:pPr>
        <w:tabs>
          <w:tab w:val="left" w:pos="360"/>
          <w:tab w:val="left" w:pos="540"/>
        </w:tabs>
        <w:snapToGrid w:val="0"/>
        <w:spacing w:line="360" w:lineRule="auto"/>
        <w:ind w:left="525" w:leftChars="250"/>
        <w:rPr>
          <w:rFonts w:ascii="宋体" w:hAnsi="宋体"/>
          <w:color w:val="000000"/>
          <w:szCs w:val="21"/>
          <w:highlight w:val="none"/>
        </w:rPr>
      </w:pPr>
      <w:r>
        <w:rPr>
          <w:rFonts w:hint="eastAsia" w:ascii="宋体" w:hAnsi="宋体"/>
          <w:color w:val="000000"/>
          <w:szCs w:val="21"/>
          <w:highlight w:val="none"/>
        </w:rPr>
        <w:t>2）在交货期</w:t>
      </w:r>
      <w:r>
        <w:rPr>
          <w:rFonts w:hint="eastAsia" w:ascii="宋体" w:hAnsi="宋体"/>
          <w:color w:val="000000"/>
          <w:szCs w:val="21"/>
          <w:highlight w:val="none"/>
          <w:u w:val="single"/>
        </w:rPr>
        <w:t xml:space="preserve"> 7 </w:t>
      </w:r>
      <w:r>
        <w:rPr>
          <w:rFonts w:hint="eastAsia" w:ascii="宋体" w:hAnsi="宋体"/>
          <w:color w:val="000000"/>
          <w:szCs w:val="21"/>
          <w:highlight w:val="none"/>
        </w:rPr>
        <w:t>天前（含本数）通知卖方变更运输方式、包装方式、交货地点及卖方需提供的服务。</w:t>
      </w:r>
    </w:p>
    <w:p w14:paraId="017102C4">
      <w:pPr>
        <w:tabs>
          <w:tab w:val="left" w:pos="360"/>
          <w:tab w:val="left" w:pos="540"/>
        </w:tabs>
        <w:snapToGrid w:val="0"/>
        <w:spacing w:line="360" w:lineRule="auto"/>
        <w:ind w:left="525" w:hanging="525" w:hangingChars="250"/>
        <w:rPr>
          <w:rFonts w:ascii="宋体" w:hAnsi="宋体"/>
          <w:color w:val="000000"/>
          <w:szCs w:val="21"/>
          <w:highlight w:val="none"/>
        </w:rPr>
      </w:pPr>
      <w:r>
        <w:rPr>
          <w:rFonts w:hint="eastAsia" w:ascii="宋体" w:hAnsi="宋体"/>
          <w:color w:val="000000"/>
          <w:szCs w:val="21"/>
          <w:highlight w:val="none"/>
        </w:rPr>
        <w:t>16.2 除合同另有约定外，本框架合同在下列情况下终止：</w:t>
      </w:r>
    </w:p>
    <w:p w14:paraId="3633E473">
      <w:pPr>
        <w:tabs>
          <w:tab w:val="left" w:pos="360"/>
          <w:tab w:val="left" w:pos="540"/>
        </w:tabs>
        <w:snapToGrid w:val="0"/>
        <w:spacing w:line="360" w:lineRule="auto"/>
        <w:ind w:left="525" w:leftChars="250"/>
        <w:rPr>
          <w:rFonts w:ascii="宋体" w:hAnsi="宋体"/>
          <w:color w:val="000000"/>
          <w:szCs w:val="21"/>
          <w:highlight w:val="none"/>
        </w:rPr>
      </w:pPr>
      <w:r>
        <w:rPr>
          <w:rFonts w:hint="eastAsia" w:ascii="宋体" w:hAnsi="宋体"/>
          <w:color w:val="000000"/>
          <w:szCs w:val="21"/>
          <w:highlight w:val="none"/>
        </w:rPr>
        <w:t>1）双方协商同意，并签署书面终止合同；</w:t>
      </w:r>
    </w:p>
    <w:p w14:paraId="36800C21">
      <w:pPr>
        <w:tabs>
          <w:tab w:val="left" w:pos="360"/>
          <w:tab w:val="left" w:pos="540"/>
        </w:tabs>
        <w:snapToGrid w:val="0"/>
        <w:spacing w:line="360" w:lineRule="auto"/>
        <w:ind w:left="525" w:leftChars="250"/>
        <w:rPr>
          <w:rFonts w:ascii="宋体" w:hAnsi="宋体"/>
          <w:color w:val="000000"/>
          <w:szCs w:val="21"/>
          <w:highlight w:val="none"/>
        </w:rPr>
      </w:pPr>
      <w:r>
        <w:rPr>
          <w:rFonts w:hint="eastAsia" w:ascii="宋体" w:hAnsi="宋体"/>
          <w:color w:val="000000"/>
          <w:szCs w:val="21"/>
          <w:highlight w:val="none"/>
        </w:rPr>
        <w:t>2）合同一方或者其受让人、承继人严重违反本合同规定的其义务且在另一方书面通知其纠正违约后的三十天内未能纠正违约，另一方可以书面通知违约方终止本合同；</w:t>
      </w:r>
    </w:p>
    <w:p w14:paraId="3DB33F4A">
      <w:pPr>
        <w:tabs>
          <w:tab w:val="left" w:pos="360"/>
          <w:tab w:val="left" w:pos="540"/>
        </w:tabs>
        <w:snapToGrid w:val="0"/>
        <w:spacing w:line="360" w:lineRule="auto"/>
        <w:ind w:left="525" w:leftChars="250"/>
        <w:rPr>
          <w:rFonts w:ascii="宋体" w:hAnsi="宋体"/>
          <w:color w:val="000000"/>
          <w:szCs w:val="21"/>
          <w:highlight w:val="none"/>
        </w:rPr>
      </w:pPr>
      <w:r>
        <w:rPr>
          <w:rFonts w:hint="eastAsia" w:ascii="宋体" w:hAnsi="宋体"/>
          <w:color w:val="000000"/>
          <w:szCs w:val="21"/>
          <w:highlight w:val="none"/>
        </w:rPr>
        <w:t>3）一方破产、解散或停业清理，另一方可以在向该方发出通知后的十天内终止本合同。</w:t>
      </w:r>
    </w:p>
    <w:p w14:paraId="432AE260">
      <w:pPr>
        <w:tabs>
          <w:tab w:val="left" w:pos="360"/>
          <w:tab w:val="left" w:pos="540"/>
        </w:tabs>
        <w:snapToGrid w:val="0"/>
        <w:spacing w:line="360" w:lineRule="auto"/>
        <w:ind w:left="525" w:hanging="525" w:hangingChars="250"/>
        <w:rPr>
          <w:rFonts w:ascii="宋体" w:hAnsi="宋体"/>
          <w:color w:val="000000"/>
          <w:szCs w:val="21"/>
          <w:highlight w:val="none"/>
        </w:rPr>
      </w:pPr>
      <w:r>
        <w:rPr>
          <w:rFonts w:hint="eastAsia" w:ascii="宋体" w:hAnsi="宋体"/>
          <w:color w:val="000000"/>
          <w:szCs w:val="21"/>
          <w:highlight w:val="none"/>
        </w:rPr>
        <w:tab/>
      </w:r>
      <w:r>
        <w:rPr>
          <w:rFonts w:hint="eastAsia" w:ascii="宋体" w:hAnsi="宋体"/>
          <w:color w:val="000000"/>
          <w:szCs w:val="21"/>
          <w:highlight w:val="none"/>
        </w:rPr>
        <w:tab/>
      </w:r>
      <w:r>
        <w:rPr>
          <w:rFonts w:hint="eastAsia" w:ascii="宋体" w:hAnsi="宋体"/>
          <w:color w:val="000000"/>
          <w:szCs w:val="21"/>
          <w:highlight w:val="none"/>
        </w:rPr>
        <w:t>本合同无论因何原因终止，均不影响各方因执行本合同已经产生的权利和利益；合同中设定的违约条款、争议解决条款、通知送达条款等并不因为合同权利义务终止而受到任何影响。</w:t>
      </w:r>
    </w:p>
    <w:p w14:paraId="1D518A2E">
      <w:pPr>
        <w:tabs>
          <w:tab w:val="left" w:pos="360"/>
          <w:tab w:val="left" w:pos="540"/>
        </w:tabs>
        <w:snapToGrid w:val="0"/>
        <w:spacing w:line="360" w:lineRule="auto"/>
        <w:ind w:left="525" w:hanging="525" w:hangingChars="250"/>
        <w:rPr>
          <w:rFonts w:ascii="宋体" w:hAnsi="宋体"/>
          <w:color w:val="000000"/>
          <w:szCs w:val="21"/>
          <w:highlight w:val="none"/>
        </w:rPr>
      </w:pPr>
      <w:r>
        <w:rPr>
          <w:rFonts w:hint="eastAsia" w:ascii="宋体" w:hAnsi="宋体"/>
          <w:color w:val="000000"/>
          <w:szCs w:val="21"/>
          <w:highlight w:val="none"/>
        </w:rPr>
        <w:t>16.3 除非买卖双方签署书面变更合同，并成为本合同不可分割的一部分之情形外，本合同的条款不得有任何变化或修改。</w:t>
      </w:r>
    </w:p>
    <w:p w14:paraId="3FDD6E8C">
      <w:pPr>
        <w:tabs>
          <w:tab w:val="left" w:pos="180"/>
        </w:tabs>
        <w:snapToGrid w:val="0"/>
        <w:spacing w:line="360" w:lineRule="auto"/>
        <w:rPr>
          <w:rFonts w:ascii="宋体" w:hAnsi="宋体"/>
          <w:szCs w:val="21"/>
          <w:highlight w:val="none"/>
        </w:rPr>
      </w:pPr>
      <w:r>
        <w:rPr>
          <w:rFonts w:hint="eastAsia" w:ascii="宋体" w:hAnsi="宋体"/>
          <w:b/>
          <w:bCs/>
          <w:szCs w:val="21"/>
          <w:highlight w:val="none"/>
        </w:rPr>
        <w:t xml:space="preserve">17.  </w:t>
      </w:r>
      <w:r>
        <w:rPr>
          <w:rFonts w:hint="eastAsia" w:ascii="宋体" w:hAnsi="宋体"/>
          <w:b/>
          <w:szCs w:val="21"/>
          <w:highlight w:val="none"/>
        </w:rPr>
        <w:t>合同的转让</w:t>
      </w:r>
      <w:r>
        <w:rPr>
          <w:rFonts w:hint="eastAsia" w:ascii="宋体" w:hAnsi="宋体"/>
          <w:szCs w:val="21"/>
          <w:highlight w:val="none"/>
        </w:rPr>
        <w:t xml:space="preserve"> </w:t>
      </w:r>
    </w:p>
    <w:p w14:paraId="0BB43F73">
      <w:pPr>
        <w:tabs>
          <w:tab w:val="left" w:pos="360"/>
        </w:tabs>
        <w:snapToGrid w:val="0"/>
        <w:spacing w:line="360" w:lineRule="auto"/>
        <w:ind w:left="525" w:leftChars="250"/>
        <w:rPr>
          <w:rFonts w:ascii="宋体" w:hAnsi="宋体"/>
          <w:color w:val="000000"/>
          <w:szCs w:val="21"/>
          <w:highlight w:val="none"/>
        </w:rPr>
      </w:pPr>
      <w:r>
        <w:rPr>
          <w:rFonts w:hint="eastAsia" w:ascii="宋体" w:hAnsi="宋体"/>
          <w:szCs w:val="21"/>
          <w:highlight w:val="none"/>
        </w:rPr>
        <w:t>卖方不得部分转让或全部转让其应履行的合同义务，如买方发现卖方有买方不能接受的转让行为，买方有权中止或解除合同，</w:t>
      </w:r>
      <w:r>
        <w:rPr>
          <w:rFonts w:hint="eastAsia" w:ascii="宋体" w:hAnsi="宋体"/>
          <w:szCs w:val="21"/>
          <w:highlight w:val="none"/>
          <w:lang w:val="en-US" w:eastAsia="zh-CN"/>
        </w:rPr>
        <w:t>不予退还履约保证金，</w:t>
      </w:r>
      <w:r>
        <w:rPr>
          <w:rFonts w:hint="eastAsia" w:ascii="宋体" w:hAnsi="宋体"/>
          <w:szCs w:val="21"/>
          <w:highlight w:val="none"/>
        </w:rPr>
        <w:t>由此所造成的损失由卖方承担。</w:t>
      </w:r>
    </w:p>
    <w:p w14:paraId="605BE5D7">
      <w:pPr>
        <w:tabs>
          <w:tab w:val="left" w:pos="180"/>
        </w:tabs>
        <w:snapToGrid w:val="0"/>
        <w:spacing w:line="360" w:lineRule="auto"/>
        <w:rPr>
          <w:rFonts w:ascii="宋体" w:hAnsi="宋体"/>
          <w:szCs w:val="21"/>
          <w:highlight w:val="none"/>
        </w:rPr>
      </w:pPr>
      <w:r>
        <w:rPr>
          <w:rFonts w:hint="eastAsia" w:ascii="宋体" w:hAnsi="宋体"/>
          <w:b/>
          <w:bCs/>
          <w:szCs w:val="21"/>
          <w:highlight w:val="none"/>
        </w:rPr>
        <w:t>1</w:t>
      </w:r>
      <w:r>
        <w:rPr>
          <w:rFonts w:hint="eastAsia" w:ascii="宋体" w:hAnsi="宋体"/>
          <w:b/>
          <w:bCs/>
          <w:szCs w:val="21"/>
          <w:highlight w:val="none"/>
          <w:lang w:val="en-US" w:eastAsia="zh-CN"/>
        </w:rPr>
        <w:t>8</w:t>
      </w:r>
      <w:r>
        <w:rPr>
          <w:rFonts w:hint="eastAsia" w:ascii="宋体" w:hAnsi="宋体"/>
          <w:b/>
          <w:bCs/>
          <w:szCs w:val="21"/>
          <w:highlight w:val="none"/>
        </w:rPr>
        <w:t xml:space="preserve">.  </w:t>
      </w:r>
      <w:r>
        <w:rPr>
          <w:rFonts w:hint="eastAsia" w:ascii="宋体" w:hAnsi="宋体"/>
          <w:b/>
          <w:szCs w:val="21"/>
          <w:highlight w:val="none"/>
        </w:rPr>
        <w:t>合同的</w:t>
      </w:r>
      <w:r>
        <w:rPr>
          <w:rFonts w:hint="eastAsia" w:ascii="宋体" w:hAnsi="宋体"/>
          <w:b/>
          <w:szCs w:val="21"/>
          <w:highlight w:val="none"/>
          <w:lang w:val="en-US" w:eastAsia="zh-CN"/>
        </w:rPr>
        <w:t>有效性</w:t>
      </w:r>
      <w:r>
        <w:rPr>
          <w:rFonts w:hint="eastAsia" w:ascii="宋体" w:hAnsi="宋体"/>
          <w:szCs w:val="21"/>
          <w:highlight w:val="none"/>
        </w:rPr>
        <w:t xml:space="preserve"> </w:t>
      </w:r>
    </w:p>
    <w:p w14:paraId="619BE24B">
      <w:pPr>
        <w:tabs>
          <w:tab w:val="left" w:pos="360"/>
        </w:tabs>
        <w:snapToGrid w:val="0"/>
        <w:spacing w:line="360" w:lineRule="auto"/>
        <w:ind w:left="525" w:leftChars="25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经买方查证，卖方在本项目招投标/竞争性磋商/竞争性谈判/询价采购等过程中存在串通投标、弄虚作假、行贿以及其他违法违规、违反诚信原则行为的，合同无效，买方有权要求卖方赔偿所有损失。</w:t>
      </w:r>
    </w:p>
    <w:p w14:paraId="2DA271FC">
      <w:pPr>
        <w:snapToGrid w:val="0"/>
        <w:spacing w:line="360" w:lineRule="auto"/>
        <w:rPr>
          <w:rFonts w:ascii="宋体" w:hAnsi="宋体"/>
          <w:b/>
          <w:bCs/>
          <w:szCs w:val="21"/>
          <w:highlight w:val="none"/>
        </w:rPr>
      </w:pPr>
      <w:r>
        <w:rPr>
          <w:rFonts w:hint="eastAsia" w:ascii="宋体" w:hAnsi="宋体"/>
          <w:b/>
          <w:bCs/>
          <w:szCs w:val="21"/>
          <w:highlight w:val="none"/>
        </w:rPr>
        <w:t>1</w:t>
      </w:r>
      <w:r>
        <w:rPr>
          <w:rFonts w:ascii="宋体" w:hAnsi="宋体"/>
          <w:b/>
          <w:bCs/>
          <w:szCs w:val="21"/>
          <w:highlight w:val="none"/>
        </w:rPr>
        <w:t>9</w:t>
      </w:r>
      <w:r>
        <w:rPr>
          <w:rFonts w:hint="eastAsia" w:ascii="宋体" w:hAnsi="宋体"/>
          <w:b/>
          <w:bCs/>
          <w:szCs w:val="21"/>
          <w:highlight w:val="none"/>
        </w:rPr>
        <w:t>.  通知送达</w:t>
      </w:r>
    </w:p>
    <w:p w14:paraId="0F9CB9C8">
      <w:pPr>
        <w:keepNext w:val="0"/>
        <w:keepLines w:val="0"/>
        <w:pageBreakBefore w:val="0"/>
        <w:widowControl w:val="0"/>
        <w:kinsoku/>
        <w:wordWrap/>
        <w:overflowPunct/>
        <w:topLinePunct w:val="0"/>
        <w:autoSpaceDE/>
        <w:autoSpaceDN/>
        <w:bidi w:val="0"/>
        <w:adjustRightInd/>
        <w:snapToGrid w:val="0"/>
        <w:spacing w:line="360" w:lineRule="auto"/>
        <w:ind w:left="525" w:hanging="525" w:hangingChars="250"/>
        <w:textAlignment w:val="auto"/>
        <w:rPr>
          <w:rFonts w:ascii="宋体" w:hAnsi="宋体"/>
          <w:szCs w:val="21"/>
          <w:highlight w:val="none"/>
        </w:rPr>
      </w:pPr>
      <w:r>
        <w:rPr>
          <w:rFonts w:hint="eastAsia" w:ascii="宋体" w:hAnsi="宋体"/>
          <w:szCs w:val="21"/>
          <w:highlight w:val="none"/>
        </w:rPr>
        <w:t>19.1 买、卖双方应就合同履行中有关的事项及时进行联络，双方关于本合同的履行和相关事宜的通知，应当以</w:t>
      </w:r>
      <w:r>
        <w:rPr>
          <w:rFonts w:hint="eastAsia" w:ascii="宋体" w:hAnsi="宋体"/>
          <w:szCs w:val="21"/>
          <w:highlight w:val="none"/>
          <w:lang w:val="en-US" w:eastAsia="zh-CN"/>
        </w:rPr>
        <w:t>如下约定的</w:t>
      </w:r>
      <w:r>
        <w:rPr>
          <w:rFonts w:hint="eastAsia" w:ascii="宋体" w:hAnsi="宋体"/>
          <w:szCs w:val="21"/>
          <w:highlight w:val="none"/>
        </w:rPr>
        <w:t>联系人、联系方式</w:t>
      </w:r>
      <w:r>
        <w:rPr>
          <w:rFonts w:hint="eastAsia" w:ascii="宋体" w:hAnsi="宋体"/>
          <w:szCs w:val="21"/>
          <w:highlight w:val="none"/>
          <w:lang w:val="en-US" w:eastAsia="zh-CN"/>
        </w:rPr>
        <w:t>等</w:t>
      </w:r>
      <w:r>
        <w:rPr>
          <w:rFonts w:hint="eastAsia" w:ascii="宋体" w:hAnsi="宋体"/>
          <w:szCs w:val="21"/>
          <w:highlight w:val="none"/>
        </w:rPr>
        <w:t>送达</w:t>
      </w:r>
      <w:r>
        <w:rPr>
          <w:rFonts w:hint="eastAsia" w:ascii="宋体" w:hAnsi="宋体"/>
          <w:szCs w:val="21"/>
          <w:highlight w:val="none"/>
          <w:lang w:val="en-US" w:eastAsia="zh-CN"/>
        </w:rPr>
        <w:t>函件或者通知</w:t>
      </w:r>
      <w:r>
        <w:rPr>
          <w:rFonts w:hint="eastAsia" w:ascii="宋体" w:hAnsi="宋体"/>
          <w:szCs w:val="21"/>
          <w:highlight w:val="none"/>
        </w:rPr>
        <w:t>。合同履行过程中的任何联络及相关文件的签署，均应通过指定的联系人和联系方式进行。合同履行过程中，双方可以书面形式增加或变更指定联系人。</w:t>
      </w:r>
    </w:p>
    <w:p w14:paraId="2434E128">
      <w:pPr>
        <w:tabs>
          <w:tab w:val="left" w:pos="360"/>
        </w:tabs>
        <w:snapToGrid w:val="0"/>
        <w:spacing w:line="360" w:lineRule="auto"/>
        <w:ind w:left="525" w:hanging="525" w:hangingChars="250"/>
        <w:rPr>
          <w:rFonts w:hint="default" w:ascii="宋体" w:hAnsi="宋体"/>
          <w:szCs w:val="21"/>
          <w:highlight w:val="none"/>
          <w:u w:val="none"/>
          <w:lang w:val="en-US"/>
        </w:rPr>
      </w:pPr>
      <w:r>
        <w:rPr>
          <w:rFonts w:hint="eastAsia" w:ascii="宋体" w:hAnsi="宋体"/>
          <w:szCs w:val="21"/>
          <w:highlight w:val="none"/>
        </w:rPr>
        <w:t xml:space="preserve">     卖方联系人：</w:t>
      </w:r>
    </w:p>
    <w:p w14:paraId="17D49B19">
      <w:pPr>
        <w:tabs>
          <w:tab w:val="left" w:pos="360"/>
        </w:tabs>
        <w:snapToGrid w:val="0"/>
        <w:spacing w:line="360" w:lineRule="auto"/>
        <w:ind w:left="525" w:leftChars="250"/>
        <w:rPr>
          <w:rFonts w:hint="eastAsia" w:ascii="宋体" w:hAnsi="宋体"/>
          <w:szCs w:val="21"/>
          <w:highlight w:val="none"/>
          <w:u w:val="single"/>
          <w:lang w:val="en-US" w:eastAsia="zh-CN"/>
        </w:rPr>
      </w:pPr>
      <w:r>
        <w:rPr>
          <w:rFonts w:hint="eastAsia" w:ascii="宋体" w:hAnsi="宋体"/>
          <w:szCs w:val="21"/>
          <w:highlight w:val="none"/>
          <w:lang w:val="en-US" w:eastAsia="zh-CN"/>
        </w:rPr>
        <w:t>电话号码：</w:t>
      </w:r>
    </w:p>
    <w:p w14:paraId="3BE9B7F8">
      <w:pPr>
        <w:tabs>
          <w:tab w:val="left" w:pos="360"/>
        </w:tabs>
        <w:snapToGrid w:val="0"/>
        <w:spacing w:line="360" w:lineRule="auto"/>
        <w:ind w:left="525" w:leftChars="250"/>
        <w:rPr>
          <w:rFonts w:hint="default" w:ascii="宋体" w:hAnsi="宋体"/>
          <w:szCs w:val="21"/>
          <w:highlight w:val="none"/>
          <w:u w:val="single"/>
          <w:lang w:val="en-US" w:eastAsia="zh-CN"/>
        </w:rPr>
      </w:pPr>
      <w:r>
        <w:rPr>
          <w:rFonts w:hint="eastAsia" w:ascii="宋体" w:hAnsi="宋体"/>
          <w:szCs w:val="21"/>
          <w:highlight w:val="none"/>
          <w:lang w:val="en-US" w:eastAsia="zh-CN"/>
        </w:rPr>
        <w:t>送达地址：</w:t>
      </w:r>
    </w:p>
    <w:p w14:paraId="62A95AA0">
      <w:pPr>
        <w:tabs>
          <w:tab w:val="left" w:pos="360"/>
        </w:tabs>
        <w:snapToGrid w:val="0"/>
        <w:spacing w:line="360" w:lineRule="auto"/>
        <w:ind w:left="525" w:leftChars="250"/>
        <w:rPr>
          <w:rFonts w:hint="eastAsia" w:ascii="宋体" w:hAnsi="宋体" w:eastAsia="宋体"/>
          <w:szCs w:val="21"/>
          <w:highlight w:val="none"/>
          <w:lang w:eastAsia="zh-CN"/>
        </w:rPr>
      </w:pPr>
      <w:r>
        <w:rPr>
          <w:rFonts w:hint="eastAsia" w:ascii="宋体" w:hAnsi="宋体"/>
          <w:szCs w:val="21"/>
          <w:highlight w:val="none"/>
          <w:lang w:val="en-US" w:eastAsia="zh-CN"/>
        </w:rPr>
        <w:t>电子联系</w:t>
      </w:r>
      <w:r>
        <w:rPr>
          <w:rFonts w:hint="eastAsia" w:ascii="宋体" w:hAnsi="宋体"/>
          <w:szCs w:val="21"/>
          <w:highlight w:val="none"/>
        </w:rPr>
        <w:t>方式：</w:t>
      </w:r>
    </w:p>
    <w:p w14:paraId="536D331B">
      <w:pPr>
        <w:tabs>
          <w:tab w:val="left" w:pos="360"/>
        </w:tabs>
        <w:snapToGrid w:val="0"/>
        <w:spacing w:line="360" w:lineRule="auto"/>
        <w:ind w:firstLine="525" w:firstLineChars="250"/>
        <w:rPr>
          <w:rFonts w:hint="eastAsia" w:ascii="宋体" w:hAnsi="宋体"/>
          <w:szCs w:val="21"/>
          <w:highlight w:val="none"/>
          <w:u w:val="single"/>
          <w:lang w:val="en-US" w:eastAsia="zh-CN"/>
        </w:rPr>
      </w:pPr>
      <w:r>
        <w:rPr>
          <w:rFonts w:hint="eastAsia" w:ascii="宋体" w:hAnsi="宋体"/>
          <w:szCs w:val="21"/>
          <w:highlight w:val="none"/>
        </w:rPr>
        <w:t>买方联系人：</w:t>
      </w:r>
      <w:r>
        <w:rPr>
          <w:rFonts w:hint="eastAsia" w:ascii="宋体" w:hAnsi="宋体"/>
          <w:szCs w:val="21"/>
          <w:highlight w:val="none"/>
          <w:lang w:val="en-US" w:eastAsia="zh-CN"/>
        </w:rPr>
        <w:t xml:space="preserve">  </w:t>
      </w:r>
      <w:r>
        <w:rPr>
          <w:rFonts w:hint="eastAsia" w:ascii="宋体" w:hAnsi="宋体"/>
          <w:szCs w:val="21"/>
          <w:highlight w:val="none"/>
          <w:u w:val="single"/>
          <w:lang w:val="en-US" w:eastAsia="zh-CN"/>
        </w:rPr>
        <w:t>范家鑫</w:t>
      </w:r>
    </w:p>
    <w:p w14:paraId="585DDD68">
      <w:pPr>
        <w:tabs>
          <w:tab w:val="left" w:pos="360"/>
        </w:tabs>
        <w:snapToGrid w:val="0"/>
        <w:spacing w:line="360" w:lineRule="auto"/>
        <w:ind w:firstLine="525" w:firstLineChars="250"/>
        <w:rPr>
          <w:rFonts w:hint="eastAsia" w:ascii="宋体" w:hAnsi="宋体"/>
          <w:szCs w:val="21"/>
          <w:highlight w:val="none"/>
        </w:rPr>
      </w:pPr>
      <w:r>
        <w:rPr>
          <w:rFonts w:hint="eastAsia" w:ascii="宋体" w:hAnsi="宋体"/>
          <w:szCs w:val="21"/>
          <w:highlight w:val="none"/>
        </w:rPr>
        <w:t xml:space="preserve">电话号码：    </w:t>
      </w:r>
      <w:r>
        <w:rPr>
          <w:rFonts w:ascii="宋体" w:hAnsi="宋体"/>
          <w:szCs w:val="21"/>
          <w:highlight w:val="none"/>
          <w:u w:val="single"/>
        </w:rPr>
        <w:t>05503352129</w:t>
      </w:r>
    </w:p>
    <w:p w14:paraId="0092300A">
      <w:pPr>
        <w:tabs>
          <w:tab w:val="left" w:pos="360"/>
        </w:tabs>
        <w:snapToGrid w:val="0"/>
        <w:spacing w:line="360" w:lineRule="auto"/>
        <w:ind w:firstLine="525" w:firstLineChars="250"/>
        <w:rPr>
          <w:rFonts w:hint="eastAsia" w:ascii="宋体" w:hAnsi="宋体"/>
          <w:szCs w:val="21"/>
          <w:highlight w:val="none"/>
        </w:rPr>
      </w:pPr>
      <w:r>
        <w:rPr>
          <w:rFonts w:hint="eastAsia" w:ascii="宋体" w:hAnsi="宋体"/>
          <w:szCs w:val="21"/>
          <w:highlight w:val="none"/>
        </w:rPr>
        <w:t xml:space="preserve">送达地址：    </w:t>
      </w:r>
      <w:r>
        <w:rPr>
          <w:rFonts w:hint="eastAsia" w:ascii="宋体" w:hAnsi="宋体"/>
          <w:szCs w:val="21"/>
          <w:highlight w:val="none"/>
          <w:u w:val="single"/>
        </w:rPr>
        <w:t>安徽省滁州市南谯区徽州路701号滁宁城铁控制中心516室</w:t>
      </w:r>
    </w:p>
    <w:p w14:paraId="1884AA34">
      <w:pPr>
        <w:tabs>
          <w:tab w:val="left" w:pos="360"/>
        </w:tabs>
        <w:snapToGrid w:val="0"/>
        <w:spacing w:line="360" w:lineRule="auto"/>
        <w:ind w:firstLine="525" w:firstLineChars="250"/>
        <w:rPr>
          <w:rFonts w:hint="eastAsia" w:ascii="宋体" w:hAnsi="宋体"/>
          <w:szCs w:val="21"/>
          <w:highlight w:val="none"/>
        </w:rPr>
      </w:pPr>
      <w:r>
        <w:rPr>
          <w:rFonts w:hint="eastAsia" w:ascii="宋体" w:hAnsi="宋体"/>
          <w:szCs w:val="21"/>
          <w:highlight w:val="none"/>
        </w:rPr>
        <w:t>电子联系方式：</w:t>
      </w:r>
      <w:r>
        <w:rPr>
          <w:rFonts w:ascii="宋体" w:hAnsi="宋体"/>
          <w:szCs w:val="21"/>
          <w:highlight w:val="none"/>
          <w:u w:val="single"/>
        </w:rPr>
        <w:t>czrtocwzb@163.com</w:t>
      </w:r>
    </w:p>
    <w:p w14:paraId="37E13CC9">
      <w:pPr>
        <w:keepNext w:val="0"/>
        <w:keepLines w:val="0"/>
        <w:pageBreakBefore w:val="0"/>
        <w:widowControl w:val="0"/>
        <w:tabs>
          <w:tab w:val="left" w:pos="360"/>
        </w:tabs>
        <w:kinsoku/>
        <w:wordWrap/>
        <w:overflowPunct/>
        <w:topLinePunct w:val="0"/>
        <w:autoSpaceDE/>
        <w:autoSpaceDN/>
        <w:bidi w:val="0"/>
        <w:adjustRightInd/>
        <w:snapToGrid w:val="0"/>
        <w:spacing w:line="360" w:lineRule="auto"/>
        <w:ind w:left="525" w:hanging="525" w:hangingChars="250"/>
        <w:textAlignment w:val="auto"/>
        <w:rPr>
          <w:rFonts w:hint="eastAsia" w:ascii="宋体" w:hAnsi="宋体"/>
          <w:szCs w:val="21"/>
          <w:highlight w:val="none"/>
        </w:rPr>
      </w:pPr>
      <w:r>
        <w:rPr>
          <w:rFonts w:hint="eastAsia" w:ascii="宋体" w:hAnsi="宋体"/>
          <w:szCs w:val="21"/>
          <w:highlight w:val="none"/>
        </w:rPr>
        <w:t>19.2 任何一方变更联系方式、所留联系方式错误、无人接收而没有事先通知变更的，视为未变更，一方按照本合同的约定方式按原联系方式送达仍视为有效送达，由此产生的法律后果由责任方承担。任何以快递或者特快专递的方式寄出的通知或者函件，在寄出五个工作日后，将视为已送达收件人，邮政局或者任何快递公司出具的物流快递记录即可证明该通知已送达收件人。如果买卖双方同意以电子邮箱、钉钉或者其他电子方式送达的，订货通知或者函件一旦发出至对方系统，即视为送达；任何一方明知对方向其发送通知寄送函件的，不得拒收，如拒收的视为通知已送达。</w:t>
      </w:r>
    </w:p>
    <w:p w14:paraId="530C167D">
      <w:pPr>
        <w:tabs>
          <w:tab w:val="left" w:pos="360"/>
        </w:tabs>
        <w:snapToGrid w:val="0"/>
        <w:spacing w:line="360" w:lineRule="auto"/>
        <w:ind w:left="525" w:hanging="525" w:hangingChars="250"/>
        <w:jc w:val="left"/>
        <w:rPr>
          <w:rFonts w:ascii="宋体" w:hAnsi="宋体"/>
          <w:szCs w:val="21"/>
          <w:highlight w:val="none"/>
        </w:rPr>
      </w:pPr>
      <w:r>
        <w:rPr>
          <w:rFonts w:hint="eastAsia" w:ascii="宋体" w:hAnsi="宋体" w:eastAsia="宋体" w:cs="Times New Roman"/>
          <w:sz w:val="21"/>
          <w:szCs w:val="21"/>
          <w:highlight w:val="none"/>
          <w:lang w:val="en-US" w:eastAsia="zh-CN"/>
        </w:rPr>
        <w:t>1</w:t>
      </w:r>
      <w:r>
        <w:rPr>
          <w:rFonts w:hint="eastAsia" w:ascii="宋体" w:hAnsi="宋体" w:cs="Times New Roman"/>
          <w:sz w:val="21"/>
          <w:szCs w:val="21"/>
          <w:highlight w:val="none"/>
          <w:lang w:val="en-US" w:eastAsia="zh-CN"/>
        </w:rPr>
        <w:t>9</w:t>
      </w:r>
      <w:r>
        <w:rPr>
          <w:rFonts w:hint="eastAsia" w:ascii="宋体" w:hAnsi="宋体" w:eastAsia="宋体" w:cs="Times New Roman"/>
          <w:sz w:val="21"/>
          <w:szCs w:val="21"/>
          <w:highlight w:val="none"/>
          <w:lang w:val="en-US" w:eastAsia="zh-CN"/>
        </w:rPr>
        <w:t xml:space="preserve">.3 </w:t>
      </w:r>
      <w:r>
        <w:rPr>
          <w:rFonts w:hint="eastAsia" w:ascii="宋体" w:hAnsi="宋体" w:eastAsia="宋体" w:cs="Times New Roman"/>
          <w:sz w:val="21"/>
          <w:szCs w:val="21"/>
          <w:highlight w:val="none"/>
        </w:rPr>
        <w:t>本合同第</w:t>
      </w:r>
      <w:r>
        <w:rPr>
          <w:rFonts w:hint="eastAsia" w:ascii="宋体" w:hAnsi="宋体" w:eastAsia="宋体" w:cs="Times New Roman"/>
          <w:sz w:val="21"/>
          <w:szCs w:val="21"/>
          <w:highlight w:val="none"/>
          <w:lang w:val="en-US" w:eastAsia="zh-CN"/>
        </w:rPr>
        <w:t>1</w:t>
      </w:r>
      <w:r>
        <w:rPr>
          <w:rFonts w:hint="eastAsia" w:ascii="宋体" w:hAnsi="宋体" w:cs="Times New Roman"/>
          <w:sz w:val="21"/>
          <w:szCs w:val="21"/>
          <w:highlight w:val="none"/>
          <w:lang w:val="en-US" w:eastAsia="zh-CN"/>
        </w:rPr>
        <w:t>9</w:t>
      </w:r>
      <w:r>
        <w:rPr>
          <w:rFonts w:hint="eastAsia" w:ascii="宋体" w:hAnsi="宋体" w:eastAsia="宋体" w:cs="Times New Roman"/>
          <w:sz w:val="21"/>
          <w:szCs w:val="21"/>
          <w:highlight w:val="none"/>
        </w:rPr>
        <w:t>.1条约定的送达地址系双方工作联系往来、法律文书及争议解决时人民法院/仲裁机构的法律文书送达地址，各方确认上述送达地址及送达方式适用于诉讼/仲裁的各阶段，包括但不限于一审、二审、再审、特别程序及执行程序</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人民法院/仲裁机构按上述各方提供的送达地址/电子送达信息进行送达，因提供的地址/电子送达信息不确切，或者不及时告知变更后的送达地址/电子送达信息，导致法律文书未能被受送达人实际接收的，直接送达的，民事诉讼文书留在该地址之日为送达之日；邮寄送达的，文书被退回之日为送达之日；电子送达的，以送达信息到达受送达人特定系统时，即为送达。</w:t>
      </w:r>
      <w:r>
        <w:rPr>
          <w:rFonts w:hint="eastAsia" w:ascii="宋体" w:hAnsi="宋体"/>
          <w:szCs w:val="21"/>
          <w:highlight w:val="none"/>
        </w:rPr>
        <w:t xml:space="preserve"> </w:t>
      </w:r>
    </w:p>
    <w:p w14:paraId="2AA01B37">
      <w:pPr>
        <w:tabs>
          <w:tab w:val="left" w:pos="360"/>
        </w:tabs>
        <w:snapToGrid w:val="0"/>
        <w:spacing w:line="360" w:lineRule="auto"/>
        <w:rPr>
          <w:rFonts w:hint="eastAsia" w:ascii="宋体" w:hAnsi="宋体"/>
          <w:b/>
          <w:bCs/>
          <w:szCs w:val="21"/>
          <w:highlight w:val="none"/>
        </w:rPr>
      </w:pPr>
      <w:r>
        <w:rPr>
          <w:rFonts w:hint="eastAsia" w:ascii="宋体" w:hAnsi="宋体"/>
          <w:szCs w:val="21"/>
          <w:highlight w:val="none"/>
        </w:rPr>
        <w:t>19.</w:t>
      </w:r>
      <w:r>
        <w:rPr>
          <w:rFonts w:hint="eastAsia" w:ascii="宋体" w:hAnsi="宋体"/>
          <w:szCs w:val="21"/>
          <w:highlight w:val="none"/>
          <w:lang w:val="en-US" w:eastAsia="zh-CN"/>
        </w:rPr>
        <w:t>4</w:t>
      </w:r>
      <w:r>
        <w:rPr>
          <w:rFonts w:hint="eastAsia" w:ascii="宋体" w:hAnsi="宋体"/>
          <w:szCs w:val="21"/>
          <w:highlight w:val="none"/>
        </w:rPr>
        <w:t xml:space="preserve"> 本条款为独立条款，不受协议整体或其他条款的效力的影响，始终有效。</w:t>
      </w:r>
    </w:p>
    <w:p w14:paraId="6DA65D54">
      <w:pPr>
        <w:snapToGrid w:val="0"/>
        <w:spacing w:line="360" w:lineRule="auto"/>
        <w:rPr>
          <w:rFonts w:hint="default" w:ascii="宋体" w:hAnsi="宋体" w:eastAsia="宋体"/>
          <w:b/>
          <w:bCs/>
          <w:szCs w:val="21"/>
          <w:highlight w:val="none"/>
          <w:lang w:val="en-US" w:eastAsia="zh-CN"/>
        </w:rPr>
      </w:pPr>
      <w:r>
        <w:rPr>
          <w:rFonts w:hint="eastAsia" w:ascii="宋体" w:hAnsi="宋体"/>
          <w:b/>
          <w:bCs/>
          <w:szCs w:val="21"/>
          <w:highlight w:val="none"/>
          <w:lang w:val="en-US" w:eastAsia="zh-CN"/>
        </w:rPr>
        <w:t>20</w:t>
      </w:r>
      <w:r>
        <w:rPr>
          <w:rFonts w:hint="eastAsia" w:ascii="宋体" w:hAnsi="宋体"/>
          <w:b/>
          <w:bCs/>
          <w:szCs w:val="21"/>
          <w:highlight w:val="none"/>
        </w:rPr>
        <w:t xml:space="preserve">.  </w:t>
      </w:r>
      <w:r>
        <w:rPr>
          <w:rFonts w:hint="eastAsia" w:ascii="宋体" w:hAnsi="宋体"/>
          <w:b/>
          <w:bCs/>
          <w:szCs w:val="21"/>
          <w:highlight w:val="none"/>
          <w:lang w:val="en-US" w:eastAsia="zh-CN"/>
        </w:rPr>
        <w:t>合规条款</w:t>
      </w:r>
    </w:p>
    <w:p w14:paraId="6C75253D">
      <w:pPr>
        <w:keepNext w:val="0"/>
        <w:keepLines w:val="0"/>
        <w:widowControl/>
        <w:suppressLineNumbers w:val="0"/>
        <w:tabs>
          <w:tab w:val="left" w:pos="360"/>
          <w:tab w:val="left" w:pos="540"/>
        </w:tabs>
        <w:snapToGrid w:val="0"/>
        <w:spacing w:before="0" w:beforeAutospacing="0" w:after="0" w:afterAutospacing="0" w:line="360" w:lineRule="auto"/>
        <w:ind w:left="525" w:right="0" w:hanging="525" w:hangingChars="250"/>
        <w:jc w:val="left"/>
        <w:rPr>
          <w:rFonts w:hint="eastAsia" w:ascii="宋体" w:hAnsi="宋体" w:eastAsia="宋体" w:cs="Times New Roman"/>
          <w:color w:val="000000"/>
          <w:kern w:val="2"/>
          <w:sz w:val="21"/>
          <w:szCs w:val="21"/>
          <w:highlight w:val="none"/>
        </w:rPr>
      </w:pPr>
      <w:r>
        <w:rPr>
          <w:rFonts w:hint="eastAsia" w:ascii="宋体" w:hAnsi="宋体" w:cs="Times New Roman"/>
          <w:color w:val="000000"/>
          <w:kern w:val="2"/>
          <w:sz w:val="21"/>
          <w:szCs w:val="21"/>
          <w:highlight w:val="none"/>
          <w:lang w:val="en-US" w:eastAsia="zh-CN" w:bidi="ar"/>
        </w:rPr>
        <w:t>20</w:t>
      </w:r>
      <w:r>
        <w:rPr>
          <w:rFonts w:hint="eastAsia" w:ascii="宋体" w:hAnsi="宋体" w:eastAsia="宋体" w:cs="Times New Roman"/>
          <w:color w:val="000000"/>
          <w:kern w:val="2"/>
          <w:sz w:val="21"/>
          <w:szCs w:val="21"/>
          <w:highlight w:val="none"/>
          <w:lang w:val="en-US" w:eastAsia="zh-CN" w:bidi="ar"/>
        </w:rPr>
        <w:t>.1 卖方充分理解并接受买方的合规管理要求，承诺并保证在与买方合作期间严格遵守以下条款，并积极采取有效措施确保关联方（包括但不限于董事、监事、管理人员、员工、外协人员、分包商及代理商等）遵守：</w:t>
      </w:r>
    </w:p>
    <w:p w14:paraId="75AA56BE">
      <w:pPr>
        <w:keepNext w:val="0"/>
        <w:keepLines w:val="0"/>
        <w:pageBreakBefore w:val="0"/>
        <w:widowControl/>
        <w:suppressLineNumbers w:val="0"/>
        <w:tabs>
          <w:tab w:val="left" w:pos="360"/>
          <w:tab w:val="left" w:pos="540"/>
        </w:tabs>
        <w:kinsoku/>
        <w:wordWrap/>
        <w:overflowPunct/>
        <w:topLinePunct w:val="0"/>
        <w:autoSpaceDE/>
        <w:autoSpaceDN/>
        <w:bidi w:val="0"/>
        <w:adjustRightInd/>
        <w:snapToGrid w:val="0"/>
        <w:spacing w:before="0" w:beforeAutospacing="0" w:after="0" w:afterAutospacing="0" w:line="360" w:lineRule="auto"/>
        <w:ind w:left="525" w:leftChars="250" w:right="0" w:firstLine="0" w:firstLineChars="0"/>
        <w:jc w:val="left"/>
        <w:textAlignment w:val="auto"/>
        <w:rPr>
          <w:rFonts w:hint="eastAsia" w:ascii="宋体" w:hAnsi="宋体" w:eastAsia="宋体" w:cs="Times New Roman"/>
          <w:color w:val="000000"/>
          <w:kern w:val="2"/>
          <w:sz w:val="21"/>
          <w:szCs w:val="21"/>
          <w:highlight w:val="none"/>
        </w:rPr>
      </w:pPr>
      <w:r>
        <w:rPr>
          <w:rFonts w:hint="eastAsia" w:ascii="宋体" w:hAnsi="宋体" w:eastAsia="宋体" w:cs="Times New Roman"/>
          <w:color w:val="000000"/>
          <w:kern w:val="2"/>
          <w:sz w:val="21"/>
          <w:szCs w:val="21"/>
          <w:highlight w:val="none"/>
          <w:lang w:val="en-US" w:eastAsia="zh-CN" w:bidi="ar"/>
        </w:rPr>
        <w:t>1）不得为获取或维系商业机会或获取其他利益而进行任何形式的商业贿赂或利益输送：在履行本合同过程中，严格遵守中国反商业贿赂相关法律法规，不实施任何行贿受贿行为，拒绝给与和接受便利费。在不限制上述承诺的前提下，卖方特别保证其自身、其关联方及其各自的权益所有人、董事、管理人员、雇员、代理人或分包商不会为了达成或履行本合同或为了获得不正当利益而直接或间接地给予、承诺或批准给予任何钱款、礼品或其他有价物给以下人员：</w:t>
      </w:r>
    </w:p>
    <w:p w14:paraId="1F4BD358">
      <w:pPr>
        <w:keepNext w:val="0"/>
        <w:keepLines w:val="0"/>
        <w:pageBreakBefore w:val="0"/>
        <w:widowControl/>
        <w:suppressLineNumbers w:val="0"/>
        <w:tabs>
          <w:tab w:val="left" w:pos="360"/>
          <w:tab w:val="left" w:pos="540"/>
        </w:tabs>
        <w:kinsoku/>
        <w:wordWrap/>
        <w:overflowPunct/>
        <w:topLinePunct w:val="0"/>
        <w:autoSpaceDE/>
        <w:autoSpaceDN/>
        <w:bidi w:val="0"/>
        <w:adjustRightInd/>
        <w:snapToGrid w:val="0"/>
        <w:spacing w:before="0" w:beforeAutospacing="0" w:after="0" w:afterAutospacing="0" w:line="360" w:lineRule="auto"/>
        <w:ind w:left="525" w:leftChars="250" w:right="0" w:firstLine="0" w:firstLineChars="0"/>
        <w:jc w:val="left"/>
        <w:textAlignment w:val="auto"/>
        <w:rPr>
          <w:rFonts w:hint="eastAsia" w:ascii="宋体" w:hAnsi="宋体" w:eastAsia="宋体" w:cs="Times New Roman"/>
          <w:color w:val="000000"/>
          <w:kern w:val="2"/>
          <w:sz w:val="21"/>
          <w:szCs w:val="21"/>
          <w:highlight w:val="none"/>
        </w:rPr>
      </w:pPr>
      <w:r>
        <w:rPr>
          <w:rFonts w:hint="eastAsia" w:ascii="宋体" w:hAnsi="宋体" w:eastAsia="宋体" w:cs="Times New Roman"/>
          <w:color w:val="000000"/>
          <w:kern w:val="2"/>
          <w:sz w:val="21"/>
          <w:szCs w:val="21"/>
          <w:highlight w:val="none"/>
          <w:lang w:val="en-US" w:eastAsia="zh-CN" w:bidi="ar"/>
        </w:rPr>
        <w:t>任何政府官员或职员；</w:t>
      </w:r>
    </w:p>
    <w:p w14:paraId="7CC33ECD">
      <w:pPr>
        <w:keepNext w:val="0"/>
        <w:keepLines w:val="0"/>
        <w:pageBreakBefore w:val="0"/>
        <w:widowControl/>
        <w:suppressLineNumbers w:val="0"/>
        <w:tabs>
          <w:tab w:val="left" w:pos="360"/>
          <w:tab w:val="left" w:pos="540"/>
        </w:tabs>
        <w:kinsoku/>
        <w:wordWrap/>
        <w:overflowPunct/>
        <w:topLinePunct w:val="0"/>
        <w:autoSpaceDE/>
        <w:autoSpaceDN/>
        <w:bidi w:val="0"/>
        <w:adjustRightInd/>
        <w:snapToGrid w:val="0"/>
        <w:spacing w:before="0" w:beforeAutospacing="0" w:after="0" w:afterAutospacing="0" w:line="360" w:lineRule="auto"/>
        <w:ind w:left="525" w:leftChars="250" w:right="0" w:firstLine="0" w:firstLineChars="0"/>
        <w:jc w:val="left"/>
        <w:textAlignment w:val="auto"/>
        <w:rPr>
          <w:rFonts w:hint="eastAsia" w:ascii="宋体" w:hAnsi="宋体" w:eastAsia="宋体" w:cs="Times New Roman"/>
          <w:color w:val="000000"/>
          <w:kern w:val="2"/>
          <w:sz w:val="21"/>
          <w:szCs w:val="21"/>
          <w:highlight w:val="none"/>
        </w:rPr>
      </w:pPr>
      <w:r>
        <w:rPr>
          <w:rFonts w:hint="eastAsia" w:ascii="宋体" w:hAnsi="宋体" w:eastAsia="宋体" w:cs="Times New Roman"/>
          <w:color w:val="000000"/>
          <w:kern w:val="2"/>
          <w:sz w:val="21"/>
          <w:szCs w:val="21"/>
          <w:highlight w:val="none"/>
          <w:lang w:val="en-US" w:eastAsia="zh-CN" w:bidi="ar"/>
        </w:rPr>
        <w:t>任何政党或政治职位候选人；</w:t>
      </w:r>
    </w:p>
    <w:p w14:paraId="4E7012AE">
      <w:pPr>
        <w:keepNext w:val="0"/>
        <w:keepLines w:val="0"/>
        <w:pageBreakBefore w:val="0"/>
        <w:widowControl/>
        <w:suppressLineNumbers w:val="0"/>
        <w:tabs>
          <w:tab w:val="left" w:pos="360"/>
          <w:tab w:val="left" w:pos="540"/>
        </w:tabs>
        <w:kinsoku/>
        <w:wordWrap/>
        <w:overflowPunct/>
        <w:topLinePunct w:val="0"/>
        <w:autoSpaceDE/>
        <w:autoSpaceDN/>
        <w:bidi w:val="0"/>
        <w:adjustRightInd/>
        <w:snapToGrid w:val="0"/>
        <w:spacing w:before="0" w:beforeAutospacing="0" w:after="0" w:afterAutospacing="0" w:line="360" w:lineRule="auto"/>
        <w:ind w:left="525" w:leftChars="250" w:right="0" w:firstLine="0" w:firstLineChars="0"/>
        <w:jc w:val="left"/>
        <w:textAlignment w:val="auto"/>
        <w:rPr>
          <w:rFonts w:hint="eastAsia" w:ascii="宋体" w:hAnsi="宋体" w:eastAsia="宋体" w:cs="Times New Roman"/>
          <w:color w:val="000000"/>
          <w:kern w:val="2"/>
          <w:sz w:val="21"/>
          <w:szCs w:val="21"/>
          <w:highlight w:val="none"/>
        </w:rPr>
      </w:pPr>
      <w:r>
        <w:rPr>
          <w:rFonts w:hint="eastAsia" w:ascii="宋体" w:hAnsi="宋体" w:eastAsia="宋体" w:cs="Times New Roman"/>
          <w:color w:val="000000"/>
          <w:kern w:val="2"/>
          <w:sz w:val="21"/>
          <w:szCs w:val="21"/>
          <w:highlight w:val="none"/>
          <w:lang w:val="en-US" w:eastAsia="zh-CN" w:bidi="ar"/>
        </w:rPr>
        <w:t>公共国际组织的任何职员或官员；</w:t>
      </w:r>
    </w:p>
    <w:p w14:paraId="1EEBA2F4">
      <w:pPr>
        <w:keepNext w:val="0"/>
        <w:keepLines w:val="0"/>
        <w:pageBreakBefore w:val="0"/>
        <w:widowControl/>
        <w:suppressLineNumbers w:val="0"/>
        <w:tabs>
          <w:tab w:val="left" w:pos="360"/>
          <w:tab w:val="left" w:pos="540"/>
        </w:tabs>
        <w:kinsoku/>
        <w:wordWrap/>
        <w:overflowPunct/>
        <w:topLinePunct w:val="0"/>
        <w:autoSpaceDE/>
        <w:autoSpaceDN/>
        <w:bidi w:val="0"/>
        <w:adjustRightInd/>
        <w:snapToGrid w:val="0"/>
        <w:spacing w:before="0" w:beforeAutospacing="0" w:after="0" w:afterAutospacing="0" w:line="360" w:lineRule="auto"/>
        <w:ind w:left="525" w:leftChars="250" w:right="0" w:firstLine="0" w:firstLineChars="0"/>
        <w:jc w:val="left"/>
        <w:textAlignment w:val="auto"/>
        <w:rPr>
          <w:rFonts w:hint="eastAsia" w:ascii="宋体" w:hAnsi="宋体" w:eastAsia="宋体" w:cs="Times New Roman"/>
          <w:color w:val="000000"/>
          <w:kern w:val="2"/>
          <w:sz w:val="21"/>
          <w:szCs w:val="21"/>
          <w:highlight w:val="none"/>
        </w:rPr>
      </w:pPr>
      <w:r>
        <w:rPr>
          <w:rFonts w:hint="eastAsia" w:ascii="宋体" w:hAnsi="宋体" w:eastAsia="宋体" w:cs="Times New Roman"/>
          <w:color w:val="000000"/>
          <w:kern w:val="2"/>
          <w:sz w:val="21"/>
          <w:szCs w:val="21"/>
          <w:highlight w:val="none"/>
          <w:lang w:val="en-US" w:eastAsia="zh-CN" w:bidi="ar"/>
        </w:rPr>
        <w:t>合同相对方、其关联方及任何相关第三方的董事、高管、雇员、代理商或顾问；</w:t>
      </w:r>
    </w:p>
    <w:p w14:paraId="5133BE9B">
      <w:pPr>
        <w:keepNext w:val="0"/>
        <w:keepLines w:val="0"/>
        <w:pageBreakBefore w:val="0"/>
        <w:widowControl/>
        <w:suppressLineNumbers w:val="0"/>
        <w:tabs>
          <w:tab w:val="left" w:pos="360"/>
          <w:tab w:val="left" w:pos="540"/>
        </w:tabs>
        <w:kinsoku/>
        <w:wordWrap/>
        <w:overflowPunct/>
        <w:topLinePunct w:val="0"/>
        <w:autoSpaceDE/>
        <w:autoSpaceDN/>
        <w:bidi w:val="0"/>
        <w:adjustRightInd/>
        <w:snapToGrid w:val="0"/>
        <w:spacing w:before="0" w:beforeAutospacing="0" w:after="0" w:afterAutospacing="0" w:line="360" w:lineRule="auto"/>
        <w:ind w:left="525" w:leftChars="250" w:right="0" w:firstLine="0" w:firstLineChars="0"/>
        <w:jc w:val="left"/>
        <w:textAlignment w:val="auto"/>
        <w:rPr>
          <w:rFonts w:hint="eastAsia" w:ascii="宋体" w:hAnsi="宋体" w:eastAsia="宋体" w:cs="Times New Roman"/>
          <w:color w:val="000000"/>
          <w:kern w:val="2"/>
          <w:sz w:val="21"/>
          <w:szCs w:val="21"/>
          <w:highlight w:val="none"/>
        </w:rPr>
      </w:pPr>
      <w:r>
        <w:rPr>
          <w:rFonts w:hint="eastAsia" w:ascii="宋体" w:hAnsi="宋体" w:eastAsia="宋体" w:cs="Times New Roman"/>
          <w:color w:val="000000"/>
          <w:kern w:val="2"/>
          <w:sz w:val="21"/>
          <w:szCs w:val="21"/>
          <w:highlight w:val="none"/>
          <w:lang w:val="en-US" w:eastAsia="zh-CN" w:bidi="ar"/>
        </w:rPr>
        <w:t>任何其他有关人员。</w:t>
      </w:r>
    </w:p>
    <w:p w14:paraId="6765BF79">
      <w:pPr>
        <w:keepNext w:val="0"/>
        <w:keepLines w:val="0"/>
        <w:pageBreakBefore w:val="0"/>
        <w:widowControl/>
        <w:suppressLineNumbers w:val="0"/>
        <w:tabs>
          <w:tab w:val="left" w:pos="360"/>
          <w:tab w:val="left" w:pos="540"/>
        </w:tabs>
        <w:kinsoku/>
        <w:wordWrap/>
        <w:overflowPunct/>
        <w:topLinePunct w:val="0"/>
        <w:autoSpaceDE/>
        <w:autoSpaceDN/>
        <w:bidi w:val="0"/>
        <w:adjustRightInd/>
        <w:snapToGrid w:val="0"/>
        <w:spacing w:before="0" w:beforeAutospacing="0" w:after="0" w:afterAutospacing="0" w:line="360" w:lineRule="auto"/>
        <w:ind w:left="525" w:leftChars="250" w:right="0" w:firstLine="0" w:firstLineChars="0"/>
        <w:jc w:val="left"/>
        <w:textAlignment w:val="auto"/>
        <w:rPr>
          <w:rFonts w:hint="eastAsia" w:ascii="宋体" w:hAnsi="宋体" w:eastAsia="宋体" w:cs="Times New Roman"/>
          <w:color w:val="000000"/>
          <w:kern w:val="2"/>
          <w:sz w:val="21"/>
          <w:szCs w:val="21"/>
          <w:highlight w:val="none"/>
        </w:rPr>
      </w:pPr>
      <w:r>
        <w:rPr>
          <w:rFonts w:hint="eastAsia" w:ascii="宋体" w:hAnsi="宋体" w:eastAsia="宋体" w:cs="Times New Roman"/>
          <w:color w:val="000000"/>
          <w:kern w:val="2"/>
          <w:sz w:val="21"/>
          <w:szCs w:val="21"/>
          <w:highlight w:val="none"/>
          <w:lang w:val="en-US" w:eastAsia="zh-CN" w:bidi="ar"/>
        </w:rPr>
        <w:t>2）坚持公平、诚实和透明竞争的价值观，遵循公平竞争、诚实守信原则，不实施串通投标竞价、欺诈、胁迫以及垄断的行为。</w:t>
      </w:r>
    </w:p>
    <w:p w14:paraId="7CC00E9D">
      <w:pPr>
        <w:keepNext w:val="0"/>
        <w:keepLines w:val="0"/>
        <w:pageBreakBefore w:val="0"/>
        <w:widowControl/>
        <w:suppressLineNumbers w:val="0"/>
        <w:tabs>
          <w:tab w:val="left" w:pos="360"/>
          <w:tab w:val="left" w:pos="540"/>
        </w:tabs>
        <w:kinsoku/>
        <w:wordWrap/>
        <w:overflowPunct/>
        <w:topLinePunct w:val="0"/>
        <w:autoSpaceDE/>
        <w:autoSpaceDN/>
        <w:bidi w:val="0"/>
        <w:adjustRightInd/>
        <w:snapToGrid w:val="0"/>
        <w:spacing w:before="0" w:beforeAutospacing="0" w:after="0" w:afterAutospacing="0" w:line="360" w:lineRule="auto"/>
        <w:ind w:left="525" w:leftChars="250" w:right="0" w:firstLine="0" w:firstLineChars="0"/>
        <w:jc w:val="left"/>
        <w:textAlignment w:val="auto"/>
        <w:rPr>
          <w:rFonts w:hint="eastAsia" w:ascii="宋体" w:hAnsi="宋体" w:eastAsia="宋体" w:cs="Times New Roman"/>
          <w:color w:val="000000"/>
          <w:kern w:val="2"/>
          <w:sz w:val="21"/>
          <w:szCs w:val="21"/>
          <w:highlight w:val="none"/>
        </w:rPr>
      </w:pPr>
      <w:r>
        <w:rPr>
          <w:rFonts w:hint="eastAsia" w:ascii="宋体" w:hAnsi="宋体" w:eastAsia="宋体" w:cs="Times New Roman"/>
          <w:color w:val="000000"/>
          <w:kern w:val="2"/>
          <w:sz w:val="21"/>
          <w:szCs w:val="21"/>
          <w:highlight w:val="none"/>
          <w:lang w:val="en-US" w:eastAsia="zh-CN" w:bidi="ar"/>
        </w:rPr>
        <w:t>3）遵守安全生产、环境保护、劳动用工、知识产权保护、数据保护、反洗钱、反垄断、出口管制等相关规定；</w:t>
      </w:r>
    </w:p>
    <w:p w14:paraId="0DDE67CD">
      <w:pPr>
        <w:keepNext w:val="0"/>
        <w:keepLines w:val="0"/>
        <w:pageBreakBefore w:val="0"/>
        <w:widowControl/>
        <w:suppressLineNumbers w:val="0"/>
        <w:tabs>
          <w:tab w:val="left" w:pos="360"/>
          <w:tab w:val="left" w:pos="540"/>
        </w:tabs>
        <w:kinsoku/>
        <w:wordWrap/>
        <w:overflowPunct/>
        <w:topLinePunct w:val="0"/>
        <w:autoSpaceDE/>
        <w:autoSpaceDN/>
        <w:bidi w:val="0"/>
        <w:adjustRightInd/>
        <w:snapToGrid w:val="0"/>
        <w:spacing w:before="0" w:beforeAutospacing="0" w:after="0" w:afterAutospacing="0" w:line="360" w:lineRule="auto"/>
        <w:ind w:left="525" w:leftChars="250" w:right="0" w:firstLine="0" w:firstLineChars="0"/>
        <w:jc w:val="left"/>
        <w:textAlignment w:val="auto"/>
        <w:rPr>
          <w:rFonts w:hint="eastAsia" w:ascii="宋体" w:hAnsi="宋体" w:eastAsia="宋体" w:cs="Times New Roman"/>
          <w:color w:val="000000"/>
          <w:kern w:val="2"/>
          <w:sz w:val="21"/>
          <w:szCs w:val="21"/>
          <w:highlight w:val="none"/>
        </w:rPr>
      </w:pPr>
      <w:r>
        <w:rPr>
          <w:rFonts w:hint="eastAsia" w:ascii="宋体" w:hAnsi="宋体" w:eastAsia="宋体" w:cs="Times New Roman"/>
          <w:color w:val="000000"/>
          <w:kern w:val="2"/>
          <w:sz w:val="21"/>
          <w:szCs w:val="21"/>
          <w:highlight w:val="none"/>
          <w:lang w:val="en-US" w:eastAsia="zh-CN" w:bidi="ar"/>
        </w:rPr>
        <w:t>4）确保向买方提供的相关证件（营业执照、权利证书、资质证书、各类许可证号、批准文号等）及人员资质均真实、有效，无任何伪造、变造、弄虚作假的行为。</w:t>
      </w:r>
    </w:p>
    <w:p w14:paraId="3C675CCE">
      <w:pPr>
        <w:keepNext w:val="0"/>
        <w:keepLines w:val="0"/>
        <w:pageBreakBefore w:val="0"/>
        <w:widowControl/>
        <w:suppressLineNumbers w:val="0"/>
        <w:tabs>
          <w:tab w:val="left" w:pos="360"/>
          <w:tab w:val="left" w:pos="540"/>
        </w:tabs>
        <w:kinsoku/>
        <w:wordWrap/>
        <w:overflowPunct/>
        <w:topLinePunct w:val="0"/>
        <w:autoSpaceDE/>
        <w:autoSpaceDN/>
        <w:bidi w:val="0"/>
        <w:adjustRightInd/>
        <w:snapToGrid w:val="0"/>
        <w:spacing w:before="0" w:beforeAutospacing="0" w:after="0" w:afterAutospacing="0" w:line="360" w:lineRule="auto"/>
        <w:ind w:left="525" w:leftChars="250" w:right="0" w:firstLine="0" w:firstLineChars="0"/>
        <w:jc w:val="left"/>
        <w:textAlignment w:val="auto"/>
        <w:rPr>
          <w:rFonts w:hint="eastAsia" w:ascii="宋体" w:hAnsi="宋体" w:eastAsia="宋体" w:cs="Times New Roman"/>
          <w:color w:val="000000"/>
          <w:kern w:val="2"/>
          <w:sz w:val="21"/>
          <w:szCs w:val="21"/>
          <w:highlight w:val="none"/>
        </w:rPr>
      </w:pPr>
      <w:r>
        <w:rPr>
          <w:rFonts w:hint="eastAsia" w:ascii="宋体" w:hAnsi="宋体" w:eastAsia="宋体" w:cs="Times New Roman"/>
          <w:color w:val="000000"/>
          <w:kern w:val="2"/>
          <w:sz w:val="21"/>
          <w:szCs w:val="21"/>
          <w:highlight w:val="none"/>
          <w:lang w:val="en-US" w:eastAsia="zh-CN" w:bidi="ar"/>
        </w:rPr>
        <w:t>5）承诺并保证所提供产品或服务不存在任何权利瑕疵，不侵犯任何第三方合法权利。</w:t>
      </w:r>
    </w:p>
    <w:p w14:paraId="359E90E0">
      <w:pPr>
        <w:keepNext w:val="0"/>
        <w:keepLines w:val="0"/>
        <w:pageBreakBefore w:val="0"/>
        <w:widowControl/>
        <w:suppressLineNumbers w:val="0"/>
        <w:tabs>
          <w:tab w:val="left" w:pos="360"/>
          <w:tab w:val="left" w:pos="540"/>
        </w:tabs>
        <w:kinsoku/>
        <w:wordWrap/>
        <w:overflowPunct/>
        <w:topLinePunct w:val="0"/>
        <w:autoSpaceDE/>
        <w:autoSpaceDN/>
        <w:bidi w:val="0"/>
        <w:adjustRightInd/>
        <w:snapToGrid w:val="0"/>
        <w:spacing w:before="0" w:beforeAutospacing="0" w:after="0" w:afterAutospacing="0" w:line="360" w:lineRule="auto"/>
        <w:ind w:left="525" w:leftChars="250" w:right="0" w:firstLine="0" w:firstLineChars="0"/>
        <w:jc w:val="left"/>
        <w:textAlignment w:val="auto"/>
        <w:rPr>
          <w:rFonts w:hint="eastAsia" w:ascii="宋体" w:hAnsi="宋体" w:eastAsia="宋体" w:cs="Times New Roman"/>
          <w:color w:val="000000"/>
          <w:kern w:val="2"/>
          <w:sz w:val="21"/>
          <w:szCs w:val="21"/>
          <w:highlight w:val="none"/>
        </w:rPr>
      </w:pPr>
      <w:r>
        <w:rPr>
          <w:rFonts w:hint="eastAsia" w:ascii="宋体" w:hAnsi="宋体" w:eastAsia="宋体" w:cs="Times New Roman"/>
          <w:color w:val="000000"/>
          <w:kern w:val="2"/>
          <w:sz w:val="21"/>
          <w:szCs w:val="21"/>
          <w:highlight w:val="none"/>
          <w:lang w:val="en-US" w:eastAsia="zh-CN" w:bidi="ar"/>
        </w:rPr>
        <w:t>6）如发现买方工作人员有违规行为或倾向的，应及时提醒、纠正并有责任向买方有关部门进行举报。</w:t>
      </w:r>
    </w:p>
    <w:p w14:paraId="034C489D">
      <w:pPr>
        <w:keepNext w:val="0"/>
        <w:keepLines w:val="0"/>
        <w:pageBreakBefore w:val="0"/>
        <w:widowControl/>
        <w:suppressLineNumbers w:val="0"/>
        <w:tabs>
          <w:tab w:val="left" w:pos="360"/>
          <w:tab w:val="left" w:pos="540"/>
        </w:tabs>
        <w:kinsoku/>
        <w:wordWrap/>
        <w:overflowPunct/>
        <w:topLinePunct w:val="0"/>
        <w:autoSpaceDE/>
        <w:autoSpaceDN/>
        <w:bidi w:val="0"/>
        <w:adjustRightInd/>
        <w:snapToGrid w:val="0"/>
        <w:spacing w:before="0" w:beforeAutospacing="0" w:after="0" w:afterAutospacing="0" w:line="360" w:lineRule="auto"/>
        <w:ind w:left="525" w:right="0" w:hanging="525" w:hangingChars="250"/>
        <w:jc w:val="left"/>
        <w:textAlignment w:val="auto"/>
        <w:rPr>
          <w:rFonts w:hint="eastAsia" w:ascii="宋体" w:hAnsi="宋体" w:eastAsia="宋体" w:cs="Times New Roman"/>
          <w:color w:val="000000"/>
          <w:kern w:val="2"/>
          <w:sz w:val="21"/>
          <w:szCs w:val="21"/>
          <w:highlight w:val="none"/>
        </w:rPr>
      </w:pPr>
      <w:r>
        <w:rPr>
          <w:rFonts w:hint="eastAsia" w:ascii="宋体" w:hAnsi="宋体" w:cs="Times New Roman"/>
          <w:color w:val="000000"/>
          <w:kern w:val="2"/>
          <w:sz w:val="21"/>
          <w:szCs w:val="21"/>
          <w:highlight w:val="none"/>
          <w:lang w:val="en-US" w:eastAsia="zh-CN" w:bidi="ar"/>
        </w:rPr>
        <w:t>20</w:t>
      </w:r>
      <w:r>
        <w:rPr>
          <w:rFonts w:hint="eastAsia" w:ascii="宋体" w:hAnsi="宋体" w:eastAsia="宋体" w:cs="Times New Roman"/>
          <w:color w:val="000000"/>
          <w:kern w:val="2"/>
          <w:sz w:val="21"/>
          <w:szCs w:val="21"/>
          <w:highlight w:val="none"/>
          <w:lang w:val="en-US" w:eastAsia="zh-CN" w:bidi="ar"/>
        </w:rPr>
        <w:t>.2 卖方不得隐瞒任何可能对买方利益造成影响的信息，在买方认为必要的情况下，卖方有义务配合其商业合作伙伴合规检查，包括但不限于提供与合规检查相关的文件、信息，如实陈述相关情况，根据买方合理要求及时采取有效整改措施等。</w:t>
      </w:r>
    </w:p>
    <w:p w14:paraId="117873E2">
      <w:pPr>
        <w:keepNext w:val="0"/>
        <w:keepLines w:val="0"/>
        <w:pageBreakBefore w:val="0"/>
        <w:widowControl/>
        <w:suppressLineNumbers w:val="0"/>
        <w:tabs>
          <w:tab w:val="left" w:pos="360"/>
          <w:tab w:val="left" w:pos="540"/>
        </w:tabs>
        <w:kinsoku/>
        <w:wordWrap/>
        <w:overflowPunct/>
        <w:topLinePunct w:val="0"/>
        <w:autoSpaceDE/>
        <w:autoSpaceDN/>
        <w:bidi w:val="0"/>
        <w:adjustRightInd/>
        <w:snapToGrid w:val="0"/>
        <w:spacing w:before="0" w:beforeAutospacing="0" w:after="0" w:afterAutospacing="0" w:line="360" w:lineRule="auto"/>
        <w:ind w:left="0" w:right="0" w:hanging="525" w:hangingChars="250"/>
        <w:jc w:val="left"/>
        <w:textAlignment w:val="auto"/>
        <w:rPr>
          <w:rFonts w:hint="eastAsia" w:ascii="宋体" w:hAnsi="宋体" w:eastAsia="宋体" w:cs="Times New Roman"/>
          <w:color w:val="000000"/>
          <w:kern w:val="2"/>
          <w:sz w:val="21"/>
          <w:szCs w:val="21"/>
          <w:highlight w:val="none"/>
          <w:lang w:val="en-US" w:eastAsia="zh-CN" w:bidi="ar"/>
        </w:rPr>
      </w:pPr>
      <w:r>
        <w:rPr>
          <w:rFonts w:hint="eastAsia" w:ascii="宋体" w:hAnsi="宋体" w:cs="Times New Roman"/>
          <w:color w:val="000000"/>
          <w:kern w:val="2"/>
          <w:sz w:val="21"/>
          <w:szCs w:val="21"/>
          <w:highlight w:val="none"/>
          <w:lang w:val="en-US" w:eastAsia="zh-CN" w:bidi="ar"/>
        </w:rPr>
        <w:t>20</w:t>
      </w:r>
      <w:r>
        <w:rPr>
          <w:rFonts w:hint="eastAsia" w:ascii="宋体" w:hAnsi="宋体" w:eastAsia="宋体" w:cs="Times New Roman"/>
          <w:color w:val="000000"/>
          <w:kern w:val="2"/>
          <w:sz w:val="21"/>
          <w:szCs w:val="21"/>
          <w:highlight w:val="none"/>
          <w:lang w:val="en-US" w:eastAsia="zh-CN" w:bidi="ar"/>
        </w:rPr>
        <w:t>.3 在任何情形下，如果买方有实质性证据证明或有充分且合理的理由认为某一作为或不作为将可能会导致其违</w:t>
      </w:r>
    </w:p>
    <w:p w14:paraId="2142023E">
      <w:pPr>
        <w:keepNext w:val="0"/>
        <w:keepLines w:val="0"/>
        <w:pageBreakBefore w:val="0"/>
        <w:widowControl/>
        <w:suppressLineNumbers w:val="0"/>
        <w:tabs>
          <w:tab w:val="left" w:pos="360"/>
          <w:tab w:val="left" w:pos="540"/>
        </w:tabs>
        <w:kinsoku/>
        <w:wordWrap/>
        <w:overflowPunct/>
        <w:topLinePunct w:val="0"/>
        <w:autoSpaceDE/>
        <w:autoSpaceDN/>
        <w:bidi w:val="0"/>
        <w:adjustRightInd/>
        <w:snapToGrid w:val="0"/>
        <w:spacing w:before="0" w:beforeAutospacing="0" w:after="0" w:afterAutospacing="0" w:line="360" w:lineRule="auto"/>
        <w:ind w:left="525" w:leftChars="250" w:right="0" w:firstLine="0" w:firstLineChars="0"/>
        <w:jc w:val="left"/>
        <w:textAlignment w:val="auto"/>
        <w:rPr>
          <w:rFonts w:hint="eastAsia" w:ascii="宋体" w:hAnsi="宋体" w:eastAsia="宋体" w:cs="Times New Roman"/>
          <w:color w:val="000000"/>
          <w:kern w:val="2"/>
          <w:sz w:val="21"/>
          <w:szCs w:val="21"/>
          <w:highlight w:val="none"/>
        </w:rPr>
      </w:pPr>
      <w:r>
        <w:rPr>
          <w:rFonts w:hint="eastAsia" w:ascii="宋体" w:hAnsi="宋体" w:eastAsia="宋体" w:cs="Times New Roman"/>
          <w:color w:val="000000"/>
          <w:kern w:val="2"/>
          <w:sz w:val="21"/>
          <w:szCs w:val="21"/>
          <w:highlight w:val="none"/>
          <w:lang w:val="en-US" w:eastAsia="zh-CN" w:bidi="ar"/>
        </w:rPr>
        <w:t>反合规管理要求，买方均有权拒绝实施或不实施该等行为且不构成违约。买方有权无条件立即终止与卖方的全部合作及相关合作协议，并进一步追究卖方的违规行为给买方造成的全部损失。</w:t>
      </w:r>
    </w:p>
    <w:p w14:paraId="6CF75B4C">
      <w:pPr>
        <w:keepNext w:val="0"/>
        <w:keepLines w:val="0"/>
        <w:pageBreakBefore w:val="0"/>
        <w:widowControl/>
        <w:suppressLineNumbers w:val="0"/>
        <w:tabs>
          <w:tab w:val="left" w:pos="360"/>
          <w:tab w:val="left" w:pos="540"/>
        </w:tabs>
        <w:kinsoku/>
        <w:wordWrap/>
        <w:overflowPunct/>
        <w:topLinePunct w:val="0"/>
        <w:autoSpaceDE/>
        <w:autoSpaceDN/>
        <w:bidi w:val="0"/>
        <w:adjustRightInd/>
        <w:snapToGrid w:val="0"/>
        <w:spacing w:before="0" w:beforeAutospacing="0" w:after="0" w:afterAutospacing="0" w:line="360" w:lineRule="auto"/>
        <w:ind w:left="0" w:right="0" w:hanging="525" w:hangingChars="250"/>
        <w:jc w:val="left"/>
        <w:textAlignment w:val="auto"/>
        <w:rPr>
          <w:rFonts w:hint="eastAsia" w:ascii="宋体" w:hAnsi="宋体" w:eastAsia="宋体" w:cs="Times New Roman"/>
          <w:color w:val="000000"/>
          <w:kern w:val="2"/>
          <w:sz w:val="21"/>
          <w:szCs w:val="21"/>
          <w:highlight w:val="none"/>
          <w:lang w:val="en-US" w:eastAsia="zh-CN" w:bidi="ar"/>
        </w:rPr>
      </w:pPr>
      <w:r>
        <w:rPr>
          <w:rFonts w:hint="eastAsia" w:ascii="宋体" w:hAnsi="宋体" w:cs="Times New Roman"/>
          <w:color w:val="000000"/>
          <w:kern w:val="2"/>
          <w:sz w:val="21"/>
          <w:szCs w:val="21"/>
          <w:highlight w:val="none"/>
          <w:lang w:val="en-US" w:eastAsia="zh-CN" w:bidi="ar"/>
        </w:rPr>
        <w:t>20</w:t>
      </w:r>
      <w:r>
        <w:rPr>
          <w:rFonts w:hint="eastAsia" w:ascii="宋体" w:hAnsi="宋体" w:eastAsia="宋体" w:cs="Times New Roman"/>
          <w:color w:val="000000"/>
          <w:kern w:val="2"/>
          <w:sz w:val="21"/>
          <w:szCs w:val="21"/>
          <w:highlight w:val="none"/>
          <w:lang w:val="en-US" w:eastAsia="zh-CN" w:bidi="ar"/>
        </w:rPr>
        <w:t>.4 在任何情形下，买方均不因卖方及关联方所实施的任何不当行为而遭受任何损失（包括但不限于处理第三方</w:t>
      </w:r>
    </w:p>
    <w:p w14:paraId="5CC57320">
      <w:pPr>
        <w:keepNext w:val="0"/>
        <w:keepLines w:val="0"/>
        <w:pageBreakBefore w:val="0"/>
        <w:widowControl w:val="0"/>
        <w:tabs>
          <w:tab w:val="left" w:pos="360"/>
        </w:tabs>
        <w:kinsoku/>
        <w:wordWrap/>
        <w:overflowPunct/>
        <w:topLinePunct w:val="0"/>
        <w:autoSpaceDE/>
        <w:autoSpaceDN/>
        <w:bidi w:val="0"/>
        <w:adjustRightInd/>
        <w:snapToGrid w:val="0"/>
        <w:spacing w:line="360" w:lineRule="auto"/>
        <w:ind w:left="525" w:leftChars="250"/>
        <w:textAlignment w:val="auto"/>
        <w:rPr>
          <w:rFonts w:hint="eastAsia" w:ascii="宋体" w:hAnsi="宋体"/>
          <w:b/>
          <w:bCs/>
          <w:szCs w:val="21"/>
          <w:highlight w:val="none"/>
        </w:rPr>
      </w:pPr>
      <w:r>
        <w:rPr>
          <w:rFonts w:hint="eastAsia" w:ascii="宋体" w:hAnsi="宋体" w:eastAsia="宋体" w:cs="Times New Roman"/>
          <w:color w:val="000000"/>
          <w:kern w:val="2"/>
          <w:sz w:val="21"/>
          <w:szCs w:val="21"/>
          <w:highlight w:val="none"/>
          <w:lang w:val="en-US" w:eastAsia="zh-CN" w:bidi="ar"/>
        </w:rPr>
        <w:t>索赔所支付的赔偿金、补偿金、诉讼费、仲裁费、保全费、律师费等），对于此等损失均由卖方承担，并且买方有权取消卖方的供应商资格。</w:t>
      </w:r>
    </w:p>
    <w:p w14:paraId="7844FA1C">
      <w:pPr>
        <w:tabs>
          <w:tab w:val="left" w:pos="360"/>
        </w:tabs>
        <w:snapToGrid w:val="0"/>
        <w:spacing w:line="360" w:lineRule="auto"/>
        <w:rPr>
          <w:rFonts w:ascii="宋体" w:hAnsi="宋体"/>
          <w:szCs w:val="21"/>
          <w:highlight w:val="none"/>
        </w:rPr>
      </w:pPr>
      <w:r>
        <w:rPr>
          <w:rFonts w:hint="eastAsia" w:ascii="宋体" w:hAnsi="宋体"/>
          <w:b/>
          <w:bCs/>
          <w:szCs w:val="21"/>
          <w:highlight w:val="none"/>
          <w:lang w:val="en-US" w:eastAsia="zh-CN"/>
        </w:rPr>
        <w:t>21</w:t>
      </w:r>
      <w:r>
        <w:rPr>
          <w:rFonts w:hint="eastAsia" w:ascii="宋体" w:hAnsi="宋体"/>
          <w:b/>
          <w:bCs/>
          <w:szCs w:val="21"/>
          <w:highlight w:val="none"/>
        </w:rPr>
        <w:t xml:space="preserve">.  </w:t>
      </w:r>
      <w:r>
        <w:rPr>
          <w:rFonts w:hint="eastAsia" w:ascii="宋体" w:hAnsi="宋体"/>
          <w:b/>
          <w:szCs w:val="21"/>
          <w:highlight w:val="none"/>
        </w:rPr>
        <w:t>适用法律与争议解决</w:t>
      </w:r>
    </w:p>
    <w:p w14:paraId="70BDF58A">
      <w:pPr>
        <w:snapToGrid w:val="0"/>
        <w:spacing w:line="360" w:lineRule="auto"/>
        <w:ind w:left="525" w:hanging="525" w:hangingChars="250"/>
        <w:rPr>
          <w:rFonts w:ascii="宋体" w:hAnsi="宋体"/>
          <w:szCs w:val="21"/>
          <w:highlight w:val="none"/>
        </w:rPr>
      </w:pPr>
      <w:r>
        <w:rPr>
          <w:rFonts w:hint="eastAsia" w:ascii="宋体" w:hAnsi="宋体"/>
          <w:szCs w:val="21"/>
          <w:highlight w:val="none"/>
          <w:lang w:val="en-US" w:eastAsia="zh-CN"/>
        </w:rPr>
        <w:t>21</w:t>
      </w:r>
      <w:r>
        <w:rPr>
          <w:rFonts w:hint="eastAsia" w:ascii="宋体" w:hAnsi="宋体"/>
          <w:szCs w:val="21"/>
          <w:highlight w:val="none"/>
        </w:rPr>
        <w:t>.1 本合同的效力、履行及任何争议仅适用中华人民共和国法律。</w:t>
      </w:r>
    </w:p>
    <w:p w14:paraId="4A51F382">
      <w:pPr>
        <w:snapToGrid w:val="0"/>
        <w:spacing w:line="360" w:lineRule="auto"/>
        <w:ind w:left="525" w:hanging="525" w:hangingChars="250"/>
        <w:rPr>
          <w:rFonts w:ascii="宋体" w:hAnsi="宋体"/>
          <w:szCs w:val="21"/>
          <w:highlight w:val="none"/>
        </w:rPr>
      </w:pPr>
      <w:r>
        <w:rPr>
          <w:rFonts w:hint="eastAsia" w:ascii="宋体" w:hAnsi="宋体"/>
          <w:szCs w:val="21"/>
          <w:highlight w:val="none"/>
          <w:lang w:val="en-US" w:eastAsia="zh-CN"/>
        </w:rPr>
        <w:t>21</w:t>
      </w:r>
      <w:r>
        <w:rPr>
          <w:rFonts w:hint="eastAsia" w:ascii="宋体" w:hAnsi="宋体"/>
          <w:szCs w:val="21"/>
          <w:highlight w:val="none"/>
        </w:rPr>
        <w:t>.2 因本合同引起的或与本合同有关的争议，买卖双方应通过友好协商解决，如果协商不成，双方同意按照以下第（1）种方式处理：</w:t>
      </w:r>
    </w:p>
    <w:p w14:paraId="79FDF456">
      <w:pPr>
        <w:snapToGrid w:val="0"/>
        <w:spacing w:line="360" w:lineRule="auto"/>
        <w:ind w:left="525" w:leftChars="250"/>
        <w:rPr>
          <w:rFonts w:ascii="宋体" w:hAnsi="宋体"/>
          <w:szCs w:val="21"/>
          <w:highlight w:val="none"/>
        </w:rPr>
      </w:pPr>
      <w:r>
        <w:rPr>
          <w:rFonts w:hint="eastAsia" w:ascii="宋体" w:hAnsi="宋体"/>
          <w:szCs w:val="21"/>
          <w:highlight w:val="none"/>
        </w:rPr>
        <w:t>1）向买方所在地有管辖权的人民法院提起诉讼；</w:t>
      </w:r>
    </w:p>
    <w:p w14:paraId="275A19F6">
      <w:pPr>
        <w:snapToGrid w:val="0"/>
        <w:spacing w:line="360" w:lineRule="auto"/>
        <w:ind w:left="525" w:leftChars="250"/>
        <w:rPr>
          <w:rFonts w:ascii="宋体" w:hAnsi="宋体"/>
          <w:szCs w:val="21"/>
          <w:highlight w:val="none"/>
        </w:rPr>
      </w:pPr>
      <w:r>
        <w:rPr>
          <w:rFonts w:hint="eastAsia" w:ascii="宋体" w:hAnsi="宋体"/>
          <w:szCs w:val="21"/>
          <w:highlight w:val="none"/>
        </w:rPr>
        <w:t>2）提交滁州仲裁委员会仲裁，并同意按照该会届时有效的仲裁规则仲裁。仲裁裁决是终局的，对各方均有约束力。</w:t>
      </w:r>
    </w:p>
    <w:p w14:paraId="1994F6DB">
      <w:pPr>
        <w:snapToGrid w:val="0"/>
        <w:spacing w:line="360" w:lineRule="auto"/>
        <w:rPr>
          <w:rFonts w:ascii="宋体" w:hAnsi="宋体"/>
          <w:b/>
          <w:bCs/>
          <w:szCs w:val="21"/>
          <w:highlight w:val="none"/>
        </w:rPr>
      </w:pPr>
      <w:r>
        <w:rPr>
          <w:rFonts w:ascii="宋体" w:hAnsi="宋体"/>
          <w:b/>
          <w:bCs/>
          <w:szCs w:val="21"/>
          <w:highlight w:val="none"/>
        </w:rPr>
        <w:t>2</w:t>
      </w:r>
      <w:r>
        <w:rPr>
          <w:rFonts w:hint="eastAsia" w:ascii="宋体" w:hAnsi="宋体"/>
          <w:b/>
          <w:bCs/>
          <w:szCs w:val="21"/>
          <w:highlight w:val="none"/>
          <w:lang w:val="en-US" w:eastAsia="zh-CN"/>
        </w:rPr>
        <w:t>2</w:t>
      </w:r>
      <w:r>
        <w:rPr>
          <w:rFonts w:hint="eastAsia" w:ascii="宋体" w:hAnsi="宋体"/>
          <w:b/>
          <w:bCs/>
          <w:szCs w:val="21"/>
          <w:highlight w:val="none"/>
        </w:rPr>
        <w:t>.  其它</w:t>
      </w:r>
    </w:p>
    <w:p w14:paraId="5806F552">
      <w:pPr>
        <w:tabs>
          <w:tab w:val="left" w:pos="360"/>
        </w:tabs>
        <w:snapToGrid w:val="0"/>
        <w:spacing w:line="360" w:lineRule="auto"/>
        <w:ind w:left="525" w:hanging="525" w:hangingChars="250"/>
        <w:rPr>
          <w:rFonts w:ascii="宋体" w:hAnsi="宋体"/>
          <w:szCs w:val="21"/>
          <w:highlight w:val="none"/>
        </w:rPr>
      </w:pPr>
      <w:r>
        <w:rPr>
          <w:rFonts w:ascii="宋体" w:hAnsi="宋体"/>
          <w:szCs w:val="21"/>
          <w:highlight w:val="none"/>
        </w:rPr>
        <w:t>2</w:t>
      </w:r>
      <w:r>
        <w:rPr>
          <w:rFonts w:hint="eastAsia" w:ascii="宋体" w:hAnsi="宋体"/>
          <w:szCs w:val="21"/>
          <w:highlight w:val="none"/>
          <w:lang w:val="en-US" w:eastAsia="zh-CN"/>
        </w:rPr>
        <w:t>2</w:t>
      </w:r>
      <w:r>
        <w:rPr>
          <w:rFonts w:hint="eastAsia" w:ascii="宋体" w:hAnsi="宋体"/>
          <w:szCs w:val="21"/>
          <w:highlight w:val="none"/>
        </w:rPr>
        <w:t>.1 本合同经双方法定代表人或其授权代表签名（如授权代表签名，卖方需提交法定代表人授权委托书）并加盖公章后生效。合同执行期间，买卖双方均不得随意变更或解除合同。</w:t>
      </w:r>
    </w:p>
    <w:p w14:paraId="01DA10E7">
      <w:pPr>
        <w:tabs>
          <w:tab w:val="left" w:pos="360"/>
        </w:tabs>
        <w:snapToGrid w:val="0"/>
        <w:spacing w:line="360" w:lineRule="auto"/>
        <w:ind w:left="525" w:hanging="525" w:hangingChars="250"/>
        <w:rPr>
          <w:rFonts w:ascii="宋体" w:hAnsi="宋体"/>
          <w:szCs w:val="21"/>
          <w:highlight w:val="none"/>
        </w:rPr>
      </w:pPr>
      <w:r>
        <w:rPr>
          <w:rFonts w:ascii="宋体" w:hAnsi="宋体"/>
          <w:szCs w:val="21"/>
          <w:highlight w:val="none"/>
        </w:rPr>
        <w:t>2</w:t>
      </w:r>
      <w:r>
        <w:rPr>
          <w:rFonts w:hint="eastAsia" w:ascii="宋体" w:hAnsi="宋体"/>
          <w:szCs w:val="21"/>
          <w:highlight w:val="none"/>
          <w:lang w:val="en-US" w:eastAsia="zh-CN"/>
        </w:rPr>
        <w:t>2</w:t>
      </w:r>
      <w:r>
        <w:rPr>
          <w:rFonts w:hint="eastAsia" w:ascii="宋体" w:hAnsi="宋体"/>
          <w:szCs w:val="21"/>
          <w:highlight w:val="none"/>
        </w:rPr>
        <w:t>.2 当买方与卖方之间签署、确认的法律文件之间内容有冲突时，除另有明确书面约定外，其适用顺序如下：</w:t>
      </w:r>
    </w:p>
    <w:p w14:paraId="2031987F">
      <w:pPr>
        <w:tabs>
          <w:tab w:val="left" w:pos="360"/>
        </w:tabs>
        <w:snapToGrid w:val="0"/>
        <w:spacing w:line="360" w:lineRule="auto"/>
        <w:ind w:left="525" w:leftChars="250"/>
        <w:rPr>
          <w:rFonts w:ascii="宋体" w:hAnsi="宋体"/>
          <w:szCs w:val="21"/>
          <w:highlight w:val="none"/>
        </w:rPr>
      </w:pPr>
      <w:r>
        <w:rPr>
          <w:rFonts w:hint="eastAsia" w:ascii="宋体" w:hAnsi="宋体"/>
          <w:szCs w:val="21"/>
          <w:highlight w:val="none"/>
        </w:rPr>
        <w:t xml:space="preserve"> 1）后达成的合同优先于先达成的合同适用；</w:t>
      </w:r>
    </w:p>
    <w:p w14:paraId="14121097">
      <w:pPr>
        <w:tabs>
          <w:tab w:val="left" w:pos="360"/>
        </w:tabs>
        <w:snapToGrid w:val="0"/>
        <w:spacing w:line="360" w:lineRule="auto"/>
        <w:ind w:left="525" w:leftChars="250"/>
        <w:rPr>
          <w:rFonts w:ascii="宋体" w:hAnsi="宋体"/>
          <w:szCs w:val="21"/>
          <w:highlight w:val="none"/>
        </w:rPr>
      </w:pPr>
      <w:r>
        <w:rPr>
          <w:rFonts w:hint="eastAsia" w:ascii="宋体" w:hAnsi="宋体"/>
          <w:szCs w:val="21"/>
          <w:highlight w:val="none"/>
        </w:rPr>
        <w:t xml:space="preserve"> 2）双方确认的订单优先于特别条款；</w:t>
      </w:r>
    </w:p>
    <w:p w14:paraId="0DF952AD">
      <w:pPr>
        <w:tabs>
          <w:tab w:val="left" w:pos="360"/>
        </w:tabs>
        <w:snapToGrid w:val="0"/>
        <w:spacing w:line="360" w:lineRule="auto"/>
        <w:ind w:left="525" w:leftChars="250"/>
        <w:rPr>
          <w:rFonts w:ascii="宋体" w:hAnsi="宋体"/>
          <w:szCs w:val="21"/>
          <w:highlight w:val="none"/>
        </w:rPr>
      </w:pPr>
      <w:r>
        <w:rPr>
          <w:rFonts w:hint="eastAsia" w:ascii="宋体" w:hAnsi="宋体"/>
          <w:szCs w:val="21"/>
          <w:highlight w:val="none"/>
        </w:rPr>
        <w:t xml:space="preserve"> 3）特别条款优先于一般条款。</w:t>
      </w:r>
    </w:p>
    <w:p w14:paraId="3D9CBC1C">
      <w:pPr>
        <w:tabs>
          <w:tab w:val="left" w:pos="360"/>
        </w:tabs>
        <w:snapToGrid w:val="0"/>
        <w:spacing w:line="360" w:lineRule="auto"/>
        <w:ind w:left="525" w:hanging="525" w:hangingChars="250"/>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2</w:t>
      </w:r>
      <w:r>
        <w:rPr>
          <w:rFonts w:hint="eastAsia" w:ascii="宋体" w:hAnsi="宋体"/>
          <w:szCs w:val="21"/>
          <w:highlight w:val="none"/>
        </w:rPr>
        <w:t>.3 卖方如在中标</w:t>
      </w:r>
      <w:r>
        <w:rPr>
          <w:rFonts w:hint="eastAsia" w:ascii="宋体" w:hAnsi="宋体"/>
          <w:szCs w:val="21"/>
          <w:highlight w:val="none"/>
          <w:lang w:val="en-US" w:eastAsia="zh-CN"/>
        </w:rPr>
        <w:t>/成交</w:t>
      </w:r>
      <w:r>
        <w:rPr>
          <w:rFonts w:hint="eastAsia" w:ascii="宋体" w:hAnsi="宋体"/>
          <w:szCs w:val="21"/>
          <w:highlight w:val="none"/>
        </w:rPr>
        <w:t>后或者合同履行期间发生被人民法院列为失信被执行人、影响合同履约能力的重大行政处罚等情形，应及时向买方的履约管理单位、</w:t>
      </w:r>
      <w:r>
        <w:rPr>
          <w:rFonts w:hint="eastAsia" w:ascii="宋体" w:hAnsi="宋体"/>
          <w:szCs w:val="21"/>
          <w:highlight w:val="none"/>
          <w:lang w:val="en-US" w:eastAsia="zh-CN"/>
        </w:rPr>
        <w:t>物资部</w:t>
      </w:r>
      <w:r>
        <w:rPr>
          <w:rFonts w:hint="eastAsia" w:ascii="宋体" w:hAnsi="宋体"/>
          <w:szCs w:val="21"/>
          <w:highlight w:val="none"/>
        </w:rPr>
        <w:t>报备。</w:t>
      </w:r>
    </w:p>
    <w:p w14:paraId="05242566">
      <w:pPr>
        <w:tabs>
          <w:tab w:val="left" w:pos="360"/>
        </w:tabs>
        <w:snapToGrid w:val="0"/>
        <w:spacing w:line="360" w:lineRule="auto"/>
        <w:ind w:left="525" w:hanging="525" w:hangingChars="250"/>
        <w:rPr>
          <w:rFonts w:ascii="宋体" w:hAnsi="宋体"/>
          <w:szCs w:val="21"/>
          <w:highlight w:val="none"/>
        </w:rPr>
      </w:pPr>
      <w:r>
        <w:rPr>
          <w:rFonts w:ascii="宋体" w:hAnsi="宋体"/>
          <w:szCs w:val="21"/>
          <w:highlight w:val="none"/>
        </w:rPr>
        <w:t>2</w:t>
      </w:r>
      <w:r>
        <w:rPr>
          <w:rFonts w:hint="eastAsia" w:ascii="宋体" w:hAnsi="宋体"/>
          <w:szCs w:val="21"/>
          <w:highlight w:val="none"/>
          <w:lang w:val="en-US" w:eastAsia="zh-CN"/>
        </w:rPr>
        <w:t>2</w:t>
      </w:r>
      <w:r>
        <w:rPr>
          <w:rFonts w:hint="eastAsia" w:ascii="宋体" w:hAnsi="宋体"/>
          <w:szCs w:val="21"/>
          <w:highlight w:val="none"/>
        </w:rPr>
        <w:t>.4 在本合同期限内，任何一方被合并、改组、分立或者转让，其受让人或承继人应当履行该方在本合同项下的任何义务和责任，也不影响另一方或其受让人、承继人根据本合同应当享有的权利和利益。</w:t>
      </w:r>
    </w:p>
    <w:p w14:paraId="32AAA695">
      <w:pPr>
        <w:tabs>
          <w:tab w:val="left" w:pos="360"/>
        </w:tabs>
        <w:snapToGrid w:val="0"/>
        <w:spacing w:line="360" w:lineRule="auto"/>
        <w:ind w:left="525" w:hanging="525" w:hangingChars="250"/>
        <w:rPr>
          <w:rFonts w:ascii="宋体" w:hAnsi="宋体"/>
          <w:bCs/>
          <w:szCs w:val="21"/>
          <w:highlight w:val="none"/>
        </w:rPr>
      </w:pPr>
      <w:r>
        <w:rPr>
          <w:rFonts w:ascii="宋体" w:hAnsi="宋体"/>
          <w:szCs w:val="21"/>
          <w:highlight w:val="none"/>
        </w:rPr>
        <w:t>2</w:t>
      </w:r>
      <w:r>
        <w:rPr>
          <w:rFonts w:hint="eastAsia" w:ascii="宋体" w:hAnsi="宋体"/>
          <w:szCs w:val="21"/>
          <w:highlight w:val="none"/>
          <w:lang w:val="en-US" w:eastAsia="zh-CN"/>
        </w:rPr>
        <w:t>2</w:t>
      </w:r>
      <w:r>
        <w:rPr>
          <w:rFonts w:hint="eastAsia" w:ascii="宋体" w:hAnsi="宋体"/>
          <w:szCs w:val="21"/>
          <w:highlight w:val="none"/>
        </w:rPr>
        <w:t xml:space="preserve">.5 </w:t>
      </w:r>
      <w:r>
        <w:rPr>
          <w:rFonts w:hint="eastAsia" w:ascii="宋体" w:hAnsi="宋体"/>
          <w:bCs/>
          <w:szCs w:val="21"/>
          <w:highlight w:val="none"/>
        </w:rPr>
        <w:t>本合同正本（包括附件）一式两份，买方执一份，卖方执一份；副本（包括附件）一式</w:t>
      </w:r>
      <w:r>
        <w:rPr>
          <w:rFonts w:hint="eastAsia" w:ascii="宋体" w:hAnsi="宋体"/>
          <w:bCs/>
          <w:szCs w:val="21"/>
          <w:highlight w:val="none"/>
          <w:lang w:val="en-US" w:eastAsia="zh-CN"/>
        </w:rPr>
        <w:t>一</w:t>
      </w:r>
      <w:r>
        <w:rPr>
          <w:rFonts w:hint="eastAsia" w:ascii="宋体" w:hAnsi="宋体"/>
          <w:bCs/>
          <w:szCs w:val="21"/>
          <w:highlight w:val="none"/>
        </w:rPr>
        <w:t>份，买方执</w:t>
      </w:r>
      <w:r>
        <w:rPr>
          <w:rFonts w:hint="eastAsia" w:ascii="宋体" w:hAnsi="宋体"/>
          <w:bCs/>
          <w:szCs w:val="21"/>
          <w:highlight w:val="none"/>
          <w:lang w:val="en-US" w:eastAsia="zh-CN"/>
        </w:rPr>
        <w:t>一</w:t>
      </w:r>
      <w:r>
        <w:rPr>
          <w:rFonts w:hint="eastAsia" w:ascii="宋体" w:hAnsi="宋体"/>
          <w:bCs/>
          <w:szCs w:val="21"/>
          <w:highlight w:val="none"/>
        </w:rPr>
        <w:t>份。正本和副本具有同等法律效力，如有互相矛盾之处，以正本为准。</w:t>
      </w:r>
    </w:p>
    <w:p w14:paraId="23B4F18B">
      <w:pPr>
        <w:tabs>
          <w:tab w:val="left" w:pos="360"/>
        </w:tabs>
        <w:snapToGrid w:val="0"/>
        <w:spacing w:line="360" w:lineRule="auto"/>
        <w:rPr>
          <w:rFonts w:ascii="宋体" w:hAnsi="宋体"/>
          <w:szCs w:val="21"/>
          <w:highlight w:val="none"/>
        </w:rPr>
      </w:pPr>
      <w:r>
        <w:rPr>
          <w:rFonts w:hint="eastAsia" w:ascii="宋体" w:hAnsi="宋体"/>
          <w:b/>
          <w:bCs/>
          <w:szCs w:val="21"/>
          <w:highlight w:val="none"/>
        </w:rPr>
        <w:t>2</w:t>
      </w:r>
      <w:r>
        <w:rPr>
          <w:rFonts w:hint="eastAsia" w:ascii="宋体" w:hAnsi="宋体"/>
          <w:b/>
          <w:bCs/>
          <w:szCs w:val="21"/>
          <w:highlight w:val="none"/>
          <w:lang w:val="en-US" w:eastAsia="zh-CN"/>
        </w:rPr>
        <w:t>3</w:t>
      </w:r>
      <w:r>
        <w:rPr>
          <w:rFonts w:hint="eastAsia" w:ascii="宋体" w:hAnsi="宋体"/>
          <w:b/>
          <w:bCs/>
          <w:szCs w:val="21"/>
          <w:highlight w:val="none"/>
        </w:rPr>
        <w:t>.  合同附件</w:t>
      </w:r>
    </w:p>
    <w:p w14:paraId="442EF8CF">
      <w:pPr>
        <w:snapToGrid w:val="0"/>
        <w:spacing w:line="360" w:lineRule="auto"/>
        <w:ind w:firstLine="525" w:firstLineChars="250"/>
        <w:rPr>
          <w:rFonts w:ascii="宋体" w:hAnsi="宋体"/>
          <w:szCs w:val="21"/>
          <w:highlight w:val="none"/>
        </w:rPr>
      </w:pPr>
      <w:r>
        <w:rPr>
          <w:rFonts w:hint="eastAsia" w:ascii="宋体" w:hAnsi="宋体"/>
          <w:szCs w:val="21"/>
          <w:highlight w:val="none"/>
        </w:rPr>
        <w:t>下列附件作为本合同的组成部分，对双方具有约束力：</w:t>
      </w:r>
    </w:p>
    <w:p w14:paraId="30F52031">
      <w:pPr>
        <w:snapToGrid w:val="0"/>
        <w:spacing w:line="360" w:lineRule="auto"/>
        <w:ind w:left="525" w:leftChars="250"/>
        <w:rPr>
          <w:rFonts w:ascii="宋体" w:hAnsi="宋体" w:cs="宋体"/>
          <w:szCs w:val="21"/>
          <w:highlight w:val="none"/>
        </w:rPr>
      </w:pPr>
    </w:p>
    <w:p w14:paraId="7DF8CD67">
      <w:pPr>
        <w:snapToGrid w:val="0"/>
        <w:spacing w:line="360" w:lineRule="auto"/>
        <w:ind w:left="525" w:leftChars="250"/>
        <w:rPr>
          <w:rFonts w:hint="eastAsia" w:ascii="宋体" w:hAnsi="宋体" w:cs="宋体"/>
          <w:szCs w:val="21"/>
          <w:highlight w:val="none"/>
        </w:rPr>
      </w:pPr>
      <w:r>
        <w:rPr>
          <w:rFonts w:hint="eastAsia" w:ascii="宋体" w:hAnsi="宋体" w:cs="宋体"/>
          <w:szCs w:val="21"/>
          <w:highlight w:val="none"/>
        </w:rPr>
        <w:t>附件1：相关会议纪要及授标前审查澄清文件（如有）</w:t>
      </w:r>
    </w:p>
    <w:p w14:paraId="1EE95EFA">
      <w:pPr>
        <w:snapToGrid w:val="0"/>
        <w:spacing w:line="360" w:lineRule="auto"/>
        <w:ind w:left="525" w:leftChars="250"/>
        <w:rPr>
          <w:rFonts w:hint="eastAsia" w:ascii="宋体" w:hAnsi="宋体" w:cs="宋体"/>
          <w:szCs w:val="21"/>
          <w:highlight w:val="none"/>
        </w:rPr>
      </w:pPr>
      <w:r>
        <w:rPr>
          <w:rFonts w:hint="eastAsia" w:ascii="宋体" w:hAnsi="宋体" w:cs="宋体"/>
          <w:szCs w:val="21"/>
          <w:highlight w:val="none"/>
        </w:rPr>
        <w:t>附件2：招标文件及其补充文件</w:t>
      </w:r>
    </w:p>
    <w:p w14:paraId="6DBF5B83">
      <w:pPr>
        <w:snapToGrid w:val="0"/>
        <w:spacing w:line="360" w:lineRule="auto"/>
        <w:ind w:left="525" w:leftChars="250"/>
        <w:rPr>
          <w:rFonts w:hint="eastAsia" w:ascii="宋体" w:hAnsi="宋体" w:cs="宋体"/>
          <w:szCs w:val="21"/>
          <w:highlight w:val="none"/>
        </w:rPr>
      </w:pPr>
      <w:r>
        <w:rPr>
          <w:rFonts w:hint="eastAsia" w:ascii="宋体" w:hAnsi="宋体" w:cs="宋体"/>
          <w:szCs w:val="21"/>
          <w:highlight w:val="none"/>
        </w:rPr>
        <w:t>附件3：投标文件及其澄清文件</w:t>
      </w:r>
    </w:p>
    <w:p w14:paraId="5EE20B1A">
      <w:pPr>
        <w:snapToGrid w:val="0"/>
        <w:spacing w:line="360" w:lineRule="auto"/>
        <w:ind w:left="525" w:leftChars="250"/>
        <w:rPr>
          <w:rFonts w:hint="eastAsia" w:ascii="宋体" w:hAnsi="宋体" w:cs="宋体"/>
          <w:szCs w:val="21"/>
          <w:highlight w:val="none"/>
        </w:rPr>
      </w:pPr>
      <w:r>
        <w:rPr>
          <w:rFonts w:hint="eastAsia" w:ascii="宋体" w:hAnsi="宋体" w:cs="宋体"/>
          <w:szCs w:val="21"/>
          <w:highlight w:val="none"/>
        </w:rPr>
        <w:t>附件4：货物清单（附录1）</w:t>
      </w:r>
    </w:p>
    <w:p w14:paraId="17B4569D">
      <w:pPr>
        <w:snapToGrid w:val="0"/>
        <w:spacing w:line="360" w:lineRule="auto"/>
        <w:ind w:left="525" w:leftChars="250"/>
        <w:rPr>
          <w:rFonts w:hint="eastAsia" w:ascii="宋体" w:hAnsi="宋体" w:cs="宋体"/>
          <w:szCs w:val="21"/>
          <w:highlight w:val="none"/>
        </w:rPr>
      </w:pPr>
      <w:r>
        <w:rPr>
          <w:rFonts w:hint="eastAsia" w:ascii="宋体" w:hAnsi="宋体" w:cs="宋体"/>
          <w:szCs w:val="21"/>
          <w:highlight w:val="none"/>
        </w:rPr>
        <w:t>附件5：订货通知单（附录2）</w:t>
      </w:r>
    </w:p>
    <w:p w14:paraId="7AC2E7F6">
      <w:pPr>
        <w:snapToGrid w:val="0"/>
        <w:spacing w:line="360" w:lineRule="auto"/>
        <w:ind w:left="525" w:leftChars="250"/>
        <w:rPr>
          <w:rFonts w:hint="eastAsia" w:ascii="宋体" w:hAnsi="宋体" w:cs="宋体"/>
          <w:szCs w:val="21"/>
          <w:highlight w:val="none"/>
        </w:rPr>
      </w:pPr>
      <w:r>
        <w:rPr>
          <w:rFonts w:hint="eastAsia" w:ascii="宋体" w:hAnsi="宋体" w:cs="宋体"/>
          <w:szCs w:val="21"/>
          <w:highlight w:val="none"/>
        </w:rPr>
        <w:t>附件6：送货清单（附录3）</w:t>
      </w:r>
    </w:p>
    <w:p w14:paraId="1BB485D8">
      <w:pPr>
        <w:snapToGrid w:val="0"/>
        <w:spacing w:line="360" w:lineRule="auto"/>
        <w:ind w:left="525" w:leftChars="250"/>
        <w:rPr>
          <w:rFonts w:hint="eastAsia" w:ascii="宋体" w:hAnsi="宋体" w:cs="宋体"/>
          <w:szCs w:val="21"/>
          <w:highlight w:val="none"/>
        </w:rPr>
      </w:pPr>
      <w:r>
        <w:rPr>
          <w:rFonts w:hint="eastAsia" w:ascii="宋体" w:hAnsi="宋体" w:cs="宋体"/>
          <w:szCs w:val="21"/>
          <w:highlight w:val="none"/>
        </w:rPr>
        <w:t>附件7：发票清单（附录4）</w:t>
      </w:r>
    </w:p>
    <w:p w14:paraId="69327872">
      <w:pPr>
        <w:snapToGrid w:val="0"/>
        <w:spacing w:line="360" w:lineRule="auto"/>
        <w:ind w:left="525" w:leftChars="250"/>
        <w:rPr>
          <w:rFonts w:hint="eastAsia" w:ascii="宋体" w:hAnsi="宋体" w:cs="宋体"/>
          <w:szCs w:val="21"/>
          <w:highlight w:val="none"/>
        </w:rPr>
      </w:pPr>
      <w:r>
        <w:rPr>
          <w:rFonts w:hint="eastAsia" w:ascii="宋体" w:hAnsi="宋体" w:cs="宋体"/>
          <w:szCs w:val="21"/>
          <w:highlight w:val="none"/>
        </w:rPr>
        <w:t>附件8：履约保证金收据/履约保函复印件（附录5）</w:t>
      </w:r>
    </w:p>
    <w:p w14:paraId="7A806B59">
      <w:pPr>
        <w:snapToGrid w:val="0"/>
        <w:spacing w:line="360" w:lineRule="auto"/>
        <w:ind w:left="525" w:leftChars="250"/>
        <w:rPr>
          <w:rFonts w:ascii="宋体" w:hAnsi="宋体" w:cs="宋体"/>
          <w:szCs w:val="21"/>
          <w:highlight w:val="none"/>
        </w:rPr>
      </w:pPr>
      <w:r>
        <w:rPr>
          <w:rFonts w:hint="eastAsia" w:ascii="宋体" w:hAnsi="宋体" w:cs="宋体"/>
          <w:szCs w:val="21"/>
          <w:highlight w:val="none"/>
        </w:rPr>
        <w:t>附件9：中标通知书/成交通知书复印件（附录6）</w:t>
      </w:r>
    </w:p>
    <w:p w14:paraId="5531D166">
      <w:pPr>
        <w:rPr>
          <w:highlight w:val="none"/>
        </w:rPr>
      </w:pPr>
    </w:p>
    <w:p w14:paraId="1CC68312">
      <w:pPr>
        <w:rPr>
          <w:highlight w:val="none"/>
        </w:rPr>
      </w:pPr>
    </w:p>
    <w:p w14:paraId="436565BA">
      <w:pPr>
        <w:jc w:val="center"/>
        <w:rPr>
          <w:rFonts w:hint="eastAsia"/>
          <w:b/>
          <w:bCs/>
          <w:highlight w:val="none"/>
        </w:rPr>
      </w:pPr>
    </w:p>
    <w:p w14:paraId="2B2DE8BC">
      <w:pPr>
        <w:jc w:val="center"/>
        <w:rPr>
          <w:rFonts w:hint="eastAsia"/>
          <w:b/>
          <w:bCs/>
          <w:highlight w:val="none"/>
        </w:rPr>
      </w:pPr>
    </w:p>
    <w:p w14:paraId="38115DF6">
      <w:pPr>
        <w:jc w:val="center"/>
        <w:rPr>
          <w:rFonts w:hint="eastAsia"/>
          <w:b/>
          <w:bCs/>
          <w:highlight w:val="none"/>
        </w:rPr>
      </w:pPr>
    </w:p>
    <w:p w14:paraId="4F945F99">
      <w:pPr>
        <w:jc w:val="center"/>
        <w:rPr>
          <w:rFonts w:hint="eastAsia"/>
          <w:b/>
          <w:bCs/>
          <w:highlight w:val="none"/>
        </w:rPr>
      </w:pPr>
    </w:p>
    <w:p w14:paraId="4155CFB4">
      <w:pPr>
        <w:jc w:val="center"/>
        <w:rPr>
          <w:rFonts w:hint="eastAsia"/>
          <w:b/>
          <w:bCs/>
          <w:highlight w:val="none"/>
        </w:rPr>
      </w:pPr>
    </w:p>
    <w:p w14:paraId="1A8A00C9">
      <w:pPr>
        <w:jc w:val="center"/>
        <w:rPr>
          <w:rFonts w:hint="eastAsia"/>
          <w:b/>
          <w:bCs/>
          <w:highlight w:val="none"/>
        </w:rPr>
      </w:pPr>
    </w:p>
    <w:p w14:paraId="7A24F08A">
      <w:pPr>
        <w:jc w:val="center"/>
        <w:rPr>
          <w:rFonts w:hint="eastAsia"/>
          <w:b/>
          <w:bCs/>
          <w:highlight w:val="none"/>
        </w:rPr>
      </w:pPr>
    </w:p>
    <w:p w14:paraId="56E5A0C5">
      <w:pPr>
        <w:jc w:val="center"/>
        <w:rPr>
          <w:rFonts w:hint="eastAsia"/>
          <w:b/>
          <w:bCs/>
          <w:highlight w:val="none"/>
        </w:rPr>
      </w:pPr>
    </w:p>
    <w:p w14:paraId="191F8EA2">
      <w:pPr>
        <w:jc w:val="center"/>
        <w:rPr>
          <w:rFonts w:hint="eastAsia"/>
          <w:b/>
          <w:bCs/>
          <w:highlight w:val="none"/>
        </w:rPr>
      </w:pPr>
    </w:p>
    <w:p w14:paraId="13405647">
      <w:pPr>
        <w:jc w:val="center"/>
        <w:rPr>
          <w:rFonts w:hint="eastAsia"/>
          <w:b/>
          <w:bCs/>
          <w:highlight w:val="none"/>
        </w:rPr>
      </w:pPr>
    </w:p>
    <w:p w14:paraId="3C2F2D9E">
      <w:pPr>
        <w:jc w:val="center"/>
        <w:rPr>
          <w:rFonts w:hint="eastAsia"/>
          <w:b/>
          <w:bCs/>
          <w:highlight w:val="none"/>
        </w:rPr>
      </w:pPr>
    </w:p>
    <w:p w14:paraId="0CDD2B97">
      <w:pPr>
        <w:jc w:val="center"/>
        <w:rPr>
          <w:rFonts w:hint="eastAsia"/>
          <w:b/>
          <w:bCs/>
          <w:highlight w:val="none"/>
        </w:rPr>
      </w:pPr>
    </w:p>
    <w:p w14:paraId="3761ADA5">
      <w:pPr>
        <w:jc w:val="center"/>
        <w:rPr>
          <w:rFonts w:hint="eastAsia"/>
          <w:b/>
          <w:bCs/>
          <w:highlight w:val="none"/>
        </w:rPr>
      </w:pPr>
    </w:p>
    <w:p w14:paraId="1C1FE418">
      <w:pPr>
        <w:jc w:val="center"/>
        <w:rPr>
          <w:rFonts w:hint="eastAsia"/>
          <w:b/>
          <w:bCs/>
          <w:highlight w:val="none"/>
        </w:rPr>
      </w:pPr>
    </w:p>
    <w:p w14:paraId="4BAE2788">
      <w:pPr>
        <w:jc w:val="center"/>
        <w:rPr>
          <w:rFonts w:hint="eastAsia"/>
          <w:b/>
          <w:bCs/>
          <w:highlight w:val="none"/>
        </w:rPr>
      </w:pPr>
    </w:p>
    <w:p w14:paraId="2049598F">
      <w:pPr>
        <w:jc w:val="center"/>
        <w:rPr>
          <w:rFonts w:hint="eastAsia"/>
          <w:b/>
          <w:bCs/>
          <w:highlight w:val="none"/>
        </w:rPr>
      </w:pPr>
    </w:p>
    <w:p w14:paraId="14FCF014">
      <w:pPr>
        <w:jc w:val="center"/>
        <w:rPr>
          <w:rFonts w:hint="eastAsia"/>
          <w:b/>
          <w:bCs/>
          <w:highlight w:val="none"/>
        </w:rPr>
      </w:pPr>
    </w:p>
    <w:p w14:paraId="41582560">
      <w:pPr>
        <w:jc w:val="center"/>
        <w:rPr>
          <w:rFonts w:hint="eastAsia"/>
          <w:b/>
          <w:bCs/>
          <w:highlight w:val="none"/>
        </w:rPr>
      </w:pPr>
    </w:p>
    <w:p w14:paraId="7328C099">
      <w:pPr>
        <w:pStyle w:val="3"/>
        <w:numPr>
          <w:ilvl w:val="0"/>
          <w:numId w:val="0"/>
        </w:numPr>
        <w:ind w:left="431" w:leftChars="0"/>
        <w:rPr>
          <w:rFonts w:hint="eastAsia"/>
          <w:highlight w:val="none"/>
        </w:rPr>
      </w:pPr>
    </w:p>
    <w:p w14:paraId="112E12DE">
      <w:pPr>
        <w:jc w:val="center"/>
        <w:rPr>
          <w:rFonts w:hint="eastAsia"/>
          <w:b/>
          <w:bCs/>
          <w:highlight w:val="none"/>
        </w:rPr>
      </w:pPr>
    </w:p>
    <w:p w14:paraId="645A375F">
      <w:pPr>
        <w:jc w:val="center"/>
        <w:rPr>
          <w:rFonts w:hint="eastAsia"/>
          <w:b/>
          <w:bCs/>
          <w:highlight w:val="none"/>
        </w:rPr>
      </w:pPr>
    </w:p>
    <w:p w14:paraId="6E0ABB21">
      <w:pPr>
        <w:jc w:val="center"/>
        <w:rPr>
          <w:rFonts w:hint="eastAsia"/>
          <w:b/>
          <w:bCs/>
          <w:highlight w:val="none"/>
        </w:rPr>
      </w:pPr>
    </w:p>
    <w:p w14:paraId="2D9231B0">
      <w:pPr>
        <w:jc w:val="center"/>
        <w:rPr>
          <w:rFonts w:hint="eastAsia"/>
          <w:b/>
          <w:bCs/>
          <w:highlight w:val="none"/>
        </w:rPr>
      </w:pPr>
    </w:p>
    <w:p w14:paraId="2A9FAF19">
      <w:pPr>
        <w:jc w:val="center"/>
        <w:rPr>
          <w:rFonts w:hint="eastAsia"/>
          <w:b/>
          <w:bCs/>
          <w:highlight w:val="none"/>
        </w:rPr>
      </w:pPr>
    </w:p>
    <w:p w14:paraId="63AD1C6F">
      <w:pPr>
        <w:jc w:val="center"/>
        <w:rPr>
          <w:rFonts w:hint="eastAsia"/>
          <w:b/>
          <w:bCs/>
          <w:highlight w:val="none"/>
        </w:rPr>
      </w:pPr>
    </w:p>
    <w:p w14:paraId="7470C5F7">
      <w:pPr>
        <w:jc w:val="center"/>
        <w:rPr>
          <w:rFonts w:hint="eastAsia"/>
          <w:b/>
          <w:bCs/>
          <w:highlight w:val="none"/>
        </w:rPr>
      </w:pPr>
    </w:p>
    <w:p w14:paraId="13A73B83">
      <w:pPr>
        <w:jc w:val="center"/>
        <w:rPr>
          <w:rFonts w:hint="eastAsia"/>
          <w:b/>
          <w:bCs/>
          <w:highlight w:val="none"/>
        </w:rPr>
      </w:pPr>
    </w:p>
    <w:p w14:paraId="4271C5E6">
      <w:pPr>
        <w:jc w:val="center"/>
        <w:rPr>
          <w:rFonts w:hint="eastAsia"/>
          <w:b/>
          <w:bCs/>
          <w:highlight w:val="none"/>
        </w:rPr>
      </w:pPr>
    </w:p>
    <w:p w14:paraId="4F012859">
      <w:pPr>
        <w:jc w:val="center"/>
        <w:rPr>
          <w:rFonts w:hint="eastAsia"/>
          <w:b/>
          <w:bCs/>
          <w:highlight w:val="none"/>
        </w:rPr>
      </w:pPr>
    </w:p>
    <w:p w14:paraId="18C2889C">
      <w:pPr>
        <w:jc w:val="center"/>
        <w:rPr>
          <w:rFonts w:hint="eastAsia"/>
          <w:b/>
          <w:bCs/>
          <w:highlight w:val="none"/>
        </w:rPr>
      </w:pPr>
    </w:p>
    <w:p w14:paraId="7DFEF699">
      <w:pPr>
        <w:jc w:val="center"/>
        <w:rPr>
          <w:rFonts w:hint="eastAsia"/>
          <w:b/>
          <w:bCs/>
          <w:highlight w:val="none"/>
        </w:rPr>
      </w:pPr>
    </w:p>
    <w:p w14:paraId="429701A1">
      <w:pPr>
        <w:jc w:val="center"/>
        <w:rPr>
          <w:rFonts w:hint="eastAsia"/>
          <w:b/>
          <w:bCs/>
          <w:highlight w:val="none"/>
        </w:rPr>
      </w:pPr>
    </w:p>
    <w:p w14:paraId="654BFA95">
      <w:pPr>
        <w:jc w:val="center"/>
        <w:rPr>
          <w:rFonts w:hint="eastAsia"/>
          <w:b/>
          <w:bCs/>
          <w:highlight w:val="none"/>
        </w:rPr>
      </w:pPr>
    </w:p>
    <w:p w14:paraId="6377B4F3">
      <w:pPr>
        <w:jc w:val="center"/>
        <w:rPr>
          <w:b/>
          <w:bCs/>
          <w:highlight w:val="none"/>
        </w:rPr>
      </w:pPr>
      <w:r>
        <w:rPr>
          <w:rFonts w:hint="eastAsia"/>
          <w:b/>
          <w:bCs/>
          <w:highlight w:val="none"/>
        </w:rPr>
        <w:br w:type="page"/>
      </w:r>
      <w:r>
        <w:rPr>
          <w:rFonts w:hint="eastAsia"/>
          <w:b/>
          <w:bCs/>
          <w:highlight w:val="none"/>
        </w:rPr>
        <w:t>（本页为签署页，无合同正文）</w:t>
      </w:r>
    </w:p>
    <w:p w14:paraId="73937DD4">
      <w:pPr>
        <w:rPr>
          <w:highlight w:val="none"/>
        </w:rPr>
      </w:pPr>
    </w:p>
    <w:p w14:paraId="506940BB">
      <w:pPr>
        <w:rPr>
          <w:highlight w:val="none"/>
        </w:rPr>
      </w:pPr>
    </w:p>
    <w:p w14:paraId="6AE802EF">
      <w:pPr>
        <w:rPr>
          <w:highlight w:val="none"/>
        </w:rPr>
      </w:pPr>
    </w:p>
    <w:p w14:paraId="191913B6">
      <w:pPr>
        <w:rPr>
          <w:highlight w:val="none"/>
        </w:rPr>
      </w:pPr>
    </w:p>
    <w:p w14:paraId="5C9424E1">
      <w:pPr>
        <w:spacing w:line="360" w:lineRule="auto"/>
        <w:ind w:left="-178" w:leftChars="-85" w:firstLine="178" w:firstLineChars="85"/>
        <w:rPr>
          <w:rFonts w:ascii="宋体" w:hAnsi="宋体"/>
          <w:highlight w:val="none"/>
        </w:rPr>
      </w:pPr>
      <w:r>
        <w:rPr>
          <w:rFonts w:hint="eastAsia" w:ascii="宋体" w:hAnsi="宋体"/>
          <w:szCs w:val="21"/>
          <w:highlight w:val="none"/>
        </w:rPr>
        <w:t>买方：滁州市轨道交通运营有限公司（盖章）       卖方：</w:t>
      </w:r>
      <w:r>
        <w:rPr>
          <w:rFonts w:hint="eastAsia" w:ascii="宋体" w:hAnsi="宋体"/>
          <w:szCs w:val="21"/>
          <w:highlight w:val="none"/>
          <w:lang w:val="en-US" w:eastAsia="zh-CN"/>
        </w:rPr>
        <w:t xml:space="preserve">                           </w:t>
      </w:r>
      <w:r>
        <w:rPr>
          <w:rFonts w:hint="eastAsia" w:ascii="宋体" w:hAnsi="宋体"/>
          <w:szCs w:val="21"/>
          <w:highlight w:val="none"/>
        </w:rPr>
        <w:t>（盖章）</w:t>
      </w:r>
    </w:p>
    <w:p w14:paraId="5A8B81D8">
      <w:pPr>
        <w:snapToGrid w:val="0"/>
        <w:spacing w:line="360" w:lineRule="auto"/>
        <w:rPr>
          <w:rFonts w:ascii="宋体" w:hAnsi="宋体"/>
          <w:szCs w:val="21"/>
          <w:highlight w:val="none"/>
        </w:rPr>
      </w:pPr>
      <w:r>
        <w:rPr>
          <w:rFonts w:hint="eastAsia" w:ascii="宋体" w:hAnsi="宋体"/>
          <w:szCs w:val="21"/>
          <w:highlight w:val="none"/>
        </w:rPr>
        <w:t xml:space="preserve">法定代表人                                     法定代表人 </w:t>
      </w:r>
    </w:p>
    <w:p w14:paraId="55E7A251">
      <w:pPr>
        <w:snapToGrid w:val="0"/>
        <w:spacing w:line="360" w:lineRule="auto"/>
        <w:rPr>
          <w:rFonts w:ascii="宋体" w:hAnsi="宋体"/>
          <w:szCs w:val="21"/>
          <w:highlight w:val="none"/>
        </w:rPr>
      </w:pPr>
      <w:r>
        <w:rPr>
          <w:rFonts w:hint="eastAsia" w:ascii="宋体" w:hAnsi="宋体"/>
          <w:szCs w:val="21"/>
          <w:highlight w:val="none"/>
        </w:rPr>
        <w:t>或授权代理人（签章）：                         或授权代理人（签章）：</w:t>
      </w:r>
    </w:p>
    <w:p w14:paraId="7BBA5079">
      <w:pPr>
        <w:tabs>
          <w:tab w:val="left" w:pos="6484"/>
        </w:tabs>
        <w:snapToGrid w:val="0"/>
        <w:spacing w:line="360" w:lineRule="auto"/>
        <w:rPr>
          <w:rFonts w:ascii="宋体" w:hAnsi="宋体"/>
          <w:b/>
          <w:highlight w:val="none"/>
        </w:rPr>
      </w:pPr>
      <w:r>
        <w:rPr>
          <w:rFonts w:hint="eastAsia" w:ascii="宋体" w:hAnsi="宋体"/>
          <w:szCs w:val="21"/>
          <w:highlight w:val="none"/>
        </w:rPr>
        <w:t>签订日期：                                     签订日期：</w:t>
      </w:r>
      <w:r>
        <w:rPr>
          <w:rFonts w:hint="eastAsia" w:ascii="宋体" w:hAnsi="宋体"/>
          <w:b/>
          <w:highlight w:val="none"/>
        </w:rPr>
        <w:br w:type="page"/>
      </w:r>
    </w:p>
    <w:p w14:paraId="77F42619">
      <w:pPr>
        <w:spacing w:line="360" w:lineRule="auto"/>
        <w:rPr>
          <w:rFonts w:ascii="宋体" w:hAnsi="宋体"/>
          <w:highlight w:val="none"/>
        </w:rPr>
      </w:pPr>
      <w:r>
        <w:rPr>
          <w:rFonts w:hint="eastAsia" w:ascii="宋体" w:hAnsi="宋体"/>
          <w:b/>
          <w:highlight w:val="none"/>
        </w:rPr>
        <w:t>附</w:t>
      </w:r>
      <w:r>
        <w:rPr>
          <w:rFonts w:hint="eastAsia" w:ascii="宋体" w:hAnsi="宋体"/>
          <w:b/>
          <w:highlight w:val="none"/>
          <w:lang w:val="en-US" w:eastAsia="zh-CN"/>
        </w:rPr>
        <w:t>录</w:t>
      </w:r>
      <w:r>
        <w:rPr>
          <w:b/>
          <w:highlight w:val="none"/>
        </w:rPr>
        <w:t>1</w:t>
      </w:r>
      <w:r>
        <w:rPr>
          <w:rFonts w:hint="eastAsia" w:ascii="宋体" w:hAnsi="宋体"/>
          <w:highlight w:val="none"/>
        </w:rPr>
        <w:t xml:space="preserve">  </w:t>
      </w:r>
    </w:p>
    <w:p w14:paraId="6D66D053">
      <w:pPr>
        <w:spacing w:line="360" w:lineRule="auto"/>
        <w:jc w:val="center"/>
        <w:rPr>
          <w:rFonts w:hint="eastAsia" w:ascii="宋体" w:hAnsi="宋体"/>
          <w:b/>
          <w:sz w:val="30"/>
          <w:szCs w:val="30"/>
          <w:highlight w:val="none"/>
        </w:rPr>
      </w:pPr>
      <w:r>
        <w:rPr>
          <w:rFonts w:hint="eastAsia" w:ascii="宋体" w:hAnsi="宋体"/>
          <w:b/>
          <w:sz w:val="30"/>
          <w:szCs w:val="30"/>
          <w:highlight w:val="none"/>
        </w:rPr>
        <w:t>货 物 清 单</w:t>
      </w:r>
    </w:p>
    <w:p w14:paraId="6723B019">
      <w:pPr>
        <w:pStyle w:val="3"/>
        <w:keepNext/>
        <w:keepLines/>
        <w:pageBreakBefore w:val="0"/>
        <w:widowControl w:val="0"/>
        <w:numPr>
          <w:ilvl w:val="0"/>
          <w:numId w:val="0"/>
        </w:numPr>
        <w:kinsoku/>
        <w:wordWrap/>
        <w:overflowPunct/>
        <w:topLinePunct w:val="0"/>
        <w:autoSpaceDE/>
        <w:autoSpaceDN/>
        <w:bidi w:val="0"/>
        <w:adjustRightInd w:val="0"/>
        <w:snapToGrid w:val="0"/>
        <w:spacing w:before="0" w:after="0" w:line="240" w:lineRule="auto"/>
        <w:ind w:left="431" w:leftChars="0"/>
        <w:textAlignment w:val="auto"/>
        <w:rPr>
          <w:rFonts w:hint="default"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kern w:val="0"/>
          <w:sz w:val="21"/>
          <w:szCs w:val="21"/>
          <w:highlight w:val="none"/>
          <w:lang w:val="en-US" w:eastAsia="zh-CN" w:bidi="ar-SA"/>
        </w:rPr>
        <w:t>合同号：                                卖方：</w:t>
      </w:r>
    </w:p>
    <w:tbl>
      <w:tblPr>
        <w:tblStyle w:val="36"/>
        <w:tblpPr w:leftFromText="180" w:rightFromText="180" w:vertAnchor="text" w:horzAnchor="page" w:tblpX="576" w:tblpY="334"/>
        <w:tblOverlap w:val="never"/>
        <w:tblW w:w="108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781"/>
        <w:gridCol w:w="2474"/>
        <w:gridCol w:w="2165"/>
        <w:gridCol w:w="1455"/>
        <w:gridCol w:w="708"/>
        <w:gridCol w:w="1392"/>
      </w:tblGrid>
      <w:tr w14:paraId="7285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42" w:type="dxa"/>
            <w:noWrap w:val="0"/>
            <w:vAlign w:val="center"/>
          </w:tcPr>
          <w:p w14:paraId="3D0A3E65">
            <w:pPr>
              <w:widowControl/>
              <w:jc w:val="center"/>
              <w:rPr>
                <w:rFonts w:ascii="宋体" w:hAnsi="宋体" w:cs="宋体"/>
                <w:kern w:val="0"/>
                <w:szCs w:val="21"/>
                <w:highlight w:val="none"/>
              </w:rPr>
            </w:pPr>
            <w:r>
              <w:rPr>
                <w:rFonts w:hint="eastAsia" w:ascii="宋体" w:hAnsi="宋体" w:cs="宋体"/>
                <w:kern w:val="0"/>
                <w:szCs w:val="21"/>
                <w:highlight w:val="none"/>
              </w:rPr>
              <w:t>序号</w:t>
            </w:r>
          </w:p>
        </w:tc>
        <w:tc>
          <w:tcPr>
            <w:tcW w:w="1781" w:type="dxa"/>
            <w:noWrap w:val="0"/>
            <w:vAlign w:val="center"/>
          </w:tcPr>
          <w:p w14:paraId="703C628A">
            <w:pPr>
              <w:widowControl/>
              <w:jc w:val="center"/>
              <w:rPr>
                <w:rFonts w:ascii="宋体" w:hAnsi="宋体" w:cs="宋体"/>
                <w:kern w:val="0"/>
                <w:szCs w:val="21"/>
                <w:highlight w:val="none"/>
              </w:rPr>
            </w:pPr>
            <w:r>
              <w:rPr>
                <w:rFonts w:hint="eastAsia" w:ascii="宋体" w:hAnsi="宋体" w:cs="宋体"/>
                <w:kern w:val="0"/>
                <w:szCs w:val="21"/>
                <w:highlight w:val="none"/>
              </w:rPr>
              <w:t>物资编码</w:t>
            </w:r>
          </w:p>
        </w:tc>
        <w:tc>
          <w:tcPr>
            <w:tcW w:w="2474" w:type="dxa"/>
            <w:noWrap w:val="0"/>
            <w:vAlign w:val="center"/>
          </w:tcPr>
          <w:p w14:paraId="2C7C64BD">
            <w:pPr>
              <w:widowControl/>
              <w:jc w:val="center"/>
              <w:rPr>
                <w:rFonts w:ascii="宋体" w:hAnsi="宋体" w:cs="宋体"/>
                <w:kern w:val="0"/>
                <w:szCs w:val="21"/>
                <w:highlight w:val="none"/>
              </w:rPr>
            </w:pPr>
            <w:r>
              <w:rPr>
                <w:rFonts w:hint="eastAsia" w:ascii="宋体" w:hAnsi="宋体" w:cs="宋体"/>
                <w:kern w:val="0"/>
                <w:szCs w:val="21"/>
                <w:highlight w:val="none"/>
              </w:rPr>
              <w:t>名称</w:t>
            </w:r>
          </w:p>
        </w:tc>
        <w:tc>
          <w:tcPr>
            <w:tcW w:w="2165" w:type="dxa"/>
            <w:noWrap w:val="0"/>
            <w:vAlign w:val="center"/>
          </w:tcPr>
          <w:p w14:paraId="345FF274">
            <w:pPr>
              <w:widowControl/>
              <w:jc w:val="center"/>
              <w:rPr>
                <w:rFonts w:ascii="宋体" w:hAnsi="宋体" w:cs="宋体"/>
                <w:kern w:val="0"/>
                <w:szCs w:val="21"/>
                <w:highlight w:val="none"/>
              </w:rPr>
            </w:pPr>
            <w:r>
              <w:rPr>
                <w:rFonts w:hint="eastAsia" w:ascii="宋体" w:hAnsi="宋体" w:cs="宋体"/>
                <w:kern w:val="0"/>
                <w:szCs w:val="21"/>
                <w:highlight w:val="none"/>
              </w:rPr>
              <w:t>规格/型号</w:t>
            </w:r>
          </w:p>
        </w:tc>
        <w:tc>
          <w:tcPr>
            <w:tcW w:w="1455" w:type="dxa"/>
            <w:noWrap w:val="0"/>
            <w:vAlign w:val="center"/>
          </w:tcPr>
          <w:p w14:paraId="55C3F2C2">
            <w:pPr>
              <w:widowControl/>
              <w:jc w:val="center"/>
              <w:rPr>
                <w:rFonts w:ascii="宋体" w:hAnsi="宋体" w:cs="宋体"/>
                <w:kern w:val="0"/>
                <w:szCs w:val="21"/>
                <w:highlight w:val="none"/>
              </w:rPr>
            </w:pPr>
            <w:r>
              <w:rPr>
                <w:rFonts w:hint="eastAsia" w:ascii="宋体" w:hAnsi="宋体" w:cs="宋体"/>
                <w:kern w:val="0"/>
                <w:szCs w:val="21"/>
                <w:highlight w:val="none"/>
              </w:rPr>
              <w:t>品牌/制造商</w:t>
            </w:r>
          </w:p>
        </w:tc>
        <w:tc>
          <w:tcPr>
            <w:tcW w:w="708" w:type="dxa"/>
            <w:noWrap w:val="0"/>
            <w:vAlign w:val="center"/>
          </w:tcPr>
          <w:p w14:paraId="7A00F413">
            <w:pPr>
              <w:widowControl/>
              <w:jc w:val="center"/>
              <w:rPr>
                <w:rFonts w:ascii="宋体" w:hAnsi="宋体" w:cs="宋体"/>
                <w:kern w:val="0"/>
                <w:szCs w:val="21"/>
                <w:highlight w:val="none"/>
              </w:rPr>
            </w:pPr>
            <w:r>
              <w:rPr>
                <w:rFonts w:hint="eastAsia" w:ascii="宋体" w:hAnsi="宋体" w:cs="宋体"/>
                <w:kern w:val="0"/>
                <w:szCs w:val="21"/>
                <w:highlight w:val="none"/>
              </w:rPr>
              <w:t>单位</w:t>
            </w:r>
          </w:p>
        </w:tc>
        <w:tc>
          <w:tcPr>
            <w:tcW w:w="1392" w:type="dxa"/>
            <w:noWrap w:val="0"/>
            <w:vAlign w:val="center"/>
          </w:tcPr>
          <w:p w14:paraId="2A696369">
            <w:pPr>
              <w:widowControl/>
              <w:jc w:val="center"/>
              <w:rPr>
                <w:rFonts w:ascii="宋体" w:hAnsi="宋体" w:cs="宋体"/>
                <w:kern w:val="0"/>
                <w:szCs w:val="21"/>
                <w:highlight w:val="none"/>
              </w:rPr>
            </w:pPr>
            <w:r>
              <w:rPr>
                <w:rFonts w:hint="eastAsia" w:ascii="宋体" w:hAnsi="宋体" w:cs="宋体"/>
                <w:kern w:val="0"/>
                <w:szCs w:val="21"/>
                <w:highlight w:val="none"/>
              </w:rPr>
              <w:t>不含税单价</w:t>
            </w:r>
          </w:p>
        </w:tc>
      </w:tr>
      <w:tr w14:paraId="682F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42" w:type="dxa"/>
            <w:tcBorders>
              <w:top w:val="single" w:color="000000" w:sz="4" w:space="0"/>
              <w:left w:val="single" w:color="000000" w:sz="4" w:space="0"/>
              <w:bottom w:val="single" w:color="000000" w:sz="4" w:space="0"/>
              <w:right w:val="single" w:color="000000" w:sz="4" w:space="0"/>
            </w:tcBorders>
            <w:noWrap/>
            <w:vAlign w:val="center"/>
          </w:tcPr>
          <w:p w14:paraId="419EF724">
            <w:pPr>
              <w:widowControl/>
              <w:jc w:val="center"/>
              <w:rPr>
                <w:rFonts w:ascii="宋体" w:hAnsi="宋体"/>
                <w:color w:val="000000"/>
                <w:kern w:val="0"/>
                <w:szCs w:val="21"/>
                <w:highlight w:val="none"/>
              </w:rPr>
            </w:pPr>
            <w:r>
              <w:rPr>
                <w:rFonts w:hint="eastAsia" w:ascii="宋体" w:hAnsi="宋体" w:cs="宋体"/>
                <w:kern w:val="0"/>
                <w:sz w:val="21"/>
                <w:szCs w:val="21"/>
                <w:highlight w:val="none"/>
              </w:rPr>
              <w:t>1</w:t>
            </w:r>
          </w:p>
        </w:tc>
        <w:tc>
          <w:tcPr>
            <w:tcW w:w="1781" w:type="dxa"/>
            <w:tcBorders>
              <w:top w:val="single" w:color="000000" w:sz="4" w:space="0"/>
              <w:left w:val="nil"/>
              <w:bottom w:val="single" w:color="000000" w:sz="4" w:space="0"/>
              <w:right w:val="single" w:color="000000" w:sz="4" w:space="0"/>
            </w:tcBorders>
            <w:noWrap w:val="0"/>
            <w:vAlign w:val="center"/>
          </w:tcPr>
          <w:p w14:paraId="4E9A0CDC">
            <w:pPr>
              <w:widowControl/>
              <w:jc w:val="center"/>
              <w:rPr>
                <w:rFonts w:hint="eastAsia" w:ascii="宋体" w:hAnsi="宋体" w:cs="宋体"/>
                <w:kern w:val="0"/>
                <w:sz w:val="21"/>
                <w:szCs w:val="21"/>
                <w:highlight w:val="none"/>
                <w:lang w:val="en-US" w:eastAsia="zh-CN"/>
              </w:rPr>
            </w:pPr>
          </w:p>
        </w:tc>
        <w:tc>
          <w:tcPr>
            <w:tcW w:w="2474" w:type="dxa"/>
            <w:tcBorders>
              <w:top w:val="single" w:color="000000" w:sz="4" w:space="0"/>
              <w:left w:val="nil"/>
              <w:bottom w:val="single" w:color="000000" w:sz="4" w:space="0"/>
              <w:right w:val="single" w:color="000000" w:sz="4" w:space="0"/>
            </w:tcBorders>
            <w:noWrap w:val="0"/>
            <w:vAlign w:val="center"/>
          </w:tcPr>
          <w:p w14:paraId="70B2EB05">
            <w:pPr>
              <w:widowControl/>
              <w:jc w:val="center"/>
              <w:rPr>
                <w:rFonts w:hint="eastAsia" w:ascii="宋体" w:hAnsi="宋体" w:cs="宋体"/>
                <w:kern w:val="0"/>
                <w:sz w:val="21"/>
                <w:szCs w:val="21"/>
                <w:highlight w:val="none"/>
                <w:lang w:val="en-US" w:eastAsia="zh-CN"/>
              </w:rPr>
            </w:pPr>
          </w:p>
        </w:tc>
        <w:tc>
          <w:tcPr>
            <w:tcW w:w="2165" w:type="dxa"/>
            <w:tcBorders>
              <w:top w:val="single" w:color="000000" w:sz="4" w:space="0"/>
              <w:left w:val="nil"/>
              <w:bottom w:val="single" w:color="000000" w:sz="4" w:space="0"/>
              <w:right w:val="single" w:color="000000" w:sz="4" w:space="0"/>
            </w:tcBorders>
            <w:noWrap w:val="0"/>
            <w:vAlign w:val="center"/>
          </w:tcPr>
          <w:p w14:paraId="22FCFE56">
            <w:pPr>
              <w:widowControl/>
              <w:jc w:val="center"/>
              <w:rPr>
                <w:rFonts w:hint="eastAsia" w:ascii="宋体" w:hAnsi="宋体" w:cs="宋体"/>
                <w:kern w:val="0"/>
                <w:sz w:val="21"/>
                <w:szCs w:val="21"/>
                <w:highlight w:val="none"/>
                <w:lang w:val="en-US" w:eastAsia="zh-CN"/>
              </w:rPr>
            </w:pPr>
          </w:p>
        </w:tc>
        <w:tc>
          <w:tcPr>
            <w:tcW w:w="1455" w:type="dxa"/>
            <w:tcBorders>
              <w:top w:val="single" w:color="000000" w:sz="4" w:space="0"/>
              <w:left w:val="nil"/>
              <w:bottom w:val="single" w:color="000000" w:sz="4" w:space="0"/>
              <w:right w:val="single" w:color="000000" w:sz="4" w:space="0"/>
            </w:tcBorders>
            <w:noWrap/>
            <w:vAlign w:val="center"/>
          </w:tcPr>
          <w:p w14:paraId="0F5F5E61">
            <w:pPr>
              <w:widowControl/>
              <w:jc w:val="center"/>
              <w:rPr>
                <w:rFonts w:hint="eastAsia" w:ascii="宋体" w:hAnsi="宋体" w:cs="宋体"/>
                <w:kern w:val="0"/>
                <w:sz w:val="21"/>
                <w:szCs w:val="21"/>
                <w:highlight w:val="none"/>
                <w:lang w:val="en-US" w:eastAsia="zh-CN"/>
              </w:rPr>
            </w:pPr>
          </w:p>
        </w:tc>
        <w:tc>
          <w:tcPr>
            <w:tcW w:w="708" w:type="dxa"/>
            <w:tcBorders>
              <w:top w:val="single" w:color="000000" w:sz="4" w:space="0"/>
              <w:left w:val="nil"/>
              <w:bottom w:val="single" w:color="000000" w:sz="4" w:space="0"/>
              <w:right w:val="single" w:color="000000" w:sz="4" w:space="0"/>
            </w:tcBorders>
            <w:noWrap w:val="0"/>
            <w:vAlign w:val="center"/>
          </w:tcPr>
          <w:p w14:paraId="5553F558">
            <w:pPr>
              <w:widowControl/>
              <w:jc w:val="center"/>
              <w:rPr>
                <w:rFonts w:hint="eastAsia" w:ascii="宋体" w:hAnsi="宋体" w:cs="宋体"/>
                <w:kern w:val="0"/>
                <w:sz w:val="21"/>
                <w:szCs w:val="21"/>
                <w:highlight w:val="none"/>
                <w:lang w:val="en-US" w:eastAsia="zh-CN"/>
              </w:rPr>
            </w:pPr>
          </w:p>
        </w:tc>
        <w:tc>
          <w:tcPr>
            <w:tcW w:w="1392" w:type="dxa"/>
            <w:tcBorders>
              <w:top w:val="single" w:color="000000" w:sz="4" w:space="0"/>
              <w:left w:val="nil"/>
              <w:bottom w:val="single" w:color="000000" w:sz="4" w:space="0"/>
              <w:right w:val="single" w:color="000000" w:sz="4" w:space="0"/>
            </w:tcBorders>
            <w:noWrap/>
            <w:vAlign w:val="center"/>
          </w:tcPr>
          <w:p w14:paraId="1D95F735">
            <w:pPr>
              <w:widowControl/>
              <w:jc w:val="center"/>
              <w:rPr>
                <w:rFonts w:hint="eastAsia" w:ascii="宋体" w:hAnsi="宋体" w:cs="宋体"/>
                <w:kern w:val="0"/>
                <w:sz w:val="21"/>
                <w:szCs w:val="21"/>
                <w:highlight w:val="none"/>
                <w:lang w:val="en-US" w:eastAsia="zh-CN"/>
              </w:rPr>
            </w:pPr>
          </w:p>
        </w:tc>
      </w:tr>
      <w:tr w14:paraId="54A7F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42" w:type="dxa"/>
            <w:tcBorders>
              <w:top w:val="single" w:color="000000" w:sz="4" w:space="0"/>
              <w:left w:val="single" w:color="000000" w:sz="4" w:space="0"/>
              <w:bottom w:val="single" w:color="000000" w:sz="4" w:space="0"/>
              <w:right w:val="single" w:color="000000" w:sz="4" w:space="0"/>
            </w:tcBorders>
            <w:noWrap/>
            <w:vAlign w:val="center"/>
          </w:tcPr>
          <w:p w14:paraId="693F913A">
            <w:pPr>
              <w:widowControl/>
              <w:jc w:val="center"/>
              <w:rPr>
                <w:rFonts w:hint="eastAsia" w:ascii="宋体" w:hAnsi="宋体" w:cs="宋体"/>
                <w:kern w:val="0"/>
                <w:sz w:val="21"/>
                <w:szCs w:val="21"/>
                <w:highlight w:val="none"/>
              </w:rPr>
            </w:pPr>
          </w:p>
        </w:tc>
        <w:tc>
          <w:tcPr>
            <w:tcW w:w="1781" w:type="dxa"/>
            <w:tcBorders>
              <w:top w:val="single" w:color="000000" w:sz="4" w:space="0"/>
              <w:left w:val="nil"/>
              <w:bottom w:val="single" w:color="000000" w:sz="4" w:space="0"/>
              <w:right w:val="single" w:color="000000" w:sz="4" w:space="0"/>
            </w:tcBorders>
            <w:noWrap w:val="0"/>
            <w:vAlign w:val="center"/>
          </w:tcPr>
          <w:p w14:paraId="0B44A909">
            <w:pPr>
              <w:widowControl/>
              <w:jc w:val="center"/>
              <w:rPr>
                <w:rFonts w:hint="eastAsia" w:ascii="宋体" w:hAnsi="宋体" w:cs="宋体"/>
                <w:kern w:val="0"/>
                <w:sz w:val="21"/>
                <w:szCs w:val="21"/>
                <w:highlight w:val="none"/>
                <w:lang w:val="en-US" w:eastAsia="zh-CN"/>
              </w:rPr>
            </w:pPr>
          </w:p>
        </w:tc>
        <w:tc>
          <w:tcPr>
            <w:tcW w:w="2474" w:type="dxa"/>
            <w:tcBorders>
              <w:top w:val="single" w:color="000000" w:sz="4" w:space="0"/>
              <w:left w:val="nil"/>
              <w:bottom w:val="single" w:color="000000" w:sz="4" w:space="0"/>
              <w:right w:val="single" w:color="000000" w:sz="4" w:space="0"/>
            </w:tcBorders>
            <w:noWrap w:val="0"/>
            <w:vAlign w:val="center"/>
          </w:tcPr>
          <w:p w14:paraId="42A6D34A">
            <w:pPr>
              <w:widowControl/>
              <w:jc w:val="center"/>
              <w:rPr>
                <w:rFonts w:hint="eastAsia" w:ascii="宋体" w:hAnsi="宋体" w:cs="宋体"/>
                <w:kern w:val="0"/>
                <w:sz w:val="21"/>
                <w:szCs w:val="21"/>
                <w:highlight w:val="none"/>
                <w:lang w:val="en-US" w:eastAsia="zh-CN"/>
              </w:rPr>
            </w:pPr>
          </w:p>
        </w:tc>
        <w:tc>
          <w:tcPr>
            <w:tcW w:w="2165" w:type="dxa"/>
            <w:tcBorders>
              <w:top w:val="single" w:color="000000" w:sz="4" w:space="0"/>
              <w:left w:val="nil"/>
              <w:bottom w:val="single" w:color="000000" w:sz="4" w:space="0"/>
              <w:right w:val="single" w:color="000000" w:sz="4" w:space="0"/>
            </w:tcBorders>
            <w:noWrap w:val="0"/>
            <w:vAlign w:val="center"/>
          </w:tcPr>
          <w:p w14:paraId="1CB4EEAB">
            <w:pPr>
              <w:widowControl/>
              <w:jc w:val="center"/>
              <w:rPr>
                <w:rFonts w:hint="eastAsia" w:ascii="宋体" w:hAnsi="宋体" w:cs="宋体"/>
                <w:kern w:val="0"/>
                <w:sz w:val="21"/>
                <w:szCs w:val="21"/>
                <w:highlight w:val="none"/>
                <w:lang w:val="en-US" w:eastAsia="zh-CN"/>
              </w:rPr>
            </w:pPr>
          </w:p>
        </w:tc>
        <w:tc>
          <w:tcPr>
            <w:tcW w:w="1455" w:type="dxa"/>
            <w:tcBorders>
              <w:top w:val="single" w:color="000000" w:sz="4" w:space="0"/>
              <w:left w:val="nil"/>
              <w:bottom w:val="single" w:color="000000" w:sz="4" w:space="0"/>
              <w:right w:val="single" w:color="000000" w:sz="4" w:space="0"/>
            </w:tcBorders>
            <w:noWrap/>
            <w:vAlign w:val="center"/>
          </w:tcPr>
          <w:p w14:paraId="09E3EFDF">
            <w:pPr>
              <w:widowControl/>
              <w:jc w:val="center"/>
              <w:rPr>
                <w:rFonts w:hint="eastAsia" w:ascii="宋体" w:hAnsi="宋体" w:cs="宋体"/>
                <w:kern w:val="0"/>
                <w:sz w:val="21"/>
                <w:szCs w:val="21"/>
                <w:highlight w:val="none"/>
                <w:lang w:val="en-US" w:eastAsia="zh-CN"/>
              </w:rPr>
            </w:pPr>
          </w:p>
        </w:tc>
        <w:tc>
          <w:tcPr>
            <w:tcW w:w="708" w:type="dxa"/>
            <w:tcBorders>
              <w:top w:val="single" w:color="000000" w:sz="4" w:space="0"/>
              <w:left w:val="nil"/>
              <w:bottom w:val="single" w:color="000000" w:sz="4" w:space="0"/>
              <w:right w:val="single" w:color="000000" w:sz="4" w:space="0"/>
            </w:tcBorders>
            <w:noWrap w:val="0"/>
            <w:vAlign w:val="center"/>
          </w:tcPr>
          <w:p w14:paraId="43FE2FF6">
            <w:pPr>
              <w:widowControl/>
              <w:jc w:val="center"/>
              <w:rPr>
                <w:rFonts w:hint="eastAsia" w:ascii="宋体" w:hAnsi="宋体" w:cs="宋体"/>
                <w:kern w:val="0"/>
                <w:sz w:val="21"/>
                <w:szCs w:val="21"/>
                <w:highlight w:val="none"/>
                <w:lang w:val="en-US" w:eastAsia="zh-CN"/>
              </w:rPr>
            </w:pPr>
          </w:p>
        </w:tc>
        <w:tc>
          <w:tcPr>
            <w:tcW w:w="1392" w:type="dxa"/>
            <w:tcBorders>
              <w:top w:val="single" w:color="000000" w:sz="4" w:space="0"/>
              <w:left w:val="nil"/>
              <w:bottom w:val="single" w:color="000000" w:sz="4" w:space="0"/>
              <w:right w:val="single" w:color="000000" w:sz="4" w:space="0"/>
            </w:tcBorders>
            <w:noWrap/>
            <w:vAlign w:val="center"/>
          </w:tcPr>
          <w:p w14:paraId="36A635A8">
            <w:pPr>
              <w:widowControl/>
              <w:jc w:val="center"/>
              <w:rPr>
                <w:rFonts w:hint="eastAsia" w:ascii="宋体" w:hAnsi="宋体" w:cs="宋体"/>
                <w:kern w:val="0"/>
                <w:sz w:val="21"/>
                <w:szCs w:val="21"/>
                <w:highlight w:val="none"/>
                <w:lang w:val="en-US" w:eastAsia="zh-CN"/>
              </w:rPr>
            </w:pPr>
          </w:p>
        </w:tc>
      </w:tr>
      <w:tr w14:paraId="40CC8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42" w:type="dxa"/>
            <w:tcBorders>
              <w:top w:val="single" w:color="000000" w:sz="4" w:space="0"/>
              <w:left w:val="single" w:color="000000" w:sz="4" w:space="0"/>
              <w:bottom w:val="single" w:color="000000" w:sz="4" w:space="0"/>
              <w:right w:val="single" w:color="000000" w:sz="4" w:space="0"/>
            </w:tcBorders>
            <w:noWrap/>
            <w:vAlign w:val="center"/>
          </w:tcPr>
          <w:p w14:paraId="67C11FB2">
            <w:pPr>
              <w:widowControl/>
              <w:jc w:val="center"/>
              <w:rPr>
                <w:rFonts w:hint="eastAsia" w:ascii="宋体" w:hAnsi="宋体" w:cs="宋体"/>
                <w:kern w:val="0"/>
                <w:sz w:val="21"/>
                <w:szCs w:val="21"/>
                <w:highlight w:val="none"/>
              </w:rPr>
            </w:pPr>
          </w:p>
        </w:tc>
        <w:tc>
          <w:tcPr>
            <w:tcW w:w="1781" w:type="dxa"/>
            <w:tcBorders>
              <w:top w:val="single" w:color="000000" w:sz="4" w:space="0"/>
              <w:left w:val="nil"/>
              <w:bottom w:val="single" w:color="000000" w:sz="4" w:space="0"/>
              <w:right w:val="single" w:color="000000" w:sz="4" w:space="0"/>
            </w:tcBorders>
            <w:noWrap w:val="0"/>
            <w:vAlign w:val="center"/>
          </w:tcPr>
          <w:p w14:paraId="4A3847DC">
            <w:pPr>
              <w:widowControl/>
              <w:jc w:val="center"/>
              <w:rPr>
                <w:rFonts w:hint="eastAsia" w:ascii="宋体" w:hAnsi="宋体" w:cs="宋体"/>
                <w:kern w:val="0"/>
                <w:sz w:val="21"/>
                <w:szCs w:val="21"/>
                <w:highlight w:val="none"/>
                <w:lang w:val="en-US" w:eastAsia="zh-CN"/>
              </w:rPr>
            </w:pPr>
          </w:p>
        </w:tc>
        <w:tc>
          <w:tcPr>
            <w:tcW w:w="2474" w:type="dxa"/>
            <w:tcBorders>
              <w:top w:val="single" w:color="000000" w:sz="4" w:space="0"/>
              <w:left w:val="nil"/>
              <w:bottom w:val="single" w:color="000000" w:sz="4" w:space="0"/>
              <w:right w:val="single" w:color="000000" w:sz="4" w:space="0"/>
            </w:tcBorders>
            <w:noWrap w:val="0"/>
            <w:vAlign w:val="center"/>
          </w:tcPr>
          <w:p w14:paraId="2E633EC9">
            <w:pPr>
              <w:widowControl/>
              <w:jc w:val="center"/>
              <w:rPr>
                <w:rFonts w:hint="eastAsia" w:ascii="宋体" w:hAnsi="宋体" w:cs="宋体"/>
                <w:kern w:val="0"/>
                <w:sz w:val="21"/>
                <w:szCs w:val="21"/>
                <w:highlight w:val="none"/>
                <w:lang w:val="en-US" w:eastAsia="zh-CN"/>
              </w:rPr>
            </w:pPr>
          </w:p>
        </w:tc>
        <w:tc>
          <w:tcPr>
            <w:tcW w:w="2165" w:type="dxa"/>
            <w:tcBorders>
              <w:top w:val="single" w:color="000000" w:sz="4" w:space="0"/>
              <w:left w:val="nil"/>
              <w:bottom w:val="single" w:color="000000" w:sz="4" w:space="0"/>
              <w:right w:val="single" w:color="000000" w:sz="4" w:space="0"/>
            </w:tcBorders>
            <w:noWrap w:val="0"/>
            <w:vAlign w:val="center"/>
          </w:tcPr>
          <w:p w14:paraId="415059C0">
            <w:pPr>
              <w:widowControl/>
              <w:jc w:val="center"/>
              <w:rPr>
                <w:rFonts w:hint="eastAsia" w:ascii="宋体" w:hAnsi="宋体" w:cs="宋体"/>
                <w:kern w:val="0"/>
                <w:sz w:val="21"/>
                <w:szCs w:val="21"/>
                <w:highlight w:val="none"/>
                <w:lang w:val="en-US" w:eastAsia="zh-CN"/>
              </w:rPr>
            </w:pPr>
          </w:p>
        </w:tc>
        <w:tc>
          <w:tcPr>
            <w:tcW w:w="1455" w:type="dxa"/>
            <w:tcBorders>
              <w:top w:val="single" w:color="000000" w:sz="4" w:space="0"/>
              <w:left w:val="nil"/>
              <w:bottom w:val="single" w:color="000000" w:sz="4" w:space="0"/>
              <w:right w:val="single" w:color="000000" w:sz="4" w:space="0"/>
            </w:tcBorders>
            <w:noWrap/>
            <w:vAlign w:val="center"/>
          </w:tcPr>
          <w:p w14:paraId="2625D2A1">
            <w:pPr>
              <w:widowControl/>
              <w:jc w:val="center"/>
              <w:rPr>
                <w:rFonts w:hint="eastAsia" w:ascii="宋体" w:hAnsi="宋体" w:cs="宋体"/>
                <w:kern w:val="0"/>
                <w:sz w:val="21"/>
                <w:szCs w:val="21"/>
                <w:highlight w:val="none"/>
                <w:lang w:val="en-US" w:eastAsia="zh-CN"/>
              </w:rPr>
            </w:pPr>
          </w:p>
        </w:tc>
        <w:tc>
          <w:tcPr>
            <w:tcW w:w="708" w:type="dxa"/>
            <w:tcBorders>
              <w:top w:val="single" w:color="000000" w:sz="4" w:space="0"/>
              <w:left w:val="nil"/>
              <w:bottom w:val="single" w:color="000000" w:sz="4" w:space="0"/>
              <w:right w:val="single" w:color="000000" w:sz="4" w:space="0"/>
            </w:tcBorders>
            <w:noWrap w:val="0"/>
            <w:vAlign w:val="center"/>
          </w:tcPr>
          <w:p w14:paraId="751ED75D">
            <w:pPr>
              <w:widowControl/>
              <w:jc w:val="center"/>
              <w:rPr>
                <w:rFonts w:hint="eastAsia" w:ascii="宋体" w:hAnsi="宋体" w:cs="宋体"/>
                <w:kern w:val="0"/>
                <w:sz w:val="21"/>
                <w:szCs w:val="21"/>
                <w:highlight w:val="none"/>
                <w:lang w:val="en-US" w:eastAsia="zh-CN"/>
              </w:rPr>
            </w:pPr>
          </w:p>
        </w:tc>
        <w:tc>
          <w:tcPr>
            <w:tcW w:w="1392" w:type="dxa"/>
            <w:tcBorders>
              <w:top w:val="single" w:color="000000" w:sz="4" w:space="0"/>
              <w:left w:val="nil"/>
              <w:bottom w:val="single" w:color="000000" w:sz="4" w:space="0"/>
              <w:right w:val="single" w:color="000000" w:sz="4" w:space="0"/>
            </w:tcBorders>
            <w:noWrap/>
            <w:vAlign w:val="center"/>
          </w:tcPr>
          <w:p w14:paraId="2C5F92EC">
            <w:pPr>
              <w:widowControl/>
              <w:jc w:val="center"/>
              <w:rPr>
                <w:rFonts w:hint="eastAsia" w:ascii="宋体" w:hAnsi="宋体" w:cs="宋体"/>
                <w:kern w:val="0"/>
                <w:sz w:val="21"/>
                <w:szCs w:val="21"/>
                <w:highlight w:val="none"/>
                <w:lang w:val="en-US" w:eastAsia="zh-CN"/>
              </w:rPr>
            </w:pPr>
          </w:p>
        </w:tc>
      </w:tr>
      <w:tr w14:paraId="2E0CA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42" w:type="dxa"/>
            <w:tcBorders>
              <w:top w:val="single" w:color="000000" w:sz="4" w:space="0"/>
              <w:left w:val="single" w:color="000000" w:sz="4" w:space="0"/>
              <w:bottom w:val="single" w:color="000000" w:sz="4" w:space="0"/>
              <w:right w:val="single" w:color="000000" w:sz="4" w:space="0"/>
            </w:tcBorders>
            <w:noWrap/>
            <w:vAlign w:val="center"/>
          </w:tcPr>
          <w:p w14:paraId="3160F209">
            <w:pPr>
              <w:widowControl/>
              <w:jc w:val="center"/>
              <w:rPr>
                <w:rFonts w:hint="eastAsia" w:ascii="宋体" w:hAnsi="宋体" w:cs="宋体"/>
                <w:kern w:val="0"/>
                <w:sz w:val="21"/>
                <w:szCs w:val="21"/>
                <w:highlight w:val="none"/>
              </w:rPr>
            </w:pPr>
          </w:p>
        </w:tc>
        <w:tc>
          <w:tcPr>
            <w:tcW w:w="1781" w:type="dxa"/>
            <w:tcBorders>
              <w:top w:val="single" w:color="000000" w:sz="4" w:space="0"/>
              <w:left w:val="nil"/>
              <w:bottom w:val="single" w:color="000000" w:sz="4" w:space="0"/>
              <w:right w:val="single" w:color="000000" w:sz="4" w:space="0"/>
            </w:tcBorders>
            <w:noWrap w:val="0"/>
            <w:vAlign w:val="center"/>
          </w:tcPr>
          <w:p w14:paraId="7DBCC8ED">
            <w:pPr>
              <w:widowControl/>
              <w:jc w:val="center"/>
              <w:rPr>
                <w:rFonts w:hint="eastAsia" w:ascii="宋体" w:hAnsi="宋体" w:cs="宋体"/>
                <w:kern w:val="0"/>
                <w:sz w:val="21"/>
                <w:szCs w:val="21"/>
                <w:highlight w:val="none"/>
                <w:lang w:val="en-US" w:eastAsia="zh-CN"/>
              </w:rPr>
            </w:pPr>
          </w:p>
        </w:tc>
        <w:tc>
          <w:tcPr>
            <w:tcW w:w="2474" w:type="dxa"/>
            <w:tcBorders>
              <w:top w:val="single" w:color="000000" w:sz="4" w:space="0"/>
              <w:left w:val="nil"/>
              <w:bottom w:val="single" w:color="000000" w:sz="4" w:space="0"/>
              <w:right w:val="single" w:color="000000" w:sz="4" w:space="0"/>
            </w:tcBorders>
            <w:noWrap w:val="0"/>
            <w:vAlign w:val="center"/>
          </w:tcPr>
          <w:p w14:paraId="76866869">
            <w:pPr>
              <w:widowControl/>
              <w:jc w:val="center"/>
              <w:rPr>
                <w:rFonts w:hint="eastAsia" w:ascii="宋体" w:hAnsi="宋体" w:cs="宋体"/>
                <w:kern w:val="0"/>
                <w:sz w:val="21"/>
                <w:szCs w:val="21"/>
                <w:highlight w:val="none"/>
                <w:lang w:val="en-US" w:eastAsia="zh-CN"/>
              </w:rPr>
            </w:pPr>
          </w:p>
        </w:tc>
        <w:tc>
          <w:tcPr>
            <w:tcW w:w="2165" w:type="dxa"/>
            <w:tcBorders>
              <w:top w:val="single" w:color="000000" w:sz="4" w:space="0"/>
              <w:left w:val="nil"/>
              <w:bottom w:val="single" w:color="000000" w:sz="4" w:space="0"/>
              <w:right w:val="single" w:color="000000" w:sz="4" w:space="0"/>
            </w:tcBorders>
            <w:noWrap w:val="0"/>
            <w:vAlign w:val="center"/>
          </w:tcPr>
          <w:p w14:paraId="6667AD93">
            <w:pPr>
              <w:widowControl/>
              <w:jc w:val="center"/>
              <w:rPr>
                <w:rFonts w:hint="eastAsia" w:ascii="宋体" w:hAnsi="宋体" w:cs="宋体"/>
                <w:kern w:val="0"/>
                <w:sz w:val="21"/>
                <w:szCs w:val="21"/>
                <w:highlight w:val="none"/>
                <w:lang w:val="en-US" w:eastAsia="zh-CN"/>
              </w:rPr>
            </w:pPr>
          </w:p>
        </w:tc>
        <w:tc>
          <w:tcPr>
            <w:tcW w:w="1455" w:type="dxa"/>
            <w:tcBorders>
              <w:top w:val="single" w:color="000000" w:sz="4" w:space="0"/>
              <w:left w:val="nil"/>
              <w:bottom w:val="single" w:color="000000" w:sz="4" w:space="0"/>
              <w:right w:val="single" w:color="000000" w:sz="4" w:space="0"/>
            </w:tcBorders>
            <w:noWrap/>
            <w:vAlign w:val="center"/>
          </w:tcPr>
          <w:p w14:paraId="226C705D">
            <w:pPr>
              <w:widowControl/>
              <w:jc w:val="center"/>
              <w:rPr>
                <w:rFonts w:hint="eastAsia" w:ascii="宋体" w:hAnsi="宋体" w:cs="宋体"/>
                <w:kern w:val="0"/>
                <w:sz w:val="21"/>
                <w:szCs w:val="21"/>
                <w:highlight w:val="none"/>
                <w:lang w:val="en-US" w:eastAsia="zh-CN"/>
              </w:rPr>
            </w:pPr>
          </w:p>
        </w:tc>
        <w:tc>
          <w:tcPr>
            <w:tcW w:w="708" w:type="dxa"/>
            <w:tcBorders>
              <w:top w:val="single" w:color="000000" w:sz="4" w:space="0"/>
              <w:left w:val="nil"/>
              <w:bottom w:val="single" w:color="000000" w:sz="4" w:space="0"/>
              <w:right w:val="single" w:color="000000" w:sz="4" w:space="0"/>
            </w:tcBorders>
            <w:noWrap w:val="0"/>
            <w:vAlign w:val="center"/>
          </w:tcPr>
          <w:p w14:paraId="575DFE1A">
            <w:pPr>
              <w:widowControl/>
              <w:jc w:val="center"/>
              <w:rPr>
                <w:rFonts w:hint="eastAsia" w:ascii="宋体" w:hAnsi="宋体" w:cs="宋体"/>
                <w:kern w:val="0"/>
                <w:sz w:val="21"/>
                <w:szCs w:val="21"/>
                <w:highlight w:val="none"/>
                <w:lang w:val="en-US" w:eastAsia="zh-CN"/>
              </w:rPr>
            </w:pPr>
          </w:p>
        </w:tc>
        <w:tc>
          <w:tcPr>
            <w:tcW w:w="1392" w:type="dxa"/>
            <w:tcBorders>
              <w:top w:val="single" w:color="000000" w:sz="4" w:space="0"/>
              <w:left w:val="nil"/>
              <w:bottom w:val="single" w:color="000000" w:sz="4" w:space="0"/>
              <w:right w:val="single" w:color="000000" w:sz="4" w:space="0"/>
            </w:tcBorders>
            <w:noWrap/>
            <w:vAlign w:val="center"/>
          </w:tcPr>
          <w:p w14:paraId="1928DF1B">
            <w:pPr>
              <w:widowControl/>
              <w:jc w:val="center"/>
              <w:rPr>
                <w:rFonts w:hint="eastAsia" w:ascii="宋体" w:hAnsi="宋体" w:cs="宋体"/>
                <w:kern w:val="0"/>
                <w:sz w:val="21"/>
                <w:szCs w:val="21"/>
                <w:highlight w:val="none"/>
                <w:lang w:val="en-US" w:eastAsia="zh-CN"/>
              </w:rPr>
            </w:pPr>
          </w:p>
        </w:tc>
      </w:tr>
      <w:tr w14:paraId="78B3B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42" w:type="dxa"/>
            <w:tcBorders>
              <w:top w:val="single" w:color="000000" w:sz="4" w:space="0"/>
              <w:left w:val="single" w:color="000000" w:sz="4" w:space="0"/>
              <w:bottom w:val="single" w:color="000000" w:sz="4" w:space="0"/>
              <w:right w:val="single" w:color="000000" w:sz="4" w:space="0"/>
            </w:tcBorders>
            <w:noWrap/>
            <w:vAlign w:val="center"/>
          </w:tcPr>
          <w:p w14:paraId="12CD8BDF">
            <w:pPr>
              <w:widowControl/>
              <w:jc w:val="center"/>
              <w:rPr>
                <w:rFonts w:hint="eastAsia" w:ascii="宋体" w:hAnsi="宋体" w:cs="宋体"/>
                <w:kern w:val="0"/>
                <w:sz w:val="21"/>
                <w:szCs w:val="21"/>
                <w:highlight w:val="none"/>
              </w:rPr>
            </w:pPr>
          </w:p>
        </w:tc>
        <w:tc>
          <w:tcPr>
            <w:tcW w:w="1781" w:type="dxa"/>
            <w:tcBorders>
              <w:top w:val="single" w:color="000000" w:sz="4" w:space="0"/>
              <w:left w:val="nil"/>
              <w:bottom w:val="single" w:color="000000" w:sz="4" w:space="0"/>
              <w:right w:val="single" w:color="000000" w:sz="4" w:space="0"/>
            </w:tcBorders>
            <w:noWrap w:val="0"/>
            <w:vAlign w:val="center"/>
          </w:tcPr>
          <w:p w14:paraId="3EF75319">
            <w:pPr>
              <w:widowControl/>
              <w:jc w:val="center"/>
              <w:rPr>
                <w:rFonts w:hint="eastAsia" w:ascii="宋体" w:hAnsi="宋体" w:cs="宋体"/>
                <w:kern w:val="0"/>
                <w:sz w:val="21"/>
                <w:szCs w:val="21"/>
                <w:highlight w:val="none"/>
                <w:lang w:val="en-US" w:eastAsia="zh-CN"/>
              </w:rPr>
            </w:pPr>
          </w:p>
        </w:tc>
        <w:tc>
          <w:tcPr>
            <w:tcW w:w="2474" w:type="dxa"/>
            <w:tcBorders>
              <w:top w:val="single" w:color="000000" w:sz="4" w:space="0"/>
              <w:left w:val="nil"/>
              <w:bottom w:val="single" w:color="000000" w:sz="4" w:space="0"/>
              <w:right w:val="single" w:color="000000" w:sz="4" w:space="0"/>
            </w:tcBorders>
            <w:noWrap w:val="0"/>
            <w:vAlign w:val="center"/>
          </w:tcPr>
          <w:p w14:paraId="4CE884E7">
            <w:pPr>
              <w:widowControl/>
              <w:jc w:val="center"/>
              <w:rPr>
                <w:rFonts w:hint="eastAsia" w:ascii="宋体" w:hAnsi="宋体" w:cs="宋体"/>
                <w:kern w:val="0"/>
                <w:sz w:val="21"/>
                <w:szCs w:val="21"/>
                <w:highlight w:val="none"/>
                <w:lang w:val="en-US" w:eastAsia="zh-CN"/>
              </w:rPr>
            </w:pPr>
          </w:p>
        </w:tc>
        <w:tc>
          <w:tcPr>
            <w:tcW w:w="2165" w:type="dxa"/>
            <w:tcBorders>
              <w:top w:val="single" w:color="000000" w:sz="4" w:space="0"/>
              <w:left w:val="nil"/>
              <w:bottom w:val="single" w:color="000000" w:sz="4" w:space="0"/>
              <w:right w:val="single" w:color="000000" w:sz="4" w:space="0"/>
            </w:tcBorders>
            <w:noWrap w:val="0"/>
            <w:vAlign w:val="center"/>
          </w:tcPr>
          <w:p w14:paraId="3A08FE40">
            <w:pPr>
              <w:widowControl/>
              <w:jc w:val="center"/>
              <w:rPr>
                <w:rFonts w:hint="eastAsia" w:ascii="宋体" w:hAnsi="宋体" w:cs="宋体"/>
                <w:kern w:val="0"/>
                <w:sz w:val="21"/>
                <w:szCs w:val="21"/>
                <w:highlight w:val="none"/>
                <w:lang w:val="en-US" w:eastAsia="zh-CN"/>
              </w:rPr>
            </w:pPr>
          </w:p>
        </w:tc>
        <w:tc>
          <w:tcPr>
            <w:tcW w:w="1455" w:type="dxa"/>
            <w:tcBorders>
              <w:top w:val="single" w:color="000000" w:sz="4" w:space="0"/>
              <w:left w:val="nil"/>
              <w:bottom w:val="single" w:color="000000" w:sz="4" w:space="0"/>
              <w:right w:val="single" w:color="000000" w:sz="4" w:space="0"/>
            </w:tcBorders>
            <w:noWrap/>
            <w:vAlign w:val="center"/>
          </w:tcPr>
          <w:p w14:paraId="0CD5997A">
            <w:pPr>
              <w:widowControl/>
              <w:jc w:val="center"/>
              <w:rPr>
                <w:rFonts w:hint="eastAsia" w:ascii="宋体" w:hAnsi="宋体" w:cs="宋体"/>
                <w:kern w:val="0"/>
                <w:sz w:val="21"/>
                <w:szCs w:val="21"/>
                <w:highlight w:val="none"/>
                <w:lang w:val="en-US" w:eastAsia="zh-CN"/>
              </w:rPr>
            </w:pPr>
          </w:p>
        </w:tc>
        <w:tc>
          <w:tcPr>
            <w:tcW w:w="708" w:type="dxa"/>
            <w:tcBorders>
              <w:top w:val="single" w:color="000000" w:sz="4" w:space="0"/>
              <w:left w:val="nil"/>
              <w:bottom w:val="single" w:color="000000" w:sz="4" w:space="0"/>
              <w:right w:val="single" w:color="000000" w:sz="4" w:space="0"/>
            </w:tcBorders>
            <w:noWrap w:val="0"/>
            <w:vAlign w:val="center"/>
          </w:tcPr>
          <w:p w14:paraId="34E6732A">
            <w:pPr>
              <w:widowControl/>
              <w:jc w:val="center"/>
              <w:rPr>
                <w:rFonts w:hint="eastAsia" w:ascii="宋体" w:hAnsi="宋体" w:cs="宋体"/>
                <w:kern w:val="0"/>
                <w:sz w:val="21"/>
                <w:szCs w:val="21"/>
                <w:highlight w:val="none"/>
                <w:lang w:val="en-US" w:eastAsia="zh-CN"/>
              </w:rPr>
            </w:pPr>
          </w:p>
        </w:tc>
        <w:tc>
          <w:tcPr>
            <w:tcW w:w="1392" w:type="dxa"/>
            <w:tcBorders>
              <w:top w:val="single" w:color="000000" w:sz="4" w:space="0"/>
              <w:left w:val="nil"/>
              <w:bottom w:val="single" w:color="000000" w:sz="4" w:space="0"/>
              <w:right w:val="single" w:color="000000" w:sz="4" w:space="0"/>
            </w:tcBorders>
            <w:noWrap/>
            <w:vAlign w:val="center"/>
          </w:tcPr>
          <w:p w14:paraId="7F6580BE">
            <w:pPr>
              <w:widowControl/>
              <w:jc w:val="center"/>
              <w:rPr>
                <w:rFonts w:hint="eastAsia" w:ascii="宋体" w:hAnsi="宋体" w:cs="宋体"/>
                <w:kern w:val="0"/>
                <w:sz w:val="21"/>
                <w:szCs w:val="21"/>
                <w:highlight w:val="none"/>
                <w:lang w:val="en-US" w:eastAsia="zh-CN"/>
              </w:rPr>
            </w:pPr>
          </w:p>
        </w:tc>
      </w:tr>
      <w:tr w14:paraId="00A16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42" w:type="dxa"/>
            <w:tcBorders>
              <w:top w:val="single" w:color="000000" w:sz="4" w:space="0"/>
              <w:left w:val="single" w:color="000000" w:sz="4" w:space="0"/>
              <w:bottom w:val="single" w:color="000000" w:sz="4" w:space="0"/>
              <w:right w:val="single" w:color="000000" w:sz="4" w:space="0"/>
            </w:tcBorders>
            <w:noWrap/>
            <w:vAlign w:val="center"/>
          </w:tcPr>
          <w:p w14:paraId="2E64C3AF">
            <w:pPr>
              <w:widowControl/>
              <w:jc w:val="center"/>
              <w:rPr>
                <w:rFonts w:hint="eastAsia" w:ascii="宋体" w:hAnsi="宋体" w:cs="宋体"/>
                <w:kern w:val="0"/>
                <w:sz w:val="21"/>
                <w:szCs w:val="21"/>
                <w:highlight w:val="none"/>
              </w:rPr>
            </w:pPr>
          </w:p>
        </w:tc>
        <w:tc>
          <w:tcPr>
            <w:tcW w:w="1781" w:type="dxa"/>
            <w:tcBorders>
              <w:top w:val="single" w:color="000000" w:sz="4" w:space="0"/>
              <w:left w:val="nil"/>
              <w:bottom w:val="single" w:color="000000" w:sz="4" w:space="0"/>
              <w:right w:val="single" w:color="000000" w:sz="4" w:space="0"/>
            </w:tcBorders>
            <w:noWrap w:val="0"/>
            <w:vAlign w:val="center"/>
          </w:tcPr>
          <w:p w14:paraId="451D3708">
            <w:pPr>
              <w:widowControl/>
              <w:jc w:val="center"/>
              <w:rPr>
                <w:rFonts w:hint="eastAsia" w:ascii="宋体" w:hAnsi="宋体" w:cs="宋体"/>
                <w:kern w:val="0"/>
                <w:sz w:val="21"/>
                <w:szCs w:val="21"/>
                <w:highlight w:val="none"/>
                <w:lang w:val="en-US" w:eastAsia="zh-CN"/>
              </w:rPr>
            </w:pPr>
          </w:p>
        </w:tc>
        <w:tc>
          <w:tcPr>
            <w:tcW w:w="2474" w:type="dxa"/>
            <w:tcBorders>
              <w:top w:val="single" w:color="000000" w:sz="4" w:space="0"/>
              <w:left w:val="nil"/>
              <w:bottom w:val="single" w:color="000000" w:sz="4" w:space="0"/>
              <w:right w:val="single" w:color="000000" w:sz="4" w:space="0"/>
            </w:tcBorders>
            <w:noWrap w:val="0"/>
            <w:vAlign w:val="center"/>
          </w:tcPr>
          <w:p w14:paraId="302C7054">
            <w:pPr>
              <w:widowControl/>
              <w:jc w:val="center"/>
              <w:rPr>
                <w:rFonts w:hint="eastAsia" w:ascii="宋体" w:hAnsi="宋体" w:cs="宋体"/>
                <w:kern w:val="0"/>
                <w:sz w:val="21"/>
                <w:szCs w:val="21"/>
                <w:highlight w:val="none"/>
                <w:lang w:val="en-US" w:eastAsia="zh-CN"/>
              </w:rPr>
            </w:pPr>
          </w:p>
        </w:tc>
        <w:tc>
          <w:tcPr>
            <w:tcW w:w="2165" w:type="dxa"/>
            <w:tcBorders>
              <w:top w:val="single" w:color="000000" w:sz="4" w:space="0"/>
              <w:left w:val="nil"/>
              <w:bottom w:val="single" w:color="000000" w:sz="4" w:space="0"/>
              <w:right w:val="single" w:color="000000" w:sz="4" w:space="0"/>
            </w:tcBorders>
            <w:noWrap w:val="0"/>
            <w:vAlign w:val="center"/>
          </w:tcPr>
          <w:p w14:paraId="673205E2">
            <w:pPr>
              <w:widowControl/>
              <w:jc w:val="center"/>
              <w:rPr>
                <w:rFonts w:hint="eastAsia" w:ascii="宋体" w:hAnsi="宋体" w:cs="宋体"/>
                <w:kern w:val="0"/>
                <w:sz w:val="21"/>
                <w:szCs w:val="21"/>
                <w:highlight w:val="none"/>
                <w:lang w:val="en-US" w:eastAsia="zh-CN"/>
              </w:rPr>
            </w:pPr>
          </w:p>
        </w:tc>
        <w:tc>
          <w:tcPr>
            <w:tcW w:w="1455" w:type="dxa"/>
            <w:tcBorders>
              <w:top w:val="single" w:color="000000" w:sz="4" w:space="0"/>
              <w:left w:val="nil"/>
              <w:bottom w:val="single" w:color="000000" w:sz="4" w:space="0"/>
              <w:right w:val="single" w:color="000000" w:sz="4" w:space="0"/>
            </w:tcBorders>
            <w:noWrap/>
            <w:vAlign w:val="center"/>
          </w:tcPr>
          <w:p w14:paraId="15DD57FF">
            <w:pPr>
              <w:widowControl/>
              <w:jc w:val="center"/>
              <w:rPr>
                <w:rFonts w:hint="eastAsia" w:ascii="宋体" w:hAnsi="宋体" w:cs="宋体"/>
                <w:kern w:val="0"/>
                <w:sz w:val="21"/>
                <w:szCs w:val="21"/>
                <w:highlight w:val="none"/>
                <w:lang w:val="en-US" w:eastAsia="zh-CN"/>
              </w:rPr>
            </w:pPr>
          </w:p>
        </w:tc>
        <w:tc>
          <w:tcPr>
            <w:tcW w:w="708" w:type="dxa"/>
            <w:tcBorders>
              <w:top w:val="single" w:color="000000" w:sz="4" w:space="0"/>
              <w:left w:val="nil"/>
              <w:bottom w:val="single" w:color="000000" w:sz="4" w:space="0"/>
              <w:right w:val="single" w:color="000000" w:sz="4" w:space="0"/>
            </w:tcBorders>
            <w:noWrap w:val="0"/>
            <w:vAlign w:val="center"/>
          </w:tcPr>
          <w:p w14:paraId="3372B2BD">
            <w:pPr>
              <w:widowControl/>
              <w:jc w:val="center"/>
              <w:rPr>
                <w:rFonts w:hint="eastAsia" w:ascii="宋体" w:hAnsi="宋体" w:cs="宋体"/>
                <w:kern w:val="0"/>
                <w:sz w:val="21"/>
                <w:szCs w:val="21"/>
                <w:highlight w:val="none"/>
                <w:lang w:val="en-US" w:eastAsia="zh-CN"/>
              </w:rPr>
            </w:pPr>
          </w:p>
        </w:tc>
        <w:tc>
          <w:tcPr>
            <w:tcW w:w="1392" w:type="dxa"/>
            <w:tcBorders>
              <w:top w:val="single" w:color="000000" w:sz="4" w:space="0"/>
              <w:left w:val="nil"/>
              <w:bottom w:val="single" w:color="000000" w:sz="4" w:space="0"/>
              <w:right w:val="single" w:color="000000" w:sz="4" w:space="0"/>
            </w:tcBorders>
            <w:noWrap/>
            <w:vAlign w:val="center"/>
          </w:tcPr>
          <w:p w14:paraId="15687724">
            <w:pPr>
              <w:widowControl/>
              <w:jc w:val="center"/>
              <w:rPr>
                <w:rFonts w:hint="eastAsia" w:ascii="宋体" w:hAnsi="宋体" w:cs="宋体"/>
                <w:kern w:val="0"/>
                <w:sz w:val="21"/>
                <w:szCs w:val="21"/>
                <w:highlight w:val="none"/>
                <w:lang w:val="en-US" w:eastAsia="zh-CN"/>
              </w:rPr>
            </w:pPr>
          </w:p>
        </w:tc>
      </w:tr>
      <w:tr w14:paraId="7055D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42" w:type="dxa"/>
            <w:tcBorders>
              <w:top w:val="single" w:color="000000" w:sz="4" w:space="0"/>
              <w:left w:val="single" w:color="000000" w:sz="4" w:space="0"/>
              <w:bottom w:val="single" w:color="000000" w:sz="4" w:space="0"/>
              <w:right w:val="single" w:color="000000" w:sz="4" w:space="0"/>
            </w:tcBorders>
            <w:noWrap/>
            <w:vAlign w:val="center"/>
          </w:tcPr>
          <w:p w14:paraId="1068F378">
            <w:pPr>
              <w:widowControl/>
              <w:jc w:val="center"/>
              <w:rPr>
                <w:rFonts w:hint="eastAsia" w:ascii="宋体" w:hAnsi="宋体" w:cs="宋体"/>
                <w:kern w:val="0"/>
                <w:sz w:val="21"/>
                <w:szCs w:val="21"/>
                <w:highlight w:val="none"/>
              </w:rPr>
            </w:pPr>
          </w:p>
        </w:tc>
        <w:tc>
          <w:tcPr>
            <w:tcW w:w="1781" w:type="dxa"/>
            <w:tcBorders>
              <w:top w:val="single" w:color="000000" w:sz="4" w:space="0"/>
              <w:left w:val="nil"/>
              <w:bottom w:val="single" w:color="000000" w:sz="4" w:space="0"/>
              <w:right w:val="single" w:color="000000" w:sz="4" w:space="0"/>
            </w:tcBorders>
            <w:noWrap w:val="0"/>
            <w:vAlign w:val="center"/>
          </w:tcPr>
          <w:p w14:paraId="60E3C99B">
            <w:pPr>
              <w:widowControl/>
              <w:jc w:val="center"/>
              <w:rPr>
                <w:rFonts w:hint="eastAsia" w:ascii="宋体" w:hAnsi="宋体" w:cs="宋体"/>
                <w:kern w:val="0"/>
                <w:sz w:val="21"/>
                <w:szCs w:val="21"/>
                <w:highlight w:val="none"/>
                <w:lang w:val="en-US" w:eastAsia="zh-CN"/>
              </w:rPr>
            </w:pPr>
          </w:p>
        </w:tc>
        <w:tc>
          <w:tcPr>
            <w:tcW w:w="2474" w:type="dxa"/>
            <w:tcBorders>
              <w:top w:val="single" w:color="000000" w:sz="4" w:space="0"/>
              <w:left w:val="nil"/>
              <w:bottom w:val="single" w:color="000000" w:sz="4" w:space="0"/>
              <w:right w:val="single" w:color="000000" w:sz="4" w:space="0"/>
            </w:tcBorders>
            <w:noWrap w:val="0"/>
            <w:vAlign w:val="center"/>
          </w:tcPr>
          <w:p w14:paraId="5C2B64B9">
            <w:pPr>
              <w:widowControl/>
              <w:jc w:val="center"/>
              <w:rPr>
                <w:rFonts w:hint="eastAsia" w:ascii="宋体" w:hAnsi="宋体" w:cs="宋体"/>
                <w:kern w:val="0"/>
                <w:sz w:val="21"/>
                <w:szCs w:val="21"/>
                <w:highlight w:val="none"/>
                <w:lang w:val="en-US" w:eastAsia="zh-CN"/>
              </w:rPr>
            </w:pPr>
          </w:p>
        </w:tc>
        <w:tc>
          <w:tcPr>
            <w:tcW w:w="2165" w:type="dxa"/>
            <w:tcBorders>
              <w:top w:val="single" w:color="000000" w:sz="4" w:space="0"/>
              <w:left w:val="nil"/>
              <w:bottom w:val="single" w:color="000000" w:sz="4" w:space="0"/>
              <w:right w:val="single" w:color="000000" w:sz="4" w:space="0"/>
            </w:tcBorders>
            <w:noWrap w:val="0"/>
            <w:vAlign w:val="center"/>
          </w:tcPr>
          <w:p w14:paraId="1C2C2854">
            <w:pPr>
              <w:widowControl/>
              <w:jc w:val="center"/>
              <w:rPr>
                <w:rFonts w:hint="eastAsia" w:ascii="宋体" w:hAnsi="宋体" w:cs="宋体"/>
                <w:kern w:val="0"/>
                <w:sz w:val="21"/>
                <w:szCs w:val="21"/>
                <w:highlight w:val="none"/>
                <w:lang w:val="en-US" w:eastAsia="zh-CN"/>
              </w:rPr>
            </w:pPr>
          </w:p>
        </w:tc>
        <w:tc>
          <w:tcPr>
            <w:tcW w:w="1455" w:type="dxa"/>
            <w:tcBorders>
              <w:top w:val="single" w:color="000000" w:sz="4" w:space="0"/>
              <w:left w:val="nil"/>
              <w:bottom w:val="single" w:color="000000" w:sz="4" w:space="0"/>
              <w:right w:val="single" w:color="000000" w:sz="4" w:space="0"/>
            </w:tcBorders>
            <w:noWrap/>
            <w:vAlign w:val="center"/>
          </w:tcPr>
          <w:p w14:paraId="5B7344FF">
            <w:pPr>
              <w:widowControl/>
              <w:jc w:val="center"/>
              <w:rPr>
                <w:rFonts w:hint="eastAsia" w:ascii="宋体" w:hAnsi="宋体" w:cs="宋体"/>
                <w:kern w:val="0"/>
                <w:sz w:val="21"/>
                <w:szCs w:val="21"/>
                <w:highlight w:val="none"/>
                <w:lang w:val="en-US" w:eastAsia="zh-CN"/>
              </w:rPr>
            </w:pPr>
          </w:p>
        </w:tc>
        <w:tc>
          <w:tcPr>
            <w:tcW w:w="708" w:type="dxa"/>
            <w:tcBorders>
              <w:top w:val="single" w:color="000000" w:sz="4" w:space="0"/>
              <w:left w:val="nil"/>
              <w:bottom w:val="single" w:color="000000" w:sz="4" w:space="0"/>
              <w:right w:val="single" w:color="000000" w:sz="4" w:space="0"/>
            </w:tcBorders>
            <w:noWrap w:val="0"/>
            <w:vAlign w:val="center"/>
          </w:tcPr>
          <w:p w14:paraId="24FEAD47">
            <w:pPr>
              <w:widowControl/>
              <w:jc w:val="center"/>
              <w:rPr>
                <w:rFonts w:hint="eastAsia" w:ascii="宋体" w:hAnsi="宋体" w:cs="宋体"/>
                <w:kern w:val="0"/>
                <w:sz w:val="21"/>
                <w:szCs w:val="21"/>
                <w:highlight w:val="none"/>
                <w:lang w:val="en-US" w:eastAsia="zh-CN"/>
              </w:rPr>
            </w:pPr>
          </w:p>
        </w:tc>
        <w:tc>
          <w:tcPr>
            <w:tcW w:w="1392" w:type="dxa"/>
            <w:tcBorders>
              <w:top w:val="single" w:color="000000" w:sz="4" w:space="0"/>
              <w:left w:val="nil"/>
              <w:bottom w:val="single" w:color="000000" w:sz="4" w:space="0"/>
              <w:right w:val="single" w:color="000000" w:sz="4" w:space="0"/>
            </w:tcBorders>
            <w:noWrap/>
            <w:vAlign w:val="center"/>
          </w:tcPr>
          <w:p w14:paraId="0C83D289">
            <w:pPr>
              <w:widowControl/>
              <w:jc w:val="center"/>
              <w:rPr>
                <w:rFonts w:hint="eastAsia" w:ascii="宋体" w:hAnsi="宋体" w:cs="宋体"/>
                <w:kern w:val="0"/>
                <w:sz w:val="21"/>
                <w:szCs w:val="21"/>
                <w:highlight w:val="none"/>
                <w:lang w:val="en-US" w:eastAsia="zh-CN"/>
              </w:rPr>
            </w:pPr>
          </w:p>
        </w:tc>
      </w:tr>
      <w:tr w14:paraId="4B986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42" w:type="dxa"/>
            <w:tcBorders>
              <w:top w:val="single" w:color="000000" w:sz="4" w:space="0"/>
              <w:left w:val="single" w:color="000000" w:sz="4" w:space="0"/>
              <w:bottom w:val="single" w:color="000000" w:sz="4" w:space="0"/>
              <w:right w:val="single" w:color="000000" w:sz="4" w:space="0"/>
            </w:tcBorders>
            <w:noWrap/>
            <w:vAlign w:val="center"/>
          </w:tcPr>
          <w:p w14:paraId="0BE97167">
            <w:pPr>
              <w:widowControl/>
              <w:jc w:val="center"/>
              <w:rPr>
                <w:rFonts w:hint="eastAsia" w:ascii="宋体" w:hAnsi="宋体" w:eastAsia="宋体" w:cs="宋体"/>
                <w:kern w:val="0"/>
                <w:sz w:val="21"/>
                <w:szCs w:val="21"/>
                <w:highlight w:val="none"/>
                <w:lang w:eastAsia="zh-CN"/>
              </w:rPr>
            </w:pPr>
            <w:r>
              <w:rPr>
                <w:rFonts w:hint="eastAsia" w:ascii="宋体" w:hAnsi="宋体" w:cs="宋体"/>
                <w:kern w:val="0"/>
                <w:sz w:val="21"/>
                <w:szCs w:val="21"/>
                <w:highlight w:val="none"/>
                <w:lang w:eastAsia="zh-CN"/>
              </w:rPr>
              <w:t>…</w:t>
            </w:r>
          </w:p>
        </w:tc>
        <w:tc>
          <w:tcPr>
            <w:tcW w:w="1781" w:type="dxa"/>
            <w:tcBorders>
              <w:top w:val="single" w:color="000000" w:sz="4" w:space="0"/>
              <w:left w:val="nil"/>
              <w:bottom w:val="single" w:color="000000" w:sz="4" w:space="0"/>
              <w:right w:val="single" w:color="000000" w:sz="4" w:space="0"/>
            </w:tcBorders>
            <w:noWrap w:val="0"/>
            <w:vAlign w:val="center"/>
          </w:tcPr>
          <w:p w14:paraId="303BC0A8">
            <w:pPr>
              <w:widowControl/>
              <w:jc w:val="center"/>
              <w:rPr>
                <w:rFonts w:hint="eastAsia" w:ascii="宋体" w:hAnsi="宋体" w:cs="宋体"/>
                <w:kern w:val="0"/>
                <w:sz w:val="21"/>
                <w:szCs w:val="21"/>
                <w:highlight w:val="none"/>
                <w:lang w:val="en-US" w:eastAsia="zh-CN"/>
              </w:rPr>
            </w:pPr>
          </w:p>
        </w:tc>
        <w:tc>
          <w:tcPr>
            <w:tcW w:w="2474" w:type="dxa"/>
            <w:tcBorders>
              <w:top w:val="single" w:color="000000" w:sz="4" w:space="0"/>
              <w:left w:val="nil"/>
              <w:bottom w:val="single" w:color="000000" w:sz="4" w:space="0"/>
              <w:right w:val="single" w:color="000000" w:sz="4" w:space="0"/>
            </w:tcBorders>
            <w:noWrap w:val="0"/>
            <w:vAlign w:val="center"/>
          </w:tcPr>
          <w:p w14:paraId="0BF5390D">
            <w:pPr>
              <w:widowControl/>
              <w:jc w:val="center"/>
              <w:rPr>
                <w:rFonts w:hint="eastAsia" w:ascii="宋体" w:hAnsi="宋体" w:cs="宋体"/>
                <w:kern w:val="0"/>
                <w:sz w:val="21"/>
                <w:szCs w:val="21"/>
                <w:highlight w:val="none"/>
                <w:lang w:val="en-US" w:eastAsia="zh-CN"/>
              </w:rPr>
            </w:pPr>
          </w:p>
        </w:tc>
        <w:tc>
          <w:tcPr>
            <w:tcW w:w="2165" w:type="dxa"/>
            <w:tcBorders>
              <w:top w:val="single" w:color="000000" w:sz="4" w:space="0"/>
              <w:left w:val="nil"/>
              <w:bottom w:val="single" w:color="000000" w:sz="4" w:space="0"/>
              <w:right w:val="single" w:color="000000" w:sz="4" w:space="0"/>
            </w:tcBorders>
            <w:noWrap w:val="0"/>
            <w:vAlign w:val="center"/>
          </w:tcPr>
          <w:p w14:paraId="0C47561F">
            <w:pPr>
              <w:widowControl/>
              <w:jc w:val="center"/>
              <w:rPr>
                <w:rFonts w:hint="eastAsia" w:ascii="宋体" w:hAnsi="宋体" w:cs="宋体"/>
                <w:kern w:val="0"/>
                <w:sz w:val="21"/>
                <w:szCs w:val="21"/>
                <w:highlight w:val="none"/>
                <w:lang w:val="en-US" w:eastAsia="zh-CN"/>
              </w:rPr>
            </w:pPr>
          </w:p>
        </w:tc>
        <w:tc>
          <w:tcPr>
            <w:tcW w:w="1455" w:type="dxa"/>
            <w:tcBorders>
              <w:top w:val="single" w:color="000000" w:sz="4" w:space="0"/>
              <w:left w:val="nil"/>
              <w:bottom w:val="single" w:color="000000" w:sz="4" w:space="0"/>
              <w:right w:val="single" w:color="000000" w:sz="4" w:space="0"/>
            </w:tcBorders>
            <w:noWrap/>
            <w:vAlign w:val="center"/>
          </w:tcPr>
          <w:p w14:paraId="6262AB7A">
            <w:pPr>
              <w:widowControl/>
              <w:jc w:val="center"/>
              <w:rPr>
                <w:rFonts w:hint="eastAsia" w:ascii="宋体" w:hAnsi="宋体" w:cs="宋体"/>
                <w:kern w:val="0"/>
                <w:sz w:val="21"/>
                <w:szCs w:val="21"/>
                <w:highlight w:val="none"/>
                <w:lang w:val="en-US" w:eastAsia="zh-CN"/>
              </w:rPr>
            </w:pPr>
          </w:p>
        </w:tc>
        <w:tc>
          <w:tcPr>
            <w:tcW w:w="708" w:type="dxa"/>
            <w:tcBorders>
              <w:top w:val="single" w:color="000000" w:sz="4" w:space="0"/>
              <w:left w:val="nil"/>
              <w:bottom w:val="single" w:color="000000" w:sz="4" w:space="0"/>
              <w:right w:val="single" w:color="000000" w:sz="4" w:space="0"/>
            </w:tcBorders>
            <w:noWrap w:val="0"/>
            <w:vAlign w:val="center"/>
          </w:tcPr>
          <w:p w14:paraId="5C203273">
            <w:pPr>
              <w:widowControl/>
              <w:jc w:val="center"/>
              <w:rPr>
                <w:rFonts w:hint="eastAsia" w:ascii="宋体" w:hAnsi="宋体" w:cs="宋体"/>
                <w:kern w:val="0"/>
                <w:sz w:val="21"/>
                <w:szCs w:val="21"/>
                <w:highlight w:val="none"/>
                <w:lang w:val="en-US" w:eastAsia="zh-CN"/>
              </w:rPr>
            </w:pPr>
          </w:p>
        </w:tc>
        <w:tc>
          <w:tcPr>
            <w:tcW w:w="1392" w:type="dxa"/>
            <w:tcBorders>
              <w:top w:val="single" w:color="000000" w:sz="4" w:space="0"/>
              <w:left w:val="nil"/>
              <w:bottom w:val="single" w:color="000000" w:sz="4" w:space="0"/>
              <w:right w:val="single" w:color="000000" w:sz="4" w:space="0"/>
            </w:tcBorders>
            <w:noWrap/>
            <w:vAlign w:val="center"/>
          </w:tcPr>
          <w:p w14:paraId="098EB6BE">
            <w:pPr>
              <w:widowControl/>
              <w:jc w:val="center"/>
              <w:rPr>
                <w:rFonts w:hint="eastAsia" w:ascii="宋体" w:hAnsi="宋体" w:cs="宋体"/>
                <w:kern w:val="0"/>
                <w:sz w:val="21"/>
                <w:szCs w:val="21"/>
                <w:highlight w:val="none"/>
                <w:lang w:val="en-US" w:eastAsia="zh-CN"/>
              </w:rPr>
            </w:pPr>
          </w:p>
        </w:tc>
      </w:tr>
      <w:tr w14:paraId="3BB5F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42" w:type="dxa"/>
            <w:tcBorders>
              <w:top w:val="single" w:color="000000" w:sz="4" w:space="0"/>
              <w:left w:val="single" w:color="000000" w:sz="4" w:space="0"/>
              <w:bottom w:val="single" w:color="000000" w:sz="4" w:space="0"/>
              <w:right w:val="single" w:color="000000" w:sz="4" w:space="0"/>
            </w:tcBorders>
            <w:noWrap/>
            <w:vAlign w:val="center"/>
          </w:tcPr>
          <w:p w14:paraId="61E93B02">
            <w:pPr>
              <w:widowControl/>
              <w:jc w:val="center"/>
              <w:rPr>
                <w:rFonts w:hint="eastAsia" w:ascii="宋体" w:hAnsi="宋体" w:cs="宋体"/>
                <w:kern w:val="0"/>
                <w:sz w:val="21"/>
                <w:szCs w:val="21"/>
                <w:highlight w:val="none"/>
              </w:rPr>
            </w:pPr>
            <w:r>
              <w:rPr>
                <w:rFonts w:hint="eastAsia" w:ascii="宋体" w:hAnsi="宋体" w:cs="宋体"/>
                <w:kern w:val="0"/>
                <w:sz w:val="21"/>
                <w:szCs w:val="21"/>
                <w:highlight w:val="none"/>
                <w:lang w:eastAsia="zh-CN"/>
              </w:rPr>
              <w:t>…</w:t>
            </w:r>
          </w:p>
        </w:tc>
        <w:tc>
          <w:tcPr>
            <w:tcW w:w="1781" w:type="dxa"/>
            <w:tcBorders>
              <w:top w:val="single" w:color="000000" w:sz="4" w:space="0"/>
              <w:left w:val="nil"/>
              <w:bottom w:val="single" w:color="000000" w:sz="4" w:space="0"/>
              <w:right w:val="single" w:color="000000" w:sz="4" w:space="0"/>
            </w:tcBorders>
            <w:noWrap w:val="0"/>
            <w:vAlign w:val="center"/>
          </w:tcPr>
          <w:p w14:paraId="4A21C0A8">
            <w:pPr>
              <w:widowControl/>
              <w:jc w:val="center"/>
              <w:rPr>
                <w:rFonts w:hint="eastAsia" w:ascii="宋体" w:hAnsi="宋体" w:cs="宋体"/>
                <w:kern w:val="0"/>
                <w:sz w:val="21"/>
                <w:szCs w:val="21"/>
                <w:highlight w:val="none"/>
                <w:lang w:val="en-US" w:eastAsia="zh-CN"/>
              </w:rPr>
            </w:pPr>
          </w:p>
        </w:tc>
        <w:tc>
          <w:tcPr>
            <w:tcW w:w="2474" w:type="dxa"/>
            <w:tcBorders>
              <w:top w:val="single" w:color="000000" w:sz="4" w:space="0"/>
              <w:left w:val="nil"/>
              <w:bottom w:val="single" w:color="000000" w:sz="4" w:space="0"/>
              <w:right w:val="single" w:color="000000" w:sz="4" w:space="0"/>
            </w:tcBorders>
            <w:noWrap w:val="0"/>
            <w:vAlign w:val="center"/>
          </w:tcPr>
          <w:p w14:paraId="2997DFE4">
            <w:pPr>
              <w:widowControl/>
              <w:jc w:val="center"/>
              <w:rPr>
                <w:rFonts w:hint="eastAsia" w:ascii="宋体" w:hAnsi="宋体" w:cs="宋体"/>
                <w:kern w:val="0"/>
                <w:sz w:val="21"/>
                <w:szCs w:val="21"/>
                <w:highlight w:val="none"/>
                <w:lang w:val="en-US" w:eastAsia="zh-CN"/>
              </w:rPr>
            </w:pPr>
          </w:p>
        </w:tc>
        <w:tc>
          <w:tcPr>
            <w:tcW w:w="2165" w:type="dxa"/>
            <w:tcBorders>
              <w:top w:val="single" w:color="000000" w:sz="4" w:space="0"/>
              <w:left w:val="nil"/>
              <w:bottom w:val="single" w:color="000000" w:sz="4" w:space="0"/>
              <w:right w:val="single" w:color="000000" w:sz="4" w:space="0"/>
            </w:tcBorders>
            <w:noWrap w:val="0"/>
            <w:vAlign w:val="center"/>
          </w:tcPr>
          <w:p w14:paraId="42F2976E">
            <w:pPr>
              <w:widowControl/>
              <w:jc w:val="center"/>
              <w:rPr>
                <w:rFonts w:hint="eastAsia" w:ascii="宋体" w:hAnsi="宋体" w:cs="宋体"/>
                <w:kern w:val="0"/>
                <w:sz w:val="21"/>
                <w:szCs w:val="21"/>
                <w:highlight w:val="none"/>
                <w:lang w:val="en-US" w:eastAsia="zh-CN"/>
              </w:rPr>
            </w:pPr>
          </w:p>
        </w:tc>
        <w:tc>
          <w:tcPr>
            <w:tcW w:w="1455" w:type="dxa"/>
            <w:tcBorders>
              <w:top w:val="single" w:color="000000" w:sz="4" w:space="0"/>
              <w:left w:val="nil"/>
              <w:bottom w:val="single" w:color="000000" w:sz="4" w:space="0"/>
              <w:right w:val="single" w:color="000000" w:sz="4" w:space="0"/>
            </w:tcBorders>
            <w:noWrap/>
            <w:vAlign w:val="center"/>
          </w:tcPr>
          <w:p w14:paraId="5092C4D3">
            <w:pPr>
              <w:widowControl/>
              <w:jc w:val="center"/>
              <w:rPr>
                <w:rFonts w:hint="eastAsia" w:ascii="宋体" w:hAnsi="宋体" w:cs="宋体"/>
                <w:kern w:val="0"/>
                <w:sz w:val="21"/>
                <w:szCs w:val="21"/>
                <w:highlight w:val="none"/>
                <w:lang w:val="en-US" w:eastAsia="zh-CN"/>
              </w:rPr>
            </w:pPr>
          </w:p>
        </w:tc>
        <w:tc>
          <w:tcPr>
            <w:tcW w:w="708" w:type="dxa"/>
            <w:tcBorders>
              <w:top w:val="single" w:color="000000" w:sz="4" w:space="0"/>
              <w:left w:val="nil"/>
              <w:bottom w:val="single" w:color="000000" w:sz="4" w:space="0"/>
              <w:right w:val="single" w:color="000000" w:sz="4" w:space="0"/>
            </w:tcBorders>
            <w:noWrap w:val="0"/>
            <w:vAlign w:val="center"/>
          </w:tcPr>
          <w:p w14:paraId="35024E0D">
            <w:pPr>
              <w:widowControl/>
              <w:jc w:val="center"/>
              <w:rPr>
                <w:rFonts w:hint="eastAsia" w:ascii="宋体" w:hAnsi="宋体" w:cs="宋体"/>
                <w:kern w:val="0"/>
                <w:sz w:val="21"/>
                <w:szCs w:val="21"/>
                <w:highlight w:val="none"/>
                <w:lang w:val="en-US" w:eastAsia="zh-CN"/>
              </w:rPr>
            </w:pPr>
          </w:p>
        </w:tc>
        <w:tc>
          <w:tcPr>
            <w:tcW w:w="1392" w:type="dxa"/>
            <w:tcBorders>
              <w:top w:val="single" w:color="000000" w:sz="4" w:space="0"/>
              <w:left w:val="nil"/>
              <w:bottom w:val="single" w:color="000000" w:sz="4" w:space="0"/>
              <w:right w:val="single" w:color="000000" w:sz="4" w:space="0"/>
            </w:tcBorders>
            <w:noWrap/>
            <w:vAlign w:val="center"/>
          </w:tcPr>
          <w:p w14:paraId="304F6AE3">
            <w:pPr>
              <w:widowControl/>
              <w:jc w:val="center"/>
              <w:rPr>
                <w:rFonts w:hint="eastAsia" w:ascii="宋体" w:hAnsi="宋体" w:cs="宋体"/>
                <w:kern w:val="0"/>
                <w:sz w:val="21"/>
                <w:szCs w:val="21"/>
                <w:highlight w:val="none"/>
                <w:lang w:val="en-US" w:eastAsia="zh-CN"/>
              </w:rPr>
            </w:pPr>
          </w:p>
        </w:tc>
      </w:tr>
      <w:tr w14:paraId="68296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842" w:type="dxa"/>
            <w:tcBorders>
              <w:top w:val="single" w:color="000000" w:sz="4" w:space="0"/>
              <w:left w:val="single" w:color="000000" w:sz="4" w:space="0"/>
              <w:bottom w:val="single" w:color="000000" w:sz="4" w:space="0"/>
              <w:right w:val="single" w:color="000000" w:sz="4" w:space="0"/>
            </w:tcBorders>
            <w:noWrap/>
            <w:vAlign w:val="center"/>
          </w:tcPr>
          <w:p w14:paraId="5B4CAC24">
            <w:pPr>
              <w:widowControl/>
              <w:jc w:val="center"/>
              <w:rPr>
                <w:rFonts w:hint="eastAsia" w:ascii="宋体" w:hAnsi="宋体" w:cs="宋体"/>
                <w:kern w:val="0"/>
                <w:sz w:val="21"/>
                <w:szCs w:val="21"/>
                <w:highlight w:val="none"/>
              </w:rPr>
            </w:pPr>
            <w:r>
              <w:rPr>
                <w:rFonts w:hint="eastAsia" w:ascii="宋体" w:hAnsi="宋体" w:cs="宋体"/>
                <w:kern w:val="0"/>
                <w:sz w:val="21"/>
                <w:szCs w:val="21"/>
                <w:highlight w:val="none"/>
                <w:lang w:eastAsia="zh-CN"/>
              </w:rPr>
              <w:t>…</w:t>
            </w:r>
          </w:p>
        </w:tc>
        <w:tc>
          <w:tcPr>
            <w:tcW w:w="1781" w:type="dxa"/>
            <w:tcBorders>
              <w:top w:val="single" w:color="000000" w:sz="4" w:space="0"/>
              <w:left w:val="nil"/>
              <w:bottom w:val="single" w:color="000000" w:sz="4" w:space="0"/>
              <w:right w:val="single" w:color="000000" w:sz="4" w:space="0"/>
            </w:tcBorders>
            <w:noWrap w:val="0"/>
            <w:vAlign w:val="center"/>
          </w:tcPr>
          <w:p w14:paraId="6160E465">
            <w:pPr>
              <w:widowControl/>
              <w:jc w:val="center"/>
              <w:rPr>
                <w:rFonts w:hint="eastAsia" w:ascii="宋体" w:hAnsi="宋体" w:cs="宋体"/>
                <w:kern w:val="0"/>
                <w:sz w:val="21"/>
                <w:szCs w:val="21"/>
                <w:highlight w:val="none"/>
                <w:lang w:val="en-US" w:eastAsia="zh-CN"/>
              </w:rPr>
            </w:pPr>
          </w:p>
        </w:tc>
        <w:tc>
          <w:tcPr>
            <w:tcW w:w="2474" w:type="dxa"/>
            <w:tcBorders>
              <w:top w:val="single" w:color="000000" w:sz="4" w:space="0"/>
              <w:left w:val="nil"/>
              <w:bottom w:val="single" w:color="000000" w:sz="4" w:space="0"/>
              <w:right w:val="single" w:color="000000" w:sz="4" w:space="0"/>
            </w:tcBorders>
            <w:noWrap w:val="0"/>
            <w:vAlign w:val="center"/>
          </w:tcPr>
          <w:p w14:paraId="7F3FF170">
            <w:pPr>
              <w:widowControl/>
              <w:jc w:val="center"/>
              <w:rPr>
                <w:rFonts w:hint="eastAsia" w:ascii="宋体" w:hAnsi="宋体" w:cs="宋体"/>
                <w:kern w:val="0"/>
                <w:sz w:val="21"/>
                <w:szCs w:val="21"/>
                <w:highlight w:val="none"/>
                <w:lang w:val="en-US" w:eastAsia="zh-CN"/>
              </w:rPr>
            </w:pPr>
          </w:p>
        </w:tc>
        <w:tc>
          <w:tcPr>
            <w:tcW w:w="2165" w:type="dxa"/>
            <w:tcBorders>
              <w:top w:val="single" w:color="000000" w:sz="4" w:space="0"/>
              <w:left w:val="nil"/>
              <w:bottom w:val="single" w:color="000000" w:sz="4" w:space="0"/>
              <w:right w:val="single" w:color="000000" w:sz="4" w:space="0"/>
            </w:tcBorders>
            <w:noWrap w:val="0"/>
            <w:vAlign w:val="center"/>
          </w:tcPr>
          <w:p w14:paraId="33307768">
            <w:pPr>
              <w:widowControl/>
              <w:jc w:val="center"/>
              <w:rPr>
                <w:rFonts w:hint="eastAsia" w:ascii="宋体" w:hAnsi="宋体" w:cs="宋体"/>
                <w:kern w:val="0"/>
                <w:sz w:val="21"/>
                <w:szCs w:val="21"/>
                <w:highlight w:val="none"/>
                <w:lang w:val="en-US" w:eastAsia="zh-CN"/>
              </w:rPr>
            </w:pPr>
          </w:p>
        </w:tc>
        <w:tc>
          <w:tcPr>
            <w:tcW w:w="1455" w:type="dxa"/>
            <w:tcBorders>
              <w:top w:val="single" w:color="000000" w:sz="4" w:space="0"/>
              <w:left w:val="nil"/>
              <w:bottom w:val="single" w:color="000000" w:sz="4" w:space="0"/>
              <w:right w:val="single" w:color="000000" w:sz="4" w:space="0"/>
            </w:tcBorders>
            <w:noWrap/>
            <w:vAlign w:val="center"/>
          </w:tcPr>
          <w:p w14:paraId="7F164CD6">
            <w:pPr>
              <w:widowControl/>
              <w:jc w:val="center"/>
              <w:rPr>
                <w:rFonts w:hint="eastAsia" w:ascii="宋体" w:hAnsi="宋体" w:cs="宋体"/>
                <w:kern w:val="0"/>
                <w:sz w:val="21"/>
                <w:szCs w:val="21"/>
                <w:highlight w:val="none"/>
                <w:lang w:val="en-US" w:eastAsia="zh-CN"/>
              </w:rPr>
            </w:pPr>
          </w:p>
        </w:tc>
        <w:tc>
          <w:tcPr>
            <w:tcW w:w="708" w:type="dxa"/>
            <w:tcBorders>
              <w:top w:val="single" w:color="000000" w:sz="4" w:space="0"/>
              <w:left w:val="nil"/>
              <w:bottom w:val="single" w:color="000000" w:sz="4" w:space="0"/>
              <w:right w:val="single" w:color="000000" w:sz="4" w:space="0"/>
            </w:tcBorders>
            <w:noWrap w:val="0"/>
            <w:vAlign w:val="center"/>
          </w:tcPr>
          <w:p w14:paraId="5A101503">
            <w:pPr>
              <w:widowControl/>
              <w:jc w:val="center"/>
              <w:rPr>
                <w:rFonts w:hint="eastAsia" w:ascii="宋体" w:hAnsi="宋体" w:cs="宋体"/>
                <w:kern w:val="0"/>
                <w:sz w:val="21"/>
                <w:szCs w:val="21"/>
                <w:highlight w:val="none"/>
                <w:lang w:val="en-US" w:eastAsia="zh-CN"/>
              </w:rPr>
            </w:pPr>
          </w:p>
        </w:tc>
        <w:tc>
          <w:tcPr>
            <w:tcW w:w="1392" w:type="dxa"/>
            <w:tcBorders>
              <w:top w:val="single" w:color="000000" w:sz="4" w:space="0"/>
              <w:left w:val="nil"/>
              <w:bottom w:val="single" w:color="000000" w:sz="4" w:space="0"/>
              <w:right w:val="single" w:color="000000" w:sz="4" w:space="0"/>
            </w:tcBorders>
            <w:noWrap/>
            <w:vAlign w:val="center"/>
          </w:tcPr>
          <w:p w14:paraId="319A0FA3">
            <w:pPr>
              <w:widowControl/>
              <w:jc w:val="center"/>
              <w:rPr>
                <w:rFonts w:hint="eastAsia" w:ascii="宋体" w:hAnsi="宋体" w:cs="宋体"/>
                <w:kern w:val="0"/>
                <w:sz w:val="21"/>
                <w:szCs w:val="21"/>
                <w:highlight w:val="none"/>
                <w:lang w:val="en-US" w:eastAsia="zh-CN"/>
              </w:rPr>
            </w:pPr>
          </w:p>
        </w:tc>
      </w:tr>
    </w:tbl>
    <w:p w14:paraId="76D63CCB">
      <w:pPr>
        <w:spacing w:line="300" w:lineRule="auto"/>
        <w:ind w:left="-178" w:leftChars="-85" w:firstLine="804" w:firstLineChars="383"/>
        <w:rPr>
          <w:rFonts w:ascii="宋体" w:hAnsi="宋体"/>
          <w:highlight w:val="none"/>
        </w:rPr>
      </w:pPr>
    </w:p>
    <w:p w14:paraId="730E7687">
      <w:pPr>
        <w:tabs>
          <w:tab w:val="left" w:pos="6484"/>
        </w:tabs>
        <w:spacing w:line="360" w:lineRule="auto"/>
        <w:rPr>
          <w:rFonts w:ascii="仿宋_GB2312" w:eastAsia="仿宋_GB2312"/>
          <w:b/>
          <w:highlight w:val="none"/>
        </w:rPr>
        <w:sectPr>
          <w:pgSz w:w="11906" w:h="16838"/>
          <w:pgMar w:top="850" w:right="707" w:bottom="850" w:left="794" w:header="777" w:footer="1134" w:gutter="0"/>
          <w:pgBorders>
            <w:top w:val="none" w:sz="0" w:space="0"/>
            <w:left w:val="none" w:sz="0" w:space="0"/>
            <w:bottom w:val="none" w:sz="0" w:space="0"/>
            <w:right w:val="none" w:sz="0" w:space="0"/>
          </w:pgBorders>
          <w:pgNumType w:fmt="decimal"/>
          <w:cols w:space="720" w:num="1"/>
        </w:sectPr>
      </w:pPr>
      <w:r>
        <w:rPr>
          <w:rFonts w:ascii="仿宋_GB2312" w:eastAsia="仿宋_GB2312"/>
          <w:b/>
          <w:highlight w:val="none"/>
        </w:rPr>
        <w:tab/>
      </w:r>
    </w:p>
    <w:p w14:paraId="2077D559">
      <w:pPr>
        <w:spacing w:line="360" w:lineRule="auto"/>
        <w:rPr>
          <w:rFonts w:ascii="宋体" w:hAnsi="宋体"/>
          <w:highlight w:val="none"/>
        </w:rPr>
      </w:pPr>
      <w:r>
        <w:rPr>
          <w:rFonts w:hint="eastAsia" w:ascii="宋体" w:hAnsi="宋体"/>
          <w:b/>
          <w:highlight w:val="none"/>
        </w:rPr>
        <w:t>附</w:t>
      </w:r>
      <w:r>
        <w:rPr>
          <w:rFonts w:hint="eastAsia" w:ascii="宋体" w:hAnsi="宋体"/>
          <w:b/>
          <w:highlight w:val="none"/>
          <w:lang w:val="en-US" w:eastAsia="zh-CN"/>
        </w:rPr>
        <w:t>录</w:t>
      </w:r>
      <w:r>
        <w:rPr>
          <w:rFonts w:hint="eastAsia"/>
          <w:b/>
          <w:highlight w:val="none"/>
        </w:rPr>
        <w:t>2</w:t>
      </w:r>
      <w:r>
        <w:rPr>
          <w:rFonts w:hint="eastAsia" w:ascii="宋体" w:hAnsi="宋体"/>
          <w:highlight w:val="none"/>
        </w:rPr>
        <w:t xml:space="preserve">  </w:t>
      </w:r>
    </w:p>
    <w:p w14:paraId="7CF6F09C">
      <w:pPr>
        <w:tabs>
          <w:tab w:val="left" w:pos="540"/>
        </w:tabs>
        <w:adjustRightInd w:val="0"/>
        <w:snapToGrid w:val="0"/>
        <w:jc w:val="center"/>
        <w:rPr>
          <w:rFonts w:ascii="宋体" w:hAnsi="宋体"/>
          <w:sz w:val="30"/>
          <w:szCs w:val="30"/>
          <w:highlight w:val="none"/>
        </w:rPr>
      </w:pPr>
      <w:r>
        <w:rPr>
          <w:rFonts w:hint="eastAsia" w:ascii="宋体" w:hAnsi="宋体"/>
          <w:sz w:val="30"/>
          <w:szCs w:val="30"/>
          <w:highlight w:val="none"/>
        </w:rPr>
        <w:t>订货通知单</w:t>
      </w:r>
    </w:p>
    <w:p w14:paraId="5D05F168">
      <w:pPr>
        <w:tabs>
          <w:tab w:val="left" w:pos="540"/>
        </w:tabs>
        <w:adjustRightInd w:val="0"/>
        <w:snapToGrid w:val="0"/>
        <w:rPr>
          <w:rFonts w:ascii="宋体" w:hAnsi="宋体"/>
          <w:szCs w:val="21"/>
          <w:highlight w:val="none"/>
        </w:rPr>
      </w:pPr>
      <w:r>
        <w:rPr>
          <w:rFonts w:hint="eastAsia" w:ascii="宋体" w:hAnsi="宋体"/>
          <w:szCs w:val="21"/>
          <w:highlight w:val="none"/>
        </w:rPr>
        <w:t xml:space="preserve">                                                                                                       </w:t>
      </w:r>
      <w:r>
        <w:rPr>
          <w:rFonts w:ascii="宋体" w:hAnsi="宋体"/>
          <w:szCs w:val="21"/>
          <w:highlight w:val="none"/>
        </w:rPr>
        <w:t xml:space="preserve"> </w:t>
      </w:r>
      <w:r>
        <w:rPr>
          <w:rFonts w:hint="eastAsia" w:ascii="宋体" w:hAnsi="宋体"/>
          <w:szCs w:val="21"/>
          <w:highlight w:val="none"/>
        </w:rPr>
        <w:t>编号</w:t>
      </w:r>
      <w:r>
        <w:rPr>
          <w:color w:val="000000"/>
          <w:szCs w:val="21"/>
          <w:highlight w:val="none"/>
          <w:u w:val="single"/>
        </w:rPr>
        <w:t xml:space="preserve">     </w:t>
      </w:r>
      <w:r>
        <w:rPr>
          <w:rFonts w:hint="eastAsia"/>
          <w:color w:val="000000"/>
          <w:szCs w:val="21"/>
          <w:highlight w:val="none"/>
          <w:u w:val="single"/>
        </w:rPr>
        <w:t xml:space="preserve">      </w:t>
      </w:r>
      <w:r>
        <w:rPr>
          <w:color w:val="000000"/>
          <w:szCs w:val="21"/>
          <w:highlight w:val="none"/>
          <w:u w:val="single"/>
        </w:rPr>
        <w:t xml:space="preserve">                    </w:t>
      </w:r>
    </w:p>
    <w:p w14:paraId="1EAEE504">
      <w:pPr>
        <w:tabs>
          <w:tab w:val="left" w:pos="540"/>
        </w:tabs>
        <w:adjustRightInd w:val="0"/>
        <w:snapToGrid w:val="0"/>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highlight w:val="none"/>
          <w:u w:val="single"/>
        </w:rPr>
        <w:t xml:space="preserve">                              </w:t>
      </w:r>
      <w:r>
        <w:rPr>
          <w:rFonts w:hint="eastAsia" w:ascii="宋体" w:hAnsi="宋体"/>
          <w:szCs w:val="21"/>
          <w:highlight w:val="none"/>
        </w:rPr>
        <w:t>：</w:t>
      </w:r>
    </w:p>
    <w:p w14:paraId="713072F5">
      <w:pPr>
        <w:tabs>
          <w:tab w:val="left" w:pos="540"/>
        </w:tabs>
        <w:adjustRightInd w:val="0"/>
        <w:snapToGrid w:val="0"/>
        <w:spacing w:line="360" w:lineRule="auto"/>
        <w:ind w:firstLine="420" w:firstLineChars="200"/>
        <w:rPr>
          <w:rFonts w:ascii="宋体" w:hAnsi="宋体"/>
          <w:szCs w:val="21"/>
          <w:highlight w:val="none"/>
        </w:rPr>
      </w:pPr>
      <w:r>
        <w:rPr>
          <w:rFonts w:hint="eastAsia" w:ascii="宋体" w:hAnsi="宋体"/>
          <w:szCs w:val="21"/>
          <w:highlight w:val="none"/>
        </w:rPr>
        <w:t>根据</w:t>
      </w:r>
      <w:r>
        <w:rPr>
          <w:color w:val="000000"/>
          <w:szCs w:val="21"/>
          <w:highlight w:val="none"/>
          <w:u w:val="single"/>
        </w:rPr>
        <w:t xml:space="preserve">                    </w:t>
      </w:r>
      <w:r>
        <w:rPr>
          <w:rFonts w:hint="eastAsia" w:ascii="宋体" w:hAnsi="宋体"/>
          <w:szCs w:val="21"/>
          <w:highlight w:val="none"/>
        </w:rPr>
        <w:t>号合同（买卖框架合同）有关条款的规定，现通知贵公司，请将下列货物按质按量按时交付本合同指定地点。</w:t>
      </w:r>
    </w:p>
    <w:p w14:paraId="0B4A5403">
      <w:pPr>
        <w:spacing w:line="360" w:lineRule="auto"/>
        <w:jc w:val="center"/>
        <w:rPr>
          <w:rFonts w:ascii="宋体" w:hAnsi="宋体"/>
          <w:sz w:val="24"/>
          <w:highlight w:val="none"/>
        </w:rPr>
      </w:pPr>
      <w:r>
        <w:rPr>
          <w:rFonts w:hint="eastAsia" w:ascii="宋体" w:hAnsi="宋体"/>
          <w:sz w:val="24"/>
          <w:highlight w:val="none"/>
        </w:rPr>
        <w:t>货 物 清 单</w:t>
      </w:r>
    </w:p>
    <w:tbl>
      <w:tblPr>
        <w:tblStyle w:val="36"/>
        <w:tblW w:w="14997" w:type="dxa"/>
        <w:jc w:val="center"/>
        <w:tblLayout w:type="fixed"/>
        <w:tblCellMar>
          <w:top w:w="0" w:type="dxa"/>
          <w:left w:w="108" w:type="dxa"/>
          <w:bottom w:w="0" w:type="dxa"/>
          <w:right w:w="108" w:type="dxa"/>
        </w:tblCellMar>
      </w:tblPr>
      <w:tblGrid>
        <w:gridCol w:w="1056"/>
        <w:gridCol w:w="1787"/>
        <w:gridCol w:w="1710"/>
        <w:gridCol w:w="1455"/>
        <w:gridCol w:w="1095"/>
        <w:gridCol w:w="600"/>
        <w:gridCol w:w="774"/>
        <w:gridCol w:w="1326"/>
        <w:gridCol w:w="1571"/>
        <w:gridCol w:w="732"/>
        <w:gridCol w:w="1443"/>
        <w:gridCol w:w="1448"/>
      </w:tblGrid>
      <w:tr w14:paraId="60B6B56D">
        <w:tblPrEx>
          <w:tblCellMar>
            <w:top w:w="0" w:type="dxa"/>
            <w:left w:w="108" w:type="dxa"/>
            <w:bottom w:w="0" w:type="dxa"/>
            <w:right w:w="108" w:type="dxa"/>
          </w:tblCellMar>
        </w:tblPrEx>
        <w:trPr>
          <w:trHeight w:val="615" w:hRule="atLeast"/>
          <w:jc w:val="center"/>
        </w:trPr>
        <w:tc>
          <w:tcPr>
            <w:tcW w:w="1056" w:type="dxa"/>
            <w:tcBorders>
              <w:top w:val="single" w:color="auto" w:sz="4" w:space="0"/>
              <w:left w:val="single" w:color="auto" w:sz="4" w:space="0"/>
              <w:bottom w:val="single" w:color="auto" w:sz="4" w:space="0"/>
              <w:right w:val="single" w:color="auto" w:sz="4" w:space="0"/>
            </w:tcBorders>
            <w:noWrap w:val="0"/>
            <w:vAlign w:val="center"/>
          </w:tcPr>
          <w:p w14:paraId="365CE8D2">
            <w:pPr>
              <w:widowControl/>
              <w:jc w:val="center"/>
              <w:rPr>
                <w:rFonts w:ascii="宋体" w:hAnsi="宋体" w:cs="宋体"/>
                <w:kern w:val="0"/>
                <w:szCs w:val="21"/>
                <w:highlight w:val="none"/>
              </w:rPr>
            </w:pPr>
            <w:r>
              <w:rPr>
                <w:rFonts w:hint="eastAsia" w:ascii="宋体" w:hAnsi="宋体" w:cs="宋体"/>
                <w:kern w:val="0"/>
                <w:szCs w:val="21"/>
                <w:highlight w:val="none"/>
              </w:rPr>
              <w:t>序号</w:t>
            </w:r>
          </w:p>
        </w:tc>
        <w:tc>
          <w:tcPr>
            <w:tcW w:w="1787" w:type="dxa"/>
            <w:tcBorders>
              <w:top w:val="single" w:color="auto" w:sz="4" w:space="0"/>
              <w:left w:val="nil"/>
              <w:bottom w:val="single" w:color="auto" w:sz="4" w:space="0"/>
              <w:right w:val="single" w:color="auto" w:sz="4" w:space="0"/>
            </w:tcBorders>
            <w:noWrap w:val="0"/>
            <w:vAlign w:val="center"/>
          </w:tcPr>
          <w:p w14:paraId="2E804ACA">
            <w:pPr>
              <w:widowControl/>
              <w:jc w:val="center"/>
              <w:rPr>
                <w:rFonts w:ascii="宋体" w:hAnsi="宋体" w:cs="宋体"/>
                <w:kern w:val="0"/>
                <w:szCs w:val="21"/>
                <w:highlight w:val="none"/>
              </w:rPr>
            </w:pPr>
            <w:r>
              <w:rPr>
                <w:rFonts w:hint="eastAsia" w:ascii="宋体" w:hAnsi="宋体" w:cs="宋体"/>
                <w:kern w:val="0"/>
                <w:szCs w:val="21"/>
                <w:highlight w:val="none"/>
              </w:rPr>
              <w:t>物资编码</w:t>
            </w:r>
          </w:p>
        </w:tc>
        <w:tc>
          <w:tcPr>
            <w:tcW w:w="1710" w:type="dxa"/>
            <w:tcBorders>
              <w:top w:val="single" w:color="auto" w:sz="4" w:space="0"/>
              <w:left w:val="nil"/>
              <w:bottom w:val="single" w:color="auto" w:sz="4" w:space="0"/>
              <w:right w:val="single" w:color="auto" w:sz="4" w:space="0"/>
            </w:tcBorders>
            <w:noWrap w:val="0"/>
            <w:vAlign w:val="center"/>
          </w:tcPr>
          <w:p w14:paraId="70EEEBFE">
            <w:pPr>
              <w:widowControl/>
              <w:jc w:val="center"/>
              <w:rPr>
                <w:rFonts w:ascii="宋体" w:hAnsi="宋体" w:cs="宋体"/>
                <w:kern w:val="0"/>
                <w:szCs w:val="21"/>
                <w:highlight w:val="none"/>
              </w:rPr>
            </w:pPr>
            <w:r>
              <w:rPr>
                <w:rFonts w:hint="eastAsia" w:ascii="宋体" w:hAnsi="宋体" w:cs="宋体"/>
                <w:kern w:val="0"/>
                <w:szCs w:val="21"/>
                <w:highlight w:val="none"/>
              </w:rPr>
              <w:t>名称</w:t>
            </w:r>
          </w:p>
        </w:tc>
        <w:tc>
          <w:tcPr>
            <w:tcW w:w="1455" w:type="dxa"/>
            <w:tcBorders>
              <w:top w:val="single" w:color="auto" w:sz="4" w:space="0"/>
              <w:left w:val="nil"/>
              <w:bottom w:val="single" w:color="auto" w:sz="4" w:space="0"/>
              <w:right w:val="single" w:color="auto" w:sz="4" w:space="0"/>
            </w:tcBorders>
            <w:noWrap w:val="0"/>
            <w:vAlign w:val="center"/>
          </w:tcPr>
          <w:p w14:paraId="3E4A2B23">
            <w:pPr>
              <w:widowControl/>
              <w:jc w:val="center"/>
              <w:rPr>
                <w:rFonts w:ascii="宋体" w:hAnsi="宋体" w:cs="宋体"/>
                <w:kern w:val="0"/>
                <w:szCs w:val="21"/>
                <w:highlight w:val="none"/>
              </w:rPr>
            </w:pPr>
            <w:r>
              <w:rPr>
                <w:rFonts w:hint="eastAsia" w:ascii="宋体" w:hAnsi="宋体" w:cs="宋体"/>
                <w:kern w:val="0"/>
                <w:szCs w:val="21"/>
                <w:highlight w:val="none"/>
              </w:rPr>
              <w:t>规格/型号</w:t>
            </w:r>
          </w:p>
        </w:tc>
        <w:tc>
          <w:tcPr>
            <w:tcW w:w="1095" w:type="dxa"/>
            <w:tcBorders>
              <w:top w:val="single" w:color="auto" w:sz="4" w:space="0"/>
              <w:left w:val="nil"/>
              <w:bottom w:val="single" w:color="auto" w:sz="4" w:space="0"/>
              <w:right w:val="single" w:color="auto" w:sz="4" w:space="0"/>
            </w:tcBorders>
            <w:noWrap w:val="0"/>
            <w:vAlign w:val="center"/>
          </w:tcPr>
          <w:p w14:paraId="2550BA4C">
            <w:pPr>
              <w:widowControl/>
              <w:jc w:val="center"/>
              <w:rPr>
                <w:rFonts w:ascii="宋体" w:hAnsi="宋体" w:cs="宋体"/>
                <w:kern w:val="0"/>
                <w:szCs w:val="21"/>
                <w:highlight w:val="none"/>
              </w:rPr>
            </w:pPr>
            <w:r>
              <w:rPr>
                <w:rFonts w:hint="eastAsia" w:ascii="宋体" w:hAnsi="宋体" w:cs="宋体"/>
                <w:kern w:val="0"/>
                <w:szCs w:val="21"/>
                <w:highlight w:val="none"/>
              </w:rPr>
              <w:t>品牌/制造商</w:t>
            </w:r>
          </w:p>
        </w:tc>
        <w:tc>
          <w:tcPr>
            <w:tcW w:w="600" w:type="dxa"/>
            <w:tcBorders>
              <w:top w:val="single" w:color="auto" w:sz="4" w:space="0"/>
              <w:left w:val="nil"/>
              <w:bottom w:val="single" w:color="auto" w:sz="4" w:space="0"/>
              <w:right w:val="single" w:color="auto" w:sz="4" w:space="0"/>
            </w:tcBorders>
            <w:noWrap w:val="0"/>
            <w:vAlign w:val="center"/>
          </w:tcPr>
          <w:p w14:paraId="67ADA69F">
            <w:pPr>
              <w:widowControl/>
              <w:jc w:val="center"/>
              <w:rPr>
                <w:rFonts w:ascii="宋体" w:hAnsi="宋体" w:cs="宋体"/>
                <w:kern w:val="0"/>
                <w:szCs w:val="21"/>
                <w:highlight w:val="none"/>
              </w:rPr>
            </w:pPr>
            <w:r>
              <w:rPr>
                <w:rFonts w:hint="eastAsia" w:ascii="宋体" w:hAnsi="宋体" w:cs="宋体"/>
                <w:kern w:val="0"/>
                <w:szCs w:val="21"/>
                <w:highlight w:val="none"/>
              </w:rPr>
              <w:t>单位</w:t>
            </w:r>
          </w:p>
        </w:tc>
        <w:tc>
          <w:tcPr>
            <w:tcW w:w="774" w:type="dxa"/>
            <w:tcBorders>
              <w:top w:val="single" w:color="auto" w:sz="4" w:space="0"/>
              <w:left w:val="nil"/>
              <w:bottom w:val="single" w:color="auto" w:sz="4" w:space="0"/>
              <w:right w:val="single" w:color="auto" w:sz="4" w:space="0"/>
            </w:tcBorders>
            <w:noWrap w:val="0"/>
            <w:vAlign w:val="center"/>
          </w:tcPr>
          <w:p w14:paraId="2B870BA3">
            <w:pPr>
              <w:widowControl/>
              <w:jc w:val="center"/>
              <w:rPr>
                <w:rFonts w:ascii="宋体" w:hAnsi="宋体" w:cs="宋体"/>
                <w:kern w:val="0"/>
                <w:szCs w:val="21"/>
                <w:highlight w:val="none"/>
              </w:rPr>
            </w:pPr>
            <w:r>
              <w:rPr>
                <w:rFonts w:hint="eastAsia" w:ascii="宋体" w:hAnsi="宋体" w:cs="宋体"/>
                <w:kern w:val="0"/>
                <w:szCs w:val="21"/>
                <w:highlight w:val="none"/>
              </w:rPr>
              <w:t>数量</w:t>
            </w:r>
          </w:p>
        </w:tc>
        <w:tc>
          <w:tcPr>
            <w:tcW w:w="1326" w:type="dxa"/>
            <w:tcBorders>
              <w:top w:val="single" w:color="auto" w:sz="4" w:space="0"/>
              <w:left w:val="nil"/>
              <w:bottom w:val="single" w:color="auto" w:sz="4" w:space="0"/>
              <w:right w:val="single" w:color="auto" w:sz="4" w:space="0"/>
            </w:tcBorders>
            <w:noWrap w:val="0"/>
            <w:vAlign w:val="center"/>
          </w:tcPr>
          <w:p w14:paraId="409782BA">
            <w:pPr>
              <w:widowControl/>
              <w:jc w:val="center"/>
              <w:rPr>
                <w:rFonts w:ascii="宋体" w:hAnsi="宋体" w:cs="宋体"/>
                <w:kern w:val="0"/>
                <w:szCs w:val="21"/>
                <w:highlight w:val="none"/>
              </w:rPr>
            </w:pPr>
            <w:r>
              <w:rPr>
                <w:rFonts w:hint="eastAsia" w:ascii="宋体" w:hAnsi="宋体" w:cs="宋体"/>
                <w:kern w:val="0"/>
                <w:szCs w:val="21"/>
                <w:highlight w:val="none"/>
              </w:rPr>
              <w:t>不含税单价</w:t>
            </w:r>
          </w:p>
        </w:tc>
        <w:tc>
          <w:tcPr>
            <w:tcW w:w="1571" w:type="dxa"/>
            <w:tcBorders>
              <w:top w:val="single" w:color="auto" w:sz="4" w:space="0"/>
              <w:left w:val="nil"/>
              <w:bottom w:val="single" w:color="auto" w:sz="4" w:space="0"/>
              <w:right w:val="single" w:color="auto" w:sz="4" w:space="0"/>
            </w:tcBorders>
            <w:noWrap w:val="0"/>
            <w:vAlign w:val="center"/>
          </w:tcPr>
          <w:p w14:paraId="2854EFFD">
            <w:pPr>
              <w:widowControl/>
              <w:jc w:val="center"/>
              <w:rPr>
                <w:rFonts w:ascii="宋体" w:hAnsi="宋体" w:cs="宋体"/>
                <w:kern w:val="0"/>
                <w:szCs w:val="21"/>
                <w:highlight w:val="none"/>
              </w:rPr>
            </w:pPr>
            <w:r>
              <w:rPr>
                <w:rFonts w:hint="eastAsia" w:ascii="宋体" w:hAnsi="宋体" w:cs="宋体"/>
                <w:kern w:val="0"/>
                <w:szCs w:val="21"/>
                <w:highlight w:val="none"/>
              </w:rPr>
              <w:t>不含税金额</w:t>
            </w:r>
          </w:p>
        </w:tc>
        <w:tc>
          <w:tcPr>
            <w:tcW w:w="732" w:type="dxa"/>
            <w:tcBorders>
              <w:top w:val="single" w:color="auto" w:sz="4" w:space="0"/>
              <w:left w:val="single" w:color="auto" w:sz="4" w:space="0"/>
              <w:bottom w:val="single" w:color="auto" w:sz="4" w:space="0"/>
              <w:right w:val="single" w:color="auto" w:sz="4" w:space="0"/>
            </w:tcBorders>
            <w:noWrap w:val="0"/>
            <w:vAlign w:val="center"/>
          </w:tcPr>
          <w:p w14:paraId="0DBF085C">
            <w:pPr>
              <w:widowControl/>
              <w:jc w:val="center"/>
              <w:rPr>
                <w:rFonts w:ascii="宋体" w:hAnsi="宋体" w:cs="宋体"/>
                <w:kern w:val="0"/>
                <w:szCs w:val="21"/>
                <w:highlight w:val="none"/>
              </w:rPr>
            </w:pPr>
            <w:r>
              <w:rPr>
                <w:rFonts w:hint="eastAsia" w:ascii="宋体" w:hAnsi="宋体" w:cs="宋体"/>
                <w:kern w:val="0"/>
                <w:szCs w:val="21"/>
                <w:highlight w:val="none"/>
              </w:rPr>
              <w:t>税率</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1ACEA28D">
            <w:pPr>
              <w:widowControl/>
              <w:jc w:val="center"/>
              <w:rPr>
                <w:rFonts w:ascii="宋体" w:hAnsi="宋体" w:cs="宋体"/>
                <w:kern w:val="0"/>
                <w:szCs w:val="21"/>
                <w:highlight w:val="none"/>
              </w:rPr>
            </w:pPr>
            <w:r>
              <w:rPr>
                <w:rFonts w:hint="eastAsia" w:ascii="宋体" w:hAnsi="宋体" w:cs="宋体"/>
                <w:kern w:val="0"/>
                <w:szCs w:val="21"/>
                <w:highlight w:val="none"/>
              </w:rPr>
              <w:t>税额</w:t>
            </w:r>
          </w:p>
        </w:tc>
        <w:tc>
          <w:tcPr>
            <w:tcW w:w="1448" w:type="dxa"/>
            <w:tcBorders>
              <w:top w:val="single" w:color="auto" w:sz="4" w:space="0"/>
              <w:left w:val="single" w:color="auto" w:sz="4" w:space="0"/>
              <w:bottom w:val="single" w:color="auto" w:sz="4" w:space="0"/>
              <w:right w:val="single" w:color="auto" w:sz="4" w:space="0"/>
            </w:tcBorders>
            <w:noWrap w:val="0"/>
            <w:vAlign w:val="center"/>
          </w:tcPr>
          <w:p w14:paraId="4D2BF7EF">
            <w:pPr>
              <w:widowControl/>
              <w:jc w:val="center"/>
              <w:rPr>
                <w:rFonts w:ascii="宋体" w:hAnsi="宋体" w:cs="宋体"/>
                <w:kern w:val="0"/>
                <w:szCs w:val="21"/>
                <w:highlight w:val="none"/>
              </w:rPr>
            </w:pPr>
            <w:r>
              <w:rPr>
                <w:rFonts w:hint="eastAsia" w:ascii="宋体" w:hAnsi="宋体" w:cs="宋体"/>
                <w:kern w:val="0"/>
                <w:szCs w:val="21"/>
                <w:highlight w:val="none"/>
              </w:rPr>
              <w:t>交货日期</w:t>
            </w:r>
          </w:p>
        </w:tc>
      </w:tr>
      <w:tr w14:paraId="02C446D0">
        <w:tblPrEx>
          <w:tblCellMar>
            <w:top w:w="0" w:type="dxa"/>
            <w:left w:w="108" w:type="dxa"/>
            <w:bottom w:w="0" w:type="dxa"/>
            <w:right w:w="108" w:type="dxa"/>
          </w:tblCellMar>
        </w:tblPrEx>
        <w:trPr>
          <w:trHeight w:val="454" w:hRule="atLeast"/>
          <w:jc w:val="center"/>
        </w:trPr>
        <w:tc>
          <w:tcPr>
            <w:tcW w:w="1056" w:type="dxa"/>
            <w:tcBorders>
              <w:top w:val="nil"/>
              <w:left w:val="single" w:color="auto" w:sz="4" w:space="0"/>
              <w:bottom w:val="single" w:color="auto" w:sz="4" w:space="0"/>
              <w:right w:val="single" w:color="auto" w:sz="4" w:space="0"/>
            </w:tcBorders>
            <w:noWrap w:val="0"/>
            <w:vAlign w:val="center"/>
          </w:tcPr>
          <w:p w14:paraId="79DEBD3E">
            <w:pPr>
              <w:widowControl/>
              <w:jc w:val="center"/>
              <w:rPr>
                <w:rFonts w:ascii="宋体" w:hAnsi="宋体" w:cs="宋体"/>
                <w:kern w:val="0"/>
                <w:szCs w:val="21"/>
                <w:highlight w:val="none"/>
              </w:rPr>
            </w:pPr>
            <w:r>
              <w:rPr>
                <w:rFonts w:hint="eastAsia" w:ascii="宋体" w:hAnsi="宋体" w:cs="宋体"/>
                <w:kern w:val="0"/>
                <w:szCs w:val="21"/>
                <w:highlight w:val="none"/>
              </w:rPr>
              <w:t>1</w:t>
            </w:r>
          </w:p>
        </w:tc>
        <w:tc>
          <w:tcPr>
            <w:tcW w:w="1787" w:type="dxa"/>
            <w:tcBorders>
              <w:top w:val="nil"/>
              <w:left w:val="nil"/>
              <w:bottom w:val="single" w:color="auto" w:sz="4" w:space="0"/>
              <w:right w:val="single" w:color="auto" w:sz="4" w:space="0"/>
            </w:tcBorders>
            <w:noWrap w:val="0"/>
            <w:vAlign w:val="center"/>
          </w:tcPr>
          <w:p w14:paraId="150410B1">
            <w:pPr>
              <w:widowControl/>
              <w:jc w:val="left"/>
              <w:rPr>
                <w:rFonts w:ascii="宋体" w:hAnsi="宋体" w:cs="宋体"/>
                <w:kern w:val="0"/>
                <w:szCs w:val="21"/>
                <w:highlight w:val="none"/>
              </w:rPr>
            </w:pPr>
          </w:p>
        </w:tc>
        <w:tc>
          <w:tcPr>
            <w:tcW w:w="1710" w:type="dxa"/>
            <w:tcBorders>
              <w:top w:val="nil"/>
              <w:left w:val="nil"/>
              <w:bottom w:val="single" w:color="auto" w:sz="4" w:space="0"/>
              <w:right w:val="single" w:color="auto" w:sz="4" w:space="0"/>
            </w:tcBorders>
            <w:noWrap w:val="0"/>
            <w:vAlign w:val="center"/>
          </w:tcPr>
          <w:p w14:paraId="472114B0">
            <w:pPr>
              <w:widowControl/>
              <w:jc w:val="left"/>
              <w:rPr>
                <w:rFonts w:ascii="宋体" w:hAnsi="宋体" w:cs="宋体"/>
                <w:kern w:val="0"/>
                <w:szCs w:val="21"/>
                <w:highlight w:val="none"/>
              </w:rPr>
            </w:pPr>
          </w:p>
        </w:tc>
        <w:tc>
          <w:tcPr>
            <w:tcW w:w="1455" w:type="dxa"/>
            <w:tcBorders>
              <w:top w:val="nil"/>
              <w:left w:val="nil"/>
              <w:bottom w:val="single" w:color="auto" w:sz="4" w:space="0"/>
              <w:right w:val="single" w:color="auto" w:sz="4" w:space="0"/>
            </w:tcBorders>
            <w:noWrap w:val="0"/>
            <w:vAlign w:val="center"/>
          </w:tcPr>
          <w:p w14:paraId="0AD71BB7">
            <w:pPr>
              <w:widowControl/>
              <w:jc w:val="left"/>
              <w:rPr>
                <w:rFonts w:ascii="宋体" w:hAnsi="宋体" w:cs="宋体"/>
                <w:kern w:val="0"/>
                <w:szCs w:val="21"/>
                <w:highlight w:val="none"/>
              </w:rPr>
            </w:pPr>
          </w:p>
        </w:tc>
        <w:tc>
          <w:tcPr>
            <w:tcW w:w="1095" w:type="dxa"/>
            <w:tcBorders>
              <w:top w:val="nil"/>
              <w:left w:val="nil"/>
              <w:bottom w:val="single" w:color="auto" w:sz="4" w:space="0"/>
              <w:right w:val="single" w:color="auto" w:sz="4" w:space="0"/>
            </w:tcBorders>
            <w:noWrap w:val="0"/>
            <w:vAlign w:val="center"/>
          </w:tcPr>
          <w:p w14:paraId="5569C676">
            <w:pPr>
              <w:widowControl/>
              <w:jc w:val="left"/>
              <w:rPr>
                <w:rFonts w:ascii="宋体" w:hAnsi="宋体" w:cs="宋体"/>
                <w:kern w:val="0"/>
                <w:szCs w:val="21"/>
                <w:highlight w:val="none"/>
              </w:rPr>
            </w:pPr>
          </w:p>
        </w:tc>
        <w:tc>
          <w:tcPr>
            <w:tcW w:w="600" w:type="dxa"/>
            <w:tcBorders>
              <w:top w:val="nil"/>
              <w:left w:val="nil"/>
              <w:bottom w:val="single" w:color="auto" w:sz="4" w:space="0"/>
              <w:right w:val="single" w:color="auto" w:sz="4" w:space="0"/>
            </w:tcBorders>
            <w:noWrap w:val="0"/>
            <w:vAlign w:val="center"/>
          </w:tcPr>
          <w:p w14:paraId="457069EA">
            <w:pPr>
              <w:widowControl/>
              <w:rPr>
                <w:rFonts w:ascii="宋体" w:hAnsi="宋体" w:cs="宋体"/>
                <w:kern w:val="0"/>
                <w:szCs w:val="21"/>
                <w:highlight w:val="none"/>
              </w:rPr>
            </w:pPr>
            <w:r>
              <w:rPr>
                <w:rFonts w:hint="eastAsia" w:ascii="宋体" w:hAnsi="宋体" w:cs="宋体"/>
                <w:kern w:val="0"/>
                <w:szCs w:val="21"/>
                <w:highlight w:val="none"/>
              </w:rPr>
              <w:t xml:space="preserve">  </w:t>
            </w:r>
          </w:p>
        </w:tc>
        <w:tc>
          <w:tcPr>
            <w:tcW w:w="774" w:type="dxa"/>
            <w:tcBorders>
              <w:top w:val="nil"/>
              <w:left w:val="nil"/>
              <w:bottom w:val="single" w:color="auto" w:sz="4" w:space="0"/>
              <w:right w:val="single" w:color="auto" w:sz="4" w:space="0"/>
            </w:tcBorders>
            <w:noWrap w:val="0"/>
            <w:vAlign w:val="center"/>
          </w:tcPr>
          <w:p w14:paraId="3B1E37D0">
            <w:pPr>
              <w:widowControl/>
              <w:jc w:val="center"/>
              <w:rPr>
                <w:rFonts w:ascii="宋体" w:hAnsi="宋体" w:cs="宋体"/>
                <w:kern w:val="0"/>
                <w:szCs w:val="21"/>
                <w:highlight w:val="none"/>
              </w:rPr>
            </w:pPr>
          </w:p>
        </w:tc>
        <w:tc>
          <w:tcPr>
            <w:tcW w:w="1326" w:type="dxa"/>
            <w:tcBorders>
              <w:top w:val="nil"/>
              <w:left w:val="nil"/>
              <w:bottom w:val="single" w:color="auto" w:sz="4" w:space="0"/>
              <w:right w:val="single" w:color="auto" w:sz="4" w:space="0"/>
            </w:tcBorders>
            <w:noWrap w:val="0"/>
            <w:vAlign w:val="center"/>
          </w:tcPr>
          <w:p w14:paraId="5BAE8A74">
            <w:pPr>
              <w:widowControl/>
              <w:jc w:val="center"/>
              <w:rPr>
                <w:rFonts w:ascii="宋体" w:hAnsi="宋体" w:cs="宋体"/>
                <w:kern w:val="0"/>
                <w:szCs w:val="21"/>
                <w:highlight w:val="none"/>
              </w:rPr>
            </w:pPr>
          </w:p>
        </w:tc>
        <w:tc>
          <w:tcPr>
            <w:tcW w:w="1571" w:type="dxa"/>
            <w:tcBorders>
              <w:top w:val="single" w:color="auto" w:sz="4" w:space="0"/>
              <w:left w:val="nil"/>
              <w:bottom w:val="single" w:color="auto" w:sz="4" w:space="0"/>
              <w:right w:val="single" w:color="auto" w:sz="4" w:space="0"/>
            </w:tcBorders>
            <w:noWrap w:val="0"/>
            <w:vAlign w:val="top"/>
          </w:tcPr>
          <w:p w14:paraId="58C172AC">
            <w:pPr>
              <w:widowControl/>
              <w:jc w:val="right"/>
              <w:rPr>
                <w:rFonts w:ascii="宋体" w:hAnsi="宋体" w:cs="宋体"/>
                <w:kern w:val="0"/>
                <w:szCs w:val="21"/>
                <w:highlight w:val="none"/>
              </w:rPr>
            </w:pPr>
          </w:p>
        </w:tc>
        <w:tc>
          <w:tcPr>
            <w:tcW w:w="732" w:type="dxa"/>
            <w:tcBorders>
              <w:top w:val="single" w:color="auto" w:sz="4" w:space="0"/>
              <w:left w:val="single" w:color="auto" w:sz="4" w:space="0"/>
              <w:bottom w:val="single" w:color="auto" w:sz="4" w:space="0"/>
              <w:right w:val="single" w:color="auto" w:sz="4" w:space="0"/>
            </w:tcBorders>
            <w:noWrap w:val="0"/>
            <w:vAlign w:val="center"/>
          </w:tcPr>
          <w:p w14:paraId="5404BE8A">
            <w:pPr>
              <w:widowControl/>
              <w:jc w:val="right"/>
              <w:rPr>
                <w:rFonts w:ascii="宋体" w:hAnsi="宋体" w:cs="宋体"/>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top"/>
          </w:tcPr>
          <w:p w14:paraId="0416724B">
            <w:pPr>
              <w:widowControl/>
              <w:jc w:val="center"/>
              <w:rPr>
                <w:rFonts w:ascii="宋体" w:hAnsi="宋体" w:cs="宋体"/>
                <w:kern w:val="0"/>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372F8AA8">
            <w:pPr>
              <w:widowControl/>
              <w:jc w:val="center"/>
              <w:rPr>
                <w:rFonts w:ascii="宋体" w:hAnsi="宋体" w:cs="宋体"/>
                <w:kern w:val="0"/>
                <w:szCs w:val="21"/>
                <w:highlight w:val="none"/>
              </w:rPr>
            </w:pPr>
          </w:p>
        </w:tc>
      </w:tr>
      <w:tr w14:paraId="13AEE4D1">
        <w:tblPrEx>
          <w:tblCellMar>
            <w:top w:w="0" w:type="dxa"/>
            <w:left w:w="108" w:type="dxa"/>
            <w:bottom w:w="0" w:type="dxa"/>
            <w:right w:w="108" w:type="dxa"/>
          </w:tblCellMar>
        </w:tblPrEx>
        <w:trPr>
          <w:trHeight w:val="454" w:hRule="atLeast"/>
          <w:jc w:val="center"/>
        </w:trPr>
        <w:tc>
          <w:tcPr>
            <w:tcW w:w="1056" w:type="dxa"/>
            <w:tcBorders>
              <w:top w:val="nil"/>
              <w:left w:val="single" w:color="auto" w:sz="4" w:space="0"/>
              <w:bottom w:val="single" w:color="auto" w:sz="4" w:space="0"/>
              <w:right w:val="single" w:color="auto" w:sz="4" w:space="0"/>
            </w:tcBorders>
            <w:noWrap w:val="0"/>
            <w:vAlign w:val="center"/>
          </w:tcPr>
          <w:p w14:paraId="5097945F">
            <w:pPr>
              <w:widowControl/>
              <w:jc w:val="center"/>
              <w:rPr>
                <w:rFonts w:ascii="宋体" w:hAnsi="宋体" w:cs="宋体"/>
                <w:kern w:val="0"/>
                <w:szCs w:val="21"/>
                <w:highlight w:val="none"/>
              </w:rPr>
            </w:pPr>
            <w:r>
              <w:rPr>
                <w:rFonts w:hint="eastAsia" w:ascii="宋体" w:hAnsi="宋体" w:cs="宋体"/>
                <w:kern w:val="0"/>
                <w:szCs w:val="21"/>
                <w:highlight w:val="none"/>
              </w:rPr>
              <w:t>2</w:t>
            </w:r>
          </w:p>
        </w:tc>
        <w:tc>
          <w:tcPr>
            <w:tcW w:w="1787" w:type="dxa"/>
            <w:tcBorders>
              <w:top w:val="nil"/>
              <w:left w:val="nil"/>
              <w:bottom w:val="single" w:color="auto" w:sz="4" w:space="0"/>
              <w:right w:val="single" w:color="auto" w:sz="4" w:space="0"/>
            </w:tcBorders>
            <w:noWrap w:val="0"/>
            <w:vAlign w:val="center"/>
          </w:tcPr>
          <w:p w14:paraId="21D53789">
            <w:pPr>
              <w:widowControl/>
              <w:jc w:val="left"/>
              <w:rPr>
                <w:rFonts w:ascii="宋体" w:hAnsi="宋体" w:cs="宋体"/>
                <w:kern w:val="0"/>
                <w:szCs w:val="21"/>
                <w:highlight w:val="none"/>
              </w:rPr>
            </w:pPr>
          </w:p>
        </w:tc>
        <w:tc>
          <w:tcPr>
            <w:tcW w:w="1710" w:type="dxa"/>
            <w:tcBorders>
              <w:top w:val="nil"/>
              <w:left w:val="nil"/>
              <w:bottom w:val="single" w:color="auto" w:sz="4" w:space="0"/>
              <w:right w:val="single" w:color="auto" w:sz="4" w:space="0"/>
            </w:tcBorders>
            <w:noWrap w:val="0"/>
            <w:vAlign w:val="center"/>
          </w:tcPr>
          <w:p w14:paraId="246ED276">
            <w:pPr>
              <w:widowControl/>
              <w:jc w:val="left"/>
              <w:rPr>
                <w:rFonts w:ascii="宋体" w:hAnsi="宋体" w:cs="宋体"/>
                <w:kern w:val="0"/>
                <w:szCs w:val="21"/>
                <w:highlight w:val="none"/>
              </w:rPr>
            </w:pPr>
          </w:p>
        </w:tc>
        <w:tc>
          <w:tcPr>
            <w:tcW w:w="1455" w:type="dxa"/>
            <w:tcBorders>
              <w:top w:val="nil"/>
              <w:left w:val="nil"/>
              <w:bottom w:val="single" w:color="auto" w:sz="4" w:space="0"/>
              <w:right w:val="single" w:color="auto" w:sz="4" w:space="0"/>
            </w:tcBorders>
            <w:noWrap w:val="0"/>
            <w:vAlign w:val="center"/>
          </w:tcPr>
          <w:p w14:paraId="7507E048">
            <w:pPr>
              <w:widowControl/>
              <w:jc w:val="left"/>
              <w:rPr>
                <w:rFonts w:ascii="宋体" w:hAnsi="宋体" w:cs="宋体"/>
                <w:kern w:val="0"/>
                <w:szCs w:val="21"/>
                <w:highlight w:val="none"/>
              </w:rPr>
            </w:pPr>
          </w:p>
        </w:tc>
        <w:tc>
          <w:tcPr>
            <w:tcW w:w="1095" w:type="dxa"/>
            <w:tcBorders>
              <w:top w:val="nil"/>
              <w:left w:val="nil"/>
              <w:bottom w:val="single" w:color="auto" w:sz="4" w:space="0"/>
              <w:right w:val="single" w:color="auto" w:sz="4" w:space="0"/>
            </w:tcBorders>
            <w:noWrap w:val="0"/>
            <w:vAlign w:val="center"/>
          </w:tcPr>
          <w:p w14:paraId="5AE3C90D">
            <w:pPr>
              <w:widowControl/>
              <w:jc w:val="left"/>
              <w:rPr>
                <w:rFonts w:ascii="宋体" w:hAnsi="宋体" w:cs="宋体"/>
                <w:kern w:val="0"/>
                <w:szCs w:val="21"/>
                <w:highlight w:val="none"/>
              </w:rPr>
            </w:pPr>
          </w:p>
        </w:tc>
        <w:tc>
          <w:tcPr>
            <w:tcW w:w="600" w:type="dxa"/>
            <w:tcBorders>
              <w:top w:val="nil"/>
              <w:left w:val="nil"/>
              <w:bottom w:val="single" w:color="auto" w:sz="4" w:space="0"/>
              <w:right w:val="single" w:color="auto" w:sz="4" w:space="0"/>
            </w:tcBorders>
            <w:noWrap w:val="0"/>
            <w:vAlign w:val="center"/>
          </w:tcPr>
          <w:p w14:paraId="0CABF314">
            <w:pPr>
              <w:widowControl/>
              <w:rPr>
                <w:rFonts w:ascii="宋体" w:hAnsi="宋体" w:cs="宋体"/>
                <w:kern w:val="0"/>
                <w:szCs w:val="21"/>
                <w:highlight w:val="none"/>
              </w:rPr>
            </w:pPr>
            <w:r>
              <w:rPr>
                <w:rFonts w:hint="eastAsia" w:ascii="宋体" w:hAnsi="宋体" w:cs="宋体"/>
                <w:kern w:val="0"/>
                <w:szCs w:val="21"/>
                <w:highlight w:val="none"/>
              </w:rPr>
              <w:t xml:space="preserve">  </w:t>
            </w:r>
          </w:p>
        </w:tc>
        <w:tc>
          <w:tcPr>
            <w:tcW w:w="774" w:type="dxa"/>
            <w:tcBorders>
              <w:top w:val="nil"/>
              <w:left w:val="nil"/>
              <w:bottom w:val="single" w:color="auto" w:sz="4" w:space="0"/>
              <w:right w:val="single" w:color="auto" w:sz="4" w:space="0"/>
            </w:tcBorders>
            <w:noWrap w:val="0"/>
            <w:vAlign w:val="center"/>
          </w:tcPr>
          <w:p w14:paraId="0FEA3A2E">
            <w:pPr>
              <w:widowControl/>
              <w:jc w:val="center"/>
              <w:rPr>
                <w:rFonts w:ascii="宋体" w:hAnsi="宋体" w:cs="宋体"/>
                <w:kern w:val="0"/>
                <w:szCs w:val="21"/>
                <w:highlight w:val="none"/>
              </w:rPr>
            </w:pPr>
          </w:p>
        </w:tc>
        <w:tc>
          <w:tcPr>
            <w:tcW w:w="1326" w:type="dxa"/>
            <w:tcBorders>
              <w:top w:val="nil"/>
              <w:left w:val="nil"/>
              <w:bottom w:val="single" w:color="auto" w:sz="4" w:space="0"/>
              <w:right w:val="single" w:color="auto" w:sz="4" w:space="0"/>
            </w:tcBorders>
            <w:noWrap w:val="0"/>
            <w:vAlign w:val="center"/>
          </w:tcPr>
          <w:p w14:paraId="5B9FF576">
            <w:pPr>
              <w:widowControl/>
              <w:jc w:val="center"/>
              <w:rPr>
                <w:rFonts w:ascii="宋体" w:hAnsi="宋体" w:cs="宋体"/>
                <w:kern w:val="0"/>
                <w:szCs w:val="21"/>
                <w:highlight w:val="none"/>
              </w:rPr>
            </w:pPr>
          </w:p>
        </w:tc>
        <w:tc>
          <w:tcPr>
            <w:tcW w:w="1571" w:type="dxa"/>
            <w:tcBorders>
              <w:top w:val="single" w:color="auto" w:sz="4" w:space="0"/>
              <w:left w:val="nil"/>
              <w:bottom w:val="single" w:color="auto" w:sz="4" w:space="0"/>
              <w:right w:val="single" w:color="auto" w:sz="4" w:space="0"/>
            </w:tcBorders>
            <w:noWrap w:val="0"/>
            <w:vAlign w:val="top"/>
          </w:tcPr>
          <w:p w14:paraId="0959B871">
            <w:pPr>
              <w:widowControl/>
              <w:jc w:val="right"/>
              <w:rPr>
                <w:rFonts w:ascii="宋体" w:hAnsi="宋体" w:cs="宋体"/>
                <w:kern w:val="0"/>
                <w:szCs w:val="21"/>
                <w:highlight w:val="none"/>
              </w:rPr>
            </w:pPr>
          </w:p>
        </w:tc>
        <w:tc>
          <w:tcPr>
            <w:tcW w:w="732" w:type="dxa"/>
            <w:tcBorders>
              <w:top w:val="single" w:color="auto" w:sz="4" w:space="0"/>
              <w:left w:val="single" w:color="auto" w:sz="4" w:space="0"/>
              <w:bottom w:val="single" w:color="auto" w:sz="4" w:space="0"/>
              <w:right w:val="single" w:color="auto" w:sz="4" w:space="0"/>
            </w:tcBorders>
            <w:noWrap w:val="0"/>
            <w:vAlign w:val="center"/>
          </w:tcPr>
          <w:p w14:paraId="1426B7C6">
            <w:pPr>
              <w:widowControl/>
              <w:jc w:val="right"/>
              <w:rPr>
                <w:rFonts w:ascii="宋体" w:hAnsi="宋体" w:cs="宋体"/>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top"/>
          </w:tcPr>
          <w:p w14:paraId="4412C54C">
            <w:pPr>
              <w:widowControl/>
              <w:jc w:val="center"/>
              <w:rPr>
                <w:rFonts w:ascii="宋体" w:hAnsi="宋体" w:cs="宋体"/>
                <w:kern w:val="0"/>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0098CF9F">
            <w:pPr>
              <w:widowControl/>
              <w:jc w:val="center"/>
              <w:rPr>
                <w:rFonts w:ascii="宋体" w:hAnsi="宋体" w:cs="宋体"/>
                <w:kern w:val="0"/>
                <w:szCs w:val="21"/>
                <w:highlight w:val="none"/>
              </w:rPr>
            </w:pPr>
          </w:p>
        </w:tc>
      </w:tr>
      <w:tr w14:paraId="46310E7A">
        <w:tblPrEx>
          <w:tblCellMar>
            <w:top w:w="0" w:type="dxa"/>
            <w:left w:w="108" w:type="dxa"/>
            <w:bottom w:w="0" w:type="dxa"/>
            <w:right w:w="108" w:type="dxa"/>
          </w:tblCellMar>
        </w:tblPrEx>
        <w:trPr>
          <w:trHeight w:val="454" w:hRule="atLeast"/>
          <w:jc w:val="center"/>
        </w:trPr>
        <w:tc>
          <w:tcPr>
            <w:tcW w:w="1056" w:type="dxa"/>
            <w:tcBorders>
              <w:top w:val="nil"/>
              <w:left w:val="single" w:color="auto" w:sz="4" w:space="0"/>
              <w:bottom w:val="single" w:color="auto" w:sz="4" w:space="0"/>
              <w:right w:val="single" w:color="auto" w:sz="4" w:space="0"/>
            </w:tcBorders>
            <w:noWrap w:val="0"/>
            <w:vAlign w:val="center"/>
          </w:tcPr>
          <w:p w14:paraId="31A18C09">
            <w:pPr>
              <w:widowControl/>
              <w:jc w:val="center"/>
              <w:rPr>
                <w:rFonts w:ascii="宋体" w:hAnsi="宋体" w:cs="宋体"/>
                <w:kern w:val="0"/>
                <w:szCs w:val="21"/>
                <w:highlight w:val="none"/>
              </w:rPr>
            </w:pPr>
            <w:r>
              <w:rPr>
                <w:rFonts w:hint="eastAsia" w:ascii="宋体" w:hAnsi="宋体" w:cs="宋体"/>
                <w:kern w:val="0"/>
                <w:szCs w:val="21"/>
                <w:highlight w:val="none"/>
              </w:rPr>
              <w:t>3</w:t>
            </w:r>
          </w:p>
        </w:tc>
        <w:tc>
          <w:tcPr>
            <w:tcW w:w="1787" w:type="dxa"/>
            <w:tcBorders>
              <w:top w:val="nil"/>
              <w:left w:val="nil"/>
              <w:bottom w:val="single" w:color="auto" w:sz="4" w:space="0"/>
              <w:right w:val="single" w:color="auto" w:sz="4" w:space="0"/>
            </w:tcBorders>
            <w:noWrap w:val="0"/>
            <w:vAlign w:val="center"/>
          </w:tcPr>
          <w:p w14:paraId="38D830B7">
            <w:pPr>
              <w:widowControl/>
              <w:jc w:val="left"/>
              <w:rPr>
                <w:rFonts w:ascii="宋体" w:hAnsi="宋体" w:cs="宋体"/>
                <w:kern w:val="0"/>
                <w:szCs w:val="21"/>
                <w:highlight w:val="none"/>
              </w:rPr>
            </w:pPr>
          </w:p>
        </w:tc>
        <w:tc>
          <w:tcPr>
            <w:tcW w:w="1710" w:type="dxa"/>
            <w:tcBorders>
              <w:top w:val="nil"/>
              <w:left w:val="nil"/>
              <w:bottom w:val="single" w:color="auto" w:sz="4" w:space="0"/>
              <w:right w:val="single" w:color="auto" w:sz="4" w:space="0"/>
            </w:tcBorders>
            <w:noWrap w:val="0"/>
            <w:vAlign w:val="center"/>
          </w:tcPr>
          <w:p w14:paraId="6B58669C">
            <w:pPr>
              <w:widowControl/>
              <w:jc w:val="left"/>
              <w:rPr>
                <w:rFonts w:ascii="宋体" w:hAnsi="宋体" w:cs="宋体"/>
                <w:kern w:val="0"/>
                <w:szCs w:val="21"/>
                <w:highlight w:val="none"/>
              </w:rPr>
            </w:pPr>
          </w:p>
        </w:tc>
        <w:tc>
          <w:tcPr>
            <w:tcW w:w="1455" w:type="dxa"/>
            <w:tcBorders>
              <w:top w:val="nil"/>
              <w:left w:val="nil"/>
              <w:bottom w:val="single" w:color="auto" w:sz="4" w:space="0"/>
              <w:right w:val="single" w:color="auto" w:sz="4" w:space="0"/>
            </w:tcBorders>
            <w:noWrap w:val="0"/>
            <w:vAlign w:val="center"/>
          </w:tcPr>
          <w:p w14:paraId="6C8575D9">
            <w:pPr>
              <w:widowControl/>
              <w:jc w:val="left"/>
              <w:rPr>
                <w:rFonts w:ascii="宋体" w:hAnsi="宋体" w:cs="宋体"/>
                <w:kern w:val="0"/>
                <w:szCs w:val="21"/>
                <w:highlight w:val="none"/>
              </w:rPr>
            </w:pPr>
          </w:p>
        </w:tc>
        <w:tc>
          <w:tcPr>
            <w:tcW w:w="1095" w:type="dxa"/>
            <w:tcBorders>
              <w:top w:val="nil"/>
              <w:left w:val="nil"/>
              <w:bottom w:val="single" w:color="auto" w:sz="4" w:space="0"/>
              <w:right w:val="single" w:color="auto" w:sz="4" w:space="0"/>
            </w:tcBorders>
            <w:noWrap w:val="0"/>
            <w:vAlign w:val="center"/>
          </w:tcPr>
          <w:p w14:paraId="4FDB4031">
            <w:pPr>
              <w:widowControl/>
              <w:jc w:val="left"/>
              <w:rPr>
                <w:rFonts w:ascii="宋体" w:hAnsi="宋体" w:cs="宋体"/>
                <w:kern w:val="0"/>
                <w:szCs w:val="21"/>
                <w:highlight w:val="none"/>
              </w:rPr>
            </w:pPr>
          </w:p>
        </w:tc>
        <w:tc>
          <w:tcPr>
            <w:tcW w:w="600" w:type="dxa"/>
            <w:tcBorders>
              <w:top w:val="nil"/>
              <w:left w:val="nil"/>
              <w:bottom w:val="single" w:color="auto" w:sz="4" w:space="0"/>
              <w:right w:val="single" w:color="auto" w:sz="4" w:space="0"/>
            </w:tcBorders>
            <w:noWrap w:val="0"/>
            <w:vAlign w:val="center"/>
          </w:tcPr>
          <w:p w14:paraId="350C99AF">
            <w:pPr>
              <w:widowControl/>
              <w:jc w:val="center"/>
              <w:rPr>
                <w:rFonts w:ascii="宋体" w:hAnsi="宋体" w:cs="宋体"/>
                <w:kern w:val="0"/>
                <w:szCs w:val="21"/>
                <w:highlight w:val="none"/>
              </w:rPr>
            </w:pPr>
          </w:p>
        </w:tc>
        <w:tc>
          <w:tcPr>
            <w:tcW w:w="774" w:type="dxa"/>
            <w:tcBorders>
              <w:top w:val="nil"/>
              <w:left w:val="nil"/>
              <w:bottom w:val="single" w:color="auto" w:sz="4" w:space="0"/>
              <w:right w:val="single" w:color="auto" w:sz="4" w:space="0"/>
            </w:tcBorders>
            <w:noWrap w:val="0"/>
            <w:vAlign w:val="center"/>
          </w:tcPr>
          <w:p w14:paraId="128DA1C0">
            <w:pPr>
              <w:widowControl/>
              <w:jc w:val="center"/>
              <w:rPr>
                <w:rFonts w:ascii="宋体" w:hAnsi="宋体" w:cs="宋体"/>
                <w:kern w:val="0"/>
                <w:szCs w:val="21"/>
                <w:highlight w:val="none"/>
              </w:rPr>
            </w:pPr>
          </w:p>
        </w:tc>
        <w:tc>
          <w:tcPr>
            <w:tcW w:w="1326" w:type="dxa"/>
            <w:tcBorders>
              <w:top w:val="nil"/>
              <w:left w:val="nil"/>
              <w:bottom w:val="single" w:color="auto" w:sz="4" w:space="0"/>
              <w:right w:val="single" w:color="auto" w:sz="4" w:space="0"/>
            </w:tcBorders>
            <w:noWrap w:val="0"/>
            <w:vAlign w:val="center"/>
          </w:tcPr>
          <w:p w14:paraId="3013D223">
            <w:pPr>
              <w:widowControl/>
              <w:jc w:val="center"/>
              <w:rPr>
                <w:rFonts w:ascii="宋体" w:hAnsi="宋体" w:cs="宋体"/>
                <w:kern w:val="0"/>
                <w:szCs w:val="21"/>
                <w:highlight w:val="none"/>
              </w:rPr>
            </w:pPr>
          </w:p>
        </w:tc>
        <w:tc>
          <w:tcPr>
            <w:tcW w:w="1571" w:type="dxa"/>
            <w:tcBorders>
              <w:top w:val="single" w:color="auto" w:sz="4" w:space="0"/>
              <w:left w:val="nil"/>
              <w:bottom w:val="single" w:color="auto" w:sz="4" w:space="0"/>
              <w:right w:val="single" w:color="auto" w:sz="4" w:space="0"/>
            </w:tcBorders>
            <w:noWrap w:val="0"/>
            <w:vAlign w:val="top"/>
          </w:tcPr>
          <w:p w14:paraId="5C4C577C">
            <w:pPr>
              <w:widowControl/>
              <w:jc w:val="right"/>
              <w:rPr>
                <w:rFonts w:ascii="宋体" w:hAnsi="宋体" w:cs="宋体"/>
                <w:kern w:val="0"/>
                <w:szCs w:val="21"/>
                <w:highlight w:val="none"/>
              </w:rPr>
            </w:pPr>
          </w:p>
        </w:tc>
        <w:tc>
          <w:tcPr>
            <w:tcW w:w="732" w:type="dxa"/>
            <w:tcBorders>
              <w:top w:val="single" w:color="auto" w:sz="4" w:space="0"/>
              <w:left w:val="single" w:color="auto" w:sz="4" w:space="0"/>
              <w:bottom w:val="single" w:color="auto" w:sz="4" w:space="0"/>
              <w:right w:val="single" w:color="auto" w:sz="4" w:space="0"/>
            </w:tcBorders>
            <w:noWrap w:val="0"/>
            <w:vAlign w:val="center"/>
          </w:tcPr>
          <w:p w14:paraId="078DF929">
            <w:pPr>
              <w:widowControl/>
              <w:jc w:val="right"/>
              <w:rPr>
                <w:rFonts w:ascii="宋体" w:hAnsi="宋体" w:cs="宋体"/>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top"/>
          </w:tcPr>
          <w:p w14:paraId="7FEF19BF">
            <w:pPr>
              <w:widowControl/>
              <w:jc w:val="right"/>
              <w:rPr>
                <w:rFonts w:ascii="宋体" w:hAnsi="宋体" w:cs="宋体"/>
                <w:kern w:val="0"/>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35BC4E23">
            <w:pPr>
              <w:widowControl/>
              <w:jc w:val="right"/>
              <w:rPr>
                <w:rFonts w:ascii="宋体" w:hAnsi="宋体" w:cs="宋体"/>
                <w:kern w:val="0"/>
                <w:szCs w:val="21"/>
                <w:highlight w:val="none"/>
              </w:rPr>
            </w:pPr>
          </w:p>
        </w:tc>
      </w:tr>
      <w:tr w14:paraId="77960528">
        <w:tblPrEx>
          <w:tblCellMar>
            <w:top w:w="0" w:type="dxa"/>
            <w:left w:w="108" w:type="dxa"/>
            <w:bottom w:w="0" w:type="dxa"/>
            <w:right w:w="108" w:type="dxa"/>
          </w:tblCellMar>
        </w:tblPrEx>
        <w:trPr>
          <w:trHeight w:val="454"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B6D34E7">
            <w:pPr>
              <w:widowControl/>
              <w:jc w:val="center"/>
              <w:rPr>
                <w:rFonts w:ascii="宋体" w:hAnsi="宋体" w:cs="宋体"/>
                <w:kern w:val="0"/>
                <w:szCs w:val="21"/>
                <w:highlight w:val="none"/>
              </w:rPr>
            </w:pPr>
            <w:r>
              <w:rPr>
                <w:rFonts w:hint="eastAsia" w:ascii="宋体" w:hAnsi="宋体" w:cs="宋体"/>
                <w:kern w:val="0"/>
                <w:szCs w:val="21"/>
                <w:highlight w:val="none"/>
              </w:rPr>
              <w:t>4</w:t>
            </w:r>
          </w:p>
        </w:tc>
        <w:tc>
          <w:tcPr>
            <w:tcW w:w="1787" w:type="dxa"/>
            <w:tcBorders>
              <w:top w:val="nil"/>
              <w:left w:val="nil"/>
              <w:bottom w:val="single" w:color="auto" w:sz="4" w:space="0"/>
              <w:right w:val="single" w:color="auto" w:sz="4" w:space="0"/>
            </w:tcBorders>
            <w:noWrap w:val="0"/>
            <w:vAlign w:val="center"/>
          </w:tcPr>
          <w:p w14:paraId="1343CA2E">
            <w:pPr>
              <w:widowControl/>
              <w:jc w:val="left"/>
              <w:rPr>
                <w:rFonts w:ascii="宋体" w:hAnsi="宋体" w:cs="宋体"/>
                <w:kern w:val="0"/>
                <w:szCs w:val="21"/>
                <w:highlight w:val="none"/>
              </w:rPr>
            </w:pPr>
          </w:p>
        </w:tc>
        <w:tc>
          <w:tcPr>
            <w:tcW w:w="1710" w:type="dxa"/>
            <w:tcBorders>
              <w:top w:val="nil"/>
              <w:left w:val="nil"/>
              <w:bottom w:val="single" w:color="auto" w:sz="4" w:space="0"/>
              <w:right w:val="single" w:color="auto" w:sz="4" w:space="0"/>
            </w:tcBorders>
            <w:noWrap w:val="0"/>
            <w:vAlign w:val="center"/>
          </w:tcPr>
          <w:p w14:paraId="59154EC7">
            <w:pPr>
              <w:widowControl/>
              <w:jc w:val="left"/>
              <w:rPr>
                <w:rFonts w:ascii="宋体" w:hAnsi="宋体" w:cs="宋体"/>
                <w:kern w:val="0"/>
                <w:szCs w:val="21"/>
                <w:highlight w:val="none"/>
              </w:rPr>
            </w:pPr>
          </w:p>
        </w:tc>
        <w:tc>
          <w:tcPr>
            <w:tcW w:w="1455" w:type="dxa"/>
            <w:tcBorders>
              <w:top w:val="nil"/>
              <w:left w:val="nil"/>
              <w:bottom w:val="single" w:color="auto" w:sz="4" w:space="0"/>
              <w:right w:val="single" w:color="auto" w:sz="4" w:space="0"/>
            </w:tcBorders>
            <w:noWrap w:val="0"/>
            <w:vAlign w:val="center"/>
          </w:tcPr>
          <w:p w14:paraId="4A91BDA1">
            <w:pPr>
              <w:widowControl/>
              <w:jc w:val="left"/>
              <w:rPr>
                <w:rFonts w:ascii="宋体" w:hAnsi="宋体" w:cs="宋体"/>
                <w:kern w:val="0"/>
                <w:szCs w:val="21"/>
                <w:highlight w:val="none"/>
              </w:rPr>
            </w:pPr>
          </w:p>
        </w:tc>
        <w:tc>
          <w:tcPr>
            <w:tcW w:w="1095" w:type="dxa"/>
            <w:tcBorders>
              <w:top w:val="nil"/>
              <w:left w:val="nil"/>
              <w:bottom w:val="single" w:color="auto" w:sz="4" w:space="0"/>
              <w:right w:val="single" w:color="auto" w:sz="4" w:space="0"/>
            </w:tcBorders>
            <w:noWrap w:val="0"/>
            <w:vAlign w:val="center"/>
          </w:tcPr>
          <w:p w14:paraId="3594A3BD">
            <w:pPr>
              <w:widowControl/>
              <w:jc w:val="left"/>
              <w:rPr>
                <w:rFonts w:ascii="宋体" w:hAnsi="宋体" w:cs="宋体"/>
                <w:kern w:val="0"/>
                <w:szCs w:val="21"/>
                <w:highlight w:val="none"/>
              </w:rPr>
            </w:pPr>
          </w:p>
        </w:tc>
        <w:tc>
          <w:tcPr>
            <w:tcW w:w="600" w:type="dxa"/>
            <w:tcBorders>
              <w:top w:val="nil"/>
              <w:left w:val="nil"/>
              <w:bottom w:val="single" w:color="auto" w:sz="4" w:space="0"/>
              <w:right w:val="single" w:color="auto" w:sz="4" w:space="0"/>
            </w:tcBorders>
            <w:noWrap w:val="0"/>
            <w:vAlign w:val="center"/>
          </w:tcPr>
          <w:p w14:paraId="0CF3904D">
            <w:pPr>
              <w:widowControl/>
              <w:jc w:val="center"/>
              <w:rPr>
                <w:rFonts w:ascii="宋体" w:hAnsi="宋体" w:cs="宋体"/>
                <w:kern w:val="0"/>
                <w:szCs w:val="21"/>
                <w:highlight w:val="none"/>
              </w:rPr>
            </w:pPr>
          </w:p>
        </w:tc>
        <w:tc>
          <w:tcPr>
            <w:tcW w:w="774" w:type="dxa"/>
            <w:tcBorders>
              <w:top w:val="nil"/>
              <w:left w:val="nil"/>
              <w:bottom w:val="single" w:color="auto" w:sz="4" w:space="0"/>
              <w:right w:val="single" w:color="auto" w:sz="4" w:space="0"/>
            </w:tcBorders>
            <w:noWrap w:val="0"/>
            <w:vAlign w:val="center"/>
          </w:tcPr>
          <w:p w14:paraId="49F609C2">
            <w:pPr>
              <w:widowControl/>
              <w:jc w:val="center"/>
              <w:rPr>
                <w:rFonts w:ascii="宋体" w:hAnsi="宋体" w:cs="宋体"/>
                <w:kern w:val="0"/>
                <w:szCs w:val="21"/>
                <w:highlight w:val="none"/>
              </w:rPr>
            </w:pPr>
          </w:p>
        </w:tc>
        <w:tc>
          <w:tcPr>
            <w:tcW w:w="1326" w:type="dxa"/>
            <w:tcBorders>
              <w:top w:val="nil"/>
              <w:left w:val="nil"/>
              <w:bottom w:val="single" w:color="auto" w:sz="4" w:space="0"/>
              <w:right w:val="single" w:color="auto" w:sz="4" w:space="0"/>
            </w:tcBorders>
            <w:noWrap w:val="0"/>
            <w:vAlign w:val="center"/>
          </w:tcPr>
          <w:p w14:paraId="3441728F">
            <w:pPr>
              <w:widowControl/>
              <w:jc w:val="center"/>
              <w:rPr>
                <w:rFonts w:ascii="宋体" w:hAnsi="宋体" w:cs="宋体"/>
                <w:kern w:val="0"/>
                <w:szCs w:val="21"/>
                <w:highlight w:val="none"/>
              </w:rPr>
            </w:pPr>
          </w:p>
        </w:tc>
        <w:tc>
          <w:tcPr>
            <w:tcW w:w="1571" w:type="dxa"/>
            <w:tcBorders>
              <w:top w:val="single" w:color="auto" w:sz="4" w:space="0"/>
              <w:left w:val="nil"/>
              <w:bottom w:val="single" w:color="auto" w:sz="4" w:space="0"/>
              <w:right w:val="single" w:color="auto" w:sz="4" w:space="0"/>
            </w:tcBorders>
            <w:noWrap w:val="0"/>
            <w:vAlign w:val="top"/>
          </w:tcPr>
          <w:p w14:paraId="76903521">
            <w:pPr>
              <w:widowControl/>
              <w:jc w:val="right"/>
              <w:rPr>
                <w:rFonts w:ascii="宋体" w:hAnsi="宋体" w:cs="宋体"/>
                <w:kern w:val="0"/>
                <w:szCs w:val="21"/>
                <w:highlight w:val="none"/>
              </w:rPr>
            </w:pPr>
          </w:p>
        </w:tc>
        <w:tc>
          <w:tcPr>
            <w:tcW w:w="732" w:type="dxa"/>
            <w:tcBorders>
              <w:top w:val="single" w:color="auto" w:sz="4" w:space="0"/>
              <w:left w:val="single" w:color="auto" w:sz="4" w:space="0"/>
              <w:bottom w:val="single" w:color="auto" w:sz="4" w:space="0"/>
              <w:right w:val="single" w:color="auto" w:sz="4" w:space="0"/>
            </w:tcBorders>
            <w:noWrap w:val="0"/>
            <w:vAlign w:val="center"/>
          </w:tcPr>
          <w:p w14:paraId="35B9DF32">
            <w:pPr>
              <w:widowControl/>
              <w:jc w:val="right"/>
              <w:rPr>
                <w:rFonts w:ascii="宋体" w:hAnsi="宋体" w:cs="宋体"/>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top"/>
          </w:tcPr>
          <w:p w14:paraId="1ABD2DDB">
            <w:pPr>
              <w:widowControl/>
              <w:jc w:val="right"/>
              <w:rPr>
                <w:rFonts w:ascii="宋体" w:hAnsi="宋体" w:cs="宋体"/>
                <w:kern w:val="0"/>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1188CF43">
            <w:pPr>
              <w:widowControl/>
              <w:jc w:val="right"/>
              <w:rPr>
                <w:rFonts w:ascii="宋体" w:hAnsi="宋体" w:cs="宋体"/>
                <w:kern w:val="0"/>
                <w:szCs w:val="21"/>
                <w:highlight w:val="none"/>
              </w:rPr>
            </w:pPr>
          </w:p>
        </w:tc>
      </w:tr>
      <w:tr w14:paraId="6051FFA7">
        <w:tblPrEx>
          <w:tblCellMar>
            <w:top w:w="0" w:type="dxa"/>
            <w:left w:w="108" w:type="dxa"/>
            <w:bottom w:w="0" w:type="dxa"/>
            <w:right w:w="108" w:type="dxa"/>
          </w:tblCellMar>
        </w:tblPrEx>
        <w:trPr>
          <w:trHeight w:val="454" w:hRule="atLeast"/>
          <w:jc w:val="center"/>
        </w:trPr>
        <w:tc>
          <w:tcPr>
            <w:tcW w:w="1056" w:type="dxa"/>
            <w:tcBorders>
              <w:top w:val="nil"/>
              <w:left w:val="single" w:color="auto" w:sz="4" w:space="0"/>
              <w:bottom w:val="single" w:color="auto" w:sz="4" w:space="0"/>
              <w:right w:val="single" w:color="auto" w:sz="4" w:space="0"/>
            </w:tcBorders>
            <w:noWrap w:val="0"/>
            <w:vAlign w:val="center"/>
          </w:tcPr>
          <w:p w14:paraId="1166CF71">
            <w:pPr>
              <w:widowControl/>
              <w:jc w:val="center"/>
              <w:rPr>
                <w:rFonts w:ascii="宋体" w:hAnsi="宋体" w:cs="宋体"/>
                <w:kern w:val="0"/>
                <w:szCs w:val="21"/>
                <w:highlight w:val="none"/>
              </w:rPr>
            </w:pPr>
            <w:r>
              <w:rPr>
                <w:rFonts w:hint="eastAsia" w:ascii="宋体" w:hAnsi="宋体" w:cs="宋体"/>
                <w:kern w:val="0"/>
                <w:szCs w:val="21"/>
                <w:highlight w:val="none"/>
              </w:rPr>
              <w:t>5</w:t>
            </w:r>
          </w:p>
        </w:tc>
        <w:tc>
          <w:tcPr>
            <w:tcW w:w="1787" w:type="dxa"/>
            <w:tcBorders>
              <w:top w:val="nil"/>
              <w:left w:val="nil"/>
              <w:bottom w:val="single" w:color="auto" w:sz="4" w:space="0"/>
              <w:right w:val="single" w:color="auto" w:sz="4" w:space="0"/>
            </w:tcBorders>
            <w:noWrap w:val="0"/>
            <w:vAlign w:val="center"/>
          </w:tcPr>
          <w:p w14:paraId="0B7FDB60">
            <w:pPr>
              <w:widowControl/>
              <w:jc w:val="left"/>
              <w:rPr>
                <w:rFonts w:ascii="宋体" w:hAnsi="宋体" w:cs="宋体"/>
                <w:kern w:val="0"/>
                <w:szCs w:val="21"/>
                <w:highlight w:val="none"/>
              </w:rPr>
            </w:pPr>
          </w:p>
        </w:tc>
        <w:tc>
          <w:tcPr>
            <w:tcW w:w="1710" w:type="dxa"/>
            <w:tcBorders>
              <w:top w:val="nil"/>
              <w:left w:val="nil"/>
              <w:bottom w:val="single" w:color="auto" w:sz="4" w:space="0"/>
              <w:right w:val="single" w:color="auto" w:sz="4" w:space="0"/>
            </w:tcBorders>
            <w:noWrap w:val="0"/>
            <w:vAlign w:val="center"/>
          </w:tcPr>
          <w:p w14:paraId="6710F264">
            <w:pPr>
              <w:widowControl/>
              <w:jc w:val="left"/>
              <w:rPr>
                <w:rFonts w:ascii="宋体" w:hAnsi="宋体" w:cs="宋体"/>
                <w:kern w:val="0"/>
                <w:szCs w:val="21"/>
                <w:highlight w:val="none"/>
              </w:rPr>
            </w:pPr>
          </w:p>
        </w:tc>
        <w:tc>
          <w:tcPr>
            <w:tcW w:w="1455" w:type="dxa"/>
            <w:tcBorders>
              <w:top w:val="nil"/>
              <w:left w:val="nil"/>
              <w:bottom w:val="single" w:color="auto" w:sz="4" w:space="0"/>
              <w:right w:val="single" w:color="auto" w:sz="4" w:space="0"/>
            </w:tcBorders>
            <w:noWrap w:val="0"/>
            <w:vAlign w:val="center"/>
          </w:tcPr>
          <w:p w14:paraId="33FF9894">
            <w:pPr>
              <w:widowControl/>
              <w:jc w:val="left"/>
              <w:rPr>
                <w:rFonts w:ascii="宋体" w:hAnsi="宋体" w:cs="宋体"/>
                <w:kern w:val="0"/>
                <w:szCs w:val="21"/>
                <w:highlight w:val="none"/>
              </w:rPr>
            </w:pPr>
          </w:p>
        </w:tc>
        <w:tc>
          <w:tcPr>
            <w:tcW w:w="1095" w:type="dxa"/>
            <w:tcBorders>
              <w:top w:val="nil"/>
              <w:left w:val="nil"/>
              <w:bottom w:val="single" w:color="auto" w:sz="4" w:space="0"/>
              <w:right w:val="single" w:color="auto" w:sz="4" w:space="0"/>
            </w:tcBorders>
            <w:noWrap w:val="0"/>
            <w:vAlign w:val="center"/>
          </w:tcPr>
          <w:p w14:paraId="1FFAFB95">
            <w:pPr>
              <w:widowControl/>
              <w:jc w:val="left"/>
              <w:rPr>
                <w:rFonts w:ascii="宋体" w:hAnsi="宋体" w:cs="宋体"/>
                <w:kern w:val="0"/>
                <w:szCs w:val="21"/>
                <w:highlight w:val="none"/>
              </w:rPr>
            </w:pPr>
          </w:p>
        </w:tc>
        <w:tc>
          <w:tcPr>
            <w:tcW w:w="600" w:type="dxa"/>
            <w:tcBorders>
              <w:top w:val="nil"/>
              <w:left w:val="nil"/>
              <w:bottom w:val="single" w:color="auto" w:sz="4" w:space="0"/>
              <w:right w:val="single" w:color="auto" w:sz="4" w:space="0"/>
            </w:tcBorders>
            <w:noWrap w:val="0"/>
            <w:vAlign w:val="center"/>
          </w:tcPr>
          <w:p w14:paraId="30331302">
            <w:pPr>
              <w:widowControl/>
              <w:jc w:val="center"/>
              <w:rPr>
                <w:rFonts w:ascii="宋体" w:hAnsi="宋体" w:cs="宋体"/>
                <w:kern w:val="0"/>
                <w:szCs w:val="21"/>
                <w:highlight w:val="none"/>
              </w:rPr>
            </w:pPr>
          </w:p>
        </w:tc>
        <w:tc>
          <w:tcPr>
            <w:tcW w:w="774" w:type="dxa"/>
            <w:tcBorders>
              <w:top w:val="nil"/>
              <w:left w:val="nil"/>
              <w:bottom w:val="single" w:color="auto" w:sz="4" w:space="0"/>
              <w:right w:val="single" w:color="auto" w:sz="4" w:space="0"/>
            </w:tcBorders>
            <w:noWrap w:val="0"/>
            <w:vAlign w:val="center"/>
          </w:tcPr>
          <w:p w14:paraId="54B4107F">
            <w:pPr>
              <w:widowControl/>
              <w:jc w:val="center"/>
              <w:rPr>
                <w:rFonts w:ascii="宋体" w:hAnsi="宋体" w:cs="宋体"/>
                <w:kern w:val="0"/>
                <w:szCs w:val="21"/>
                <w:highlight w:val="none"/>
              </w:rPr>
            </w:pPr>
          </w:p>
        </w:tc>
        <w:tc>
          <w:tcPr>
            <w:tcW w:w="1326" w:type="dxa"/>
            <w:tcBorders>
              <w:top w:val="nil"/>
              <w:left w:val="nil"/>
              <w:bottom w:val="single" w:color="auto" w:sz="4" w:space="0"/>
              <w:right w:val="single" w:color="auto" w:sz="4" w:space="0"/>
            </w:tcBorders>
            <w:noWrap w:val="0"/>
            <w:vAlign w:val="center"/>
          </w:tcPr>
          <w:p w14:paraId="4AE7142A">
            <w:pPr>
              <w:widowControl/>
              <w:jc w:val="center"/>
              <w:rPr>
                <w:rFonts w:ascii="宋体" w:hAnsi="宋体" w:cs="宋体"/>
                <w:kern w:val="0"/>
                <w:szCs w:val="21"/>
                <w:highlight w:val="none"/>
              </w:rPr>
            </w:pPr>
          </w:p>
        </w:tc>
        <w:tc>
          <w:tcPr>
            <w:tcW w:w="1571" w:type="dxa"/>
            <w:tcBorders>
              <w:top w:val="single" w:color="auto" w:sz="4" w:space="0"/>
              <w:left w:val="nil"/>
              <w:bottom w:val="single" w:color="auto" w:sz="4" w:space="0"/>
              <w:right w:val="single" w:color="auto" w:sz="4" w:space="0"/>
            </w:tcBorders>
            <w:noWrap w:val="0"/>
            <w:vAlign w:val="top"/>
          </w:tcPr>
          <w:p w14:paraId="16BD4DEF">
            <w:pPr>
              <w:widowControl/>
              <w:jc w:val="right"/>
              <w:rPr>
                <w:rFonts w:ascii="宋体" w:hAnsi="宋体" w:cs="宋体"/>
                <w:kern w:val="0"/>
                <w:szCs w:val="21"/>
                <w:highlight w:val="none"/>
              </w:rPr>
            </w:pPr>
          </w:p>
        </w:tc>
        <w:tc>
          <w:tcPr>
            <w:tcW w:w="732" w:type="dxa"/>
            <w:tcBorders>
              <w:top w:val="single" w:color="auto" w:sz="4" w:space="0"/>
              <w:left w:val="single" w:color="auto" w:sz="4" w:space="0"/>
              <w:bottom w:val="single" w:color="auto" w:sz="4" w:space="0"/>
              <w:right w:val="single" w:color="auto" w:sz="4" w:space="0"/>
            </w:tcBorders>
            <w:noWrap w:val="0"/>
            <w:vAlign w:val="center"/>
          </w:tcPr>
          <w:p w14:paraId="7EC769FF">
            <w:pPr>
              <w:widowControl/>
              <w:jc w:val="right"/>
              <w:rPr>
                <w:rFonts w:ascii="宋体" w:hAnsi="宋体" w:cs="宋体"/>
                <w:kern w:val="0"/>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top"/>
          </w:tcPr>
          <w:p w14:paraId="74D01B57">
            <w:pPr>
              <w:widowControl/>
              <w:jc w:val="right"/>
              <w:rPr>
                <w:rFonts w:ascii="宋体" w:hAnsi="宋体" w:cs="宋体"/>
                <w:kern w:val="0"/>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096DCFD6">
            <w:pPr>
              <w:widowControl/>
              <w:jc w:val="right"/>
              <w:rPr>
                <w:rFonts w:ascii="宋体" w:hAnsi="宋体" w:cs="宋体"/>
                <w:kern w:val="0"/>
                <w:szCs w:val="21"/>
                <w:highlight w:val="none"/>
              </w:rPr>
            </w:pPr>
          </w:p>
        </w:tc>
      </w:tr>
      <w:tr w14:paraId="0427968C">
        <w:tblPrEx>
          <w:tblCellMar>
            <w:top w:w="0" w:type="dxa"/>
            <w:left w:w="108" w:type="dxa"/>
            <w:bottom w:w="0" w:type="dxa"/>
            <w:right w:w="108" w:type="dxa"/>
          </w:tblCellMar>
        </w:tblPrEx>
        <w:trPr>
          <w:trHeight w:val="454" w:hRule="atLeast"/>
          <w:jc w:val="center"/>
        </w:trPr>
        <w:tc>
          <w:tcPr>
            <w:tcW w:w="8477" w:type="dxa"/>
            <w:gridSpan w:val="7"/>
            <w:tcBorders>
              <w:top w:val="single" w:color="auto" w:sz="4" w:space="0"/>
              <w:left w:val="single" w:color="auto" w:sz="4" w:space="0"/>
              <w:bottom w:val="single" w:color="auto" w:sz="4" w:space="0"/>
              <w:right w:val="single" w:color="auto" w:sz="4" w:space="0"/>
            </w:tcBorders>
            <w:noWrap w:val="0"/>
            <w:vAlign w:val="center"/>
          </w:tcPr>
          <w:p w14:paraId="1BFA19E0">
            <w:pPr>
              <w:ind w:right="420"/>
              <w:rPr>
                <w:rFonts w:ascii="宋体" w:hAnsi="宋体" w:cs="宋体"/>
                <w:kern w:val="0"/>
                <w:szCs w:val="21"/>
                <w:highlight w:val="none"/>
              </w:rPr>
            </w:pPr>
            <w:r>
              <w:rPr>
                <w:rFonts w:hint="eastAsia" w:ascii="宋体" w:hAnsi="宋体" w:cs="宋体"/>
                <w:kern w:val="0"/>
                <w:szCs w:val="21"/>
                <w:highlight w:val="none"/>
              </w:rPr>
              <w:t xml:space="preserve">合      计：                                                        </w:t>
            </w:r>
          </w:p>
        </w:tc>
        <w:tc>
          <w:tcPr>
            <w:tcW w:w="2897" w:type="dxa"/>
            <w:gridSpan w:val="2"/>
            <w:tcBorders>
              <w:top w:val="single" w:color="auto" w:sz="4" w:space="0"/>
              <w:left w:val="single" w:color="auto" w:sz="4" w:space="0"/>
              <w:bottom w:val="single" w:color="auto" w:sz="4" w:space="0"/>
              <w:right w:val="single" w:color="auto" w:sz="4" w:space="0"/>
            </w:tcBorders>
            <w:noWrap w:val="0"/>
            <w:vAlign w:val="center"/>
          </w:tcPr>
          <w:p w14:paraId="5E0B4820">
            <w:pPr>
              <w:ind w:right="420"/>
              <w:rPr>
                <w:rFonts w:ascii="宋体" w:hAnsi="宋体" w:cs="宋体"/>
                <w:kern w:val="0"/>
                <w:szCs w:val="21"/>
                <w:highlight w:val="none"/>
              </w:rPr>
            </w:pPr>
          </w:p>
        </w:tc>
        <w:tc>
          <w:tcPr>
            <w:tcW w:w="2175" w:type="dxa"/>
            <w:gridSpan w:val="2"/>
            <w:tcBorders>
              <w:top w:val="single" w:color="auto" w:sz="4" w:space="0"/>
              <w:left w:val="single" w:color="auto" w:sz="4" w:space="0"/>
              <w:bottom w:val="single" w:color="auto" w:sz="4" w:space="0"/>
              <w:right w:val="single" w:color="auto" w:sz="4" w:space="0"/>
            </w:tcBorders>
            <w:noWrap w:val="0"/>
            <w:vAlign w:val="center"/>
          </w:tcPr>
          <w:p w14:paraId="637DF17E">
            <w:pPr>
              <w:ind w:right="420"/>
              <w:rPr>
                <w:rFonts w:ascii="宋体" w:hAnsi="宋体" w:cs="宋体"/>
                <w:kern w:val="0"/>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0"/>
            <w:vAlign w:val="center"/>
          </w:tcPr>
          <w:p w14:paraId="21AD3914">
            <w:pPr>
              <w:ind w:right="420"/>
              <w:rPr>
                <w:rFonts w:ascii="宋体" w:hAnsi="宋体" w:cs="宋体"/>
                <w:kern w:val="0"/>
                <w:szCs w:val="21"/>
                <w:highlight w:val="none"/>
              </w:rPr>
            </w:pPr>
          </w:p>
        </w:tc>
      </w:tr>
      <w:tr w14:paraId="1119BB4A">
        <w:tblPrEx>
          <w:tblCellMar>
            <w:top w:w="0" w:type="dxa"/>
            <w:left w:w="108" w:type="dxa"/>
            <w:bottom w:w="0" w:type="dxa"/>
            <w:right w:w="108" w:type="dxa"/>
          </w:tblCellMar>
        </w:tblPrEx>
        <w:trPr>
          <w:trHeight w:val="454" w:hRule="atLeast"/>
          <w:jc w:val="center"/>
        </w:trPr>
        <w:tc>
          <w:tcPr>
            <w:tcW w:w="8477" w:type="dxa"/>
            <w:gridSpan w:val="7"/>
            <w:tcBorders>
              <w:top w:val="single" w:color="auto" w:sz="4" w:space="0"/>
              <w:left w:val="single" w:color="auto" w:sz="4" w:space="0"/>
              <w:bottom w:val="single" w:color="auto" w:sz="4" w:space="0"/>
              <w:right w:val="single" w:color="auto" w:sz="4" w:space="0"/>
            </w:tcBorders>
            <w:noWrap w:val="0"/>
            <w:vAlign w:val="center"/>
          </w:tcPr>
          <w:p w14:paraId="14CF4396">
            <w:pPr>
              <w:ind w:right="420"/>
              <w:rPr>
                <w:rFonts w:ascii="宋体" w:hAnsi="宋体" w:cs="宋体"/>
                <w:kern w:val="0"/>
                <w:szCs w:val="21"/>
                <w:highlight w:val="none"/>
              </w:rPr>
            </w:pPr>
            <w:r>
              <w:rPr>
                <w:rFonts w:hint="eastAsia" w:ascii="宋体" w:hAnsi="宋体" w:cs="宋体"/>
                <w:kern w:val="0"/>
                <w:szCs w:val="21"/>
                <w:highlight w:val="none"/>
              </w:rPr>
              <w:t>价税合计：（大写）人民币</w:t>
            </w:r>
            <w:r>
              <w:rPr>
                <w:rFonts w:hint="eastAsia" w:ascii="宋体" w:hAnsi="宋体" w:cs="宋体"/>
                <w:color w:val="000000"/>
                <w:kern w:val="0"/>
                <w:szCs w:val="21"/>
                <w:highlight w:val="none"/>
                <w:u w:val="single"/>
              </w:rPr>
              <w:t xml:space="preserve">                              </w:t>
            </w:r>
          </w:p>
        </w:tc>
        <w:tc>
          <w:tcPr>
            <w:tcW w:w="6520" w:type="dxa"/>
            <w:gridSpan w:val="5"/>
            <w:tcBorders>
              <w:top w:val="single" w:color="auto" w:sz="4" w:space="0"/>
              <w:left w:val="single" w:color="auto" w:sz="4" w:space="0"/>
              <w:bottom w:val="single" w:color="auto" w:sz="4" w:space="0"/>
              <w:right w:val="single" w:color="auto" w:sz="4" w:space="0"/>
            </w:tcBorders>
            <w:noWrap w:val="0"/>
            <w:vAlign w:val="center"/>
          </w:tcPr>
          <w:p w14:paraId="78798684">
            <w:pPr>
              <w:ind w:right="420"/>
              <w:rPr>
                <w:rFonts w:ascii="宋体" w:hAnsi="宋体" w:cs="宋体"/>
                <w:kern w:val="0"/>
                <w:szCs w:val="21"/>
                <w:highlight w:val="none"/>
              </w:rPr>
            </w:pPr>
            <w:r>
              <w:rPr>
                <w:rFonts w:hint="eastAsia" w:ascii="宋体" w:hAnsi="宋体" w:cs="宋体"/>
                <w:kern w:val="0"/>
                <w:szCs w:val="21"/>
                <w:highlight w:val="none"/>
              </w:rPr>
              <w:t>¥</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元</w:t>
            </w:r>
          </w:p>
        </w:tc>
      </w:tr>
    </w:tbl>
    <w:p w14:paraId="1FAA7375">
      <w:pPr>
        <w:tabs>
          <w:tab w:val="left" w:pos="540"/>
        </w:tabs>
        <w:adjustRightInd w:val="0"/>
        <w:snapToGrid w:val="0"/>
        <w:rPr>
          <w:rFonts w:ascii="宋体" w:hAnsi="宋体"/>
          <w:szCs w:val="21"/>
          <w:highlight w:val="none"/>
        </w:rPr>
      </w:pPr>
    </w:p>
    <w:p w14:paraId="734D52D0">
      <w:pPr>
        <w:spacing w:line="480" w:lineRule="auto"/>
        <w:rPr>
          <w:rFonts w:ascii="宋体" w:hAnsi="宋体"/>
          <w:szCs w:val="21"/>
          <w:highlight w:val="none"/>
        </w:rPr>
      </w:pPr>
      <w:r>
        <w:rPr>
          <w:rFonts w:hint="eastAsia" w:ascii="宋体" w:hAnsi="宋体"/>
          <w:szCs w:val="21"/>
          <w:highlight w:val="none"/>
        </w:rPr>
        <w:t>买方：</w:t>
      </w:r>
      <w:r>
        <w:rPr>
          <w:rFonts w:hint="eastAsia" w:ascii="宋体" w:hAnsi="宋体"/>
          <w:highlight w:val="none"/>
        </w:rPr>
        <w:t>滁州市轨道交通运营有限公司</w:t>
      </w:r>
      <w:r>
        <w:rPr>
          <w:rFonts w:hint="eastAsia" w:ascii="宋体" w:hAnsi="宋体"/>
          <w:szCs w:val="21"/>
          <w:highlight w:val="none"/>
        </w:rPr>
        <w:t xml:space="preserve">               卖方：</w:t>
      </w:r>
    </w:p>
    <w:p w14:paraId="36BAFF50">
      <w:pPr>
        <w:spacing w:line="480" w:lineRule="auto"/>
        <w:rPr>
          <w:rFonts w:ascii="宋体" w:hAnsi="宋体"/>
          <w:szCs w:val="21"/>
          <w:highlight w:val="none"/>
        </w:rPr>
      </w:pPr>
      <w:r>
        <w:rPr>
          <w:rFonts w:hint="eastAsia" w:ascii="宋体" w:hAnsi="宋体"/>
          <w:szCs w:val="21"/>
          <w:highlight w:val="none"/>
        </w:rPr>
        <w:t>经办人（签字）：                               经办人（签字）：</w:t>
      </w:r>
    </w:p>
    <w:p w14:paraId="375634FB">
      <w:pPr>
        <w:tabs>
          <w:tab w:val="left" w:pos="540"/>
        </w:tabs>
        <w:adjustRightInd w:val="0"/>
        <w:spacing w:line="480" w:lineRule="auto"/>
        <w:rPr>
          <w:rFonts w:ascii="宋体" w:hAnsi="宋体"/>
          <w:szCs w:val="21"/>
          <w:highlight w:val="none"/>
        </w:rPr>
      </w:pPr>
      <w:r>
        <w:rPr>
          <w:rFonts w:hint="eastAsia" w:ascii="宋体" w:hAnsi="宋体"/>
          <w:szCs w:val="21"/>
          <w:highlight w:val="none"/>
        </w:rPr>
        <w:t>日 期：                                        日 期：</w:t>
      </w:r>
    </w:p>
    <w:p w14:paraId="27C7A826">
      <w:pPr>
        <w:tabs>
          <w:tab w:val="left" w:pos="540"/>
        </w:tabs>
        <w:adjustRightInd w:val="0"/>
        <w:snapToGrid w:val="0"/>
        <w:rPr>
          <w:rFonts w:ascii="宋体" w:hAnsi="宋体"/>
          <w:szCs w:val="21"/>
          <w:highlight w:val="none"/>
        </w:rPr>
        <w:sectPr>
          <w:pgSz w:w="16838" w:h="11906" w:orient="landscape"/>
          <w:pgMar w:top="1418" w:right="1735" w:bottom="1134" w:left="1418" w:header="777" w:footer="1134" w:gutter="0"/>
          <w:pgBorders>
            <w:top w:val="none" w:sz="0" w:space="0"/>
            <w:left w:val="none" w:sz="0" w:space="0"/>
            <w:bottom w:val="none" w:sz="0" w:space="0"/>
            <w:right w:val="none" w:sz="0" w:space="0"/>
          </w:pgBorders>
          <w:pgNumType w:fmt="decimal"/>
          <w:cols w:space="720" w:num="1"/>
          <w:docGrid w:linePitch="286" w:charSpace="0"/>
        </w:sectPr>
      </w:pPr>
      <w:r>
        <w:rPr>
          <w:rFonts w:hint="eastAsia" w:ascii="宋体" w:hAnsi="宋体"/>
          <w:szCs w:val="21"/>
          <w:highlight w:val="none"/>
        </w:rPr>
        <w:t>注：本通知单根据合同第19条的方式送达。</w:t>
      </w:r>
    </w:p>
    <w:p w14:paraId="53902650">
      <w:pPr>
        <w:tabs>
          <w:tab w:val="left" w:pos="540"/>
        </w:tabs>
        <w:adjustRightInd w:val="0"/>
        <w:snapToGrid w:val="0"/>
        <w:rPr>
          <w:rFonts w:ascii="宋体" w:hAnsi="宋体"/>
          <w:b/>
          <w:bCs/>
          <w:szCs w:val="21"/>
          <w:highlight w:val="none"/>
        </w:rPr>
      </w:pPr>
      <w:r>
        <w:rPr>
          <w:rFonts w:hint="eastAsia" w:ascii="宋体" w:hAnsi="宋体"/>
          <w:b/>
          <w:bCs/>
          <w:szCs w:val="21"/>
          <w:highlight w:val="none"/>
          <w:lang w:eastAsia="zh-CN"/>
        </w:rPr>
        <w:t>附录</w:t>
      </w:r>
      <w:r>
        <w:rPr>
          <w:rFonts w:hint="eastAsia" w:ascii="宋体" w:hAnsi="宋体"/>
          <w:b/>
          <w:bCs/>
          <w:szCs w:val="21"/>
          <w:highlight w:val="none"/>
        </w:rPr>
        <w:t>3</w:t>
      </w:r>
    </w:p>
    <w:p w14:paraId="368A5B56">
      <w:pPr>
        <w:tabs>
          <w:tab w:val="left" w:pos="540"/>
        </w:tabs>
        <w:adjustRightInd w:val="0"/>
        <w:snapToGrid w:val="0"/>
        <w:rPr>
          <w:rFonts w:ascii="宋体" w:hAnsi="宋体"/>
          <w:b/>
          <w:bCs/>
          <w:szCs w:val="21"/>
          <w:highlight w:val="none"/>
        </w:rPr>
      </w:pPr>
    </w:p>
    <w:p w14:paraId="1AB115CA">
      <w:pPr>
        <w:jc w:val="center"/>
        <w:rPr>
          <w:sz w:val="44"/>
          <w:szCs w:val="44"/>
          <w:highlight w:val="none"/>
        </w:rPr>
      </w:pPr>
      <w:r>
        <w:rPr>
          <w:rFonts w:hint="eastAsia"/>
          <w:sz w:val="44"/>
          <w:szCs w:val="44"/>
          <w:highlight w:val="none"/>
        </w:rPr>
        <w:t>送货清单</w:t>
      </w:r>
    </w:p>
    <w:p w14:paraId="1AD5A2EE">
      <w:pPr>
        <w:rPr>
          <w:highlight w:val="none"/>
        </w:rPr>
      </w:pPr>
    </w:p>
    <w:p w14:paraId="2A349E97">
      <w:pPr>
        <w:spacing w:line="360" w:lineRule="auto"/>
        <w:rPr>
          <w:sz w:val="24"/>
          <w:highlight w:val="none"/>
        </w:rPr>
      </w:pPr>
      <w:r>
        <w:rPr>
          <w:rFonts w:hint="eastAsia"/>
          <w:sz w:val="24"/>
          <w:highlight w:val="none"/>
        </w:rPr>
        <w:t xml:space="preserve">供应商：                </w:t>
      </w:r>
    </w:p>
    <w:p w14:paraId="5CA40C41">
      <w:pPr>
        <w:spacing w:line="360" w:lineRule="auto"/>
        <w:rPr>
          <w:sz w:val="24"/>
          <w:highlight w:val="none"/>
        </w:rPr>
      </w:pPr>
      <w:r>
        <w:rPr>
          <w:rFonts w:hint="eastAsia"/>
          <w:sz w:val="24"/>
          <w:highlight w:val="none"/>
        </w:rPr>
        <w:t xml:space="preserve">联系人：         </w:t>
      </w:r>
      <w:r>
        <w:rPr>
          <w:sz w:val="24"/>
          <w:highlight w:val="none"/>
        </w:rPr>
        <w:t xml:space="preserve">                 </w:t>
      </w:r>
    </w:p>
    <w:p w14:paraId="02D8BD43">
      <w:pPr>
        <w:spacing w:line="360" w:lineRule="auto"/>
        <w:rPr>
          <w:sz w:val="24"/>
          <w:highlight w:val="none"/>
        </w:rPr>
      </w:pPr>
      <w:r>
        <w:rPr>
          <w:rFonts w:hint="eastAsia"/>
          <w:sz w:val="24"/>
          <w:highlight w:val="none"/>
        </w:rPr>
        <w:t>联系方式：</w:t>
      </w:r>
    </w:p>
    <w:p w14:paraId="21E11E5D">
      <w:pPr>
        <w:spacing w:line="360" w:lineRule="auto"/>
        <w:rPr>
          <w:sz w:val="24"/>
          <w:highlight w:val="none"/>
        </w:rPr>
      </w:pPr>
      <w:r>
        <w:rPr>
          <w:rFonts w:hint="eastAsia"/>
          <w:sz w:val="24"/>
          <w:highlight w:val="none"/>
        </w:rPr>
        <w:t>合同/订单编号：</w:t>
      </w:r>
    </w:p>
    <w:p w14:paraId="7BDE3D56">
      <w:pPr>
        <w:spacing w:line="360" w:lineRule="auto"/>
        <w:rPr>
          <w:sz w:val="24"/>
          <w:highlight w:val="none"/>
        </w:rPr>
      </w:pPr>
      <w:r>
        <w:rPr>
          <w:rFonts w:hint="eastAsia"/>
          <w:sz w:val="24"/>
          <w:highlight w:val="none"/>
        </w:rPr>
        <w:t>送货地点：</w:t>
      </w:r>
    </w:p>
    <w:p w14:paraId="189BFB5D">
      <w:pPr>
        <w:spacing w:line="360" w:lineRule="auto"/>
        <w:rPr>
          <w:sz w:val="24"/>
          <w:highlight w:val="none"/>
        </w:rPr>
      </w:pPr>
      <w:r>
        <w:rPr>
          <w:rFonts w:hint="eastAsia"/>
          <w:sz w:val="24"/>
          <w:highlight w:val="none"/>
        </w:rPr>
        <w:t xml:space="preserve">采购人： </w:t>
      </w:r>
    </w:p>
    <w:p w14:paraId="665AEFCD">
      <w:pPr>
        <w:spacing w:line="360" w:lineRule="auto"/>
        <w:jc w:val="center"/>
        <w:rPr>
          <w:sz w:val="24"/>
          <w:highlight w:val="none"/>
        </w:rPr>
      </w:pPr>
      <w:r>
        <w:rPr>
          <w:rFonts w:hint="eastAsia"/>
          <w:sz w:val="24"/>
          <w:highlight w:val="none"/>
        </w:rPr>
        <w:t>货物明细</w:t>
      </w:r>
    </w:p>
    <w:tbl>
      <w:tblPr>
        <w:tblStyle w:val="36"/>
        <w:tblW w:w="9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2130"/>
        <w:gridCol w:w="2628"/>
        <w:gridCol w:w="1507"/>
        <w:gridCol w:w="1237"/>
        <w:gridCol w:w="1229"/>
      </w:tblGrid>
      <w:tr w14:paraId="394BE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11" w:type="dxa"/>
            <w:noWrap w:val="0"/>
            <w:vAlign w:val="center"/>
          </w:tcPr>
          <w:p w14:paraId="472355B6">
            <w:pPr>
              <w:jc w:val="center"/>
              <w:rPr>
                <w:szCs w:val="21"/>
                <w:highlight w:val="none"/>
              </w:rPr>
            </w:pPr>
            <w:r>
              <w:rPr>
                <w:rFonts w:hint="eastAsia"/>
                <w:szCs w:val="21"/>
                <w:highlight w:val="none"/>
              </w:rPr>
              <w:t>序号</w:t>
            </w:r>
          </w:p>
        </w:tc>
        <w:tc>
          <w:tcPr>
            <w:tcW w:w="2130" w:type="dxa"/>
            <w:noWrap w:val="0"/>
            <w:vAlign w:val="center"/>
          </w:tcPr>
          <w:p w14:paraId="407D631A">
            <w:pPr>
              <w:jc w:val="center"/>
              <w:rPr>
                <w:szCs w:val="21"/>
                <w:highlight w:val="none"/>
              </w:rPr>
            </w:pPr>
            <w:r>
              <w:rPr>
                <w:rFonts w:hint="eastAsia"/>
                <w:szCs w:val="21"/>
                <w:highlight w:val="none"/>
              </w:rPr>
              <w:t>物资编码</w:t>
            </w:r>
          </w:p>
        </w:tc>
        <w:tc>
          <w:tcPr>
            <w:tcW w:w="2628" w:type="dxa"/>
            <w:noWrap w:val="0"/>
            <w:vAlign w:val="center"/>
          </w:tcPr>
          <w:p w14:paraId="6FC7172B">
            <w:pPr>
              <w:jc w:val="center"/>
              <w:rPr>
                <w:szCs w:val="21"/>
                <w:highlight w:val="none"/>
              </w:rPr>
            </w:pPr>
            <w:r>
              <w:rPr>
                <w:rFonts w:hint="eastAsia"/>
                <w:szCs w:val="21"/>
                <w:highlight w:val="none"/>
              </w:rPr>
              <w:t>名称</w:t>
            </w:r>
          </w:p>
        </w:tc>
        <w:tc>
          <w:tcPr>
            <w:tcW w:w="1507" w:type="dxa"/>
            <w:noWrap w:val="0"/>
            <w:vAlign w:val="center"/>
          </w:tcPr>
          <w:p w14:paraId="0A6E7191">
            <w:pPr>
              <w:jc w:val="center"/>
              <w:rPr>
                <w:szCs w:val="21"/>
                <w:highlight w:val="none"/>
              </w:rPr>
            </w:pPr>
            <w:r>
              <w:rPr>
                <w:rFonts w:hint="eastAsia"/>
                <w:szCs w:val="21"/>
                <w:highlight w:val="none"/>
              </w:rPr>
              <w:t>规格型号</w:t>
            </w:r>
          </w:p>
        </w:tc>
        <w:tc>
          <w:tcPr>
            <w:tcW w:w="1237" w:type="dxa"/>
            <w:noWrap w:val="0"/>
            <w:vAlign w:val="center"/>
          </w:tcPr>
          <w:p w14:paraId="379356F5">
            <w:pPr>
              <w:jc w:val="center"/>
              <w:rPr>
                <w:szCs w:val="21"/>
                <w:highlight w:val="none"/>
              </w:rPr>
            </w:pPr>
            <w:r>
              <w:rPr>
                <w:rFonts w:hint="eastAsia"/>
                <w:szCs w:val="21"/>
                <w:highlight w:val="none"/>
              </w:rPr>
              <w:t>数量</w:t>
            </w:r>
          </w:p>
        </w:tc>
        <w:tc>
          <w:tcPr>
            <w:tcW w:w="1229" w:type="dxa"/>
            <w:noWrap w:val="0"/>
            <w:vAlign w:val="center"/>
          </w:tcPr>
          <w:p w14:paraId="2E72879D">
            <w:pPr>
              <w:jc w:val="center"/>
              <w:rPr>
                <w:szCs w:val="21"/>
                <w:highlight w:val="none"/>
              </w:rPr>
            </w:pPr>
            <w:r>
              <w:rPr>
                <w:rFonts w:hint="eastAsia"/>
                <w:szCs w:val="21"/>
                <w:highlight w:val="none"/>
              </w:rPr>
              <w:t>单位</w:t>
            </w:r>
          </w:p>
        </w:tc>
      </w:tr>
      <w:tr w14:paraId="4BD1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11" w:type="dxa"/>
            <w:noWrap w:val="0"/>
            <w:vAlign w:val="center"/>
          </w:tcPr>
          <w:p w14:paraId="1ABA66F3">
            <w:pPr>
              <w:jc w:val="center"/>
              <w:rPr>
                <w:szCs w:val="21"/>
                <w:highlight w:val="none"/>
              </w:rPr>
            </w:pPr>
            <w:r>
              <w:rPr>
                <w:rFonts w:hint="eastAsia"/>
                <w:szCs w:val="21"/>
                <w:highlight w:val="none"/>
              </w:rPr>
              <w:t>1</w:t>
            </w:r>
          </w:p>
        </w:tc>
        <w:tc>
          <w:tcPr>
            <w:tcW w:w="2130" w:type="dxa"/>
            <w:noWrap w:val="0"/>
            <w:vAlign w:val="center"/>
          </w:tcPr>
          <w:p w14:paraId="05B212B8">
            <w:pPr>
              <w:jc w:val="center"/>
              <w:rPr>
                <w:szCs w:val="21"/>
                <w:highlight w:val="none"/>
              </w:rPr>
            </w:pPr>
          </w:p>
        </w:tc>
        <w:tc>
          <w:tcPr>
            <w:tcW w:w="2628" w:type="dxa"/>
            <w:noWrap w:val="0"/>
            <w:vAlign w:val="center"/>
          </w:tcPr>
          <w:p w14:paraId="003B91BD">
            <w:pPr>
              <w:jc w:val="center"/>
              <w:rPr>
                <w:szCs w:val="21"/>
                <w:highlight w:val="none"/>
              </w:rPr>
            </w:pPr>
          </w:p>
        </w:tc>
        <w:tc>
          <w:tcPr>
            <w:tcW w:w="1507" w:type="dxa"/>
            <w:noWrap w:val="0"/>
            <w:vAlign w:val="center"/>
          </w:tcPr>
          <w:p w14:paraId="56396651">
            <w:pPr>
              <w:jc w:val="center"/>
              <w:rPr>
                <w:szCs w:val="21"/>
                <w:highlight w:val="none"/>
              </w:rPr>
            </w:pPr>
          </w:p>
        </w:tc>
        <w:tc>
          <w:tcPr>
            <w:tcW w:w="1237" w:type="dxa"/>
            <w:noWrap w:val="0"/>
            <w:vAlign w:val="center"/>
          </w:tcPr>
          <w:p w14:paraId="1239E78C">
            <w:pPr>
              <w:jc w:val="center"/>
              <w:rPr>
                <w:szCs w:val="21"/>
                <w:highlight w:val="none"/>
              </w:rPr>
            </w:pPr>
          </w:p>
        </w:tc>
        <w:tc>
          <w:tcPr>
            <w:tcW w:w="1229" w:type="dxa"/>
            <w:noWrap w:val="0"/>
            <w:vAlign w:val="center"/>
          </w:tcPr>
          <w:p w14:paraId="2029362B">
            <w:pPr>
              <w:jc w:val="center"/>
              <w:rPr>
                <w:szCs w:val="21"/>
                <w:highlight w:val="none"/>
              </w:rPr>
            </w:pPr>
          </w:p>
        </w:tc>
      </w:tr>
      <w:tr w14:paraId="6F3A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11" w:type="dxa"/>
            <w:noWrap w:val="0"/>
            <w:vAlign w:val="center"/>
          </w:tcPr>
          <w:p w14:paraId="4DBDD0E5">
            <w:pPr>
              <w:jc w:val="center"/>
              <w:rPr>
                <w:szCs w:val="21"/>
                <w:highlight w:val="none"/>
              </w:rPr>
            </w:pPr>
            <w:r>
              <w:rPr>
                <w:rFonts w:hint="eastAsia"/>
                <w:szCs w:val="21"/>
                <w:highlight w:val="none"/>
              </w:rPr>
              <w:t>2</w:t>
            </w:r>
          </w:p>
        </w:tc>
        <w:tc>
          <w:tcPr>
            <w:tcW w:w="2130" w:type="dxa"/>
            <w:noWrap w:val="0"/>
            <w:vAlign w:val="center"/>
          </w:tcPr>
          <w:p w14:paraId="0557FDD9">
            <w:pPr>
              <w:jc w:val="center"/>
              <w:rPr>
                <w:szCs w:val="21"/>
                <w:highlight w:val="none"/>
              </w:rPr>
            </w:pPr>
          </w:p>
        </w:tc>
        <w:tc>
          <w:tcPr>
            <w:tcW w:w="2628" w:type="dxa"/>
            <w:noWrap w:val="0"/>
            <w:vAlign w:val="center"/>
          </w:tcPr>
          <w:p w14:paraId="65236016">
            <w:pPr>
              <w:jc w:val="center"/>
              <w:rPr>
                <w:szCs w:val="21"/>
                <w:highlight w:val="none"/>
              </w:rPr>
            </w:pPr>
          </w:p>
        </w:tc>
        <w:tc>
          <w:tcPr>
            <w:tcW w:w="1507" w:type="dxa"/>
            <w:noWrap w:val="0"/>
            <w:vAlign w:val="center"/>
          </w:tcPr>
          <w:p w14:paraId="070DACF1">
            <w:pPr>
              <w:jc w:val="center"/>
              <w:rPr>
                <w:szCs w:val="21"/>
                <w:highlight w:val="none"/>
              </w:rPr>
            </w:pPr>
          </w:p>
        </w:tc>
        <w:tc>
          <w:tcPr>
            <w:tcW w:w="1237" w:type="dxa"/>
            <w:noWrap w:val="0"/>
            <w:vAlign w:val="center"/>
          </w:tcPr>
          <w:p w14:paraId="669AD3AC">
            <w:pPr>
              <w:jc w:val="center"/>
              <w:rPr>
                <w:szCs w:val="21"/>
                <w:highlight w:val="none"/>
              </w:rPr>
            </w:pPr>
          </w:p>
        </w:tc>
        <w:tc>
          <w:tcPr>
            <w:tcW w:w="1229" w:type="dxa"/>
            <w:noWrap w:val="0"/>
            <w:vAlign w:val="center"/>
          </w:tcPr>
          <w:p w14:paraId="4DCA74D2">
            <w:pPr>
              <w:jc w:val="center"/>
              <w:rPr>
                <w:szCs w:val="21"/>
                <w:highlight w:val="none"/>
              </w:rPr>
            </w:pPr>
          </w:p>
        </w:tc>
      </w:tr>
      <w:tr w14:paraId="24597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11" w:type="dxa"/>
            <w:noWrap w:val="0"/>
            <w:vAlign w:val="center"/>
          </w:tcPr>
          <w:p w14:paraId="38EB3A4A">
            <w:pPr>
              <w:jc w:val="center"/>
              <w:rPr>
                <w:szCs w:val="21"/>
                <w:highlight w:val="none"/>
              </w:rPr>
            </w:pPr>
            <w:r>
              <w:rPr>
                <w:rFonts w:hint="eastAsia"/>
                <w:szCs w:val="21"/>
                <w:highlight w:val="none"/>
              </w:rPr>
              <w:t>3</w:t>
            </w:r>
          </w:p>
        </w:tc>
        <w:tc>
          <w:tcPr>
            <w:tcW w:w="2130" w:type="dxa"/>
            <w:noWrap w:val="0"/>
            <w:vAlign w:val="center"/>
          </w:tcPr>
          <w:p w14:paraId="362C6D99">
            <w:pPr>
              <w:jc w:val="center"/>
              <w:rPr>
                <w:szCs w:val="21"/>
                <w:highlight w:val="none"/>
              </w:rPr>
            </w:pPr>
          </w:p>
        </w:tc>
        <w:tc>
          <w:tcPr>
            <w:tcW w:w="2628" w:type="dxa"/>
            <w:noWrap w:val="0"/>
            <w:vAlign w:val="center"/>
          </w:tcPr>
          <w:p w14:paraId="4E6FBF24">
            <w:pPr>
              <w:jc w:val="center"/>
              <w:rPr>
                <w:szCs w:val="21"/>
                <w:highlight w:val="none"/>
              </w:rPr>
            </w:pPr>
          </w:p>
        </w:tc>
        <w:tc>
          <w:tcPr>
            <w:tcW w:w="1507" w:type="dxa"/>
            <w:noWrap w:val="0"/>
            <w:vAlign w:val="center"/>
          </w:tcPr>
          <w:p w14:paraId="5E1A5188">
            <w:pPr>
              <w:jc w:val="center"/>
              <w:rPr>
                <w:szCs w:val="21"/>
                <w:highlight w:val="none"/>
              </w:rPr>
            </w:pPr>
          </w:p>
        </w:tc>
        <w:tc>
          <w:tcPr>
            <w:tcW w:w="1237" w:type="dxa"/>
            <w:noWrap w:val="0"/>
            <w:vAlign w:val="center"/>
          </w:tcPr>
          <w:p w14:paraId="0176730D">
            <w:pPr>
              <w:jc w:val="center"/>
              <w:rPr>
                <w:szCs w:val="21"/>
                <w:highlight w:val="none"/>
              </w:rPr>
            </w:pPr>
          </w:p>
        </w:tc>
        <w:tc>
          <w:tcPr>
            <w:tcW w:w="1229" w:type="dxa"/>
            <w:noWrap w:val="0"/>
            <w:vAlign w:val="center"/>
          </w:tcPr>
          <w:p w14:paraId="3BC9F3E4">
            <w:pPr>
              <w:jc w:val="center"/>
              <w:rPr>
                <w:szCs w:val="21"/>
                <w:highlight w:val="none"/>
              </w:rPr>
            </w:pPr>
          </w:p>
        </w:tc>
      </w:tr>
      <w:tr w14:paraId="7AAC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11" w:type="dxa"/>
            <w:noWrap w:val="0"/>
            <w:vAlign w:val="center"/>
          </w:tcPr>
          <w:p w14:paraId="1D70BB4A">
            <w:pPr>
              <w:jc w:val="center"/>
              <w:rPr>
                <w:szCs w:val="21"/>
                <w:highlight w:val="none"/>
              </w:rPr>
            </w:pPr>
            <w:r>
              <w:rPr>
                <w:rFonts w:hint="eastAsia"/>
                <w:szCs w:val="21"/>
                <w:highlight w:val="none"/>
              </w:rPr>
              <w:t>4</w:t>
            </w:r>
          </w:p>
        </w:tc>
        <w:tc>
          <w:tcPr>
            <w:tcW w:w="2130" w:type="dxa"/>
            <w:noWrap w:val="0"/>
            <w:vAlign w:val="center"/>
          </w:tcPr>
          <w:p w14:paraId="10AD6160">
            <w:pPr>
              <w:jc w:val="center"/>
              <w:rPr>
                <w:szCs w:val="21"/>
                <w:highlight w:val="none"/>
              </w:rPr>
            </w:pPr>
          </w:p>
        </w:tc>
        <w:tc>
          <w:tcPr>
            <w:tcW w:w="2628" w:type="dxa"/>
            <w:noWrap w:val="0"/>
            <w:vAlign w:val="center"/>
          </w:tcPr>
          <w:p w14:paraId="56A229D2">
            <w:pPr>
              <w:jc w:val="center"/>
              <w:rPr>
                <w:szCs w:val="21"/>
                <w:highlight w:val="none"/>
              </w:rPr>
            </w:pPr>
          </w:p>
        </w:tc>
        <w:tc>
          <w:tcPr>
            <w:tcW w:w="1507" w:type="dxa"/>
            <w:noWrap w:val="0"/>
            <w:vAlign w:val="center"/>
          </w:tcPr>
          <w:p w14:paraId="673C21A8">
            <w:pPr>
              <w:jc w:val="center"/>
              <w:rPr>
                <w:szCs w:val="21"/>
                <w:highlight w:val="none"/>
              </w:rPr>
            </w:pPr>
          </w:p>
        </w:tc>
        <w:tc>
          <w:tcPr>
            <w:tcW w:w="1237" w:type="dxa"/>
            <w:noWrap w:val="0"/>
            <w:vAlign w:val="center"/>
          </w:tcPr>
          <w:p w14:paraId="59FCC7AB">
            <w:pPr>
              <w:jc w:val="center"/>
              <w:rPr>
                <w:szCs w:val="21"/>
                <w:highlight w:val="none"/>
              </w:rPr>
            </w:pPr>
          </w:p>
        </w:tc>
        <w:tc>
          <w:tcPr>
            <w:tcW w:w="1229" w:type="dxa"/>
            <w:noWrap w:val="0"/>
            <w:vAlign w:val="center"/>
          </w:tcPr>
          <w:p w14:paraId="611F4890">
            <w:pPr>
              <w:jc w:val="center"/>
              <w:rPr>
                <w:szCs w:val="21"/>
                <w:highlight w:val="none"/>
              </w:rPr>
            </w:pPr>
          </w:p>
        </w:tc>
      </w:tr>
      <w:tr w14:paraId="2AA2A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11" w:type="dxa"/>
            <w:noWrap w:val="0"/>
            <w:vAlign w:val="center"/>
          </w:tcPr>
          <w:p w14:paraId="3FFC0866">
            <w:pPr>
              <w:jc w:val="center"/>
              <w:rPr>
                <w:szCs w:val="21"/>
                <w:highlight w:val="none"/>
              </w:rPr>
            </w:pPr>
            <w:r>
              <w:rPr>
                <w:rFonts w:hint="eastAsia"/>
                <w:szCs w:val="21"/>
                <w:highlight w:val="none"/>
              </w:rPr>
              <w:t>5</w:t>
            </w:r>
          </w:p>
        </w:tc>
        <w:tc>
          <w:tcPr>
            <w:tcW w:w="2130" w:type="dxa"/>
            <w:noWrap w:val="0"/>
            <w:vAlign w:val="center"/>
          </w:tcPr>
          <w:p w14:paraId="2793DD71">
            <w:pPr>
              <w:jc w:val="center"/>
              <w:rPr>
                <w:szCs w:val="21"/>
                <w:highlight w:val="none"/>
              </w:rPr>
            </w:pPr>
          </w:p>
        </w:tc>
        <w:tc>
          <w:tcPr>
            <w:tcW w:w="2628" w:type="dxa"/>
            <w:noWrap w:val="0"/>
            <w:vAlign w:val="center"/>
          </w:tcPr>
          <w:p w14:paraId="3756E722">
            <w:pPr>
              <w:jc w:val="center"/>
              <w:rPr>
                <w:szCs w:val="21"/>
                <w:highlight w:val="none"/>
              </w:rPr>
            </w:pPr>
          </w:p>
        </w:tc>
        <w:tc>
          <w:tcPr>
            <w:tcW w:w="1507" w:type="dxa"/>
            <w:noWrap w:val="0"/>
            <w:vAlign w:val="center"/>
          </w:tcPr>
          <w:p w14:paraId="15B37637">
            <w:pPr>
              <w:jc w:val="center"/>
              <w:rPr>
                <w:szCs w:val="21"/>
                <w:highlight w:val="none"/>
              </w:rPr>
            </w:pPr>
          </w:p>
        </w:tc>
        <w:tc>
          <w:tcPr>
            <w:tcW w:w="1237" w:type="dxa"/>
            <w:noWrap w:val="0"/>
            <w:vAlign w:val="center"/>
          </w:tcPr>
          <w:p w14:paraId="49AC02A6">
            <w:pPr>
              <w:jc w:val="center"/>
              <w:rPr>
                <w:szCs w:val="21"/>
                <w:highlight w:val="none"/>
              </w:rPr>
            </w:pPr>
          </w:p>
        </w:tc>
        <w:tc>
          <w:tcPr>
            <w:tcW w:w="1229" w:type="dxa"/>
            <w:noWrap w:val="0"/>
            <w:vAlign w:val="center"/>
          </w:tcPr>
          <w:p w14:paraId="1880FE26">
            <w:pPr>
              <w:jc w:val="center"/>
              <w:rPr>
                <w:szCs w:val="21"/>
                <w:highlight w:val="none"/>
              </w:rPr>
            </w:pPr>
          </w:p>
        </w:tc>
      </w:tr>
      <w:tr w14:paraId="63D62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11" w:type="dxa"/>
            <w:noWrap w:val="0"/>
            <w:vAlign w:val="center"/>
          </w:tcPr>
          <w:p w14:paraId="6EF68785">
            <w:pPr>
              <w:jc w:val="center"/>
              <w:rPr>
                <w:szCs w:val="21"/>
                <w:highlight w:val="none"/>
              </w:rPr>
            </w:pPr>
            <w:r>
              <w:rPr>
                <w:rFonts w:hint="eastAsia"/>
                <w:szCs w:val="21"/>
                <w:highlight w:val="none"/>
              </w:rPr>
              <w:t>6</w:t>
            </w:r>
          </w:p>
        </w:tc>
        <w:tc>
          <w:tcPr>
            <w:tcW w:w="2130" w:type="dxa"/>
            <w:noWrap w:val="0"/>
            <w:vAlign w:val="center"/>
          </w:tcPr>
          <w:p w14:paraId="53A7DE87">
            <w:pPr>
              <w:jc w:val="center"/>
              <w:rPr>
                <w:szCs w:val="21"/>
                <w:highlight w:val="none"/>
              </w:rPr>
            </w:pPr>
          </w:p>
        </w:tc>
        <w:tc>
          <w:tcPr>
            <w:tcW w:w="2628" w:type="dxa"/>
            <w:noWrap w:val="0"/>
            <w:vAlign w:val="center"/>
          </w:tcPr>
          <w:p w14:paraId="21E2B1F5">
            <w:pPr>
              <w:jc w:val="center"/>
              <w:rPr>
                <w:szCs w:val="21"/>
                <w:highlight w:val="none"/>
              </w:rPr>
            </w:pPr>
          </w:p>
        </w:tc>
        <w:tc>
          <w:tcPr>
            <w:tcW w:w="1507" w:type="dxa"/>
            <w:noWrap w:val="0"/>
            <w:vAlign w:val="center"/>
          </w:tcPr>
          <w:p w14:paraId="4AD537CB">
            <w:pPr>
              <w:jc w:val="center"/>
              <w:rPr>
                <w:szCs w:val="21"/>
                <w:highlight w:val="none"/>
              </w:rPr>
            </w:pPr>
          </w:p>
        </w:tc>
        <w:tc>
          <w:tcPr>
            <w:tcW w:w="1237" w:type="dxa"/>
            <w:noWrap w:val="0"/>
            <w:vAlign w:val="center"/>
          </w:tcPr>
          <w:p w14:paraId="3CD98840">
            <w:pPr>
              <w:jc w:val="center"/>
              <w:rPr>
                <w:szCs w:val="21"/>
                <w:highlight w:val="none"/>
              </w:rPr>
            </w:pPr>
          </w:p>
        </w:tc>
        <w:tc>
          <w:tcPr>
            <w:tcW w:w="1229" w:type="dxa"/>
            <w:noWrap w:val="0"/>
            <w:vAlign w:val="center"/>
          </w:tcPr>
          <w:p w14:paraId="3327C414">
            <w:pPr>
              <w:jc w:val="center"/>
              <w:rPr>
                <w:szCs w:val="21"/>
                <w:highlight w:val="none"/>
              </w:rPr>
            </w:pPr>
          </w:p>
        </w:tc>
      </w:tr>
    </w:tbl>
    <w:p w14:paraId="3DD080CC">
      <w:pPr>
        <w:tabs>
          <w:tab w:val="left" w:pos="540"/>
        </w:tabs>
        <w:adjustRightInd w:val="0"/>
        <w:snapToGrid w:val="0"/>
        <w:rPr>
          <w:rFonts w:ascii="宋体" w:hAnsi="宋体"/>
          <w:b/>
          <w:bCs/>
          <w:szCs w:val="21"/>
          <w:highlight w:val="none"/>
        </w:rPr>
      </w:pPr>
    </w:p>
    <w:p w14:paraId="24D2A9C5">
      <w:pPr>
        <w:tabs>
          <w:tab w:val="left" w:pos="540"/>
        </w:tabs>
        <w:adjustRightInd w:val="0"/>
        <w:snapToGrid w:val="0"/>
        <w:rPr>
          <w:rFonts w:ascii="宋体" w:hAnsi="宋体"/>
          <w:b/>
          <w:bCs/>
          <w:szCs w:val="21"/>
          <w:highlight w:val="none"/>
        </w:rPr>
      </w:pPr>
    </w:p>
    <w:p w14:paraId="7945A223">
      <w:pPr>
        <w:tabs>
          <w:tab w:val="left" w:pos="540"/>
        </w:tabs>
        <w:adjustRightInd w:val="0"/>
        <w:snapToGrid w:val="0"/>
        <w:rPr>
          <w:rFonts w:ascii="宋体" w:hAnsi="宋体"/>
          <w:b/>
          <w:bCs/>
          <w:szCs w:val="21"/>
          <w:highlight w:val="none"/>
        </w:rPr>
      </w:pPr>
    </w:p>
    <w:p w14:paraId="1E53B73A">
      <w:pPr>
        <w:tabs>
          <w:tab w:val="left" w:pos="540"/>
        </w:tabs>
        <w:adjustRightInd w:val="0"/>
        <w:snapToGrid w:val="0"/>
        <w:rPr>
          <w:rFonts w:ascii="宋体" w:hAnsi="宋体"/>
          <w:b/>
          <w:bCs/>
          <w:szCs w:val="21"/>
          <w:highlight w:val="none"/>
        </w:rPr>
      </w:pPr>
      <w:r>
        <w:rPr>
          <w:rFonts w:hint="eastAsia" w:ascii="宋体" w:hAnsi="宋体"/>
          <w:b/>
          <w:bCs/>
          <w:szCs w:val="21"/>
          <w:highlight w:val="none"/>
        </w:rPr>
        <w:t>注：送货时请详细填写送货清单，随货物一并送达。</w:t>
      </w:r>
    </w:p>
    <w:p w14:paraId="303F3D96">
      <w:pPr>
        <w:tabs>
          <w:tab w:val="left" w:pos="540"/>
        </w:tabs>
        <w:adjustRightInd w:val="0"/>
        <w:snapToGrid w:val="0"/>
        <w:rPr>
          <w:rFonts w:ascii="宋体" w:hAnsi="宋体"/>
          <w:b/>
          <w:bCs/>
          <w:szCs w:val="21"/>
          <w:highlight w:val="none"/>
        </w:rPr>
      </w:pPr>
    </w:p>
    <w:p w14:paraId="3165AD5F">
      <w:pPr>
        <w:tabs>
          <w:tab w:val="left" w:pos="540"/>
        </w:tabs>
        <w:snapToGrid w:val="0"/>
        <w:spacing w:line="360" w:lineRule="auto"/>
        <w:ind w:left="525" w:leftChars="250"/>
        <w:rPr>
          <w:rFonts w:ascii="宋体" w:hAnsi="宋体"/>
          <w:szCs w:val="21"/>
          <w:highlight w:val="none"/>
        </w:rPr>
      </w:pPr>
    </w:p>
    <w:p w14:paraId="2813B32A">
      <w:pPr>
        <w:tabs>
          <w:tab w:val="left" w:pos="540"/>
        </w:tabs>
        <w:snapToGrid w:val="0"/>
        <w:spacing w:line="360" w:lineRule="auto"/>
        <w:ind w:left="525" w:leftChars="250"/>
        <w:rPr>
          <w:rFonts w:ascii="宋体" w:hAnsi="宋体"/>
          <w:szCs w:val="21"/>
          <w:highlight w:val="none"/>
        </w:rPr>
      </w:pPr>
    </w:p>
    <w:p w14:paraId="0324DF9D">
      <w:pPr>
        <w:tabs>
          <w:tab w:val="left" w:pos="540"/>
        </w:tabs>
        <w:snapToGrid w:val="0"/>
        <w:spacing w:line="360" w:lineRule="auto"/>
        <w:ind w:left="525" w:leftChars="250"/>
        <w:rPr>
          <w:rFonts w:ascii="宋体" w:hAnsi="宋体"/>
          <w:szCs w:val="21"/>
          <w:highlight w:val="none"/>
        </w:rPr>
      </w:pPr>
    </w:p>
    <w:p w14:paraId="249055E9">
      <w:pPr>
        <w:tabs>
          <w:tab w:val="left" w:pos="540"/>
        </w:tabs>
        <w:snapToGrid w:val="0"/>
        <w:spacing w:line="360" w:lineRule="auto"/>
        <w:ind w:left="525" w:leftChars="250"/>
        <w:rPr>
          <w:rFonts w:ascii="宋体" w:hAnsi="宋体"/>
          <w:szCs w:val="21"/>
          <w:highlight w:val="none"/>
        </w:rPr>
      </w:pPr>
    </w:p>
    <w:p w14:paraId="72E4D16F">
      <w:pPr>
        <w:tabs>
          <w:tab w:val="left" w:pos="540"/>
        </w:tabs>
        <w:snapToGrid w:val="0"/>
        <w:spacing w:line="360" w:lineRule="auto"/>
        <w:ind w:left="525" w:leftChars="250"/>
        <w:rPr>
          <w:rFonts w:ascii="宋体" w:hAnsi="宋体"/>
          <w:szCs w:val="21"/>
          <w:highlight w:val="none"/>
        </w:rPr>
      </w:pPr>
    </w:p>
    <w:p w14:paraId="02B7F2B8">
      <w:pPr>
        <w:tabs>
          <w:tab w:val="left" w:pos="540"/>
        </w:tabs>
        <w:snapToGrid w:val="0"/>
        <w:spacing w:line="360" w:lineRule="auto"/>
        <w:ind w:left="525" w:leftChars="250"/>
        <w:rPr>
          <w:rFonts w:ascii="宋体" w:hAnsi="宋体"/>
          <w:szCs w:val="21"/>
          <w:highlight w:val="none"/>
        </w:rPr>
      </w:pPr>
    </w:p>
    <w:p w14:paraId="1823E1B6">
      <w:pPr>
        <w:tabs>
          <w:tab w:val="left" w:pos="540"/>
        </w:tabs>
        <w:snapToGrid w:val="0"/>
        <w:spacing w:line="360" w:lineRule="auto"/>
        <w:ind w:left="525" w:leftChars="250"/>
        <w:rPr>
          <w:rFonts w:ascii="宋体" w:hAnsi="宋体"/>
          <w:szCs w:val="21"/>
          <w:highlight w:val="none"/>
        </w:rPr>
      </w:pPr>
    </w:p>
    <w:p w14:paraId="6F68B4A4">
      <w:pPr>
        <w:tabs>
          <w:tab w:val="left" w:pos="540"/>
        </w:tabs>
        <w:snapToGrid w:val="0"/>
        <w:spacing w:line="360" w:lineRule="auto"/>
        <w:rPr>
          <w:rFonts w:ascii="宋体" w:hAnsi="宋体"/>
          <w:szCs w:val="21"/>
          <w:highlight w:val="none"/>
        </w:rPr>
      </w:pPr>
    </w:p>
    <w:p w14:paraId="5B111F64">
      <w:pPr>
        <w:spacing w:line="360" w:lineRule="auto"/>
        <w:rPr>
          <w:rFonts w:ascii="宋体" w:hAnsi="宋体"/>
          <w:b/>
          <w:highlight w:val="none"/>
        </w:rPr>
      </w:pPr>
      <w:r>
        <w:rPr>
          <w:rFonts w:hint="eastAsia" w:ascii="宋体" w:hAnsi="宋体"/>
          <w:b/>
          <w:highlight w:val="none"/>
          <w:lang w:eastAsia="zh-CN"/>
        </w:rPr>
        <w:t>附录</w:t>
      </w:r>
      <w:r>
        <w:rPr>
          <w:rFonts w:hint="eastAsia" w:ascii="宋体" w:hAnsi="宋体"/>
          <w:b/>
          <w:highlight w:val="none"/>
        </w:rPr>
        <w:t>4</w:t>
      </w:r>
    </w:p>
    <w:p w14:paraId="2491EB48">
      <w:pPr>
        <w:tabs>
          <w:tab w:val="left" w:pos="540"/>
        </w:tabs>
        <w:snapToGrid w:val="0"/>
        <w:spacing w:line="360" w:lineRule="auto"/>
        <w:rPr>
          <w:rFonts w:ascii="宋体" w:hAnsi="宋体"/>
          <w:szCs w:val="21"/>
          <w:highlight w:val="none"/>
        </w:rPr>
      </w:pPr>
    </w:p>
    <w:p w14:paraId="41C2EB41">
      <w:pPr>
        <w:jc w:val="center"/>
        <w:rPr>
          <w:sz w:val="44"/>
          <w:szCs w:val="44"/>
          <w:highlight w:val="none"/>
        </w:rPr>
      </w:pPr>
      <w:r>
        <w:rPr>
          <w:rFonts w:hint="eastAsia"/>
          <w:sz w:val="44"/>
          <w:szCs w:val="44"/>
          <w:highlight w:val="none"/>
        </w:rPr>
        <w:t>发票清单</w:t>
      </w:r>
    </w:p>
    <w:p w14:paraId="70407181">
      <w:pPr>
        <w:spacing w:line="360" w:lineRule="auto"/>
        <w:rPr>
          <w:sz w:val="24"/>
          <w:highlight w:val="none"/>
        </w:rPr>
      </w:pPr>
    </w:p>
    <w:p w14:paraId="72082656">
      <w:pPr>
        <w:spacing w:line="360" w:lineRule="auto"/>
        <w:rPr>
          <w:sz w:val="24"/>
          <w:highlight w:val="none"/>
        </w:rPr>
      </w:pPr>
      <w:r>
        <w:rPr>
          <w:rFonts w:hint="eastAsia"/>
          <w:sz w:val="24"/>
          <w:highlight w:val="none"/>
        </w:rPr>
        <w:t xml:space="preserve">供应商（盖章）：                   </w:t>
      </w:r>
    </w:p>
    <w:p w14:paraId="731EE4BC">
      <w:pPr>
        <w:spacing w:line="360" w:lineRule="auto"/>
        <w:rPr>
          <w:sz w:val="24"/>
          <w:highlight w:val="none"/>
        </w:rPr>
      </w:pPr>
      <w:r>
        <w:rPr>
          <w:rFonts w:hint="eastAsia"/>
          <w:sz w:val="24"/>
          <w:highlight w:val="none"/>
        </w:rPr>
        <w:t xml:space="preserve">联系人：                  </w:t>
      </w:r>
    </w:p>
    <w:p w14:paraId="5D742B72">
      <w:pPr>
        <w:spacing w:line="360" w:lineRule="auto"/>
        <w:rPr>
          <w:sz w:val="44"/>
          <w:szCs w:val="44"/>
          <w:highlight w:val="none"/>
        </w:rPr>
      </w:pPr>
      <w:r>
        <w:rPr>
          <w:rFonts w:hint="eastAsia"/>
          <w:sz w:val="24"/>
          <w:highlight w:val="none"/>
        </w:rPr>
        <w:t>联系方式：</w:t>
      </w:r>
    </w:p>
    <w:p w14:paraId="077F8CD5">
      <w:pPr>
        <w:tabs>
          <w:tab w:val="left" w:pos="540"/>
        </w:tabs>
        <w:snapToGrid w:val="0"/>
        <w:spacing w:line="360" w:lineRule="auto"/>
        <w:rPr>
          <w:rFonts w:ascii="宋体" w:hAnsi="宋体"/>
          <w:szCs w:val="21"/>
          <w:highlight w:val="none"/>
        </w:rPr>
      </w:pPr>
    </w:p>
    <w:tbl>
      <w:tblPr>
        <w:tblStyle w:val="36"/>
        <w:tblpPr w:leftFromText="180" w:rightFromText="180" w:vertAnchor="text" w:horzAnchor="page" w:tblpX="1585" w:tblpY="86"/>
        <w:tblOverlap w:val="never"/>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721"/>
        <w:gridCol w:w="2934"/>
        <w:gridCol w:w="2085"/>
      </w:tblGrid>
      <w:tr w14:paraId="0664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noWrap w:val="0"/>
            <w:vAlign w:val="center"/>
          </w:tcPr>
          <w:p w14:paraId="781BF498">
            <w:pPr>
              <w:jc w:val="center"/>
              <w:rPr>
                <w:szCs w:val="21"/>
                <w:highlight w:val="none"/>
              </w:rPr>
            </w:pPr>
            <w:r>
              <w:rPr>
                <w:rFonts w:hint="eastAsia"/>
                <w:szCs w:val="21"/>
                <w:highlight w:val="none"/>
              </w:rPr>
              <w:t>序号</w:t>
            </w:r>
          </w:p>
        </w:tc>
        <w:tc>
          <w:tcPr>
            <w:tcW w:w="2721" w:type="dxa"/>
            <w:noWrap w:val="0"/>
            <w:vAlign w:val="center"/>
          </w:tcPr>
          <w:p w14:paraId="729E865E">
            <w:pPr>
              <w:jc w:val="center"/>
              <w:rPr>
                <w:szCs w:val="21"/>
                <w:highlight w:val="none"/>
              </w:rPr>
            </w:pPr>
            <w:r>
              <w:rPr>
                <w:rFonts w:hint="eastAsia"/>
                <w:szCs w:val="21"/>
                <w:highlight w:val="none"/>
              </w:rPr>
              <w:t>合同号</w:t>
            </w:r>
          </w:p>
        </w:tc>
        <w:tc>
          <w:tcPr>
            <w:tcW w:w="2934" w:type="dxa"/>
            <w:noWrap w:val="0"/>
            <w:vAlign w:val="center"/>
          </w:tcPr>
          <w:p w14:paraId="569DA4FE">
            <w:pPr>
              <w:jc w:val="center"/>
              <w:rPr>
                <w:szCs w:val="21"/>
                <w:highlight w:val="none"/>
              </w:rPr>
            </w:pPr>
            <w:r>
              <w:rPr>
                <w:rFonts w:hint="eastAsia"/>
                <w:szCs w:val="21"/>
                <w:highlight w:val="none"/>
              </w:rPr>
              <w:t>发票号</w:t>
            </w:r>
          </w:p>
        </w:tc>
        <w:tc>
          <w:tcPr>
            <w:tcW w:w="2085" w:type="dxa"/>
            <w:noWrap w:val="0"/>
            <w:vAlign w:val="center"/>
          </w:tcPr>
          <w:p w14:paraId="68D547BD">
            <w:pPr>
              <w:jc w:val="center"/>
              <w:rPr>
                <w:szCs w:val="21"/>
                <w:highlight w:val="none"/>
              </w:rPr>
            </w:pPr>
            <w:r>
              <w:rPr>
                <w:rFonts w:hint="eastAsia"/>
                <w:szCs w:val="21"/>
                <w:highlight w:val="none"/>
              </w:rPr>
              <w:t>开票日期</w:t>
            </w:r>
          </w:p>
        </w:tc>
      </w:tr>
      <w:tr w14:paraId="2A52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noWrap w:val="0"/>
            <w:vAlign w:val="center"/>
          </w:tcPr>
          <w:p w14:paraId="58528657">
            <w:pPr>
              <w:jc w:val="center"/>
              <w:rPr>
                <w:szCs w:val="21"/>
                <w:highlight w:val="none"/>
              </w:rPr>
            </w:pPr>
            <w:r>
              <w:rPr>
                <w:rFonts w:hint="eastAsia"/>
                <w:szCs w:val="21"/>
                <w:highlight w:val="none"/>
              </w:rPr>
              <w:t>1</w:t>
            </w:r>
          </w:p>
        </w:tc>
        <w:tc>
          <w:tcPr>
            <w:tcW w:w="2721" w:type="dxa"/>
            <w:noWrap w:val="0"/>
            <w:vAlign w:val="center"/>
          </w:tcPr>
          <w:p w14:paraId="5B5CC33F">
            <w:pPr>
              <w:jc w:val="center"/>
              <w:rPr>
                <w:szCs w:val="21"/>
                <w:highlight w:val="none"/>
              </w:rPr>
            </w:pPr>
          </w:p>
        </w:tc>
        <w:tc>
          <w:tcPr>
            <w:tcW w:w="2934" w:type="dxa"/>
            <w:noWrap w:val="0"/>
            <w:vAlign w:val="center"/>
          </w:tcPr>
          <w:p w14:paraId="07FE80A0">
            <w:pPr>
              <w:jc w:val="center"/>
              <w:rPr>
                <w:szCs w:val="21"/>
                <w:highlight w:val="none"/>
              </w:rPr>
            </w:pPr>
          </w:p>
        </w:tc>
        <w:tc>
          <w:tcPr>
            <w:tcW w:w="2085" w:type="dxa"/>
            <w:noWrap w:val="0"/>
            <w:vAlign w:val="center"/>
          </w:tcPr>
          <w:p w14:paraId="63A01ADE">
            <w:pPr>
              <w:jc w:val="center"/>
              <w:rPr>
                <w:szCs w:val="21"/>
                <w:highlight w:val="none"/>
              </w:rPr>
            </w:pPr>
          </w:p>
        </w:tc>
      </w:tr>
      <w:tr w14:paraId="30E1D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noWrap w:val="0"/>
            <w:vAlign w:val="center"/>
          </w:tcPr>
          <w:p w14:paraId="091E9142">
            <w:pPr>
              <w:jc w:val="center"/>
              <w:rPr>
                <w:szCs w:val="21"/>
                <w:highlight w:val="none"/>
              </w:rPr>
            </w:pPr>
            <w:r>
              <w:rPr>
                <w:rFonts w:hint="eastAsia"/>
                <w:szCs w:val="21"/>
                <w:highlight w:val="none"/>
              </w:rPr>
              <w:t>2</w:t>
            </w:r>
          </w:p>
        </w:tc>
        <w:tc>
          <w:tcPr>
            <w:tcW w:w="2721" w:type="dxa"/>
            <w:noWrap w:val="0"/>
            <w:vAlign w:val="center"/>
          </w:tcPr>
          <w:p w14:paraId="253C28CE">
            <w:pPr>
              <w:jc w:val="center"/>
              <w:rPr>
                <w:szCs w:val="21"/>
                <w:highlight w:val="none"/>
              </w:rPr>
            </w:pPr>
          </w:p>
        </w:tc>
        <w:tc>
          <w:tcPr>
            <w:tcW w:w="2934" w:type="dxa"/>
            <w:noWrap w:val="0"/>
            <w:vAlign w:val="center"/>
          </w:tcPr>
          <w:p w14:paraId="30CCC9C6">
            <w:pPr>
              <w:jc w:val="center"/>
              <w:rPr>
                <w:szCs w:val="21"/>
                <w:highlight w:val="none"/>
              </w:rPr>
            </w:pPr>
          </w:p>
        </w:tc>
        <w:tc>
          <w:tcPr>
            <w:tcW w:w="2085" w:type="dxa"/>
            <w:noWrap w:val="0"/>
            <w:vAlign w:val="center"/>
          </w:tcPr>
          <w:p w14:paraId="67B641A3">
            <w:pPr>
              <w:jc w:val="center"/>
              <w:rPr>
                <w:szCs w:val="21"/>
                <w:highlight w:val="none"/>
              </w:rPr>
            </w:pPr>
          </w:p>
        </w:tc>
      </w:tr>
      <w:tr w14:paraId="16457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noWrap w:val="0"/>
            <w:vAlign w:val="center"/>
          </w:tcPr>
          <w:p w14:paraId="34EBECB4">
            <w:pPr>
              <w:jc w:val="center"/>
              <w:rPr>
                <w:szCs w:val="21"/>
                <w:highlight w:val="none"/>
              </w:rPr>
            </w:pPr>
            <w:r>
              <w:rPr>
                <w:rFonts w:hint="eastAsia"/>
                <w:szCs w:val="21"/>
                <w:highlight w:val="none"/>
              </w:rPr>
              <w:t>3</w:t>
            </w:r>
          </w:p>
        </w:tc>
        <w:tc>
          <w:tcPr>
            <w:tcW w:w="2721" w:type="dxa"/>
            <w:noWrap w:val="0"/>
            <w:vAlign w:val="center"/>
          </w:tcPr>
          <w:p w14:paraId="0E28B057">
            <w:pPr>
              <w:jc w:val="center"/>
              <w:rPr>
                <w:szCs w:val="21"/>
                <w:highlight w:val="none"/>
              </w:rPr>
            </w:pPr>
          </w:p>
        </w:tc>
        <w:tc>
          <w:tcPr>
            <w:tcW w:w="2934" w:type="dxa"/>
            <w:noWrap w:val="0"/>
            <w:vAlign w:val="center"/>
          </w:tcPr>
          <w:p w14:paraId="5A49357D">
            <w:pPr>
              <w:jc w:val="center"/>
              <w:rPr>
                <w:szCs w:val="21"/>
                <w:highlight w:val="none"/>
              </w:rPr>
            </w:pPr>
          </w:p>
        </w:tc>
        <w:tc>
          <w:tcPr>
            <w:tcW w:w="2085" w:type="dxa"/>
            <w:noWrap w:val="0"/>
            <w:vAlign w:val="center"/>
          </w:tcPr>
          <w:p w14:paraId="5A9B31E2">
            <w:pPr>
              <w:jc w:val="center"/>
              <w:rPr>
                <w:szCs w:val="21"/>
                <w:highlight w:val="none"/>
              </w:rPr>
            </w:pPr>
          </w:p>
        </w:tc>
      </w:tr>
      <w:tr w14:paraId="4281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noWrap w:val="0"/>
            <w:vAlign w:val="center"/>
          </w:tcPr>
          <w:p w14:paraId="4513D821">
            <w:pPr>
              <w:jc w:val="center"/>
              <w:rPr>
                <w:szCs w:val="21"/>
                <w:highlight w:val="none"/>
              </w:rPr>
            </w:pPr>
            <w:r>
              <w:rPr>
                <w:rFonts w:hint="eastAsia"/>
                <w:szCs w:val="21"/>
                <w:highlight w:val="none"/>
              </w:rPr>
              <w:t>4</w:t>
            </w:r>
          </w:p>
        </w:tc>
        <w:tc>
          <w:tcPr>
            <w:tcW w:w="2721" w:type="dxa"/>
            <w:noWrap w:val="0"/>
            <w:vAlign w:val="center"/>
          </w:tcPr>
          <w:p w14:paraId="197D3D92">
            <w:pPr>
              <w:jc w:val="center"/>
              <w:rPr>
                <w:szCs w:val="21"/>
                <w:highlight w:val="none"/>
              </w:rPr>
            </w:pPr>
          </w:p>
        </w:tc>
        <w:tc>
          <w:tcPr>
            <w:tcW w:w="2934" w:type="dxa"/>
            <w:noWrap w:val="0"/>
            <w:vAlign w:val="center"/>
          </w:tcPr>
          <w:p w14:paraId="68EC924E">
            <w:pPr>
              <w:jc w:val="center"/>
              <w:rPr>
                <w:szCs w:val="21"/>
                <w:highlight w:val="none"/>
              </w:rPr>
            </w:pPr>
          </w:p>
        </w:tc>
        <w:tc>
          <w:tcPr>
            <w:tcW w:w="2085" w:type="dxa"/>
            <w:noWrap w:val="0"/>
            <w:vAlign w:val="center"/>
          </w:tcPr>
          <w:p w14:paraId="4DEAD419">
            <w:pPr>
              <w:jc w:val="center"/>
              <w:rPr>
                <w:szCs w:val="21"/>
                <w:highlight w:val="none"/>
              </w:rPr>
            </w:pPr>
          </w:p>
        </w:tc>
      </w:tr>
      <w:tr w14:paraId="3ACF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noWrap w:val="0"/>
            <w:vAlign w:val="center"/>
          </w:tcPr>
          <w:p w14:paraId="32920E79">
            <w:pPr>
              <w:jc w:val="center"/>
              <w:rPr>
                <w:szCs w:val="21"/>
                <w:highlight w:val="none"/>
              </w:rPr>
            </w:pPr>
            <w:r>
              <w:rPr>
                <w:rFonts w:hint="eastAsia"/>
                <w:szCs w:val="21"/>
                <w:highlight w:val="none"/>
              </w:rPr>
              <w:t>5</w:t>
            </w:r>
          </w:p>
        </w:tc>
        <w:tc>
          <w:tcPr>
            <w:tcW w:w="2721" w:type="dxa"/>
            <w:noWrap w:val="0"/>
            <w:vAlign w:val="center"/>
          </w:tcPr>
          <w:p w14:paraId="0B5FD5E9">
            <w:pPr>
              <w:jc w:val="center"/>
              <w:rPr>
                <w:szCs w:val="21"/>
                <w:highlight w:val="none"/>
              </w:rPr>
            </w:pPr>
          </w:p>
        </w:tc>
        <w:tc>
          <w:tcPr>
            <w:tcW w:w="2934" w:type="dxa"/>
            <w:noWrap w:val="0"/>
            <w:vAlign w:val="center"/>
          </w:tcPr>
          <w:p w14:paraId="7EDE7973">
            <w:pPr>
              <w:jc w:val="center"/>
              <w:rPr>
                <w:szCs w:val="21"/>
                <w:highlight w:val="none"/>
              </w:rPr>
            </w:pPr>
          </w:p>
        </w:tc>
        <w:tc>
          <w:tcPr>
            <w:tcW w:w="2085" w:type="dxa"/>
            <w:noWrap w:val="0"/>
            <w:vAlign w:val="center"/>
          </w:tcPr>
          <w:p w14:paraId="1E8AD501">
            <w:pPr>
              <w:jc w:val="center"/>
              <w:rPr>
                <w:szCs w:val="21"/>
                <w:highlight w:val="none"/>
              </w:rPr>
            </w:pPr>
          </w:p>
        </w:tc>
      </w:tr>
      <w:tr w14:paraId="24309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40" w:type="dxa"/>
            <w:noWrap w:val="0"/>
            <w:vAlign w:val="center"/>
          </w:tcPr>
          <w:p w14:paraId="3A10BA12">
            <w:pPr>
              <w:jc w:val="center"/>
              <w:rPr>
                <w:szCs w:val="21"/>
                <w:highlight w:val="none"/>
              </w:rPr>
            </w:pPr>
            <w:r>
              <w:rPr>
                <w:rFonts w:hint="eastAsia"/>
                <w:szCs w:val="21"/>
                <w:highlight w:val="none"/>
              </w:rPr>
              <w:t>6</w:t>
            </w:r>
          </w:p>
        </w:tc>
        <w:tc>
          <w:tcPr>
            <w:tcW w:w="2721" w:type="dxa"/>
            <w:noWrap w:val="0"/>
            <w:vAlign w:val="center"/>
          </w:tcPr>
          <w:p w14:paraId="644FD977">
            <w:pPr>
              <w:jc w:val="center"/>
              <w:rPr>
                <w:szCs w:val="21"/>
                <w:highlight w:val="none"/>
              </w:rPr>
            </w:pPr>
          </w:p>
        </w:tc>
        <w:tc>
          <w:tcPr>
            <w:tcW w:w="2934" w:type="dxa"/>
            <w:noWrap w:val="0"/>
            <w:vAlign w:val="center"/>
          </w:tcPr>
          <w:p w14:paraId="411CFDD8">
            <w:pPr>
              <w:jc w:val="center"/>
              <w:rPr>
                <w:szCs w:val="21"/>
                <w:highlight w:val="none"/>
              </w:rPr>
            </w:pPr>
          </w:p>
        </w:tc>
        <w:tc>
          <w:tcPr>
            <w:tcW w:w="2085" w:type="dxa"/>
            <w:noWrap w:val="0"/>
            <w:vAlign w:val="center"/>
          </w:tcPr>
          <w:p w14:paraId="117C0899">
            <w:pPr>
              <w:jc w:val="center"/>
              <w:rPr>
                <w:szCs w:val="21"/>
                <w:highlight w:val="none"/>
              </w:rPr>
            </w:pPr>
          </w:p>
        </w:tc>
      </w:tr>
      <w:tr w14:paraId="085E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561" w:type="dxa"/>
            <w:gridSpan w:val="2"/>
            <w:noWrap w:val="0"/>
            <w:vAlign w:val="center"/>
          </w:tcPr>
          <w:p w14:paraId="054DEDC9">
            <w:pPr>
              <w:tabs>
                <w:tab w:val="left" w:pos="2032"/>
              </w:tabs>
              <w:jc w:val="center"/>
              <w:rPr>
                <w:szCs w:val="21"/>
                <w:highlight w:val="none"/>
              </w:rPr>
            </w:pPr>
            <w:r>
              <w:rPr>
                <w:rFonts w:hint="eastAsia"/>
                <w:szCs w:val="21"/>
                <w:highlight w:val="none"/>
              </w:rPr>
              <w:t>合计（张）</w:t>
            </w:r>
          </w:p>
        </w:tc>
        <w:tc>
          <w:tcPr>
            <w:tcW w:w="5019" w:type="dxa"/>
            <w:gridSpan w:val="2"/>
            <w:noWrap w:val="0"/>
            <w:vAlign w:val="center"/>
          </w:tcPr>
          <w:p w14:paraId="163EF5A6">
            <w:pPr>
              <w:tabs>
                <w:tab w:val="left" w:pos="2032"/>
              </w:tabs>
              <w:jc w:val="center"/>
              <w:rPr>
                <w:szCs w:val="21"/>
                <w:highlight w:val="none"/>
              </w:rPr>
            </w:pPr>
          </w:p>
        </w:tc>
      </w:tr>
    </w:tbl>
    <w:p w14:paraId="6A325B81">
      <w:pPr>
        <w:tabs>
          <w:tab w:val="left" w:pos="540"/>
        </w:tabs>
        <w:snapToGrid w:val="0"/>
        <w:spacing w:line="360" w:lineRule="auto"/>
        <w:rPr>
          <w:rFonts w:ascii="宋体" w:hAnsi="宋体"/>
          <w:szCs w:val="21"/>
          <w:highlight w:val="none"/>
        </w:rPr>
      </w:pPr>
    </w:p>
    <w:p w14:paraId="1F29AE72">
      <w:pPr>
        <w:tabs>
          <w:tab w:val="left" w:pos="540"/>
        </w:tabs>
        <w:snapToGrid w:val="0"/>
        <w:spacing w:line="360" w:lineRule="auto"/>
        <w:rPr>
          <w:rFonts w:ascii="宋体" w:hAnsi="宋体"/>
          <w:szCs w:val="21"/>
          <w:highlight w:val="none"/>
        </w:rPr>
      </w:pPr>
    </w:p>
    <w:p w14:paraId="55953D4A">
      <w:pPr>
        <w:tabs>
          <w:tab w:val="left" w:pos="540"/>
        </w:tabs>
        <w:snapToGrid w:val="0"/>
        <w:spacing w:line="360" w:lineRule="auto"/>
        <w:rPr>
          <w:rFonts w:ascii="宋体" w:hAnsi="宋体"/>
          <w:szCs w:val="21"/>
          <w:highlight w:val="none"/>
        </w:rPr>
      </w:pPr>
    </w:p>
    <w:p w14:paraId="5998C630">
      <w:pPr>
        <w:tabs>
          <w:tab w:val="left" w:pos="540"/>
        </w:tabs>
        <w:snapToGrid w:val="0"/>
        <w:spacing w:line="360" w:lineRule="auto"/>
        <w:rPr>
          <w:rFonts w:ascii="宋体" w:hAnsi="宋体"/>
          <w:szCs w:val="21"/>
          <w:highlight w:val="none"/>
        </w:rPr>
      </w:pPr>
    </w:p>
    <w:p w14:paraId="3C796010">
      <w:pPr>
        <w:tabs>
          <w:tab w:val="left" w:pos="540"/>
        </w:tabs>
        <w:snapToGrid w:val="0"/>
        <w:spacing w:line="360" w:lineRule="auto"/>
        <w:rPr>
          <w:rFonts w:ascii="宋体" w:hAnsi="宋体"/>
          <w:szCs w:val="21"/>
          <w:highlight w:val="none"/>
        </w:rPr>
      </w:pPr>
    </w:p>
    <w:p w14:paraId="37D0F7A5">
      <w:pPr>
        <w:tabs>
          <w:tab w:val="left" w:pos="540"/>
        </w:tabs>
        <w:snapToGrid w:val="0"/>
        <w:spacing w:line="360" w:lineRule="auto"/>
        <w:rPr>
          <w:rFonts w:ascii="宋体" w:hAnsi="宋体"/>
          <w:szCs w:val="21"/>
          <w:highlight w:val="none"/>
        </w:rPr>
      </w:pPr>
    </w:p>
    <w:p w14:paraId="19B1FBE9">
      <w:pPr>
        <w:tabs>
          <w:tab w:val="left" w:pos="540"/>
        </w:tabs>
        <w:snapToGrid w:val="0"/>
        <w:spacing w:line="360" w:lineRule="auto"/>
        <w:rPr>
          <w:rFonts w:ascii="宋体" w:hAnsi="宋体"/>
          <w:szCs w:val="21"/>
          <w:highlight w:val="none"/>
        </w:rPr>
      </w:pPr>
    </w:p>
    <w:p w14:paraId="2ECD9112">
      <w:pPr>
        <w:tabs>
          <w:tab w:val="left" w:pos="540"/>
        </w:tabs>
        <w:snapToGrid w:val="0"/>
        <w:spacing w:line="360" w:lineRule="auto"/>
        <w:rPr>
          <w:rFonts w:ascii="宋体" w:hAnsi="宋体"/>
          <w:szCs w:val="21"/>
          <w:highlight w:val="none"/>
        </w:rPr>
      </w:pPr>
    </w:p>
    <w:p w14:paraId="25B37319">
      <w:pPr>
        <w:tabs>
          <w:tab w:val="left" w:pos="540"/>
        </w:tabs>
        <w:snapToGrid w:val="0"/>
        <w:spacing w:line="360" w:lineRule="auto"/>
        <w:rPr>
          <w:rFonts w:ascii="宋体" w:hAnsi="宋体"/>
          <w:szCs w:val="21"/>
          <w:highlight w:val="none"/>
        </w:rPr>
      </w:pPr>
    </w:p>
    <w:p w14:paraId="39E96C7B">
      <w:pPr>
        <w:tabs>
          <w:tab w:val="left" w:pos="540"/>
        </w:tabs>
        <w:snapToGrid w:val="0"/>
        <w:spacing w:line="360" w:lineRule="auto"/>
        <w:rPr>
          <w:rFonts w:ascii="宋体" w:hAnsi="宋体"/>
          <w:szCs w:val="21"/>
          <w:highlight w:val="none"/>
        </w:rPr>
      </w:pPr>
    </w:p>
    <w:p w14:paraId="2B02B2B6">
      <w:pPr>
        <w:tabs>
          <w:tab w:val="left" w:pos="540"/>
        </w:tabs>
        <w:snapToGrid w:val="0"/>
        <w:spacing w:line="360" w:lineRule="auto"/>
        <w:rPr>
          <w:rFonts w:ascii="宋体" w:hAnsi="宋体"/>
          <w:szCs w:val="21"/>
          <w:highlight w:val="none"/>
        </w:rPr>
      </w:pPr>
    </w:p>
    <w:p w14:paraId="12BC42CA">
      <w:pPr>
        <w:tabs>
          <w:tab w:val="left" w:pos="540"/>
        </w:tabs>
        <w:snapToGrid w:val="0"/>
        <w:spacing w:line="360" w:lineRule="auto"/>
        <w:rPr>
          <w:rFonts w:ascii="宋体" w:hAnsi="宋体"/>
          <w:szCs w:val="21"/>
          <w:highlight w:val="none"/>
        </w:rPr>
      </w:pPr>
    </w:p>
    <w:p w14:paraId="6ABD9B9B">
      <w:pPr>
        <w:tabs>
          <w:tab w:val="left" w:pos="540"/>
        </w:tabs>
        <w:snapToGrid w:val="0"/>
        <w:spacing w:line="360" w:lineRule="auto"/>
        <w:rPr>
          <w:rFonts w:ascii="宋体" w:hAnsi="宋体"/>
          <w:szCs w:val="21"/>
          <w:highlight w:val="none"/>
        </w:rPr>
      </w:pPr>
    </w:p>
    <w:p w14:paraId="7F43A2CB">
      <w:pPr>
        <w:tabs>
          <w:tab w:val="left" w:pos="540"/>
        </w:tabs>
        <w:snapToGrid w:val="0"/>
        <w:spacing w:line="360" w:lineRule="auto"/>
        <w:rPr>
          <w:rFonts w:ascii="宋体" w:hAnsi="宋体"/>
          <w:szCs w:val="21"/>
          <w:highlight w:val="none"/>
        </w:rPr>
      </w:pPr>
    </w:p>
    <w:p w14:paraId="7AFC4C16">
      <w:pPr>
        <w:tabs>
          <w:tab w:val="left" w:pos="540"/>
        </w:tabs>
        <w:snapToGrid w:val="0"/>
        <w:spacing w:line="360" w:lineRule="auto"/>
        <w:rPr>
          <w:rFonts w:ascii="宋体" w:hAnsi="宋体"/>
          <w:szCs w:val="21"/>
          <w:highlight w:val="none"/>
        </w:rPr>
      </w:pPr>
    </w:p>
    <w:p w14:paraId="6D40F213">
      <w:pPr>
        <w:tabs>
          <w:tab w:val="left" w:pos="540"/>
        </w:tabs>
        <w:snapToGrid w:val="0"/>
        <w:spacing w:line="360" w:lineRule="auto"/>
        <w:rPr>
          <w:rFonts w:ascii="宋体" w:hAnsi="宋体"/>
          <w:szCs w:val="21"/>
          <w:highlight w:val="none"/>
        </w:rPr>
      </w:pPr>
    </w:p>
    <w:p w14:paraId="5779F013">
      <w:pPr>
        <w:snapToGrid w:val="0"/>
        <w:spacing w:line="360" w:lineRule="auto"/>
        <w:rPr>
          <w:rFonts w:ascii="宋体" w:hAnsi="宋体"/>
          <w:b/>
          <w:bCs/>
          <w:szCs w:val="21"/>
          <w:highlight w:val="none"/>
        </w:rPr>
        <w:sectPr>
          <w:pgSz w:w="11906" w:h="16838"/>
          <w:pgMar w:top="1735" w:right="1134" w:bottom="1418" w:left="1418" w:header="777" w:footer="1134" w:gutter="0"/>
          <w:pgBorders>
            <w:top w:val="none" w:sz="0" w:space="0"/>
            <w:left w:val="none" w:sz="0" w:space="0"/>
            <w:bottom w:val="none" w:sz="0" w:space="0"/>
            <w:right w:val="none" w:sz="0" w:space="0"/>
          </w:pgBorders>
          <w:pgNumType w:fmt="decimal"/>
          <w:cols w:space="720" w:num="1"/>
          <w:docGrid w:linePitch="286" w:charSpace="0"/>
        </w:sectPr>
      </w:pPr>
      <w:r>
        <w:rPr>
          <w:rFonts w:hint="eastAsia" w:ascii="宋体" w:hAnsi="宋体"/>
          <w:b/>
          <w:bCs/>
          <w:szCs w:val="21"/>
          <w:highlight w:val="none"/>
        </w:rPr>
        <w:t>注：在提交发票时，需附有详细的发票清单（如上），</w:t>
      </w:r>
      <w:r>
        <w:rPr>
          <w:rFonts w:hint="eastAsia" w:ascii="宋体" w:hAnsi="宋体"/>
          <w:b/>
          <w:bCs/>
          <w:color w:val="000000"/>
          <w:szCs w:val="21"/>
          <w:highlight w:val="none"/>
        </w:rPr>
        <w:t>卖方</w:t>
      </w:r>
      <w:r>
        <w:rPr>
          <w:rFonts w:hint="eastAsia" w:ascii="宋体" w:hAnsi="宋体"/>
          <w:b/>
          <w:bCs/>
          <w:szCs w:val="21"/>
          <w:highlight w:val="none"/>
        </w:rPr>
        <w:t>如未提供上述材料、提供有误或不完整，买方将有权推迟向卖方支付货款，推迟时间为自货物验收合格之日起（从次日起算）</w:t>
      </w:r>
      <w:r>
        <w:rPr>
          <w:rFonts w:hint="eastAsia" w:ascii="宋体" w:hAnsi="宋体"/>
          <w:b/>
          <w:bCs/>
          <w:szCs w:val="21"/>
          <w:highlight w:val="none"/>
          <w:u w:val="single"/>
        </w:rPr>
        <w:t>90</w:t>
      </w:r>
      <w:r>
        <w:rPr>
          <w:rFonts w:hint="eastAsia" w:ascii="宋体" w:hAnsi="宋体"/>
          <w:b/>
          <w:bCs/>
          <w:szCs w:val="21"/>
          <w:highlight w:val="none"/>
        </w:rPr>
        <w:t>个日历天。</w:t>
      </w:r>
    </w:p>
    <w:p w14:paraId="2E9F001F">
      <w:pPr>
        <w:snapToGrid w:val="0"/>
        <w:spacing w:line="480" w:lineRule="auto"/>
        <w:ind w:right="-334" w:rightChars="-159"/>
        <w:jc w:val="center"/>
        <w:rPr>
          <w:rFonts w:hint="eastAsia" w:hAnsi="宋体"/>
          <w:b/>
          <w:bCs/>
          <w:sz w:val="32"/>
          <w:szCs w:val="32"/>
          <w:highlight w:val="none"/>
        </w:rPr>
      </w:pPr>
    </w:p>
    <w:p w14:paraId="1FFD94AA">
      <w:pPr>
        <w:snapToGrid w:val="0"/>
        <w:spacing w:line="480" w:lineRule="auto"/>
        <w:ind w:right="-334" w:rightChars="-159"/>
        <w:jc w:val="center"/>
        <w:rPr>
          <w:rFonts w:hAnsi="宋体"/>
          <w:b/>
          <w:bCs/>
          <w:sz w:val="32"/>
          <w:szCs w:val="32"/>
          <w:highlight w:val="none"/>
        </w:rPr>
      </w:pPr>
      <w:r>
        <w:rPr>
          <w:rFonts w:hint="eastAsia" w:hAnsi="宋体"/>
          <w:b/>
          <w:bCs/>
          <w:sz w:val="32"/>
          <w:szCs w:val="32"/>
          <w:highlight w:val="none"/>
        </w:rPr>
        <w:t>第七章  投标文件格式</w:t>
      </w:r>
    </w:p>
    <w:p w14:paraId="3DF6F80B">
      <w:pPr>
        <w:spacing w:line="480" w:lineRule="auto"/>
        <w:jc w:val="center"/>
        <w:rPr>
          <w:rFonts w:hint="eastAsia" w:eastAsia="黑体"/>
          <w:sz w:val="20"/>
          <w:highlight w:val="none"/>
        </w:rPr>
      </w:pPr>
      <w:r>
        <w:rPr>
          <w:rFonts w:hint="eastAsia" w:ascii="宋体" w:hAnsi="宋体"/>
          <w:b/>
          <w:sz w:val="28"/>
          <w:szCs w:val="28"/>
          <w:highlight w:val="none"/>
        </w:rPr>
        <w:t>一、资信证明格式文件</w:t>
      </w:r>
    </w:p>
    <w:p w14:paraId="48923F80">
      <w:pPr>
        <w:rPr>
          <w:rFonts w:hint="eastAsia" w:eastAsia="黑体"/>
          <w:sz w:val="20"/>
          <w:highlight w:val="none"/>
        </w:rPr>
      </w:pPr>
    </w:p>
    <w:p w14:paraId="47D31395">
      <w:pPr>
        <w:jc w:val="center"/>
        <w:rPr>
          <w:rFonts w:hint="eastAsia" w:ascii="宋体"/>
          <w:b/>
          <w:sz w:val="44"/>
          <w:szCs w:val="44"/>
          <w:highlight w:val="none"/>
        </w:rPr>
      </w:pPr>
      <w:bookmarkStart w:id="110" w:name="_Toc449028949"/>
      <w:bookmarkStart w:id="111" w:name="_Toc350698753"/>
      <w:r>
        <w:rPr>
          <w:rFonts w:hint="eastAsia" w:ascii="宋体"/>
          <w:b/>
          <w:sz w:val="44"/>
          <w:szCs w:val="44"/>
          <w:highlight w:val="none"/>
        </w:rPr>
        <w:t>资信证明文件</w:t>
      </w:r>
      <w:bookmarkEnd w:id="110"/>
      <w:bookmarkEnd w:id="111"/>
    </w:p>
    <w:p w14:paraId="29339184">
      <w:pPr>
        <w:jc w:val="center"/>
        <w:rPr>
          <w:rFonts w:hint="eastAsia" w:ascii="宋体"/>
          <w:sz w:val="32"/>
          <w:szCs w:val="32"/>
          <w:highlight w:val="none"/>
        </w:rPr>
      </w:pPr>
      <w:r>
        <w:rPr>
          <w:rFonts w:hint="eastAsia" w:ascii="宋体"/>
          <w:sz w:val="32"/>
          <w:szCs w:val="32"/>
          <w:highlight w:val="none"/>
        </w:rPr>
        <w:t>（投标文件一）</w:t>
      </w:r>
    </w:p>
    <w:p w14:paraId="2DE66BF8">
      <w:pPr>
        <w:jc w:val="center"/>
        <w:rPr>
          <w:rFonts w:hint="eastAsia" w:eastAsia="黑体"/>
          <w:sz w:val="44"/>
          <w:szCs w:val="44"/>
          <w:highlight w:val="none"/>
        </w:rPr>
      </w:pPr>
    </w:p>
    <w:p w14:paraId="1173EE82">
      <w:pPr>
        <w:jc w:val="center"/>
        <w:rPr>
          <w:rFonts w:hint="eastAsia" w:ascii="宋体"/>
          <w:sz w:val="32"/>
          <w:szCs w:val="32"/>
          <w:highlight w:val="none"/>
        </w:rPr>
      </w:pPr>
      <w:r>
        <w:rPr>
          <w:rFonts w:hint="eastAsia" w:ascii="宋体"/>
          <w:sz w:val="32"/>
          <w:szCs w:val="32"/>
          <w:highlight w:val="none"/>
          <w:u w:val="single"/>
        </w:rPr>
        <w:t xml:space="preserve">        </w:t>
      </w:r>
      <w:r>
        <w:rPr>
          <w:rFonts w:hint="eastAsia" w:ascii="宋体"/>
          <w:sz w:val="32"/>
          <w:szCs w:val="32"/>
          <w:highlight w:val="none"/>
        </w:rPr>
        <w:t>项目</w:t>
      </w:r>
    </w:p>
    <w:p w14:paraId="0ABF6200">
      <w:pPr>
        <w:jc w:val="center"/>
        <w:rPr>
          <w:rFonts w:hint="eastAsia" w:ascii="宋体"/>
          <w:sz w:val="44"/>
          <w:szCs w:val="44"/>
          <w:highlight w:val="none"/>
        </w:rPr>
      </w:pPr>
      <w:r>
        <w:rPr>
          <w:rFonts w:hint="eastAsia" w:ascii="宋体"/>
          <w:sz w:val="28"/>
          <w:szCs w:val="28"/>
          <w:highlight w:val="none"/>
        </w:rPr>
        <w:t xml:space="preserve"> </w:t>
      </w:r>
      <w:r>
        <w:rPr>
          <w:rFonts w:hint="eastAsia" w:ascii="宋体"/>
          <w:sz w:val="28"/>
          <w:szCs w:val="28"/>
          <w:highlight w:val="none"/>
          <w:u w:val="single"/>
        </w:rPr>
        <w:t xml:space="preserve">   </w:t>
      </w:r>
    </w:p>
    <w:p w14:paraId="64E9B27A">
      <w:pPr>
        <w:rPr>
          <w:rFonts w:hint="eastAsia" w:ascii="宋体"/>
          <w:sz w:val="28"/>
          <w:szCs w:val="28"/>
          <w:highlight w:val="none"/>
        </w:rPr>
      </w:pPr>
    </w:p>
    <w:p w14:paraId="3257E379">
      <w:pPr>
        <w:rPr>
          <w:rFonts w:hint="eastAsia" w:ascii="宋体"/>
          <w:sz w:val="28"/>
          <w:szCs w:val="28"/>
          <w:highlight w:val="none"/>
        </w:rPr>
      </w:pPr>
    </w:p>
    <w:p w14:paraId="04235294">
      <w:pPr>
        <w:rPr>
          <w:rFonts w:hint="eastAsia" w:ascii="宋体"/>
          <w:sz w:val="28"/>
          <w:szCs w:val="28"/>
          <w:highlight w:val="none"/>
        </w:rPr>
      </w:pPr>
    </w:p>
    <w:p w14:paraId="74AC13FD">
      <w:pPr>
        <w:rPr>
          <w:rFonts w:hint="eastAsia" w:ascii="宋体"/>
          <w:sz w:val="28"/>
          <w:szCs w:val="28"/>
          <w:highlight w:val="none"/>
        </w:rPr>
      </w:pPr>
    </w:p>
    <w:p w14:paraId="4C6F6423">
      <w:pPr>
        <w:rPr>
          <w:rFonts w:hint="eastAsia" w:ascii="宋体"/>
          <w:sz w:val="28"/>
          <w:szCs w:val="28"/>
          <w:highlight w:val="none"/>
        </w:rPr>
      </w:pPr>
    </w:p>
    <w:p w14:paraId="525195B4">
      <w:pPr>
        <w:rPr>
          <w:rFonts w:hint="eastAsia" w:ascii="宋体"/>
          <w:sz w:val="28"/>
          <w:szCs w:val="28"/>
          <w:highlight w:val="none"/>
        </w:rPr>
      </w:pPr>
    </w:p>
    <w:p w14:paraId="3EE904CA">
      <w:pPr>
        <w:rPr>
          <w:rFonts w:hint="eastAsia" w:ascii="宋体"/>
          <w:sz w:val="28"/>
          <w:szCs w:val="28"/>
          <w:highlight w:val="none"/>
        </w:rPr>
      </w:pPr>
    </w:p>
    <w:p w14:paraId="2BB4E8F0">
      <w:pPr>
        <w:jc w:val="center"/>
        <w:rPr>
          <w:rFonts w:hint="eastAsia" w:ascii="宋体"/>
          <w:sz w:val="28"/>
          <w:szCs w:val="28"/>
          <w:highlight w:val="none"/>
          <w:u w:val="single"/>
        </w:rPr>
      </w:pPr>
      <w:r>
        <w:rPr>
          <w:rFonts w:hint="eastAsia" w:ascii="宋体"/>
          <w:sz w:val="28"/>
          <w:szCs w:val="28"/>
          <w:highlight w:val="none"/>
        </w:rPr>
        <w:t>投标人：</w:t>
      </w:r>
      <w:r>
        <w:rPr>
          <w:rFonts w:hint="eastAsia" w:ascii="宋体"/>
          <w:sz w:val="28"/>
          <w:szCs w:val="28"/>
          <w:highlight w:val="none"/>
          <w:u w:val="single"/>
        </w:rPr>
        <w:t xml:space="preserve">                              </w:t>
      </w:r>
      <w:r>
        <w:rPr>
          <w:rFonts w:hint="eastAsia" w:ascii="宋体"/>
          <w:sz w:val="28"/>
          <w:szCs w:val="28"/>
          <w:highlight w:val="none"/>
        </w:rPr>
        <w:t>（签章）</w:t>
      </w:r>
    </w:p>
    <w:p w14:paraId="4ADFACCF">
      <w:pPr>
        <w:ind w:firstLine="560" w:firstLineChars="200"/>
        <w:rPr>
          <w:rFonts w:hint="eastAsia" w:ascii="宋体"/>
          <w:sz w:val="28"/>
          <w:szCs w:val="28"/>
          <w:highlight w:val="none"/>
        </w:rPr>
      </w:pPr>
      <w:r>
        <w:rPr>
          <w:rFonts w:hint="eastAsia" w:ascii="宋体"/>
          <w:sz w:val="28"/>
          <w:szCs w:val="28"/>
          <w:highlight w:val="none"/>
        </w:rPr>
        <w:t>法定代表人：</w:t>
      </w:r>
      <w:r>
        <w:rPr>
          <w:rFonts w:hint="eastAsia" w:ascii="宋体"/>
          <w:sz w:val="28"/>
          <w:szCs w:val="28"/>
          <w:highlight w:val="none"/>
          <w:u w:val="single"/>
        </w:rPr>
        <w:t xml:space="preserve">                              </w:t>
      </w:r>
      <w:r>
        <w:rPr>
          <w:rFonts w:hint="eastAsia" w:ascii="宋体"/>
          <w:sz w:val="28"/>
          <w:szCs w:val="28"/>
          <w:highlight w:val="none"/>
        </w:rPr>
        <w:t>（签章）</w:t>
      </w:r>
    </w:p>
    <w:p w14:paraId="7D121214">
      <w:pPr>
        <w:jc w:val="center"/>
        <w:rPr>
          <w:rFonts w:hint="eastAsia" w:ascii="宋体"/>
          <w:sz w:val="28"/>
          <w:szCs w:val="28"/>
          <w:highlight w:val="none"/>
        </w:rPr>
      </w:pPr>
      <w:r>
        <w:rPr>
          <w:rFonts w:hint="eastAsia" w:ascii="宋体"/>
          <w:sz w:val="28"/>
          <w:szCs w:val="28"/>
          <w:highlight w:val="none"/>
          <w:u w:val="single"/>
        </w:rPr>
        <w:t xml:space="preserve">        </w:t>
      </w:r>
      <w:r>
        <w:rPr>
          <w:rFonts w:hint="eastAsia" w:ascii="宋体"/>
          <w:sz w:val="28"/>
          <w:szCs w:val="28"/>
          <w:highlight w:val="none"/>
        </w:rPr>
        <w:t>年</w:t>
      </w:r>
      <w:r>
        <w:rPr>
          <w:rFonts w:hint="eastAsia" w:ascii="宋体"/>
          <w:sz w:val="28"/>
          <w:szCs w:val="28"/>
          <w:highlight w:val="none"/>
          <w:u w:val="single"/>
        </w:rPr>
        <w:t xml:space="preserve">        </w:t>
      </w:r>
      <w:r>
        <w:rPr>
          <w:rFonts w:hint="eastAsia" w:ascii="宋体"/>
          <w:sz w:val="28"/>
          <w:szCs w:val="28"/>
          <w:highlight w:val="none"/>
        </w:rPr>
        <w:t>月</w:t>
      </w:r>
      <w:r>
        <w:rPr>
          <w:rFonts w:hint="eastAsia" w:ascii="宋体"/>
          <w:sz w:val="28"/>
          <w:szCs w:val="28"/>
          <w:highlight w:val="none"/>
          <w:u w:val="single"/>
        </w:rPr>
        <w:t xml:space="preserve">        </w:t>
      </w:r>
      <w:r>
        <w:rPr>
          <w:rFonts w:hint="eastAsia" w:ascii="宋体"/>
          <w:sz w:val="28"/>
          <w:szCs w:val="28"/>
          <w:highlight w:val="none"/>
        </w:rPr>
        <w:t>日</w:t>
      </w:r>
    </w:p>
    <w:p w14:paraId="715D86B7">
      <w:pPr>
        <w:spacing w:line="720" w:lineRule="auto"/>
        <w:jc w:val="center"/>
        <w:rPr>
          <w:rFonts w:hint="eastAsia" w:ascii="宋体"/>
          <w:b/>
          <w:sz w:val="36"/>
          <w:szCs w:val="36"/>
          <w:highlight w:val="none"/>
        </w:rPr>
      </w:pPr>
    </w:p>
    <w:p w14:paraId="7951086D">
      <w:pPr>
        <w:spacing w:line="400" w:lineRule="exact"/>
        <w:ind w:firstLine="4130" w:firstLineChars="935"/>
        <w:rPr>
          <w:rFonts w:hint="eastAsia"/>
          <w:b/>
          <w:sz w:val="44"/>
          <w:szCs w:val="44"/>
          <w:highlight w:val="none"/>
        </w:rPr>
      </w:pPr>
    </w:p>
    <w:p w14:paraId="418D2B09">
      <w:pPr>
        <w:jc w:val="center"/>
        <w:rPr>
          <w:rFonts w:hint="eastAsia"/>
          <w:b/>
          <w:sz w:val="44"/>
          <w:szCs w:val="44"/>
          <w:highlight w:val="none"/>
        </w:rPr>
      </w:pPr>
      <w:r>
        <w:rPr>
          <w:rFonts w:hint="eastAsia"/>
          <w:b/>
          <w:sz w:val="36"/>
          <w:szCs w:val="36"/>
          <w:highlight w:val="none"/>
        </w:rPr>
        <w:t>目   录</w:t>
      </w:r>
    </w:p>
    <w:p w14:paraId="0D1F7216">
      <w:pPr>
        <w:spacing w:line="400" w:lineRule="exact"/>
        <w:rPr>
          <w:rFonts w:hint="eastAsia"/>
          <w:b/>
          <w:sz w:val="28"/>
          <w:szCs w:val="28"/>
          <w:highlight w:val="none"/>
        </w:rPr>
      </w:pPr>
    </w:p>
    <w:p w14:paraId="3D7AA963">
      <w:pPr>
        <w:spacing w:line="360" w:lineRule="auto"/>
        <w:ind w:firstLine="420" w:firstLineChars="200"/>
        <w:rPr>
          <w:rFonts w:hint="eastAsia" w:ascii="宋体"/>
          <w:szCs w:val="21"/>
          <w:highlight w:val="none"/>
        </w:rPr>
      </w:pPr>
      <w:r>
        <w:rPr>
          <w:rFonts w:hint="eastAsia" w:ascii="宋体"/>
          <w:szCs w:val="21"/>
          <w:highlight w:val="none"/>
        </w:rPr>
        <w:t>（1）法定代表人身份证明及其有效身份证（或法定代表人授权委托书及其有效身份证）（格式见附件）；</w:t>
      </w:r>
    </w:p>
    <w:p w14:paraId="502AE1A0">
      <w:pPr>
        <w:spacing w:line="360" w:lineRule="auto"/>
        <w:ind w:firstLine="420" w:firstLineChars="200"/>
        <w:rPr>
          <w:rFonts w:hint="eastAsia" w:ascii="宋体"/>
          <w:szCs w:val="21"/>
          <w:highlight w:val="none"/>
        </w:rPr>
      </w:pPr>
      <w:r>
        <w:rPr>
          <w:rFonts w:hint="eastAsia" w:ascii="宋体"/>
          <w:szCs w:val="21"/>
          <w:highlight w:val="none"/>
        </w:rPr>
        <w:t>（2）投标人有效的营业执照、税务登记证、组织机构代码证（或三合一证书）；</w:t>
      </w:r>
    </w:p>
    <w:p w14:paraId="2067935C">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（3）诚信投标承诺书（或《</w:t>
      </w:r>
      <w:r>
        <w:rPr>
          <w:rFonts w:hint="eastAsia" w:ascii="宋体" w:hAnsi="宋体" w:cs="宋体"/>
          <w:color w:val="000000"/>
          <w:szCs w:val="21"/>
          <w:highlight w:val="none"/>
        </w:rPr>
        <w:t>公共信用信息报告（无违法违规证明版或核查版）</w:t>
      </w:r>
      <w:r>
        <w:rPr>
          <w:rFonts w:hint="eastAsia" w:ascii="宋体" w:hAnsi="宋体" w:cs="宋体"/>
          <w:szCs w:val="21"/>
          <w:highlight w:val="none"/>
        </w:rPr>
        <w:t>》）</w:t>
      </w:r>
      <w:r>
        <w:rPr>
          <w:rFonts w:hint="eastAsia" w:ascii="宋体"/>
          <w:szCs w:val="21"/>
          <w:highlight w:val="none"/>
        </w:rPr>
        <w:t>；</w:t>
      </w:r>
    </w:p>
    <w:p w14:paraId="58977DB0">
      <w:pPr>
        <w:spacing w:line="360" w:lineRule="auto"/>
        <w:ind w:firstLine="420" w:firstLineChars="200"/>
        <w:rPr>
          <w:rFonts w:hint="eastAsia" w:ascii="宋体"/>
          <w:szCs w:val="21"/>
          <w:highlight w:val="none"/>
        </w:rPr>
      </w:pPr>
      <w:r>
        <w:rPr>
          <w:rFonts w:hint="eastAsia" w:ascii="宋体"/>
          <w:szCs w:val="21"/>
          <w:highlight w:val="none"/>
          <w:lang w:eastAsia="zh-CN"/>
        </w:rPr>
        <w:t>（</w:t>
      </w:r>
      <w:r>
        <w:rPr>
          <w:rFonts w:hint="eastAsia" w:ascii="宋体"/>
          <w:szCs w:val="21"/>
          <w:highlight w:val="none"/>
          <w:lang w:val="en-US" w:eastAsia="zh-CN"/>
        </w:rPr>
        <w:t>4）</w:t>
      </w:r>
      <w:r>
        <w:rPr>
          <w:rFonts w:hint="eastAsia" w:ascii="宋体"/>
          <w:szCs w:val="21"/>
          <w:highlight w:val="none"/>
        </w:rPr>
        <w:t>服务承诺：是否响应招标文件要求的书面说明和服务承诺书（格式见附件）；</w:t>
      </w:r>
    </w:p>
    <w:p w14:paraId="7090C153">
      <w:pPr>
        <w:spacing w:line="360" w:lineRule="auto"/>
        <w:ind w:firstLine="420" w:firstLineChars="200"/>
        <w:rPr>
          <w:rFonts w:hint="eastAsia" w:ascii="宋体"/>
          <w:szCs w:val="21"/>
          <w:highlight w:val="none"/>
        </w:rPr>
      </w:pPr>
      <w:r>
        <w:rPr>
          <w:rFonts w:hint="eastAsia" w:ascii="宋体"/>
          <w:szCs w:val="21"/>
          <w:highlight w:val="none"/>
        </w:rPr>
        <w:t>（</w:t>
      </w:r>
      <w:r>
        <w:rPr>
          <w:rFonts w:hint="eastAsia" w:ascii="宋体"/>
          <w:szCs w:val="21"/>
          <w:highlight w:val="none"/>
          <w:lang w:val="en-US" w:eastAsia="zh-CN"/>
        </w:rPr>
        <w:t>5</w:t>
      </w:r>
      <w:r>
        <w:rPr>
          <w:rFonts w:hint="eastAsia" w:ascii="宋体"/>
          <w:szCs w:val="21"/>
          <w:highlight w:val="none"/>
        </w:rPr>
        <w:t>）投标人认为需要提供的其他资信证明材料。</w:t>
      </w:r>
    </w:p>
    <w:p w14:paraId="27663759">
      <w:pPr>
        <w:spacing w:line="400" w:lineRule="exact"/>
        <w:ind w:firstLine="562" w:firstLineChars="200"/>
        <w:rPr>
          <w:rFonts w:hint="eastAsia"/>
          <w:b/>
          <w:sz w:val="28"/>
          <w:szCs w:val="28"/>
          <w:highlight w:val="none"/>
        </w:rPr>
      </w:pPr>
    </w:p>
    <w:p w14:paraId="5394298E">
      <w:pPr>
        <w:spacing w:line="400" w:lineRule="exact"/>
        <w:ind w:firstLine="562" w:firstLineChars="200"/>
        <w:rPr>
          <w:rFonts w:hint="eastAsia"/>
          <w:b/>
          <w:sz w:val="28"/>
          <w:szCs w:val="28"/>
          <w:highlight w:val="none"/>
        </w:rPr>
      </w:pPr>
    </w:p>
    <w:p w14:paraId="00F63860">
      <w:pPr>
        <w:spacing w:line="400" w:lineRule="exact"/>
        <w:ind w:firstLine="562" w:firstLineChars="200"/>
        <w:rPr>
          <w:rFonts w:hint="eastAsia"/>
          <w:b/>
          <w:sz w:val="28"/>
          <w:szCs w:val="28"/>
          <w:highlight w:val="none"/>
        </w:rPr>
      </w:pPr>
    </w:p>
    <w:p w14:paraId="41506DFA">
      <w:pPr>
        <w:spacing w:line="400" w:lineRule="exact"/>
        <w:ind w:firstLine="562" w:firstLineChars="200"/>
        <w:rPr>
          <w:rFonts w:hint="eastAsia"/>
          <w:b/>
          <w:sz w:val="28"/>
          <w:szCs w:val="28"/>
          <w:highlight w:val="none"/>
        </w:rPr>
      </w:pPr>
    </w:p>
    <w:p w14:paraId="746836C2">
      <w:pPr>
        <w:spacing w:line="400" w:lineRule="exact"/>
        <w:rPr>
          <w:b/>
          <w:sz w:val="28"/>
          <w:szCs w:val="28"/>
          <w:highlight w:val="none"/>
        </w:rPr>
        <w:sectPr>
          <w:headerReference r:id="rId13" w:type="default"/>
          <w:footerReference r:id="rId14" w:type="default"/>
          <w:pgSz w:w="11905" w:h="16838"/>
          <w:pgMar w:top="1440" w:right="1083" w:bottom="1440" w:left="1083" w:header="851" w:footer="992" w:gutter="0"/>
          <w:pgBorders>
            <w:top w:val="none" w:sz="0" w:space="0"/>
            <w:left w:val="none" w:sz="0" w:space="0"/>
            <w:bottom w:val="none" w:sz="0" w:space="0"/>
            <w:right w:val="none" w:sz="0" w:space="0"/>
          </w:pgBorders>
          <w:pgNumType w:fmt="decimal"/>
          <w:cols w:space="720" w:num="1"/>
          <w:rtlGutter w:val="0"/>
          <w:docGrid w:type="lines" w:linePitch="335" w:charSpace="0"/>
        </w:sectPr>
      </w:pPr>
    </w:p>
    <w:p w14:paraId="6A7026B4">
      <w:pPr>
        <w:spacing w:line="400" w:lineRule="exact"/>
        <w:ind w:left="720"/>
        <w:jc w:val="center"/>
        <w:rPr>
          <w:rFonts w:hint="eastAsia" w:ascii="宋体"/>
          <w:b/>
          <w:sz w:val="28"/>
          <w:szCs w:val="28"/>
          <w:highlight w:val="none"/>
        </w:rPr>
      </w:pPr>
      <w:r>
        <w:rPr>
          <w:rFonts w:hint="eastAsia"/>
          <w:b/>
          <w:sz w:val="28"/>
          <w:szCs w:val="28"/>
          <w:highlight w:val="none"/>
        </w:rPr>
        <w:t>（1）法定代表人身份证明或授权委托书</w:t>
      </w:r>
    </w:p>
    <w:p w14:paraId="6CB9F2F1">
      <w:pPr>
        <w:pStyle w:val="91"/>
        <w:spacing w:before="312" w:beforeLines="100" w:after="312" w:afterLines="100" w:line="400" w:lineRule="exact"/>
        <w:ind w:firstLine="180" w:firstLineChars="75"/>
        <w:rPr>
          <w:rFonts w:hint="eastAsia" w:ascii="宋体"/>
          <w:b/>
          <w:color w:val="auto"/>
          <w:sz w:val="24"/>
          <w:szCs w:val="24"/>
          <w:highlight w:val="none"/>
        </w:rPr>
      </w:pPr>
      <w:r>
        <w:rPr>
          <w:rFonts w:hint="eastAsia" w:ascii="宋体"/>
          <w:color w:val="auto"/>
          <w:sz w:val="24"/>
          <w:szCs w:val="24"/>
          <w:highlight w:val="none"/>
        </w:rPr>
        <w:t>1.法定代表人身份证明</w:t>
      </w:r>
    </w:p>
    <w:p w14:paraId="04AAC802">
      <w:pPr>
        <w:spacing w:line="400" w:lineRule="exact"/>
        <w:rPr>
          <w:rFonts w:hint="eastAsia" w:ascii="宋体"/>
          <w:sz w:val="24"/>
          <w:highlight w:val="none"/>
        </w:rPr>
      </w:pPr>
      <w:r>
        <w:rPr>
          <w:rFonts w:hint="eastAsia" w:ascii="宋体"/>
          <w:sz w:val="24"/>
          <w:highlight w:val="none"/>
        </w:rPr>
        <w:t>投标人名称：</w:t>
      </w:r>
      <w:r>
        <w:rPr>
          <w:rFonts w:hint="eastAsia" w:ascii="宋体"/>
          <w:sz w:val="24"/>
          <w:highlight w:val="none"/>
          <w:u w:val="single"/>
        </w:rPr>
        <w:t xml:space="preserve">                                </w:t>
      </w:r>
      <w:r>
        <w:rPr>
          <w:rFonts w:hint="eastAsia" w:ascii="宋体"/>
          <w:sz w:val="24"/>
          <w:highlight w:val="none"/>
        </w:rPr>
        <w:t xml:space="preserve"> </w:t>
      </w:r>
    </w:p>
    <w:p w14:paraId="7AD6B8B1">
      <w:pPr>
        <w:spacing w:line="400" w:lineRule="exact"/>
        <w:rPr>
          <w:rFonts w:hint="eastAsia" w:ascii="宋体"/>
          <w:sz w:val="24"/>
          <w:highlight w:val="none"/>
        </w:rPr>
      </w:pPr>
      <w:r>
        <w:rPr>
          <w:rFonts w:hint="eastAsia" w:ascii="宋体"/>
          <w:sz w:val="24"/>
          <w:highlight w:val="none"/>
        </w:rPr>
        <w:t xml:space="preserve">单位性质： </w:t>
      </w:r>
      <w:r>
        <w:rPr>
          <w:rFonts w:hint="eastAsia" w:ascii="宋体"/>
          <w:sz w:val="24"/>
          <w:highlight w:val="none"/>
          <w:u w:val="single"/>
        </w:rPr>
        <w:t xml:space="preserve">                                  </w:t>
      </w:r>
      <w:r>
        <w:rPr>
          <w:rFonts w:hint="eastAsia" w:ascii="宋体"/>
          <w:sz w:val="24"/>
          <w:highlight w:val="none"/>
        </w:rPr>
        <w:t xml:space="preserve"> </w:t>
      </w:r>
    </w:p>
    <w:p w14:paraId="1BAC7F15">
      <w:pPr>
        <w:spacing w:line="400" w:lineRule="exact"/>
        <w:rPr>
          <w:rFonts w:hint="eastAsia" w:ascii="宋体"/>
          <w:sz w:val="24"/>
          <w:highlight w:val="none"/>
        </w:rPr>
      </w:pPr>
      <w:r>
        <w:rPr>
          <w:rFonts w:hint="eastAsia" w:ascii="宋体"/>
          <w:sz w:val="24"/>
          <w:highlight w:val="none"/>
        </w:rPr>
        <w:t>地    址：</w:t>
      </w:r>
      <w:r>
        <w:rPr>
          <w:rFonts w:hint="eastAsia" w:ascii="宋体"/>
          <w:sz w:val="24"/>
          <w:highlight w:val="none"/>
          <w:u w:val="single"/>
        </w:rPr>
        <w:t xml:space="preserve">                                   </w:t>
      </w:r>
      <w:r>
        <w:rPr>
          <w:rFonts w:hint="eastAsia" w:ascii="宋体"/>
          <w:sz w:val="24"/>
          <w:highlight w:val="none"/>
        </w:rPr>
        <w:t xml:space="preserve"> </w:t>
      </w:r>
    </w:p>
    <w:p w14:paraId="4C2C7C5F">
      <w:pPr>
        <w:spacing w:line="400" w:lineRule="exact"/>
        <w:rPr>
          <w:rFonts w:hint="eastAsia"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1857B03B">
      <w:pPr>
        <w:spacing w:line="400" w:lineRule="exact"/>
        <w:rPr>
          <w:rFonts w:hint="eastAsia" w:ascii="宋体"/>
          <w:sz w:val="24"/>
          <w:highlight w:val="none"/>
        </w:rPr>
      </w:pPr>
      <w:r>
        <w:rPr>
          <w:rFonts w:hint="eastAsia" w:ascii="宋体"/>
          <w:sz w:val="24"/>
          <w:highlight w:val="none"/>
        </w:rPr>
        <w:t>经营期限：</w:t>
      </w:r>
      <w:r>
        <w:rPr>
          <w:rFonts w:hint="eastAsia" w:ascii="宋体"/>
          <w:sz w:val="24"/>
          <w:highlight w:val="none"/>
          <w:u w:val="single"/>
        </w:rPr>
        <w:t xml:space="preserve">                                </w:t>
      </w:r>
      <w:r>
        <w:rPr>
          <w:rFonts w:hint="eastAsia" w:ascii="宋体"/>
          <w:sz w:val="24"/>
          <w:highlight w:val="none"/>
        </w:rPr>
        <w:t xml:space="preserve"> </w:t>
      </w:r>
    </w:p>
    <w:p w14:paraId="3F8F340E">
      <w:pPr>
        <w:spacing w:line="400" w:lineRule="exact"/>
        <w:rPr>
          <w:rFonts w:hint="eastAsia" w:ascii="宋体"/>
          <w:sz w:val="24"/>
          <w:highlight w:val="none"/>
        </w:rPr>
      </w:pPr>
      <w:r>
        <w:rPr>
          <w:rFonts w:hint="eastAsia" w:ascii="宋体"/>
          <w:sz w:val="24"/>
          <w:highlight w:val="none"/>
        </w:rPr>
        <w:t>姓   名：</w:t>
      </w:r>
      <w:r>
        <w:rPr>
          <w:rFonts w:hint="eastAsia" w:ascii="宋体"/>
          <w:sz w:val="24"/>
          <w:highlight w:val="none"/>
          <w:u w:val="single"/>
        </w:rPr>
        <w:t xml:space="preserve">          </w:t>
      </w:r>
      <w:r>
        <w:rPr>
          <w:rFonts w:hint="eastAsia" w:ascii="宋体"/>
          <w:sz w:val="24"/>
          <w:highlight w:val="none"/>
        </w:rPr>
        <w:t>身份证号码：</w:t>
      </w:r>
      <w:r>
        <w:rPr>
          <w:rFonts w:hint="eastAsia" w:ascii="宋体"/>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rPr>
        <w:t>，系</w:t>
      </w:r>
      <w:r>
        <w:rPr>
          <w:rFonts w:hint="eastAsia" w:ascii="宋体"/>
          <w:sz w:val="24"/>
          <w:highlight w:val="none"/>
          <w:u w:val="single"/>
        </w:rPr>
        <w:t xml:space="preserve">                                </w:t>
      </w:r>
      <w:r>
        <w:rPr>
          <w:rFonts w:hint="eastAsia" w:ascii="宋体"/>
          <w:sz w:val="24"/>
          <w:highlight w:val="none"/>
        </w:rPr>
        <w:t>（投标人名称）的法定代表人。</w:t>
      </w:r>
    </w:p>
    <w:p w14:paraId="2F643A9F">
      <w:pPr>
        <w:spacing w:line="400" w:lineRule="exact"/>
        <w:rPr>
          <w:rFonts w:hint="eastAsia" w:ascii="宋体"/>
          <w:sz w:val="24"/>
          <w:highlight w:val="none"/>
        </w:rPr>
      </w:pPr>
      <w:r>
        <w:rPr>
          <w:rFonts w:hint="eastAsia" w:ascii="宋体"/>
          <w:sz w:val="24"/>
          <w:highlight w:val="none"/>
        </w:rPr>
        <w:t>特此证明。</w:t>
      </w:r>
    </w:p>
    <w:p w14:paraId="3D59B48E">
      <w:pPr>
        <w:spacing w:line="400" w:lineRule="exact"/>
        <w:ind w:firstLine="4440" w:firstLineChars="1850"/>
        <w:rPr>
          <w:rFonts w:hint="eastAsia"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rPr>
        <w:t>（</w:t>
      </w:r>
      <w:r>
        <w:rPr>
          <w:rFonts w:hint="eastAsia" w:ascii="宋体"/>
          <w:sz w:val="28"/>
          <w:szCs w:val="28"/>
          <w:highlight w:val="none"/>
        </w:rPr>
        <w:t>签章</w:t>
      </w:r>
      <w:r>
        <w:rPr>
          <w:rFonts w:hint="eastAsia" w:ascii="宋体"/>
          <w:sz w:val="24"/>
          <w:highlight w:val="none"/>
        </w:rPr>
        <w:t>）</w:t>
      </w:r>
    </w:p>
    <w:p w14:paraId="20C4F6FE">
      <w:pPr>
        <w:wordWrap w:val="0"/>
        <w:spacing w:line="400" w:lineRule="exact"/>
        <w:jc w:val="right"/>
        <w:rPr>
          <w:rFonts w:hint="eastAsia"/>
          <w:highlight w:val="none"/>
        </w:rPr>
      </w:pPr>
      <w:r>
        <w:rPr>
          <w:rFonts w:hint="eastAsia" w:ascii="宋体"/>
          <w:sz w:val="24"/>
          <w:highlight w:val="none"/>
        </w:rPr>
        <w:t xml:space="preserve">                                        </w:t>
      </w:r>
      <w:r>
        <w:rPr>
          <w:rFonts w:hint="eastAsia" w:ascii="宋体"/>
          <w:sz w:val="24"/>
          <w:highlight w:val="none"/>
          <w:u w:val="single"/>
        </w:rPr>
        <w:t xml:space="preserve">       </w:t>
      </w:r>
      <w:r>
        <w:rPr>
          <w:rFonts w:hint="eastAsia" w:ascii="宋体"/>
          <w:sz w:val="24"/>
          <w:highlight w:val="none"/>
        </w:rPr>
        <w:t xml:space="preserve">年 </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 xml:space="preserve">日  </w:t>
      </w:r>
    </w:p>
    <w:p w14:paraId="473EEED2">
      <w:pPr>
        <w:spacing w:before="312" w:beforeLines="100" w:after="312" w:afterLines="100" w:line="400" w:lineRule="exact"/>
        <w:ind w:firstLine="3654" w:firstLineChars="1305"/>
        <w:rPr>
          <w:rFonts w:hint="eastAsia" w:ascii="宋体"/>
          <w:sz w:val="28"/>
          <w:szCs w:val="28"/>
          <w:highlight w:val="none"/>
        </w:rPr>
      </w:pPr>
      <w:r>
        <w:rPr>
          <w:rFonts w:hint="eastAsia" w:ascii="宋体"/>
          <w:sz w:val="28"/>
          <w:szCs w:val="28"/>
          <w:highlight w:val="none"/>
        </w:rPr>
        <w:t>2.授权委托书</w:t>
      </w:r>
    </w:p>
    <w:p w14:paraId="6826F5CA">
      <w:pPr>
        <w:spacing w:line="400" w:lineRule="exact"/>
        <w:ind w:firstLine="480" w:firstLineChars="200"/>
        <w:rPr>
          <w:rFonts w:hint="eastAsia" w:ascii="宋体"/>
          <w:sz w:val="24"/>
          <w:highlight w:val="none"/>
        </w:rPr>
      </w:pPr>
      <w:r>
        <w:rPr>
          <w:rFonts w:hint="eastAsia" w:ascii="宋体"/>
          <w:sz w:val="24"/>
          <w:highlight w:val="none"/>
        </w:rPr>
        <w:t xml:space="preserve">本人 </w:t>
      </w:r>
      <w:r>
        <w:rPr>
          <w:rFonts w:hint="eastAsia" w:ascii="宋体"/>
          <w:sz w:val="24"/>
          <w:highlight w:val="none"/>
          <w:u w:val="single"/>
        </w:rPr>
        <w:t xml:space="preserve">    </w:t>
      </w:r>
      <w:r>
        <w:rPr>
          <w:rFonts w:hint="eastAsia" w:ascii="宋体"/>
          <w:sz w:val="24"/>
          <w:highlight w:val="none"/>
        </w:rPr>
        <w:t>（姓名）系</w:t>
      </w:r>
      <w:r>
        <w:rPr>
          <w:rFonts w:hint="eastAsia" w:ascii="宋体"/>
          <w:sz w:val="24"/>
          <w:highlight w:val="none"/>
          <w:u w:val="single"/>
        </w:rPr>
        <w:t xml:space="preserve">       </w:t>
      </w:r>
      <w:r>
        <w:rPr>
          <w:rFonts w:hint="eastAsia" w:ascii="宋体"/>
          <w:sz w:val="24"/>
          <w:highlight w:val="none"/>
        </w:rPr>
        <w:t>（投标人）的法定代表人，现委托</w:t>
      </w:r>
      <w:r>
        <w:rPr>
          <w:rFonts w:hint="eastAsia" w:ascii="宋体"/>
          <w:sz w:val="24"/>
          <w:highlight w:val="none"/>
          <w:u w:val="single"/>
        </w:rPr>
        <w:t xml:space="preserve">   </w:t>
      </w:r>
      <w:r>
        <w:rPr>
          <w:rFonts w:hint="eastAsia" w:ascii="宋体"/>
          <w:sz w:val="24"/>
          <w:highlight w:val="none"/>
        </w:rPr>
        <w:t>（姓名）为我方代理人。代理人根据授权，以我方名义签署、澄清、说明、补正、递交、撤回、修改 “</w:t>
      </w:r>
      <w:r>
        <w:rPr>
          <w:rFonts w:hint="eastAsia" w:ascii="宋体"/>
          <w:sz w:val="24"/>
          <w:highlight w:val="none"/>
          <w:u w:val="single"/>
        </w:rPr>
        <w:t xml:space="preserve">      </w:t>
      </w:r>
      <w:r>
        <w:rPr>
          <w:rFonts w:hint="eastAsia" w:ascii="宋体"/>
          <w:sz w:val="24"/>
          <w:highlight w:val="none"/>
        </w:rPr>
        <w:t xml:space="preserve"> ”(项目名称、编号）投标文件，全权处理与该项目投标、评审答疑、签订合同以及与合同执行有关的一切事务，其法律后果由我方承担。</w:t>
      </w:r>
    </w:p>
    <w:p w14:paraId="1D58A726">
      <w:pPr>
        <w:spacing w:line="400" w:lineRule="exact"/>
        <w:ind w:firstLine="480" w:firstLineChars="200"/>
        <w:rPr>
          <w:rFonts w:hint="eastAsia" w:ascii="宋体"/>
          <w:sz w:val="24"/>
          <w:highlight w:val="none"/>
        </w:rPr>
      </w:pPr>
      <w:r>
        <w:rPr>
          <w:rFonts w:hint="eastAsia" w:ascii="宋体"/>
          <w:sz w:val="24"/>
          <w:highlight w:val="none"/>
        </w:rPr>
        <w:t>委托期限：</w:t>
      </w:r>
      <w:r>
        <w:rPr>
          <w:rFonts w:hint="eastAsia" w:ascii="宋体" w:cs="宋体"/>
          <w:color w:val="000000"/>
          <w:sz w:val="28"/>
          <w:szCs w:val="28"/>
          <w:highlight w:val="none"/>
          <w:u w:val="single"/>
        </w:rPr>
        <w:t xml:space="preserve">          </w:t>
      </w:r>
      <w:r>
        <w:rPr>
          <w:rFonts w:hint="eastAsia" w:ascii="宋体" w:cs="宋体"/>
          <w:color w:val="000000"/>
          <w:sz w:val="28"/>
          <w:szCs w:val="28"/>
          <w:highlight w:val="none"/>
        </w:rPr>
        <w:t>。</w:t>
      </w:r>
      <w:r>
        <w:rPr>
          <w:rFonts w:hint="eastAsia" w:ascii="宋体"/>
          <w:color w:val="000000"/>
          <w:sz w:val="28"/>
          <w:szCs w:val="28"/>
          <w:highlight w:val="none"/>
        </w:rPr>
        <w:t xml:space="preserve">   </w:t>
      </w:r>
      <w:r>
        <w:rPr>
          <w:rFonts w:hint="eastAsia" w:ascii="宋体"/>
          <w:sz w:val="24"/>
          <w:highlight w:val="none"/>
        </w:rPr>
        <w:t xml:space="preserve">                                </w:t>
      </w:r>
    </w:p>
    <w:p w14:paraId="2E3E3CA8">
      <w:pPr>
        <w:spacing w:line="400" w:lineRule="exact"/>
        <w:ind w:firstLine="480" w:firstLineChars="200"/>
        <w:rPr>
          <w:rFonts w:hint="eastAsia" w:ascii="宋体"/>
          <w:sz w:val="24"/>
          <w:highlight w:val="none"/>
        </w:rPr>
      </w:pPr>
      <w:r>
        <w:rPr>
          <w:rFonts w:hint="eastAsia" w:ascii="宋体"/>
          <w:sz w:val="24"/>
          <w:highlight w:val="none"/>
        </w:rPr>
        <w:t>代理人无转委托权。</w:t>
      </w:r>
    </w:p>
    <w:p w14:paraId="07D1E3A7">
      <w:pPr>
        <w:spacing w:line="400" w:lineRule="exact"/>
        <w:ind w:firstLine="480" w:firstLineChars="200"/>
        <w:rPr>
          <w:rFonts w:hint="eastAsia" w:ascii="宋体"/>
          <w:sz w:val="24"/>
          <w:highlight w:val="none"/>
        </w:rPr>
      </w:pPr>
      <w:r>
        <w:rPr>
          <w:rFonts w:hint="eastAsia" w:ascii="宋体"/>
          <w:sz w:val="24"/>
          <w:highlight w:val="none"/>
        </w:rPr>
        <w:t>附：委托代理人有效身份证扫描件</w:t>
      </w:r>
    </w:p>
    <w:p w14:paraId="1E2FDCBE">
      <w:pPr>
        <w:spacing w:line="400" w:lineRule="exact"/>
        <w:ind w:firstLine="960" w:firstLineChars="400"/>
        <w:rPr>
          <w:rFonts w:hint="eastAsia" w:ascii="宋体"/>
          <w:sz w:val="24"/>
          <w:highlight w:val="none"/>
        </w:rPr>
      </w:pPr>
      <w:r>
        <w:rPr>
          <w:rFonts w:hint="eastAsia" w:ascii="宋体"/>
          <w:sz w:val="24"/>
          <w:highlight w:val="none"/>
        </w:rPr>
        <w:t>法定代表人有效身份证扫描件</w:t>
      </w:r>
    </w:p>
    <w:p w14:paraId="70E1268F">
      <w:pPr>
        <w:spacing w:line="400" w:lineRule="exact"/>
        <w:ind w:firstLine="960" w:firstLineChars="400"/>
        <w:rPr>
          <w:rFonts w:hint="eastAsia" w:ascii="宋体"/>
          <w:sz w:val="24"/>
          <w:highlight w:val="none"/>
        </w:rPr>
      </w:pPr>
    </w:p>
    <w:p w14:paraId="615ED6FC">
      <w:pPr>
        <w:adjustRightInd w:val="0"/>
        <w:snapToGrid w:val="0"/>
        <w:spacing w:line="400" w:lineRule="exact"/>
        <w:ind w:firstLine="200"/>
        <w:rPr>
          <w:rFonts w:hint="eastAsia" w:ascii="宋体"/>
          <w:color w:val="000000"/>
          <w:sz w:val="24"/>
          <w:highlight w:val="none"/>
        </w:rPr>
      </w:pPr>
      <w:r>
        <w:rPr>
          <w:rFonts w:hint="eastAsia" w:ascii="宋体"/>
          <w:sz w:val="24"/>
          <w:highlight w:val="none"/>
        </w:rPr>
        <w:t xml:space="preserve">                                    </w:t>
      </w:r>
      <w:r>
        <w:rPr>
          <w:rFonts w:hint="eastAsia" w:ascii="宋体"/>
          <w:color w:val="000000"/>
          <w:sz w:val="24"/>
          <w:highlight w:val="none"/>
        </w:rPr>
        <w:t>投标人（签章）：</w:t>
      </w:r>
    </w:p>
    <w:p w14:paraId="2D0949B4">
      <w:pPr>
        <w:adjustRightInd w:val="0"/>
        <w:snapToGrid w:val="0"/>
        <w:spacing w:line="400" w:lineRule="exact"/>
        <w:ind w:firstLine="3480" w:firstLineChars="1450"/>
        <w:rPr>
          <w:rFonts w:hint="eastAsia" w:ascii="宋体"/>
          <w:color w:val="000000"/>
          <w:sz w:val="24"/>
          <w:highlight w:val="none"/>
        </w:rPr>
      </w:pPr>
      <w:r>
        <w:rPr>
          <w:rFonts w:hint="eastAsia" w:ascii="宋体"/>
          <w:color w:val="000000"/>
          <w:sz w:val="24"/>
          <w:highlight w:val="none"/>
        </w:rPr>
        <w:t>法定代表人（身份证号码）：         （签章）</w:t>
      </w:r>
    </w:p>
    <w:p w14:paraId="20FA5683">
      <w:pPr>
        <w:pStyle w:val="13"/>
        <w:spacing w:line="400" w:lineRule="exact"/>
        <w:ind w:firstLine="480"/>
        <w:rPr>
          <w:rFonts w:hint="eastAsia" w:ascii="宋体"/>
          <w:color w:val="000000"/>
          <w:sz w:val="24"/>
          <w:highlight w:val="none"/>
        </w:rPr>
      </w:pPr>
      <w:r>
        <w:rPr>
          <w:rFonts w:hint="eastAsia"/>
          <w:sz w:val="24"/>
          <w:highlight w:val="none"/>
        </w:rPr>
        <w:t xml:space="preserve">                                 </w:t>
      </w:r>
      <w:r>
        <w:rPr>
          <w:rFonts w:hint="eastAsia" w:ascii="宋体"/>
          <w:color w:val="000000"/>
          <w:sz w:val="24"/>
          <w:highlight w:val="none"/>
        </w:rPr>
        <w:t xml:space="preserve">    联系方式：</w:t>
      </w:r>
    </w:p>
    <w:p w14:paraId="47AF2F85">
      <w:pPr>
        <w:adjustRightInd w:val="0"/>
        <w:snapToGrid w:val="0"/>
        <w:spacing w:line="400" w:lineRule="exact"/>
        <w:ind w:firstLine="3360" w:firstLineChars="1400"/>
        <w:rPr>
          <w:rFonts w:hint="eastAsia" w:ascii="宋体"/>
          <w:color w:val="000000"/>
          <w:sz w:val="24"/>
          <w:highlight w:val="none"/>
        </w:rPr>
      </w:pPr>
      <w:r>
        <w:rPr>
          <w:rFonts w:hint="eastAsia" w:ascii="宋体"/>
          <w:color w:val="000000"/>
          <w:sz w:val="24"/>
          <w:highlight w:val="none"/>
        </w:rPr>
        <w:t xml:space="preserve">委托代理人（身份证号码）：      </w:t>
      </w:r>
    </w:p>
    <w:p w14:paraId="75A3457E">
      <w:pPr>
        <w:adjustRightInd w:val="0"/>
        <w:snapToGrid w:val="0"/>
        <w:spacing w:line="400" w:lineRule="exact"/>
        <w:ind w:firstLine="2280" w:firstLineChars="950"/>
        <w:rPr>
          <w:rFonts w:hint="eastAsia" w:ascii="宋体"/>
          <w:color w:val="000000"/>
          <w:sz w:val="24"/>
          <w:highlight w:val="none"/>
        </w:rPr>
      </w:pPr>
      <w:r>
        <w:rPr>
          <w:rFonts w:hint="eastAsia" w:ascii="宋体"/>
          <w:color w:val="000000"/>
          <w:sz w:val="24"/>
          <w:highlight w:val="none"/>
        </w:rPr>
        <w:t xml:space="preserve">                         联系方式：</w:t>
      </w:r>
    </w:p>
    <w:p w14:paraId="0CD52CC1">
      <w:pPr>
        <w:spacing w:line="360" w:lineRule="exact"/>
        <w:ind w:firstLine="352" w:firstLineChars="147"/>
        <w:rPr>
          <w:rFonts w:hint="eastAsia"/>
          <w:b/>
          <w:sz w:val="28"/>
          <w:szCs w:val="28"/>
          <w:highlight w:val="none"/>
          <w:u w:val="single"/>
        </w:rPr>
      </w:pPr>
      <w:r>
        <w:rPr>
          <w:rFonts w:hint="eastAsia" w:ascii="宋体"/>
          <w:color w:val="000000"/>
          <w:sz w:val="24"/>
          <w:highlight w:val="none"/>
        </w:rPr>
        <w:t xml:space="preserve">                                                 年    月    日</w:t>
      </w:r>
    </w:p>
    <w:p w14:paraId="00227D48">
      <w:pPr>
        <w:spacing w:line="360" w:lineRule="exact"/>
        <w:ind w:firstLine="413" w:firstLineChars="147"/>
        <w:rPr>
          <w:rFonts w:hint="eastAsia"/>
          <w:b/>
          <w:sz w:val="28"/>
          <w:szCs w:val="28"/>
          <w:highlight w:val="none"/>
          <w:u w:val="single"/>
        </w:rPr>
      </w:pPr>
    </w:p>
    <w:p w14:paraId="63E6FC55">
      <w:pPr>
        <w:spacing w:line="360" w:lineRule="exact"/>
        <w:ind w:firstLine="443" w:firstLineChars="147"/>
        <w:jc w:val="center"/>
        <w:rPr>
          <w:rFonts w:hint="eastAsia"/>
          <w:b/>
          <w:sz w:val="28"/>
          <w:szCs w:val="28"/>
          <w:highlight w:val="none"/>
        </w:rPr>
      </w:pPr>
      <w:r>
        <w:rPr>
          <w:rFonts w:hint="eastAsia" w:ascii="宋体"/>
          <w:b/>
          <w:sz w:val="30"/>
          <w:szCs w:val="30"/>
          <w:highlight w:val="none"/>
        </w:rPr>
        <w:br w:type="page"/>
      </w:r>
      <w:bookmarkStart w:id="112" w:name="_Toc440443268"/>
      <w:bookmarkStart w:id="113" w:name="_Toc449028950"/>
      <w:r>
        <w:rPr>
          <w:rFonts w:hint="eastAsia"/>
          <w:b/>
          <w:sz w:val="28"/>
          <w:szCs w:val="28"/>
          <w:highlight w:val="none"/>
        </w:rPr>
        <w:t>（2）诚信投标承诺书</w:t>
      </w:r>
    </w:p>
    <w:p w14:paraId="70229259">
      <w:pPr>
        <w:adjustRightInd w:val="0"/>
        <w:snapToGrid w:val="0"/>
        <w:spacing w:line="560" w:lineRule="exact"/>
        <w:rPr>
          <w:rFonts w:hint="eastAsia" w:ascii="宋体" w:hAnsi="宋体"/>
          <w:color w:val="000000"/>
          <w:szCs w:val="21"/>
          <w:highlight w:val="none"/>
        </w:rPr>
      </w:pPr>
      <w:r>
        <w:rPr>
          <w:rFonts w:hint="eastAsia" w:ascii="宋体" w:hAnsi="宋体"/>
          <w:color w:val="000000"/>
          <w:szCs w:val="21"/>
          <w:highlight w:val="none"/>
        </w:rPr>
        <w:t>本人以企业法定代表人的身份郑重承诺：</w:t>
      </w:r>
    </w:p>
    <w:p w14:paraId="5CDF926A">
      <w:pPr>
        <w:adjustRightInd w:val="0"/>
        <w:snapToGrid w:val="0"/>
        <w:spacing w:line="560" w:lineRule="exact"/>
        <w:ind w:firstLine="420" w:firstLineChars="200"/>
        <w:rPr>
          <w:rFonts w:ascii="宋体" w:hAnsi="宋体"/>
          <w:color w:val="000000"/>
          <w:szCs w:val="21"/>
          <w:highlight w:val="none"/>
        </w:rPr>
      </w:pPr>
      <w:r>
        <w:rPr>
          <w:rFonts w:hint="eastAsia" w:ascii="宋体" w:hAnsi="宋体"/>
          <w:color w:val="000000"/>
          <w:szCs w:val="21"/>
          <w:highlight w:val="none"/>
        </w:rPr>
        <w:t>一、将遵循公</w:t>
      </w:r>
      <w:bookmarkStart w:id="114" w:name="_Toc506107356"/>
      <w:bookmarkStart w:id="115" w:name="_Toc503196197"/>
      <w:bookmarkStart w:id="116" w:name="_Toc26598"/>
      <w:r>
        <w:rPr>
          <w:rFonts w:hint="eastAsia" w:ascii="宋体" w:hAnsi="宋体"/>
          <w:color w:val="000000"/>
          <w:szCs w:val="21"/>
          <w:highlight w:val="none"/>
        </w:rPr>
        <w:t>开、公正和诚实信用</w:t>
      </w:r>
      <w:bookmarkEnd w:id="114"/>
      <w:bookmarkEnd w:id="115"/>
      <w:r>
        <w:rPr>
          <w:rFonts w:hint="eastAsia" w:ascii="宋体" w:hAnsi="宋体"/>
          <w:color w:val="000000"/>
          <w:szCs w:val="21"/>
          <w:highlight w:val="none"/>
        </w:rPr>
        <w:t>的</w:t>
      </w:r>
      <w:bookmarkEnd w:id="116"/>
      <w:r>
        <w:rPr>
          <w:rFonts w:hint="eastAsia" w:ascii="宋体" w:hAnsi="宋体"/>
          <w:color w:val="000000"/>
          <w:szCs w:val="21"/>
          <w:highlight w:val="none"/>
        </w:rPr>
        <w:t>原则自愿参加</w:t>
      </w:r>
      <w:r>
        <w:rPr>
          <w:rFonts w:hint="eastAsia" w:ascii="宋体" w:hAnsi="宋体"/>
          <w:color w:val="000000"/>
          <w:szCs w:val="21"/>
          <w:highlight w:val="none"/>
          <w:u w:val="single"/>
        </w:rPr>
        <w:t xml:space="preserve">                     （项目名称）</w:t>
      </w:r>
      <w:r>
        <w:rPr>
          <w:rFonts w:hint="eastAsia" w:ascii="宋体" w:hAnsi="宋体"/>
          <w:color w:val="000000"/>
          <w:szCs w:val="21"/>
          <w:highlight w:val="none"/>
        </w:rPr>
        <w:t>项目的投标；</w:t>
      </w:r>
    </w:p>
    <w:p w14:paraId="7F0CCC95">
      <w:pPr>
        <w:adjustRightInd w:val="0"/>
        <w:snapToGrid w:val="0"/>
        <w:spacing w:line="560" w:lineRule="exact"/>
        <w:ind w:firstLine="420" w:firstLineChars="200"/>
        <w:rPr>
          <w:rFonts w:ascii="宋体" w:hAnsi="宋体"/>
          <w:color w:val="000000"/>
          <w:szCs w:val="21"/>
          <w:highlight w:val="none"/>
        </w:rPr>
      </w:pPr>
      <w:r>
        <w:rPr>
          <w:rFonts w:hint="eastAsia" w:ascii="宋体" w:hAnsi="宋体"/>
          <w:color w:val="000000"/>
          <w:szCs w:val="21"/>
          <w:highlight w:val="none"/>
        </w:rPr>
        <w:t>二、所提供的一切材料都是真实、合法的；</w:t>
      </w:r>
    </w:p>
    <w:p w14:paraId="43AA0BDC">
      <w:pPr>
        <w:adjustRightInd w:val="0"/>
        <w:snapToGrid w:val="0"/>
        <w:spacing w:line="560" w:lineRule="exact"/>
        <w:ind w:firstLine="420" w:firstLineChars="200"/>
        <w:rPr>
          <w:rFonts w:ascii="宋体" w:hAnsi="宋体"/>
          <w:color w:val="000000"/>
          <w:szCs w:val="21"/>
          <w:highlight w:val="none"/>
        </w:rPr>
      </w:pPr>
      <w:r>
        <w:rPr>
          <w:rFonts w:hint="eastAsia" w:ascii="宋体" w:hAnsi="宋体"/>
          <w:color w:val="000000"/>
          <w:szCs w:val="21"/>
          <w:highlight w:val="none"/>
        </w:rPr>
        <w:t>三、不出借、转让资质证书，不让他人挂靠投标，不以他人名义投标或者以其他方式弄虚作假，骗取中标；</w:t>
      </w:r>
    </w:p>
    <w:p w14:paraId="46044DE9">
      <w:pPr>
        <w:adjustRightInd w:val="0"/>
        <w:snapToGrid w:val="0"/>
        <w:spacing w:line="560" w:lineRule="exact"/>
        <w:ind w:firstLine="420" w:firstLineChars="200"/>
        <w:rPr>
          <w:rFonts w:ascii="宋体" w:hAnsi="宋体"/>
          <w:color w:val="000000"/>
          <w:szCs w:val="21"/>
          <w:highlight w:val="none"/>
        </w:rPr>
      </w:pPr>
      <w:r>
        <w:rPr>
          <w:rFonts w:hint="eastAsia" w:ascii="宋体" w:hAnsi="宋体"/>
          <w:color w:val="000000"/>
          <w:szCs w:val="21"/>
          <w:highlight w:val="none"/>
        </w:rPr>
        <w:t>四、不与其他投标人相互串通投标报价，不排挤其他投标人的公平竞争、损害招标人的合法权益；</w:t>
      </w:r>
    </w:p>
    <w:p w14:paraId="46167DEF">
      <w:pPr>
        <w:adjustRightInd w:val="0"/>
        <w:snapToGrid w:val="0"/>
        <w:spacing w:line="5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五、不与招标人、招标代理机构或其他投标人串通投标，损害国家利益、社会公共利益或者他人的合法权益；</w:t>
      </w:r>
    </w:p>
    <w:p w14:paraId="7F5B32B7">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六、</w:t>
      </w:r>
      <w:r>
        <w:rPr>
          <w:rFonts w:hint="eastAsia" w:ascii="宋体" w:hAnsi="宋体"/>
          <w:color w:val="000000"/>
          <w:szCs w:val="21"/>
          <w:highlight w:val="none"/>
          <w:u w:val="single"/>
        </w:rPr>
        <w:t xml:space="preserve">      （企业名称）</w:t>
      </w:r>
      <w:r>
        <w:rPr>
          <w:rFonts w:hint="eastAsia" w:ascii="宋体" w:hAnsi="宋体"/>
          <w:color w:val="000000"/>
          <w:szCs w:val="21"/>
          <w:highlight w:val="none"/>
        </w:rPr>
        <w:t xml:space="preserve">或 </w:t>
      </w:r>
      <w:r>
        <w:rPr>
          <w:rFonts w:hint="eastAsia" w:ascii="宋体" w:hAnsi="宋体"/>
          <w:color w:val="000000"/>
          <w:szCs w:val="21"/>
          <w:highlight w:val="none"/>
          <w:u w:val="single"/>
        </w:rPr>
        <w:t xml:space="preserve">      （企业名称）</w:t>
      </w:r>
      <w:r>
        <w:rPr>
          <w:rFonts w:hint="eastAsia" w:ascii="宋体" w:hAnsi="宋体"/>
          <w:color w:val="000000"/>
          <w:szCs w:val="21"/>
          <w:highlight w:val="none"/>
        </w:rPr>
        <w:t>法定代表人</w:t>
      </w:r>
      <w:r>
        <w:rPr>
          <w:rFonts w:hint="eastAsia" w:ascii="宋体" w:hAnsi="宋体"/>
          <w:color w:val="000000"/>
          <w:szCs w:val="21"/>
          <w:highlight w:val="none"/>
          <w:u w:val="single"/>
        </w:rPr>
        <w:t xml:space="preserve">       </w:t>
      </w:r>
      <w:r>
        <w:rPr>
          <w:rFonts w:hint="eastAsia" w:ascii="宋体" w:hAnsi="宋体"/>
          <w:color w:val="000000"/>
          <w:szCs w:val="21"/>
          <w:highlight w:val="none"/>
        </w:rPr>
        <w:t>没有下列情形：</w:t>
      </w:r>
      <w:bookmarkStart w:id="117" w:name="OLE_LINK134"/>
      <w:bookmarkStart w:id="118" w:name="OLE_LINK133"/>
      <w:r>
        <w:rPr>
          <w:rFonts w:hint="eastAsia" w:ascii="宋体" w:hAnsi="宋体"/>
          <w:color w:val="000000"/>
          <w:szCs w:val="21"/>
          <w:highlight w:val="none"/>
        </w:rPr>
        <w:t>①被列入“信用中国”网站“失信被执行人”的;②被列入“信用中国”网站“重大税收违法失信主体”的；③被列入“信用中国”网站“拖欠农民工工资失信联合惩戒对象名单”的；④被列入“信用中国”网站“严重失信主体名单”的；⑤在“信用中国”网站上披露的仍在公示期的严重失信行为(具体行为类别及判定依据见附件2)的。⑥被列入国家企业信用信息公示系统网站“经营异常名录”或者“严重违法失信名单”的。⑦前三年有行贿犯罪行为的单位和个人；⑧被滁州市县两级公管部门及各行业主管部门取消在一定期限内的投标资格且在取消期限内的；⑨因拖欠农民工工资被县级及以上有关行政主管部门限制投标资格且在限制期限内的；⑩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r>
        <w:rPr>
          <w:rFonts w:hint="eastAsia"/>
          <w:color w:val="000000"/>
          <w:szCs w:val="21"/>
          <w:highlight w:val="none"/>
        </w:rPr>
        <w:t>（</w:t>
      </w:r>
      <w:bookmarkEnd w:id="117"/>
      <w:bookmarkEnd w:id="118"/>
      <w:r>
        <w:rPr>
          <w:rFonts w:hint="eastAsia"/>
          <w:color w:val="000000"/>
          <w:szCs w:val="21"/>
          <w:highlight w:val="none"/>
        </w:rPr>
        <w:t>若招标文件对投标人所属分公司、办事处等分支机构有上述</w:t>
      </w:r>
      <w:r>
        <w:rPr>
          <w:color w:val="000000"/>
          <w:szCs w:val="21"/>
          <w:highlight w:val="none"/>
        </w:rPr>
        <w:t>1-10</w:t>
      </w:r>
      <w:r>
        <w:rPr>
          <w:rFonts w:hint="eastAsia"/>
          <w:color w:val="000000"/>
          <w:szCs w:val="21"/>
          <w:highlight w:val="none"/>
        </w:rPr>
        <w:t>项信誉要求，在此一并承诺我公司所属分公司、办事处等分支机构没有上述</w:t>
      </w:r>
      <w:r>
        <w:rPr>
          <w:color w:val="000000"/>
          <w:szCs w:val="21"/>
          <w:highlight w:val="none"/>
        </w:rPr>
        <w:t>1-10</w:t>
      </w:r>
      <w:r>
        <w:rPr>
          <w:rFonts w:hint="eastAsia"/>
          <w:color w:val="000000"/>
          <w:szCs w:val="21"/>
          <w:highlight w:val="none"/>
        </w:rPr>
        <w:t>项情形）</w:t>
      </w:r>
    </w:p>
    <w:p w14:paraId="6254BC5B">
      <w:pPr>
        <w:adjustRightInd w:val="0"/>
        <w:snapToGrid w:val="0"/>
        <w:spacing w:line="560" w:lineRule="exact"/>
        <w:ind w:firstLine="420" w:firstLineChars="200"/>
        <w:rPr>
          <w:rFonts w:ascii="宋体" w:hAnsi="宋体"/>
          <w:color w:val="000000"/>
          <w:szCs w:val="21"/>
          <w:highlight w:val="none"/>
        </w:rPr>
      </w:pPr>
      <w:r>
        <w:rPr>
          <w:rFonts w:hint="eastAsia" w:ascii="宋体" w:hAnsi="宋体"/>
          <w:color w:val="000000"/>
          <w:szCs w:val="21"/>
          <w:highlight w:val="none"/>
        </w:rPr>
        <w:t>七、严格遵守开标纪律，服从监管人员管理；</w:t>
      </w:r>
    </w:p>
    <w:p w14:paraId="1AB8D253">
      <w:pPr>
        <w:adjustRightInd w:val="0"/>
        <w:snapToGrid w:val="0"/>
        <w:spacing w:line="560" w:lineRule="exact"/>
        <w:ind w:firstLine="420" w:firstLineChars="200"/>
        <w:rPr>
          <w:rFonts w:ascii="宋体" w:hAnsi="宋体"/>
          <w:color w:val="000000"/>
          <w:szCs w:val="21"/>
          <w:highlight w:val="none"/>
        </w:rPr>
      </w:pPr>
      <w:r>
        <w:rPr>
          <w:rFonts w:hint="eastAsia" w:ascii="宋体" w:hAnsi="宋体"/>
          <w:color w:val="000000"/>
          <w:szCs w:val="21"/>
          <w:highlight w:val="none"/>
        </w:rPr>
        <w:t>八、保证中标后不转包及使用挂靠施工队伍，若有分包征得建设单位同意；</w:t>
      </w:r>
    </w:p>
    <w:p w14:paraId="5D42B2D4">
      <w:pPr>
        <w:adjustRightInd w:val="0"/>
        <w:snapToGrid w:val="0"/>
        <w:spacing w:line="560" w:lineRule="exact"/>
        <w:ind w:firstLine="420" w:firstLineChars="200"/>
        <w:rPr>
          <w:rFonts w:ascii="宋体" w:hAnsi="宋体"/>
          <w:color w:val="000000"/>
          <w:szCs w:val="21"/>
          <w:highlight w:val="none"/>
        </w:rPr>
      </w:pPr>
      <w:r>
        <w:rPr>
          <w:rFonts w:hint="eastAsia" w:ascii="宋体" w:hAnsi="宋体"/>
          <w:color w:val="000000"/>
          <w:szCs w:val="21"/>
          <w:highlight w:val="none"/>
        </w:rPr>
        <w:t>九、保证中标之后，按照投标文件承诺派驻管理人员及投入机械设备，如有违反，同意接受建设单位违约处罚；</w:t>
      </w:r>
    </w:p>
    <w:p w14:paraId="6F016E86">
      <w:pPr>
        <w:adjustRightInd w:val="0"/>
        <w:snapToGrid w:val="0"/>
        <w:spacing w:line="560" w:lineRule="exact"/>
        <w:ind w:firstLine="420" w:firstLineChars="200"/>
        <w:rPr>
          <w:rFonts w:ascii="宋体" w:hAnsi="宋体"/>
          <w:color w:val="000000"/>
          <w:szCs w:val="21"/>
          <w:highlight w:val="none"/>
        </w:rPr>
      </w:pPr>
      <w:r>
        <w:rPr>
          <w:rFonts w:hint="eastAsia" w:ascii="宋体" w:hAnsi="宋体"/>
          <w:color w:val="000000"/>
          <w:szCs w:val="21"/>
          <w:highlight w:val="none"/>
        </w:rPr>
        <w:t>十、保证企业及所属相关人员在本次投标中无行贿等犯罪行为；</w:t>
      </w:r>
    </w:p>
    <w:p w14:paraId="578049E7">
      <w:pPr>
        <w:adjustRightInd w:val="0"/>
        <w:snapToGrid w:val="0"/>
        <w:spacing w:line="5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p>
    <w:p w14:paraId="417FBAEC">
      <w:pPr>
        <w:adjustRightInd w:val="0"/>
        <w:snapToGrid w:val="0"/>
        <w:spacing w:line="5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 xml:space="preserve"> 以上内容我已仔细阅读，本公司若有违反承诺内容的行为，自愿接受取消投标或者中标资格、记入不良行为记录等有关处理，愿意承担法律责任，给招标人造成损失的，承担赔偿责任。</w:t>
      </w:r>
    </w:p>
    <w:p w14:paraId="471E2456">
      <w:pPr>
        <w:adjustRightInd w:val="0"/>
        <w:snapToGrid w:val="0"/>
        <w:spacing w:line="560" w:lineRule="exact"/>
        <w:ind w:firstLine="420" w:firstLineChars="200"/>
        <w:rPr>
          <w:rFonts w:hint="eastAsia" w:ascii="宋体" w:hAnsi="宋体"/>
          <w:color w:val="000000"/>
          <w:szCs w:val="21"/>
          <w:highlight w:val="none"/>
        </w:rPr>
      </w:pPr>
    </w:p>
    <w:p w14:paraId="4C648BDD">
      <w:pPr>
        <w:adjustRightInd w:val="0"/>
        <w:snapToGrid w:val="0"/>
        <w:spacing w:line="5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 </w:t>
      </w:r>
    </w:p>
    <w:p w14:paraId="5F3FFD91">
      <w:pPr>
        <w:adjustRightInd w:val="0"/>
        <w:snapToGrid w:val="0"/>
        <w:spacing w:line="5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开户银行：                          基本账户：</w:t>
      </w:r>
    </w:p>
    <w:p w14:paraId="23A6A970">
      <w:pPr>
        <w:adjustRightInd w:val="0"/>
        <w:snapToGrid w:val="0"/>
        <w:spacing w:line="560" w:lineRule="exact"/>
        <w:ind w:firstLine="420" w:firstLineChars="200"/>
        <w:rPr>
          <w:rFonts w:hint="eastAsia" w:ascii="宋体" w:hAnsi="宋体"/>
          <w:color w:val="000000"/>
          <w:szCs w:val="21"/>
          <w:highlight w:val="none"/>
        </w:rPr>
      </w:pPr>
      <w:r>
        <w:rPr>
          <w:rFonts w:hint="eastAsia" w:ascii="宋体" w:hAnsi="宋体"/>
          <w:color w:val="000000"/>
          <w:szCs w:val="21"/>
          <w:highlight w:val="none"/>
        </w:rPr>
        <w:t>投标单位（签章或盖章）：          法定代表人（签字或签章）：</w:t>
      </w:r>
    </w:p>
    <w:p w14:paraId="0A59D653">
      <w:pPr>
        <w:spacing w:line="360" w:lineRule="exact"/>
        <w:ind w:firstLine="420" w:firstLineChars="200"/>
        <w:rPr>
          <w:rFonts w:hint="eastAsia" w:ascii="宋体" w:hAnsi="宋体"/>
          <w:szCs w:val="21"/>
          <w:highlight w:val="none"/>
        </w:rPr>
      </w:pPr>
    </w:p>
    <w:p w14:paraId="3E1DF922">
      <w:pPr>
        <w:spacing w:line="360" w:lineRule="exact"/>
        <w:jc w:val="right"/>
        <w:rPr>
          <w:rFonts w:hint="eastAsia" w:ascii="仿宋_GB2312" w:eastAsia="仿宋_GB2312"/>
          <w:sz w:val="32"/>
          <w:szCs w:val="32"/>
          <w:highlight w:val="none"/>
        </w:rPr>
      </w:pPr>
      <w:r>
        <w:rPr>
          <w:rFonts w:hint="eastAsia" w:ascii="宋体" w:hAnsi="宋体"/>
          <w:szCs w:val="21"/>
          <w:highlight w:val="none"/>
        </w:rPr>
        <w:t>日期：</w:t>
      </w:r>
      <w:r>
        <w:rPr>
          <w:rFonts w:ascii="宋体" w:hAnsi="宋体"/>
          <w:szCs w:val="21"/>
          <w:highlight w:val="none"/>
          <w:u w:val="single"/>
        </w:rPr>
        <w:t xml:space="preserve">           </w:t>
      </w:r>
      <w:r>
        <w:rPr>
          <w:rFonts w:hint="eastAsia" w:ascii="宋体" w:hAnsi="宋体"/>
          <w:szCs w:val="21"/>
          <w:highlight w:val="none"/>
        </w:rPr>
        <w:t>年</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月</w:t>
      </w:r>
      <w:r>
        <w:rPr>
          <w:rFonts w:ascii="宋体" w:hAnsi="宋体"/>
          <w:szCs w:val="21"/>
          <w:highlight w:val="none"/>
        </w:rPr>
        <w:t xml:space="preserve"> </w:t>
      </w:r>
      <w:r>
        <w:rPr>
          <w:rFonts w:ascii="宋体" w:hAnsi="宋体"/>
          <w:szCs w:val="21"/>
          <w:highlight w:val="none"/>
          <w:u w:val="single"/>
        </w:rPr>
        <w:t xml:space="preserve">            </w:t>
      </w:r>
      <w:r>
        <w:rPr>
          <w:rFonts w:hint="eastAsia" w:ascii="宋体" w:hAnsi="宋体"/>
          <w:szCs w:val="21"/>
          <w:highlight w:val="none"/>
        </w:rPr>
        <w:t>日</w:t>
      </w:r>
    </w:p>
    <w:p w14:paraId="7BC2A4F8">
      <w:pPr>
        <w:spacing w:line="360" w:lineRule="exact"/>
        <w:ind w:firstLine="420" w:firstLineChars="200"/>
        <w:rPr>
          <w:rFonts w:hint="eastAsia" w:ascii="宋体" w:hAnsi="宋体"/>
          <w:szCs w:val="21"/>
          <w:highlight w:val="none"/>
        </w:rPr>
      </w:pPr>
    </w:p>
    <w:p w14:paraId="1352FB04">
      <w:pPr>
        <w:adjustRightInd w:val="0"/>
        <w:snapToGrid w:val="0"/>
        <w:spacing w:line="560" w:lineRule="exact"/>
        <w:jc w:val="center"/>
        <w:rPr>
          <w:rFonts w:hint="eastAsia"/>
          <w:b/>
          <w:color w:val="000000"/>
          <w:sz w:val="28"/>
          <w:szCs w:val="28"/>
          <w:highlight w:val="none"/>
        </w:rPr>
      </w:pPr>
      <w:bookmarkStart w:id="119" w:name="_Toc451384148"/>
      <w:bookmarkStart w:id="120" w:name="_Toc425084385"/>
      <w:r>
        <w:rPr>
          <w:rFonts w:hint="eastAsia"/>
          <w:b/>
          <w:color w:val="000000"/>
          <w:sz w:val="28"/>
          <w:szCs w:val="28"/>
          <w:highlight w:val="none"/>
          <w:lang w:eastAsia="zh-CN"/>
        </w:rPr>
        <w:t>（</w:t>
      </w:r>
      <w:r>
        <w:rPr>
          <w:rFonts w:hint="eastAsia"/>
          <w:b/>
          <w:color w:val="000000"/>
          <w:sz w:val="28"/>
          <w:szCs w:val="28"/>
          <w:highlight w:val="none"/>
          <w:lang w:val="en-US" w:eastAsia="zh-CN"/>
        </w:rPr>
        <w:t>2）</w:t>
      </w:r>
      <w:r>
        <w:rPr>
          <w:rFonts w:hint="eastAsia"/>
          <w:b/>
          <w:color w:val="000000"/>
          <w:sz w:val="28"/>
          <w:szCs w:val="28"/>
          <w:highlight w:val="none"/>
        </w:rPr>
        <w:t>公共信用信息报告（无违法违规证明版或核查版））</w:t>
      </w:r>
    </w:p>
    <w:p w14:paraId="25532D3E">
      <w:pPr>
        <w:pStyle w:val="13"/>
        <w:spacing w:after="0" w:line="560" w:lineRule="exact"/>
        <w:ind w:left="0" w:leftChars="0"/>
        <w:rPr>
          <w:rFonts w:hint="eastAsia" w:ascii="宋体" w:hAnsi="宋体"/>
          <w:color w:val="000000"/>
          <w:szCs w:val="21"/>
          <w:highlight w:val="none"/>
        </w:rPr>
      </w:pPr>
      <w:r>
        <w:rPr>
          <w:rFonts w:hint="eastAsia" w:ascii="宋体" w:hAnsi="宋体"/>
          <w:color w:val="000000"/>
          <w:szCs w:val="21"/>
          <w:highlight w:val="none"/>
        </w:rPr>
        <w:t>符合条件的投标人可在信用中国（安徽）网站（网址</w:t>
      </w:r>
      <w:r>
        <w:rPr>
          <w:rFonts w:ascii="宋体" w:hAnsi="宋体"/>
          <w:color w:val="000000"/>
          <w:szCs w:val="21"/>
          <w:highlight w:val="none"/>
        </w:rPr>
        <w:fldChar w:fldCharType="begin"/>
      </w:r>
      <w:r>
        <w:rPr>
          <w:rFonts w:ascii="宋体" w:hAnsi="宋体"/>
          <w:color w:val="000000"/>
          <w:szCs w:val="21"/>
          <w:highlight w:val="none"/>
        </w:rPr>
        <w:instrText xml:space="preserve"> HYPERLINK "https://credit.ah.gov.cn/xinyongfuwu/index.html" </w:instrText>
      </w:r>
      <w:r>
        <w:rPr>
          <w:rFonts w:ascii="宋体" w:hAnsi="宋体"/>
          <w:color w:val="000000"/>
          <w:szCs w:val="21"/>
          <w:highlight w:val="none"/>
        </w:rPr>
        <w:fldChar w:fldCharType="separate"/>
      </w:r>
      <w:r>
        <w:rPr>
          <w:rStyle w:val="47"/>
          <w:rFonts w:ascii="宋体" w:hAnsi="宋体"/>
          <w:szCs w:val="21"/>
          <w:highlight w:val="none"/>
        </w:rPr>
        <w:t>https://credit.ah.gov.cn/xinyongfuwu/index.html</w:t>
      </w:r>
      <w:r>
        <w:rPr>
          <w:rFonts w:ascii="宋体" w:hAnsi="宋体"/>
          <w:color w:val="000000"/>
          <w:szCs w:val="21"/>
          <w:highlight w:val="none"/>
        </w:rPr>
        <w:fldChar w:fldCharType="end"/>
      </w:r>
      <w:r>
        <w:rPr>
          <w:rFonts w:hint="eastAsia" w:ascii="宋体" w:hAnsi="宋体"/>
          <w:color w:val="000000"/>
          <w:szCs w:val="21"/>
          <w:highlight w:val="none"/>
        </w:rPr>
        <w:t>），获取信用报告（无违法违规证明版或核查版）并上传至投标文件中。</w:t>
      </w:r>
    </w:p>
    <w:p w14:paraId="768DE4EB">
      <w:pPr>
        <w:keepNext/>
        <w:keepLines/>
        <w:spacing w:line="480" w:lineRule="auto"/>
        <w:jc w:val="center"/>
        <w:outlineLvl w:val="2"/>
        <w:rPr>
          <w:b/>
          <w:bCs/>
          <w:sz w:val="28"/>
          <w:szCs w:val="28"/>
          <w:highlight w:val="none"/>
        </w:rPr>
      </w:pPr>
      <w:r>
        <w:rPr>
          <w:rFonts w:hint="eastAsia"/>
          <w:b/>
          <w:bCs/>
          <w:sz w:val="28"/>
          <w:szCs w:val="28"/>
          <w:highlight w:val="none"/>
        </w:rPr>
        <w:br w:type="page"/>
      </w:r>
      <w:r>
        <w:rPr>
          <w:rFonts w:hint="eastAsia"/>
          <w:b/>
          <w:bCs/>
          <w:sz w:val="28"/>
          <w:szCs w:val="28"/>
          <w:highlight w:val="none"/>
        </w:rPr>
        <w:t>（3）服务承诺书</w:t>
      </w:r>
    </w:p>
    <w:p w14:paraId="355D872A">
      <w:pPr>
        <w:spacing w:line="480" w:lineRule="auto"/>
        <w:ind w:firstLine="480" w:firstLineChars="200"/>
        <w:rPr>
          <w:rFonts w:ascii="宋体" w:hAnsi="宋体"/>
          <w:b/>
          <w:color w:val="000000"/>
          <w:sz w:val="24"/>
          <w:highlight w:val="none"/>
        </w:rPr>
      </w:pPr>
      <w:r>
        <w:rPr>
          <w:rFonts w:hint="eastAsia" w:ascii="宋体" w:hAnsi="宋体"/>
          <w:color w:val="000000"/>
          <w:sz w:val="24"/>
          <w:highlight w:val="none"/>
        </w:rPr>
        <w:t>致：</w:t>
      </w:r>
      <w:r>
        <w:rPr>
          <w:rFonts w:hint="eastAsia" w:ascii="宋体" w:hAnsi="宋体"/>
          <w:color w:val="000000"/>
          <w:sz w:val="24"/>
          <w:highlight w:val="none"/>
          <w:u w:val="single"/>
        </w:rPr>
        <w:t xml:space="preserve">          （招标人）     ：</w:t>
      </w:r>
    </w:p>
    <w:p w14:paraId="2518F5F9">
      <w:pPr>
        <w:keepNext w:val="0"/>
        <w:keepLines w:val="0"/>
        <w:pageBreakBefore w:val="0"/>
        <w:widowControl w:val="0"/>
        <w:kinsoku/>
        <w:wordWrap/>
        <w:overflowPunct/>
        <w:topLinePunct w:val="0"/>
        <w:autoSpaceDE/>
        <w:autoSpaceDN/>
        <w:bidi w:val="0"/>
        <w:adjustRightInd/>
        <w:snapToGrid/>
        <w:spacing w:line="480" w:lineRule="auto"/>
        <w:ind w:firstLine="480" w:firstLineChars="200"/>
        <w:textAlignment w:val="auto"/>
        <w:rPr>
          <w:rFonts w:hint="default" w:ascii="宋体" w:hAnsi="宋体" w:eastAsia="宋体"/>
          <w:color w:val="000000"/>
          <w:sz w:val="24"/>
          <w:highlight w:val="none"/>
          <w:lang w:val="en-US" w:eastAsia="zh-CN"/>
        </w:rPr>
      </w:pPr>
      <w:r>
        <w:rPr>
          <w:rFonts w:hint="eastAsia" w:ascii="宋体" w:hAnsi="宋体"/>
          <w:color w:val="000000"/>
          <w:sz w:val="24"/>
          <w:highlight w:val="none"/>
        </w:rPr>
        <w:t>本承诺声明：</w:t>
      </w:r>
      <w:r>
        <w:rPr>
          <w:rFonts w:hint="eastAsia" w:ascii="宋体" w:hAnsi="宋体" w:eastAsia="宋体" w:cs="Times New Roman"/>
          <w:color w:val="000000"/>
          <w:sz w:val="24"/>
          <w:highlight w:val="none"/>
        </w:rPr>
        <w:t>（投标人名称</w:t>
      </w:r>
      <w:r>
        <w:rPr>
          <w:rFonts w:hint="eastAsia" w:ascii="宋体" w:hAnsi="宋体" w:eastAsia="宋体" w:cs="Times New Roman"/>
          <w:color w:val="000000"/>
          <w:sz w:val="24"/>
          <w:highlight w:val="none"/>
          <w:lang w:eastAsia="zh-CN"/>
        </w:rPr>
        <w:t>）</w:t>
      </w:r>
      <w:r>
        <w:rPr>
          <w:rFonts w:hint="eastAsia" w:ascii="宋体" w:hAnsi="宋体" w:eastAsia="宋体" w:cs="Times New Roman"/>
          <w:color w:val="000000"/>
          <w:sz w:val="24"/>
          <w:highlight w:val="none"/>
        </w:rPr>
        <w:t>对本招标文件所有要求完全响应</w:t>
      </w:r>
      <w:r>
        <w:rPr>
          <w:rFonts w:hint="eastAsia" w:ascii="宋体" w:hAnsi="宋体" w:eastAsia="宋体" w:cs="Times New Roman"/>
          <w:color w:val="000000"/>
          <w:sz w:val="24"/>
          <w:highlight w:val="none"/>
          <w:lang w:eastAsia="zh-CN"/>
        </w:rPr>
        <w:t>。</w:t>
      </w:r>
      <w:r>
        <w:rPr>
          <w:rFonts w:hint="eastAsia" w:ascii="宋体" w:hAnsi="宋体" w:eastAsia="宋体" w:cs="Times New Roman"/>
          <w:color w:val="000000"/>
          <w:sz w:val="24"/>
          <w:highlight w:val="none"/>
        </w:rPr>
        <w:t>若有幸</w:t>
      </w:r>
      <w:r>
        <w:rPr>
          <w:rFonts w:hint="eastAsia" w:ascii="宋体" w:hAnsi="宋体" w:eastAsia="宋体" w:cs="Times New Roman"/>
          <w:color w:val="000000"/>
          <w:sz w:val="24"/>
          <w:highlight w:val="none"/>
          <w:lang w:val="en-US" w:eastAsia="zh-CN"/>
        </w:rPr>
        <w:t>成为中标人</w:t>
      </w:r>
      <w:r>
        <w:rPr>
          <w:rFonts w:hint="eastAsia" w:ascii="宋体" w:hAnsi="宋体" w:eastAsia="宋体" w:cs="Times New Roman"/>
          <w:color w:val="000000"/>
          <w:sz w:val="24"/>
          <w:highlight w:val="none"/>
        </w:rPr>
        <w:t>将严格按照以上承诺进行服务</w:t>
      </w:r>
      <w:r>
        <w:rPr>
          <w:rFonts w:hint="eastAsia" w:ascii="宋体" w:hAnsi="宋体" w:eastAsia="宋体" w:cs="Times New Roman"/>
          <w:color w:val="000000"/>
          <w:sz w:val="24"/>
          <w:highlight w:val="none"/>
          <w:lang w:eastAsia="zh-CN"/>
        </w:rPr>
        <w:t>。</w:t>
      </w:r>
      <w:r>
        <w:rPr>
          <w:rFonts w:hint="eastAsia" w:ascii="宋体" w:hAnsi="宋体" w:eastAsia="宋体" w:cs="Times New Roman"/>
          <w:color w:val="000000"/>
          <w:sz w:val="24"/>
          <w:highlight w:val="none"/>
          <w:lang w:val="en-US" w:eastAsia="zh-CN"/>
        </w:rPr>
        <w:t>若发现有偏离且不能按招标人要求调整的，招标人有权终止合同重新招标，我方</w:t>
      </w:r>
      <w:r>
        <w:rPr>
          <w:rFonts w:hint="eastAsia" w:ascii="宋体" w:hAnsi="宋体"/>
          <w:color w:val="000000"/>
          <w:sz w:val="24"/>
          <w:highlight w:val="none"/>
          <w:lang w:val="en-US" w:eastAsia="zh-CN"/>
        </w:rPr>
        <w:t>承担因此产生的所有经济及工期责任。</w:t>
      </w:r>
    </w:p>
    <w:p w14:paraId="0C73D24F">
      <w:pPr>
        <w:spacing w:line="480" w:lineRule="auto"/>
        <w:ind w:firstLine="480" w:firstLineChars="200"/>
        <w:rPr>
          <w:rFonts w:hint="eastAsia" w:ascii="宋体" w:hAnsi="宋体"/>
          <w:color w:val="000000"/>
          <w:sz w:val="24"/>
          <w:highlight w:val="none"/>
        </w:rPr>
      </w:pPr>
      <w:r>
        <w:rPr>
          <w:rFonts w:hint="eastAsia" w:ascii="宋体" w:hAnsi="宋体"/>
          <w:color w:val="000000"/>
          <w:sz w:val="24"/>
          <w:highlight w:val="none"/>
        </w:rPr>
        <w:t>特此声明。</w:t>
      </w:r>
    </w:p>
    <w:p w14:paraId="529836F4">
      <w:pPr>
        <w:pStyle w:val="13"/>
        <w:rPr>
          <w:rFonts w:hint="eastAsia"/>
          <w:highlight w:val="none"/>
        </w:rPr>
      </w:pPr>
    </w:p>
    <w:p w14:paraId="5533907C">
      <w:pPr>
        <w:spacing w:line="440" w:lineRule="exact"/>
        <w:rPr>
          <w:rFonts w:ascii="宋体" w:hAnsi="宋体"/>
          <w:color w:val="000000"/>
          <w:sz w:val="24"/>
          <w:highlight w:val="none"/>
        </w:rPr>
      </w:pPr>
      <w:r>
        <w:rPr>
          <w:rFonts w:hint="eastAsia" w:ascii="宋体" w:hAnsi="宋体"/>
          <w:color w:val="000000"/>
          <w:sz w:val="24"/>
          <w:highlight w:val="none"/>
        </w:rPr>
        <w:t> </w:t>
      </w:r>
    </w:p>
    <w:p w14:paraId="532BBE21">
      <w:pPr>
        <w:spacing w:line="440" w:lineRule="exact"/>
        <w:rPr>
          <w:rFonts w:ascii="宋体" w:hAnsi="宋体"/>
          <w:color w:val="000000"/>
          <w:sz w:val="24"/>
          <w:highlight w:val="none"/>
        </w:rPr>
      </w:pPr>
      <w:r>
        <w:rPr>
          <w:rFonts w:hint="eastAsia" w:ascii="宋体" w:hAnsi="宋体"/>
          <w:color w:val="000000"/>
          <w:sz w:val="24"/>
          <w:highlight w:val="none"/>
        </w:rPr>
        <w:t xml:space="preserve">                                    法定代表人：</w:t>
      </w:r>
      <w:r>
        <w:rPr>
          <w:rFonts w:hint="eastAsia" w:ascii="宋体" w:hAnsi="宋体"/>
          <w:color w:val="000000"/>
          <w:sz w:val="24"/>
          <w:highlight w:val="none"/>
          <w:u w:val="single"/>
        </w:rPr>
        <w:t xml:space="preserve">          （签章）       </w:t>
      </w:r>
    </w:p>
    <w:p w14:paraId="50B414E1">
      <w:pPr>
        <w:spacing w:line="440" w:lineRule="exact"/>
        <w:rPr>
          <w:rFonts w:ascii="宋体" w:hAnsi="宋体"/>
          <w:color w:val="000000"/>
          <w:sz w:val="24"/>
          <w:highlight w:val="none"/>
          <w:u w:val="single"/>
        </w:rPr>
      </w:pPr>
      <w:r>
        <w:rPr>
          <w:rFonts w:hint="eastAsia" w:ascii="宋体" w:hAnsi="宋体"/>
          <w:color w:val="000000"/>
          <w:sz w:val="24"/>
          <w:highlight w:val="none"/>
        </w:rPr>
        <w:t xml:space="preserve">                                     </w:t>
      </w:r>
    </w:p>
    <w:p w14:paraId="0631AE8B">
      <w:pPr>
        <w:spacing w:line="440" w:lineRule="exact"/>
        <w:rPr>
          <w:rFonts w:ascii="宋体" w:hAnsi="宋体"/>
          <w:color w:val="000000"/>
          <w:sz w:val="24"/>
          <w:highlight w:val="none"/>
          <w:u w:val="single"/>
        </w:rPr>
      </w:pPr>
      <w:r>
        <w:rPr>
          <w:rFonts w:hint="eastAsia" w:ascii="宋体" w:hAnsi="宋体"/>
          <w:color w:val="000000"/>
          <w:sz w:val="24"/>
          <w:highlight w:val="none"/>
        </w:rPr>
        <w:t xml:space="preserve">                                    投标单位名称：</w:t>
      </w:r>
      <w:r>
        <w:rPr>
          <w:rFonts w:hint="eastAsia" w:ascii="宋体" w:hAnsi="宋体"/>
          <w:color w:val="000000"/>
          <w:sz w:val="24"/>
          <w:highlight w:val="none"/>
          <w:u w:val="single"/>
        </w:rPr>
        <w:t xml:space="preserve">        （签章）    </w:t>
      </w:r>
    </w:p>
    <w:p w14:paraId="77EAAA8A">
      <w:pPr>
        <w:spacing w:line="440" w:lineRule="exact"/>
        <w:ind w:firstLine="4320" w:firstLineChars="1800"/>
        <w:jc w:val="left"/>
        <w:rPr>
          <w:rFonts w:ascii="宋体" w:hAnsi="宋体"/>
          <w:color w:val="000000"/>
          <w:sz w:val="24"/>
          <w:highlight w:val="none"/>
        </w:rPr>
      </w:pPr>
    </w:p>
    <w:p w14:paraId="0ECC396F">
      <w:pPr>
        <w:spacing w:line="440" w:lineRule="exact"/>
        <w:ind w:firstLine="4320" w:firstLineChars="1800"/>
        <w:jc w:val="left"/>
        <w:rPr>
          <w:rFonts w:ascii="宋体" w:hAnsi="宋体"/>
          <w:color w:val="000000"/>
          <w:sz w:val="24"/>
          <w:highlight w:val="none"/>
          <w:u w:val="single"/>
        </w:rPr>
      </w:pPr>
      <w:r>
        <w:rPr>
          <w:rFonts w:hint="eastAsia" w:ascii="宋体" w:hAnsi="宋体"/>
          <w:color w:val="000000"/>
          <w:sz w:val="24"/>
          <w:highlight w:val="none"/>
        </w:rPr>
        <w:t>日    期：</w:t>
      </w:r>
      <w:r>
        <w:rPr>
          <w:rFonts w:hint="eastAsia" w:ascii="宋体" w:hAnsi="宋体"/>
          <w:color w:val="000000"/>
          <w:sz w:val="24"/>
          <w:highlight w:val="none"/>
          <w:u w:val="single"/>
        </w:rPr>
        <w:t xml:space="preserve">                      </w:t>
      </w:r>
    </w:p>
    <w:p w14:paraId="7D885E6B">
      <w:pPr>
        <w:spacing w:line="400" w:lineRule="exact"/>
        <w:ind w:firstLine="482" w:firstLineChars="200"/>
        <w:rPr>
          <w:rFonts w:ascii="宋体" w:hAnsi="宋体"/>
          <w:b/>
          <w:color w:val="000000"/>
          <w:sz w:val="24"/>
          <w:highlight w:val="none"/>
        </w:rPr>
      </w:pPr>
    </w:p>
    <w:bookmarkEnd w:id="112"/>
    <w:bookmarkEnd w:id="113"/>
    <w:bookmarkEnd w:id="119"/>
    <w:bookmarkEnd w:id="120"/>
    <w:p w14:paraId="06696167">
      <w:pPr>
        <w:spacing w:line="400" w:lineRule="exact"/>
        <w:rPr>
          <w:rFonts w:hint="eastAsia"/>
          <w:b/>
          <w:bCs/>
          <w:sz w:val="28"/>
          <w:szCs w:val="28"/>
          <w:highlight w:val="none"/>
        </w:rPr>
      </w:pPr>
      <w:r>
        <w:rPr>
          <w:rFonts w:hint="eastAsia" w:ascii="宋体" w:hAnsi="宋体"/>
          <w:b/>
          <w:sz w:val="30"/>
          <w:szCs w:val="30"/>
          <w:highlight w:val="none"/>
        </w:rPr>
        <w:br w:type="page"/>
      </w:r>
    </w:p>
    <w:p w14:paraId="6C760F5E">
      <w:pPr>
        <w:spacing w:line="480" w:lineRule="auto"/>
        <w:jc w:val="center"/>
        <w:rPr>
          <w:rFonts w:hint="eastAsia" w:ascii="宋体" w:hAnsi="宋体"/>
          <w:b/>
          <w:sz w:val="28"/>
          <w:szCs w:val="28"/>
          <w:highlight w:val="none"/>
        </w:rPr>
      </w:pPr>
      <w:r>
        <w:rPr>
          <w:rFonts w:hint="eastAsia" w:ascii="宋体" w:hAnsi="宋体"/>
          <w:b/>
          <w:sz w:val="28"/>
          <w:szCs w:val="28"/>
          <w:highlight w:val="none"/>
          <w:lang w:val="en-US" w:eastAsia="zh-CN"/>
        </w:rPr>
        <w:t>二</w:t>
      </w:r>
      <w:r>
        <w:rPr>
          <w:rFonts w:hint="eastAsia" w:ascii="宋体" w:hAnsi="宋体"/>
          <w:b/>
          <w:sz w:val="28"/>
          <w:szCs w:val="28"/>
          <w:highlight w:val="none"/>
        </w:rPr>
        <w:t>、商务标格式文件</w:t>
      </w:r>
    </w:p>
    <w:p w14:paraId="4DC64CEB">
      <w:pPr>
        <w:rPr>
          <w:rFonts w:hint="eastAsia" w:ascii="宋体"/>
          <w:sz w:val="20"/>
          <w:highlight w:val="none"/>
        </w:rPr>
      </w:pPr>
    </w:p>
    <w:p w14:paraId="2E9C4FAA">
      <w:pPr>
        <w:jc w:val="center"/>
        <w:rPr>
          <w:rFonts w:hint="eastAsia" w:ascii="宋体"/>
          <w:b/>
          <w:sz w:val="44"/>
          <w:szCs w:val="44"/>
          <w:highlight w:val="none"/>
        </w:rPr>
      </w:pPr>
      <w:bookmarkStart w:id="121" w:name="_Toc449028954"/>
    </w:p>
    <w:p w14:paraId="4F8FB7F3">
      <w:pPr>
        <w:jc w:val="center"/>
        <w:rPr>
          <w:rFonts w:hint="eastAsia" w:ascii="宋体"/>
          <w:b/>
          <w:sz w:val="44"/>
          <w:szCs w:val="44"/>
          <w:highlight w:val="none"/>
        </w:rPr>
      </w:pPr>
      <w:r>
        <w:rPr>
          <w:rFonts w:hint="eastAsia" w:ascii="宋体"/>
          <w:b/>
          <w:sz w:val="44"/>
          <w:szCs w:val="44"/>
          <w:highlight w:val="none"/>
        </w:rPr>
        <w:t>商务标</w:t>
      </w:r>
      <w:bookmarkEnd w:id="121"/>
    </w:p>
    <w:p w14:paraId="162FC571">
      <w:pPr>
        <w:jc w:val="center"/>
        <w:rPr>
          <w:rFonts w:hint="eastAsia" w:ascii="宋体"/>
          <w:sz w:val="36"/>
          <w:szCs w:val="36"/>
          <w:highlight w:val="none"/>
        </w:rPr>
      </w:pPr>
      <w:r>
        <w:rPr>
          <w:rFonts w:hint="eastAsia" w:ascii="宋体"/>
          <w:sz w:val="44"/>
          <w:szCs w:val="44"/>
          <w:highlight w:val="none"/>
        </w:rPr>
        <w:t>（</w:t>
      </w:r>
      <w:r>
        <w:rPr>
          <w:rFonts w:hint="eastAsia" w:ascii="宋体"/>
          <w:sz w:val="36"/>
          <w:szCs w:val="36"/>
          <w:highlight w:val="none"/>
        </w:rPr>
        <w:t>投标文件</w:t>
      </w:r>
      <w:r>
        <w:rPr>
          <w:rFonts w:hint="eastAsia" w:ascii="宋体"/>
          <w:sz w:val="36"/>
          <w:szCs w:val="36"/>
          <w:highlight w:val="none"/>
          <w:lang w:val="en-US" w:eastAsia="zh-CN"/>
        </w:rPr>
        <w:t>二</w:t>
      </w:r>
      <w:r>
        <w:rPr>
          <w:rFonts w:hint="eastAsia" w:ascii="宋体"/>
          <w:sz w:val="36"/>
          <w:szCs w:val="36"/>
          <w:highlight w:val="none"/>
        </w:rPr>
        <w:t>）</w:t>
      </w:r>
    </w:p>
    <w:p w14:paraId="18A46C34">
      <w:pPr>
        <w:jc w:val="center"/>
        <w:rPr>
          <w:rFonts w:hint="eastAsia" w:ascii="宋体"/>
          <w:sz w:val="36"/>
          <w:szCs w:val="36"/>
          <w:highlight w:val="none"/>
        </w:rPr>
      </w:pPr>
    </w:p>
    <w:p w14:paraId="6B80118E">
      <w:pPr>
        <w:jc w:val="center"/>
        <w:rPr>
          <w:rFonts w:hint="eastAsia" w:ascii="宋体"/>
          <w:sz w:val="32"/>
          <w:szCs w:val="32"/>
          <w:highlight w:val="none"/>
        </w:rPr>
      </w:pPr>
      <w:r>
        <w:rPr>
          <w:rFonts w:hint="eastAsia" w:ascii="宋体"/>
          <w:sz w:val="32"/>
          <w:szCs w:val="32"/>
          <w:highlight w:val="none"/>
          <w:u w:val="single"/>
        </w:rPr>
        <w:t xml:space="preserve">        </w:t>
      </w:r>
      <w:r>
        <w:rPr>
          <w:rFonts w:hint="eastAsia" w:ascii="宋体"/>
          <w:sz w:val="32"/>
          <w:szCs w:val="32"/>
          <w:highlight w:val="none"/>
        </w:rPr>
        <w:t>项目</w:t>
      </w:r>
    </w:p>
    <w:p w14:paraId="41D3E532">
      <w:pPr>
        <w:jc w:val="center"/>
        <w:rPr>
          <w:rFonts w:hint="eastAsia" w:ascii="宋体"/>
          <w:sz w:val="44"/>
          <w:szCs w:val="44"/>
          <w:highlight w:val="none"/>
        </w:rPr>
      </w:pPr>
      <w:r>
        <w:rPr>
          <w:rFonts w:hint="eastAsia" w:ascii="宋体"/>
          <w:sz w:val="28"/>
          <w:szCs w:val="28"/>
          <w:highlight w:val="none"/>
        </w:rPr>
        <w:t xml:space="preserve"> </w:t>
      </w:r>
      <w:r>
        <w:rPr>
          <w:rFonts w:hint="eastAsia" w:ascii="宋体"/>
          <w:sz w:val="28"/>
          <w:szCs w:val="28"/>
          <w:highlight w:val="none"/>
          <w:u w:val="single"/>
        </w:rPr>
        <w:t xml:space="preserve">  </w:t>
      </w:r>
    </w:p>
    <w:p w14:paraId="68B207F8">
      <w:pPr>
        <w:rPr>
          <w:rFonts w:hint="eastAsia" w:ascii="宋体"/>
          <w:sz w:val="28"/>
          <w:szCs w:val="28"/>
          <w:highlight w:val="none"/>
        </w:rPr>
      </w:pPr>
    </w:p>
    <w:p w14:paraId="055D291E">
      <w:pPr>
        <w:rPr>
          <w:rFonts w:hint="eastAsia" w:ascii="宋体"/>
          <w:sz w:val="28"/>
          <w:szCs w:val="28"/>
          <w:highlight w:val="none"/>
        </w:rPr>
      </w:pPr>
    </w:p>
    <w:p w14:paraId="145E029E">
      <w:pPr>
        <w:rPr>
          <w:rFonts w:hint="eastAsia" w:ascii="宋体"/>
          <w:sz w:val="28"/>
          <w:szCs w:val="28"/>
          <w:highlight w:val="none"/>
        </w:rPr>
      </w:pPr>
    </w:p>
    <w:p w14:paraId="296766DB">
      <w:pPr>
        <w:rPr>
          <w:rFonts w:hint="eastAsia" w:ascii="宋体"/>
          <w:sz w:val="28"/>
          <w:szCs w:val="28"/>
          <w:highlight w:val="none"/>
        </w:rPr>
      </w:pPr>
    </w:p>
    <w:p w14:paraId="0332BE42">
      <w:pPr>
        <w:rPr>
          <w:rFonts w:hint="eastAsia" w:ascii="宋体"/>
          <w:sz w:val="28"/>
          <w:szCs w:val="28"/>
          <w:highlight w:val="none"/>
        </w:rPr>
      </w:pPr>
    </w:p>
    <w:p w14:paraId="15378DF6">
      <w:pPr>
        <w:rPr>
          <w:rFonts w:hint="eastAsia" w:ascii="宋体"/>
          <w:sz w:val="28"/>
          <w:szCs w:val="28"/>
          <w:highlight w:val="none"/>
        </w:rPr>
      </w:pPr>
    </w:p>
    <w:p w14:paraId="0E6A75A9">
      <w:pPr>
        <w:rPr>
          <w:rFonts w:hint="eastAsia" w:ascii="宋体"/>
          <w:sz w:val="28"/>
          <w:szCs w:val="28"/>
          <w:highlight w:val="none"/>
        </w:rPr>
      </w:pPr>
    </w:p>
    <w:p w14:paraId="1F95C8D6">
      <w:pPr>
        <w:jc w:val="center"/>
        <w:rPr>
          <w:rFonts w:hint="eastAsia" w:ascii="宋体"/>
          <w:sz w:val="28"/>
          <w:szCs w:val="28"/>
          <w:highlight w:val="none"/>
          <w:u w:val="single"/>
        </w:rPr>
      </w:pPr>
      <w:r>
        <w:rPr>
          <w:rFonts w:hint="eastAsia" w:ascii="宋体"/>
          <w:sz w:val="28"/>
          <w:szCs w:val="28"/>
          <w:highlight w:val="none"/>
        </w:rPr>
        <w:t>投标人：</w:t>
      </w:r>
      <w:r>
        <w:rPr>
          <w:rFonts w:hint="eastAsia" w:ascii="宋体"/>
          <w:sz w:val="28"/>
          <w:szCs w:val="28"/>
          <w:highlight w:val="none"/>
          <w:u w:val="single"/>
        </w:rPr>
        <w:t xml:space="preserve">                              </w:t>
      </w:r>
      <w:r>
        <w:rPr>
          <w:rFonts w:hint="eastAsia" w:ascii="宋体"/>
          <w:sz w:val="28"/>
          <w:szCs w:val="28"/>
          <w:highlight w:val="none"/>
        </w:rPr>
        <w:t>（签章）</w:t>
      </w:r>
    </w:p>
    <w:p w14:paraId="0484CFB7">
      <w:pPr>
        <w:ind w:firstLine="1260" w:firstLineChars="450"/>
        <w:rPr>
          <w:rFonts w:hint="eastAsia" w:ascii="宋体"/>
          <w:sz w:val="28"/>
          <w:szCs w:val="28"/>
          <w:highlight w:val="none"/>
        </w:rPr>
      </w:pPr>
      <w:r>
        <w:rPr>
          <w:rFonts w:hint="eastAsia" w:ascii="宋体"/>
          <w:sz w:val="28"/>
          <w:szCs w:val="28"/>
          <w:highlight w:val="none"/>
        </w:rPr>
        <w:t>法定代表人：</w:t>
      </w:r>
      <w:r>
        <w:rPr>
          <w:rFonts w:hint="eastAsia" w:ascii="宋体"/>
          <w:sz w:val="28"/>
          <w:szCs w:val="28"/>
          <w:highlight w:val="none"/>
          <w:u w:val="single"/>
        </w:rPr>
        <w:t xml:space="preserve">                             </w:t>
      </w:r>
      <w:r>
        <w:rPr>
          <w:rFonts w:hint="eastAsia" w:ascii="宋体"/>
          <w:sz w:val="28"/>
          <w:szCs w:val="28"/>
          <w:highlight w:val="none"/>
        </w:rPr>
        <w:t>（签章）</w:t>
      </w:r>
    </w:p>
    <w:p w14:paraId="419FAF71">
      <w:pPr>
        <w:jc w:val="center"/>
        <w:rPr>
          <w:rFonts w:hint="eastAsia" w:ascii="宋体"/>
          <w:sz w:val="28"/>
          <w:szCs w:val="28"/>
          <w:highlight w:val="none"/>
        </w:rPr>
      </w:pPr>
      <w:r>
        <w:rPr>
          <w:rFonts w:hint="eastAsia" w:ascii="宋体"/>
          <w:sz w:val="28"/>
          <w:szCs w:val="28"/>
          <w:highlight w:val="none"/>
          <w:u w:val="single"/>
        </w:rPr>
        <w:t xml:space="preserve">        </w:t>
      </w:r>
      <w:r>
        <w:rPr>
          <w:rFonts w:hint="eastAsia" w:ascii="宋体"/>
          <w:sz w:val="28"/>
          <w:szCs w:val="28"/>
          <w:highlight w:val="none"/>
        </w:rPr>
        <w:t>年</w:t>
      </w:r>
      <w:r>
        <w:rPr>
          <w:rFonts w:hint="eastAsia" w:ascii="宋体"/>
          <w:sz w:val="28"/>
          <w:szCs w:val="28"/>
          <w:highlight w:val="none"/>
          <w:u w:val="single"/>
        </w:rPr>
        <w:t xml:space="preserve">     </w:t>
      </w:r>
      <w:r>
        <w:rPr>
          <w:rFonts w:hint="eastAsia" w:ascii="宋体"/>
          <w:sz w:val="28"/>
          <w:szCs w:val="28"/>
          <w:highlight w:val="none"/>
        </w:rPr>
        <w:t>月</w:t>
      </w:r>
      <w:r>
        <w:rPr>
          <w:rFonts w:hint="eastAsia" w:ascii="宋体"/>
          <w:sz w:val="28"/>
          <w:szCs w:val="28"/>
          <w:highlight w:val="none"/>
          <w:u w:val="single"/>
        </w:rPr>
        <w:t xml:space="preserve">     </w:t>
      </w:r>
      <w:r>
        <w:rPr>
          <w:rFonts w:hint="eastAsia" w:ascii="宋体"/>
          <w:sz w:val="28"/>
          <w:szCs w:val="28"/>
          <w:highlight w:val="none"/>
        </w:rPr>
        <w:t>日</w:t>
      </w:r>
    </w:p>
    <w:p w14:paraId="66AD6B97">
      <w:pPr>
        <w:spacing w:line="720" w:lineRule="auto"/>
        <w:jc w:val="center"/>
        <w:rPr>
          <w:rFonts w:hint="eastAsia" w:ascii="宋体"/>
          <w:b/>
          <w:sz w:val="36"/>
          <w:szCs w:val="36"/>
          <w:highlight w:val="none"/>
        </w:rPr>
      </w:pPr>
    </w:p>
    <w:p w14:paraId="1561B035">
      <w:pPr>
        <w:spacing w:line="400" w:lineRule="exact"/>
        <w:ind w:firstLine="562" w:firstLineChars="200"/>
        <w:rPr>
          <w:rFonts w:hint="eastAsia"/>
          <w:b/>
          <w:sz w:val="28"/>
          <w:szCs w:val="28"/>
          <w:highlight w:val="none"/>
        </w:rPr>
      </w:pPr>
    </w:p>
    <w:p w14:paraId="1C962454">
      <w:pPr>
        <w:spacing w:line="400" w:lineRule="exact"/>
        <w:ind w:firstLine="562" w:firstLineChars="200"/>
        <w:rPr>
          <w:rFonts w:hint="eastAsia"/>
          <w:b/>
          <w:sz w:val="28"/>
          <w:szCs w:val="28"/>
          <w:highlight w:val="none"/>
        </w:rPr>
      </w:pPr>
    </w:p>
    <w:p w14:paraId="12A278B7">
      <w:pPr>
        <w:spacing w:line="400" w:lineRule="exact"/>
        <w:ind w:firstLine="2628" w:firstLineChars="935"/>
        <w:rPr>
          <w:rFonts w:hint="eastAsia"/>
          <w:b/>
          <w:sz w:val="28"/>
          <w:szCs w:val="28"/>
          <w:highlight w:val="none"/>
        </w:rPr>
      </w:pPr>
      <w:r>
        <w:rPr>
          <w:rFonts w:hint="eastAsia"/>
          <w:b/>
          <w:sz w:val="28"/>
          <w:szCs w:val="28"/>
          <w:highlight w:val="none"/>
        </w:rPr>
        <w:t xml:space="preserve">     </w:t>
      </w:r>
    </w:p>
    <w:p w14:paraId="07111B07">
      <w:pPr>
        <w:spacing w:line="400" w:lineRule="exact"/>
        <w:jc w:val="center"/>
        <w:rPr>
          <w:b/>
          <w:sz w:val="36"/>
          <w:szCs w:val="36"/>
          <w:highlight w:val="none"/>
        </w:rPr>
      </w:pPr>
    </w:p>
    <w:p w14:paraId="2916487F">
      <w:pPr>
        <w:spacing w:line="400" w:lineRule="exact"/>
        <w:jc w:val="center"/>
        <w:rPr>
          <w:rFonts w:hint="eastAsia"/>
          <w:b/>
          <w:sz w:val="36"/>
          <w:szCs w:val="36"/>
          <w:highlight w:val="none"/>
        </w:rPr>
      </w:pPr>
      <w:r>
        <w:rPr>
          <w:rFonts w:hint="eastAsia"/>
          <w:b/>
          <w:sz w:val="36"/>
          <w:szCs w:val="36"/>
          <w:highlight w:val="none"/>
        </w:rPr>
        <w:t>目   录</w:t>
      </w:r>
    </w:p>
    <w:p w14:paraId="328FAD89">
      <w:pPr>
        <w:spacing w:line="400" w:lineRule="exact"/>
        <w:ind w:firstLine="4130" w:firstLineChars="935"/>
        <w:rPr>
          <w:rFonts w:hint="eastAsia"/>
          <w:b/>
          <w:sz w:val="44"/>
          <w:szCs w:val="44"/>
          <w:highlight w:val="none"/>
        </w:rPr>
      </w:pPr>
    </w:p>
    <w:p w14:paraId="3E0F4B41">
      <w:pPr>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（1）开标一览表（格式见附件）；</w:t>
      </w:r>
    </w:p>
    <w:p w14:paraId="29E39C14">
      <w:pPr>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（2）投标函（格式见附件）；</w:t>
      </w:r>
    </w:p>
    <w:p w14:paraId="725A9657">
      <w:pPr>
        <w:spacing w:line="440" w:lineRule="exact"/>
        <w:ind w:firstLine="420" w:firstLineChars="200"/>
        <w:rPr>
          <w:rFonts w:hint="eastAsia" w:ascii="宋体" w:hAnsi="Times New Roman" w:eastAsia="宋体" w:cs="Times New Roman"/>
          <w:szCs w:val="21"/>
          <w:highlight w:val="none"/>
          <w:lang w:val="en-US" w:eastAsia="zh-CN"/>
        </w:rPr>
      </w:pPr>
      <w:r>
        <w:rPr>
          <w:rFonts w:hint="eastAsia" w:ascii="宋体" w:hAnsi="Times New Roman" w:eastAsia="宋体" w:cs="Times New Roman"/>
          <w:szCs w:val="21"/>
          <w:highlight w:val="none"/>
          <w:lang w:eastAsia="zh-CN"/>
        </w:rPr>
        <w:t>（</w:t>
      </w:r>
      <w:r>
        <w:rPr>
          <w:rFonts w:hint="eastAsia" w:ascii="宋体" w:hAnsi="Times New Roman" w:eastAsia="宋体" w:cs="Times New Roman"/>
          <w:szCs w:val="21"/>
          <w:highlight w:val="none"/>
          <w:lang w:val="en-US" w:eastAsia="zh-CN"/>
        </w:rPr>
        <w:t>3）分项报价清单（</w:t>
      </w:r>
      <w:r>
        <w:rPr>
          <w:rFonts w:hint="eastAsia" w:ascii="宋体" w:hAnsi="Times New Roman" w:eastAsia="宋体" w:cs="Times New Roman"/>
          <w:szCs w:val="21"/>
          <w:highlight w:val="none"/>
        </w:rPr>
        <w:t>格式见附件</w:t>
      </w:r>
      <w:r>
        <w:rPr>
          <w:rFonts w:hint="eastAsia" w:ascii="宋体" w:hAnsi="Times New Roman" w:eastAsia="宋体" w:cs="Times New Roman"/>
          <w:szCs w:val="21"/>
          <w:highlight w:val="none"/>
          <w:lang w:eastAsia="zh-CN"/>
        </w:rPr>
        <w:t>）；</w:t>
      </w:r>
    </w:p>
    <w:p w14:paraId="08616416">
      <w:pPr>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lang w:eastAsia="zh-CN"/>
        </w:rPr>
        <w:t>（</w:t>
      </w:r>
      <w:r>
        <w:rPr>
          <w:rFonts w:hint="eastAsia" w:ascii="宋体" w:hAnsi="Times New Roman" w:eastAsia="宋体" w:cs="Times New Roman"/>
          <w:szCs w:val="21"/>
          <w:highlight w:val="none"/>
          <w:lang w:val="en-US" w:eastAsia="zh-CN"/>
        </w:rPr>
        <w:t>4）</w:t>
      </w:r>
      <w:r>
        <w:rPr>
          <w:rFonts w:hint="eastAsia" w:ascii="宋体" w:hAnsi="Times New Roman" w:eastAsia="宋体" w:cs="Times New Roman"/>
          <w:szCs w:val="21"/>
          <w:highlight w:val="none"/>
        </w:rPr>
        <w:t>招标文件商务评审中要求提供的其他相关资料；</w:t>
      </w:r>
    </w:p>
    <w:p w14:paraId="3E0ABFB6">
      <w:pPr>
        <w:spacing w:line="440" w:lineRule="exact"/>
        <w:ind w:firstLine="420" w:firstLineChars="200"/>
        <w:rPr>
          <w:rFonts w:hint="eastAsia" w:ascii="宋体" w:hAnsi="Times New Roman" w:eastAsia="宋体" w:cs="Times New Roman"/>
          <w:szCs w:val="21"/>
          <w:highlight w:val="none"/>
        </w:rPr>
      </w:pPr>
      <w:r>
        <w:rPr>
          <w:rFonts w:hint="eastAsia" w:ascii="宋体" w:hAnsi="Times New Roman" w:eastAsia="宋体" w:cs="Times New Roman"/>
          <w:szCs w:val="21"/>
          <w:highlight w:val="none"/>
        </w:rPr>
        <w:t>（</w:t>
      </w:r>
      <w:r>
        <w:rPr>
          <w:rFonts w:hint="eastAsia" w:ascii="宋体" w:hAnsi="Times New Roman" w:eastAsia="宋体" w:cs="Times New Roman"/>
          <w:szCs w:val="21"/>
          <w:highlight w:val="none"/>
          <w:lang w:val="en-US" w:eastAsia="zh-CN"/>
        </w:rPr>
        <w:t>5</w:t>
      </w:r>
      <w:r>
        <w:rPr>
          <w:rFonts w:hint="eastAsia" w:ascii="宋体" w:hAnsi="Times New Roman" w:eastAsia="宋体" w:cs="Times New Roman"/>
          <w:szCs w:val="21"/>
          <w:highlight w:val="none"/>
        </w:rPr>
        <w:t>）投标人认为需要提供的其他材料。</w:t>
      </w:r>
    </w:p>
    <w:p w14:paraId="518CCD8C">
      <w:pPr>
        <w:jc w:val="center"/>
        <w:rPr>
          <w:rFonts w:hint="eastAsia" w:ascii="宋体"/>
          <w:b/>
          <w:sz w:val="28"/>
          <w:szCs w:val="28"/>
          <w:highlight w:val="none"/>
        </w:rPr>
      </w:pPr>
    </w:p>
    <w:p w14:paraId="725EE343">
      <w:pPr>
        <w:snapToGrid w:val="0"/>
        <w:spacing w:line="460" w:lineRule="exact"/>
        <w:ind w:left="2940" w:leftChars="1400" w:firstLine="964" w:firstLineChars="300"/>
        <w:rPr>
          <w:rFonts w:hint="eastAsia" w:ascii="宋体"/>
          <w:b/>
          <w:sz w:val="32"/>
          <w:szCs w:val="32"/>
          <w:highlight w:val="none"/>
        </w:rPr>
      </w:pPr>
    </w:p>
    <w:p w14:paraId="542B184F">
      <w:pPr>
        <w:snapToGrid w:val="0"/>
        <w:spacing w:line="460" w:lineRule="exact"/>
        <w:ind w:left="2940" w:leftChars="1400" w:firstLine="964" w:firstLineChars="300"/>
        <w:rPr>
          <w:rFonts w:hint="eastAsia" w:ascii="宋体"/>
          <w:b/>
          <w:sz w:val="32"/>
          <w:szCs w:val="32"/>
          <w:highlight w:val="none"/>
        </w:rPr>
      </w:pPr>
    </w:p>
    <w:p w14:paraId="2FD51560">
      <w:pPr>
        <w:snapToGrid w:val="0"/>
        <w:spacing w:line="460" w:lineRule="exact"/>
        <w:ind w:left="2940" w:leftChars="1400" w:firstLine="964" w:firstLineChars="300"/>
        <w:rPr>
          <w:rFonts w:hint="eastAsia" w:ascii="宋体"/>
          <w:b/>
          <w:sz w:val="32"/>
          <w:szCs w:val="32"/>
          <w:highlight w:val="none"/>
        </w:rPr>
      </w:pPr>
    </w:p>
    <w:p w14:paraId="346AB514">
      <w:pPr>
        <w:snapToGrid w:val="0"/>
        <w:spacing w:line="460" w:lineRule="exact"/>
        <w:ind w:left="2940" w:leftChars="1400" w:firstLine="964" w:firstLineChars="300"/>
        <w:rPr>
          <w:rFonts w:hint="eastAsia" w:ascii="宋体"/>
          <w:b/>
          <w:sz w:val="32"/>
          <w:szCs w:val="32"/>
          <w:highlight w:val="none"/>
        </w:rPr>
      </w:pPr>
    </w:p>
    <w:p w14:paraId="41808EAF">
      <w:pPr>
        <w:snapToGrid w:val="0"/>
        <w:spacing w:line="460" w:lineRule="exact"/>
        <w:ind w:left="2940" w:leftChars="1400" w:firstLine="964" w:firstLineChars="300"/>
        <w:rPr>
          <w:rFonts w:hint="eastAsia" w:ascii="宋体"/>
          <w:b/>
          <w:sz w:val="32"/>
          <w:szCs w:val="32"/>
          <w:highlight w:val="none"/>
        </w:rPr>
      </w:pPr>
    </w:p>
    <w:p w14:paraId="2D3F16C7">
      <w:pPr>
        <w:snapToGrid w:val="0"/>
        <w:spacing w:line="460" w:lineRule="exact"/>
        <w:ind w:left="2940" w:leftChars="1400" w:firstLine="964" w:firstLineChars="300"/>
        <w:rPr>
          <w:rFonts w:hint="eastAsia" w:ascii="宋体"/>
          <w:b/>
          <w:sz w:val="32"/>
          <w:szCs w:val="32"/>
          <w:highlight w:val="none"/>
        </w:rPr>
      </w:pPr>
    </w:p>
    <w:p w14:paraId="7B1A618A">
      <w:pPr>
        <w:snapToGrid w:val="0"/>
        <w:spacing w:line="460" w:lineRule="exact"/>
        <w:ind w:left="2940" w:leftChars="1400" w:firstLine="964" w:firstLineChars="300"/>
        <w:rPr>
          <w:rFonts w:hint="eastAsia" w:ascii="宋体"/>
          <w:b/>
          <w:sz w:val="32"/>
          <w:szCs w:val="32"/>
          <w:highlight w:val="none"/>
        </w:rPr>
      </w:pPr>
    </w:p>
    <w:p w14:paraId="6ECAE875">
      <w:pPr>
        <w:snapToGrid w:val="0"/>
        <w:spacing w:line="460" w:lineRule="exact"/>
        <w:ind w:left="2940" w:leftChars="1400" w:firstLine="964" w:firstLineChars="300"/>
        <w:rPr>
          <w:rFonts w:hint="eastAsia" w:ascii="宋体"/>
          <w:b/>
          <w:sz w:val="32"/>
          <w:szCs w:val="32"/>
          <w:highlight w:val="none"/>
        </w:rPr>
      </w:pPr>
    </w:p>
    <w:p w14:paraId="4E4B4509">
      <w:pPr>
        <w:snapToGrid w:val="0"/>
        <w:spacing w:line="460" w:lineRule="exact"/>
        <w:ind w:left="2940" w:leftChars="1400" w:firstLine="964" w:firstLineChars="300"/>
        <w:rPr>
          <w:rFonts w:hint="eastAsia" w:ascii="宋体"/>
          <w:b/>
          <w:sz w:val="32"/>
          <w:szCs w:val="32"/>
          <w:highlight w:val="none"/>
        </w:rPr>
      </w:pPr>
    </w:p>
    <w:p w14:paraId="5B43985C">
      <w:pPr>
        <w:snapToGrid w:val="0"/>
        <w:spacing w:line="460" w:lineRule="exact"/>
        <w:ind w:left="2940" w:leftChars="1400" w:firstLine="964" w:firstLineChars="300"/>
        <w:rPr>
          <w:rFonts w:hint="eastAsia" w:ascii="宋体"/>
          <w:b/>
          <w:sz w:val="32"/>
          <w:szCs w:val="32"/>
          <w:highlight w:val="none"/>
        </w:rPr>
      </w:pPr>
    </w:p>
    <w:p w14:paraId="13BC7FD6">
      <w:pPr>
        <w:snapToGrid w:val="0"/>
        <w:spacing w:line="460" w:lineRule="exact"/>
        <w:ind w:left="2940" w:leftChars="1400" w:firstLine="964" w:firstLineChars="300"/>
        <w:rPr>
          <w:rFonts w:hint="eastAsia" w:ascii="宋体"/>
          <w:b/>
          <w:sz w:val="32"/>
          <w:szCs w:val="32"/>
          <w:highlight w:val="none"/>
        </w:rPr>
      </w:pPr>
    </w:p>
    <w:p w14:paraId="05A148E9">
      <w:pPr>
        <w:snapToGrid w:val="0"/>
        <w:spacing w:line="460" w:lineRule="exact"/>
        <w:ind w:left="2940" w:leftChars="1400" w:firstLine="964" w:firstLineChars="300"/>
        <w:rPr>
          <w:rFonts w:hint="eastAsia" w:ascii="宋体"/>
          <w:b/>
          <w:sz w:val="32"/>
          <w:szCs w:val="32"/>
          <w:highlight w:val="none"/>
        </w:rPr>
      </w:pPr>
    </w:p>
    <w:p w14:paraId="7C5774E9">
      <w:pPr>
        <w:snapToGrid w:val="0"/>
        <w:spacing w:line="460" w:lineRule="exact"/>
        <w:ind w:left="2940" w:leftChars="1400" w:firstLine="964" w:firstLineChars="300"/>
        <w:rPr>
          <w:rFonts w:hint="eastAsia" w:ascii="宋体"/>
          <w:b/>
          <w:sz w:val="32"/>
          <w:szCs w:val="32"/>
          <w:highlight w:val="none"/>
        </w:rPr>
      </w:pPr>
    </w:p>
    <w:p w14:paraId="77F48CCC">
      <w:pPr>
        <w:snapToGrid w:val="0"/>
        <w:spacing w:line="460" w:lineRule="exact"/>
        <w:ind w:left="2940" w:leftChars="1400" w:firstLine="964" w:firstLineChars="300"/>
        <w:rPr>
          <w:rFonts w:hint="eastAsia" w:ascii="宋体"/>
          <w:b/>
          <w:sz w:val="32"/>
          <w:szCs w:val="32"/>
          <w:highlight w:val="none"/>
        </w:rPr>
      </w:pPr>
    </w:p>
    <w:p w14:paraId="695161E9">
      <w:pPr>
        <w:snapToGrid w:val="0"/>
        <w:spacing w:line="460" w:lineRule="exact"/>
        <w:ind w:left="2940" w:leftChars="1400" w:firstLine="964" w:firstLineChars="300"/>
        <w:rPr>
          <w:rFonts w:hint="eastAsia" w:ascii="宋体"/>
          <w:b/>
          <w:sz w:val="32"/>
          <w:szCs w:val="32"/>
          <w:highlight w:val="none"/>
        </w:rPr>
      </w:pPr>
    </w:p>
    <w:p w14:paraId="086677B4">
      <w:pPr>
        <w:snapToGrid w:val="0"/>
        <w:spacing w:line="460" w:lineRule="exact"/>
        <w:ind w:left="2940" w:leftChars="1400" w:firstLine="964" w:firstLineChars="300"/>
        <w:rPr>
          <w:rFonts w:hint="eastAsia" w:ascii="宋体"/>
          <w:b/>
          <w:sz w:val="32"/>
          <w:szCs w:val="32"/>
          <w:highlight w:val="none"/>
        </w:rPr>
      </w:pPr>
    </w:p>
    <w:p w14:paraId="19AF76F0">
      <w:pPr>
        <w:snapToGrid w:val="0"/>
        <w:spacing w:line="460" w:lineRule="exact"/>
        <w:ind w:left="2940" w:leftChars="1400" w:firstLine="964" w:firstLineChars="300"/>
        <w:rPr>
          <w:rFonts w:hint="eastAsia" w:ascii="宋体"/>
          <w:b/>
          <w:sz w:val="32"/>
          <w:szCs w:val="32"/>
          <w:highlight w:val="none"/>
        </w:rPr>
      </w:pPr>
    </w:p>
    <w:p w14:paraId="02B451A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b/>
          <w:sz w:val="36"/>
          <w:szCs w:val="36"/>
          <w:highlight w:val="none"/>
        </w:rPr>
      </w:pPr>
      <w:r>
        <w:rPr>
          <w:rFonts w:ascii="宋体" w:hAnsi="宋体"/>
          <w:b/>
          <w:sz w:val="30"/>
          <w:szCs w:val="30"/>
          <w:highlight w:val="none"/>
        </w:rPr>
        <w:br w:type="page"/>
      </w:r>
      <w:r>
        <w:rPr>
          <w:rFonts w:hint="eastAsia" w:ascii="宋体"/>
          <w:b/>
          <w:sz w:val="36"/>
          <w:szCs w:val="36"/>
          <w:highlight w:val="none"/>
        </w:rPr>
        <w:t>（1）开标一览表</w:t>
      </w:r>
    </w:p>
    <w:p w14:paraId="73536746">
      <w:pPr>
        <w:snapToGrid w:val="0"/>
        <w:spacing w:line="460" w:lineRule="exact"/>
        <w:ind w:left="2940" w:leftChars="1400" w:firstLine="720" w:firstLineChars="300"/>
        <w:rPr>
          <w:rFonts w:hint="eastAsia" w:ascii="宋体"/>
          <w:sz w:val="24"/>
          <w:highlight w:val="none"/>
        </w:rPr>
      </w:pP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6952"/>
      </w:tblGrid>
      <w:tr w14:paraId="206EE5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5" w:hRule="exact"/>
          <w:jc w:val="center"/>
        </w:trPr>
        <w:tc>
          <w:tcPr>
            <w:tcW w:w="1803" w:type="dxa"/>
            <w:tcBorders>
              <w:top w:val="single" w:color="auto" w:sz="12" w:space="0"/>
              <w:bottom w:val="single" w:color="auto" w:sz="12" w:space="0"/>
              <w:right w:val="single" w:color="auto" w:sz="12" w:space="0"/>
            </w:tcBorders>
            <w:noWrap w:val="0"/>
            <w:vAlign w:val="center"/>
          </w:tcPr>
          <w:p w14:paraId="5CD702C7">
            <w:pPr>
              <w:spacing w:line="460" w:lineRule="exact"/>
              <w:jc w:val="center"/>
              <w:rPr>
                <w:rFonts w:hint="eastAsia" w:ascii="宋体"/>
                <w:sz w:val="24"/>
                <w:highlight w:val="none"/>
              </w:rPr>
            </w:pPr>
            <w:r>
              <w:rPr>
                <w:rFonts w:hint="eastAsia" w:ascii="宋体"/>
                <w:sz w:val="24"/>
                <w:highlight w:val="none"/>
              </w:rPr>
              <w:t>项目名称</w:t>
            </w:r>
          </w:p>
        </w:tc>
        <w:tc>
          <w:tcPr>
            <w:tcW w:w="6952" w:type="dxa"/>
            <w:tcBorders>
              <w:top w:val="single" w:color="auto" w:sz="12" w:space="0"/>
              <w:left w:val="single" w:color="auto" w:sz="12" w:space="0"/>
              <w:bottom w:val="single" w:color="auto" w:sz="12" w:space="0"/>
            </w:tcBorders>
            <w:noWrap w:val="0"/>
            <w:vAlign w:val="center"/>
          </w:tcPr>
          <w:p w14:paraId="2A21D9D3">
            <w:pPr>
              <w:spacing w:line="360" w:lineRule="auto"/>
              <w:jc w:val="left"/>
              <w:rPr>
                <w:rFonts w:hint="eastAsia"/>
                <w:sz w:val="24"/>
                <w:highlight w:val="none"/>
              </w:rPr>
            </w:pPr>
            <w:r>
              <w:rPr>
                <w:rFonts w:hint="eastAsia"/>
                <w:sz w:val="24"/>
                <w:highlight w:val="none"/>
              </w:rPr>
              <w:t xml:space="preserve">         </w:t>
            </w:r>
          </w:p>
        </w:tc>
      </w:tr>
      <w:tr w14:paraId="62104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803" w:type="dxa"/>
            <w:tcBorders>
              <w:top w:val="single" w:color="auto" w:sz="12" w:space="0"/>
              <w:right w:val="single" w:color="auto" w:sz="12" w:space="0"/>
            </w:tcBorders>
            <w:noWrap w:val="0"/>
            <w:vAlign w:val="center"/>
          </w:tcPr>
          <w:p w14:paraId="5BCEA0A9">
            <w:pPr>
              <w:spacing w:line="460" w:lineRule="exact"/>
              <w:jc w:val="center"/>
              <w:rPr>
                <w:rFonts w:hint="eastAsia" w:ascii="宋体"/>
                <w:sz w:val="24"/>
                <w:highlight w:val="none"/>
              </w:rPr>
            </w:pPr>
            <w:r>
              <w:rPr>
                <w:rFonts w:hint="eastAsia" w:ascii="宋体"/>
                <w:sz w:val="24"/>
                <w:highlight w:val="none"/>
              </w:rPr>
              <w:t>项目编号</w:t>
            </w:r>
          </w:p>
        </w:tc>
        <w:tc>
          <w:tcPr>
            <w:tcW w:w="6952" w:type="dxa"/>
            <w:tcBorders>
              <w:top w:val="single" w:color="auto" w:sz="12" w:space="0"/>
              <w:left w:val="single" w:color="auto" w:sz="12" w:space="0"/>
            </w:tcBorders>
            <w:noWrap w:val="0"/>
            <w:vAlign w:val="center"/>
          </w:tcPr>
          <w:p w14:paraId="3EE78B46">
            <w:pPr>
              <w:rPr>
                <w:rFonts w:hint="eastAsia" w:ascii="宋体"/>
                <w:sz w:val="24"/>
                <w:highlight w:val="none"/>
              </w:rPr>
            </w:pPr>
          </w:p>
        </w:tc>
      </w:tr>
      <w:tr w14:paraId="1985F1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3" w:hRule="exact"/>
          <w:jc w:val="center"/>
        </w:trPr>
        <w:tc>
          <w:tcPr>
            <w:tcW w:w="1803" w:type="dxa"/>
            <w:tcBorders>
              <w:right w:val="single" w:color="auto" w:sz="12" w:space="0"/>
            </w:tcBorders>
            <w:noWrap w:val="0"/>
            <w:vAlign w:val="center"/>
          </w:tcPr>
          <w:p w14:paraId="7D9CCC8A">
            <w:pPr>
              <w:spacing w:line="460" w:lineRule="exact"/>
              <w:ind w:firstLine="120" w:firstLineChars="50"/>
              <w:rPr>
                <w:rFonts w:hint="eastAsia" w:ascii="宋体"/>
                <w:sz w:val="24"/>
                <w:highlight w:val="none"/>
              </w:rPr>
            </w:pPr>
            <w:r>
              <w:rPr>
                <w:rFonts w:hint="eastAsia" w:ascii="宋体"/>
                <w:sz w:val="24"/>
                <w:highlight w:val="none"/>
              </w:rPr>
              <w:t>投标人名称</w:t>
            </w:r>
          </w:p>
        </w:tc>
        <w:tc>
          <w:tcPr>
            <w:tcW w:w="6952" w:type="dxa"/>
            <w:tcBorders>
              <w:left w:val="single" w:color="auto" w:sz="12" w:space="0"/>
            </w:tcBorders>
            <w:noWrap w:val="0"/>
            <w:vAlign w:val="top"/>
          </w:tcPr>
          <w:p w14:paraId="05B430CA">
            <w:pPr>
              <w:pStyle w:val="21"/>
              <w:spacing w:line="460" w:lineRule="exact"/>
              <w:ind w:left="86" w:leftChars="41"/>
              <w:rPr>
                <w:rFonts w:hint="eastAsia" w:ascii="宋体" w:eastAsia="宋体"/>
                <w:color w:val="auto"/>
                <w:sz w:val="24"/>
                <w:szCs w:val="24"/>
                <w:highlight w:val="none"/>
              </w:rPr>
            </w:pPr>
          </w:p>
        </w:tc>
      </w:tr>
      <w:tr w14:paraId="755CC5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81" w:hRule="exact"/>
          <w:jc w:val="center"/>
        </w:trPr>
        <w:tc>
          <w:tcPr>
            <w:tcW w:w="1803" w:type="dxa"/>
            <w:tcBorders>
              <w:right w:val="single" w:color="auto" w:sz="12" w:space="0"/>
            </w:tcBorders>
            <w:noWrap w:val="0"/>
            <w:vAlign w:val="center"/>
          </w:tcPr>
          <w:p w14:paraId="5AD43C45">
            <w:pPr>
              <w:spacing w:line="360" w:lineRule="auto"/>
              <w:jc w:val="center"/>
              <w:rPr>
                <w:rFonts w:ascii="宋体"/>
                <w:sz w:val="24"/>
                <w:highlight w:val="none"/>
              </w:rPr>
            </w:pPr>
            <w:r>
              <w:rPr>
                <w:rFonts w:hint="eastAsia" w:ascii="宋体"/>
                <w:color w:val="auto"/>
                <w:sz w:val="24"/>
                <w:highlight w:val="none"/>
                <w:lang w:val="en-US" w:eastAsia="zh-CN"/>
              </w:rPr>
              <w:t>总</w:t>
            </w:r>
            <w:r>
              <w:rPr>
                <w:rFonts w:hint="eastAsia" w:ascii="宋体"/>
                <w:color w:val="auto"/>
                <w:sz w:val="24"/>
                <w:highlight w:val="none"/>
              </w:rPr>
              <w:t>投标</w:t>
            </w:r>
            <w:r>
              <w:rPr>
                <w:rFonts w:hint="eastAsia" w:ascii="宋体"/>
                <w:color w:val="auto"/>
                <w:sz w:val="24"/>
                <w:highlight w:val="none"/>
                <w:lang w:val="en-US" w:eastAsia="zh-CN"/>
              </w:rPr>
              <w:t>报</w:t>
            </w:r>
            <w:r>
              <w:rPr>
                <w:rFonts w:hint="eastAsia" w:ascii="宋体"/>
                <w:color w:val="auto"/>
                <w:sz w:val="24"/>
                <w:highlight w:val="none"/>
              </w:rPr>
              <w:t>价</w:t>
            </w:r>
            <w:r>
              <w:rPr>
                <w:rFonts w:hint="eastAsia" w:ascii="宋体"/>
                <w:color w:val="auto"/>
                <w:sz w:val="24"/>
                <w:highlight w:val="none"/>
                <w:lang w:eastAsia="zh-CN"/>
              </w:rPr>
              <w:t>（</w:t>
            </w:r>
            <w:r>
              <w:rPr>
                <w:rFonts w:hint="eastAsia" w:ascii="宋体"/>
                <w:color w:val="auto"/>
                <w:sz w:val="24"/>
                <w:highlight w:val="none"/>
                <w:lang w:val="en-US" w:eastAsia="zh-CN"/>
              </w:rPr>
              <w:t>元）</w:t>
            </w:r>
            <w:r>
              <w:rPr>
                <w:rFonts w:hint="eastAsia" w:ascii="宋体"/>
                <w:color w:val="auto"/>
                <w:sz w:val="24"/>
                <w:highlight w:val="none"/>
              </w:rPr>
              <w:t>\</w:t>
            </w:r>
            <w:r>
              <w:rPr>
                <w:rFonts w:hint="eastAsia" w:ascii="宋体"/>
                <w:color w:val="auto"/>
                <w:sz w:val="24"/>
                <w:highlight w:val="none"/>
                <w:lang w:val="en-US" w:eastAsia="zh-CN"/>
              </w:rPr>
              <w:t>服务期</w:t>
            </w:r>
          </w:p>
        </w:tc>
        <w:tc>
          <w:tcPr>
            <w:tcW w:w="6952" w:type="dxa"/>
            <w:tcBorders>
              <w:left w:val="single" w:color="auto" w:sz="12" w:space="0"/>
            </w:tcBorders>
            <w:noWrap w:val="0"/>
            <w:vAlign w:val="center"/>
          </w:tcPr>
          <w:p w14:paraId="18E9732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Times New Roman" w:eastAsia="宋体" w:cs="Times New Roman"/>
                <w:color w:val="auto"/>
                <w:sz w:val="24"/>
                <w:highlight w:val="none"/>
                <w:lang w:val="en-US" w:eastAsia="zh-CN"/>
              </w:rPr>
            </w:pPr>
            <w:r>
              <w:rPr>
                <w:rFonts w:hint="eastAsia" w:ascii="宋体" w:hAnsi="Times New Roman" w:eastAsia="宋体" w:cs="Times New Roman"/>
                <w:color w:val="auto"/>
                <w:sz w:val="24"/>
                <w:highlight w:val="none"/>
                <w:lang w:val="en-US" w:eastAsia="zh-CN"/>
              </w:rPr>
              <w:t>总投标报价（含税）</w:t>
            </w:r>
            <w:r>
              <w:rPr>
                <w:rFonts w:hint="eastAsia" w:ascii="宋体" w:hAnsi="Times New Roman" w:eastAsia="宋体" w:cs="Times New Roman"/>
                <w:color w:val="auto"/>
                <w:sz w:val="24"/>
                <w:highlight w:val="none"/>
              </w:rPr>
              <w:t>(</w:t>
            </w:r>
            <w:r>
              <w:rPr>
                <w:rFonts w:hint="eastAsia" w:ascii="宋体" w:hAnsi="Times New Roman" w:eastAsia="宋体" w:cs="Times New Roman"/>
                <w:color w:val="auto"/>
                <w:sz w:val="24"/>
                <w:highlight w:val="none"/>
                <w:lang w:val="en-US" w:eastAsia="zh-CN"/>
              </w:rPr>
              <w:t>大</w:t>
            </w:r>
            <w:r>
              <w:rPr>
                <w:rFonts w:hint="eastAsia" w:ascii="宋体" w:hAnsi="Times New Roman" w:eastAsia="宋体" w:cs="Times New Roman"/>
                <w:color w:val="auto"/>
                <w:sz w:val="24"/>
                <w:highlight w:val="none"/>
              </w:rPr>
              <w:t>写) ：</w:t>
            </w:r>
            <w:r>
              <w:rPr>
                <w:rFonts w:hint="eastAsia" w:ascii="宋体" w:hAnsi="Times New Roman" w:eastAsia="宋体" w:cs="Times New Roman"/>
                <w:color w:val="auto"/>
                <w:sz w:val="24"/>
                <w:highlight w:val="none"/>
                <w:u w:val="single"/>
                <w:lang w:val="en-US" w:eastAsia="zh-CN"/>
              </w:rPr>
              <w:t xml:space="preserve">         </w:t>
            </w:r>
            <w:r>
              <w:rPr>
                <w:rFonts w:hint="eastAsia" w:ascii="宋体" w:hAnsi="Times New Roman" w:eastAsia="宋体" w:cs="Times New Roman"/>
                <w:color w:val="auto"/>
                <w:sz w:val="24"/>
                <w:highlight w:val="none"/>
                <w:lang w:val="en-US" w:eastAsia="zh-CN"/>
              </w:rPr>
              <w:t xml:space="preserve">；         </w:t>
            </w:r>
          </w:p>
          <w:p w14:paraId="6D94B0E9">
            <w:pPr>
              <w:keepNext w:val="0"/>
              <w:keepLines w:val="0"/>
              <w:pageBreakBefore w:val="0"/>
              <w:widowControl w:val="0"/>
              <w:kinsoku/>
              <w:wordWrap/>
              <w:overflowPunct/>
              <w:topLinePunct w:val="0"/>
              <w:autoSpaceDE/>
              <w:autoSpaceDN/>
              <w:bidi w:val="0"/>
              <w:adjustRightInd/>
              <w:snapToGrid/>
              <w:spacing w:line="360" w:lineRule="auto"/>
              <w:ind w:firstLine="2160" w:firstLineChars="900"/>
              <w:textAlignment w:val="auto"/>
              <w:rPr>
                <w:rFonts w:hint="eastAsia" w:ascii="宋体" w:hAnsi="Times New Roman" w:eastAsia="宋体" w:cs="Times New Roman"/>
                <w:color w:val="auto"/>
                <w:sz w:val="24"/>
                <w:highlight w:val="none"/>
                <w:lang w:val="en-US" w:eastAsia="zh-CN"/>
              </w:rPr>
            </w:pPr>
            <w:r>
              <w:rPr>
                <w:rFonts w:hint="eastAsia" w:ascii="宋体" w:hAnsi="Times New Roman" w:eastAsia="宋体" w:cs="Times New Roman"/>
                <w:color w:val="auto"/>
                <w:sz w:val="24"/>
                <w:highlight w:val="none"/>
              </w:rPr>
              <w:t>(小写) ：</w:t>
            </w:r>
            <w:r>
              <w:rPr>
                <w:rFonts w:hint="eastAsia" w:ascii="宋体" w:hAnsi="Times New Roman" w:eastAsia="宋体" w:cs="Times New Roman"/>
                <w:color w:val="auto"/>
                <w:sz w:val="24"/>
                <w:highlight w:val="none"/>
                <w:u w:val="single"/>
                <w:lang w:val="en-US" w:eastAsia="zh-CN"/>
              </w:rPr>
              <w:t xml:space="preserve">         </w:t>
            </w:r>
            <w:r>
              <w:rPr>
                <w:rFonts w:hint="eastAsia" w:ascii="宋体" w:hAnsi="Times New Roman" w:eastAsia="宋体" w:cs="Times New Roman"/>
                <w:color w:val="auto"/>
                <w:sz w:val="24"/>
                <w:highlight w:val="none"/>
                <w:lang w:val="en-US" w:eastAsia="zh-CN"/>
              </w:rPr>
              <w:t>元；</w:t>
            </w:r>
          </w:p>
          <w:p w14:paraId="2DB08624">
            <w:pPr>
              <w:pStyle w:val="3"/>
              <w:numPr>
                <w:ilvl w:val="0"/>
                <w:numId w:val="0"/>
              </w:numPr>
              <w:rPr>
                <w:rFonts w:hint="default"/>
                <w:highlight w:val="none"/>
                <w:lang w:val="en-US" w:eastAsia="zh-CN"/>
              </w:rPr>
            </w:pPr>
          </w:p>
          <w:p w14:paraId="5EDFA44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color w:val="auto"/>
                <w:sz w:val="24"/>
                <w:highlight w:val="none"/>
                <w:lang w:val="en-US" w:eastAsia="zh-CN"/>
              </w:rPr>
            </w:pPr>
          </w:p>
          <w:p w14:paraId="2317AA31">
            <w:pPr>
              <w:keepNext w:val="0"/>
              <w:keepLines w:val="0"/>
              <w:pageBreakBefore w:val="0"/>
              <w:widowControl w:val="0"/>
              <w:kinsoku/>
              <w:wordWrap/>
              <w:overflowPunct/>
              <w:topLinePunct w:val="0"/>
              <w:autoSpaceDE/>
              <w:autoSpaceDN/>
              <w:bidi w:val="0"/>
              <w:adjustRightInd/>
              <w:snapToGrid/>
              <w:spacing w:line="360" w:lineRule="auto"/>
              <w:textAlignment w:val="auto"/>
              <w:rPr>
                <w:sz w:val="24"/>
                <w:highlight w:val="none"/>
              </w:rPr>
            </w:pPr>
            <w:r>
              <w:rPr>
                <w:rFonts w:hint="eastAsia" w:ascii="宋体"/>
                <w:color w:val="auto"/>
                <w:sz w:val="24"/>
                <w:highlight w:val="none"/>
                <w:lang w:val="en-US" w:eastAsia="zh-CN"/>
              </w:rPr>
              <w:t>服务期</w:t>
            </w:r>
            <w:r>
              <w:rPr>
                <w:rFonts w:hint="eastAsia" w:ascii="宋体" w:hAnsi="Times New Roman" w:eastAsia="宋体" w:cs="Times New Roman"/>
                <w:color w:val="auto"/>
                <w:sz w:val="24"/>
                <w:highlight w:val="none"/>
              </w:rPr>
              <w:t>：</w:t>
            </w:r>
            <w:r>
              <w:rPr>
                <w:rFonts w:hint="eastAsia" w:ascii="宋体" w:hAnsi="Times New Roman" w:eastAsia="宋体" w:cs="Times New Roman"/>
                <w:color w:val="auto"/>
                <w:sz w:val="24"/>
                <w:highlight w:val="none"/>
                <w:lang w:val="en-US" w:eastAsia="zh-CN"/>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lang w:val="en-US" w:eastAsia="zh-CN"/>
              </w:rPr>
              <w:t>。</w:t>
            </w:r>
          </w:p>
        </w:tc>
      </w:tr>
    </w:tbl>
    <w:p w14:paraId="5C9A0412">
      <w:pPr>
        <w:snapToGrid w:val="0"/>
        <w:spacing w:line="460" w:lineRule="exact"/>
        <w:ind w:left="2940" w:leftChars="1400" w:firstLine="723" w:firstLineChars="300"/>
        <w:rPr>
          <w:rFonts w:hint="eastAsia" w:ascii="宋体"/>
          <w:b/>
          <w:sz w:val="24"/>
          <w:highlight w:val="none"/>
        </w:rPr>
      </w:pPr>
    </w:p>
    <w:p w14:paraId="0AF44CA3">
      <w:pPr>
        <w:rPr>
          <w:rFonts w:hint="eastAsia" w:ascii="宋体"/>
          <w:sz w:val="24"/>
          <w:highlight w:val="none"/>
        </w:rPr>
      </w:pPr>
      <w:r>
        <w:rPr>
          <w:rFonts w:hint="eastAsia" w:ascii="宋体"/>
          <w:sz w:val="24"/>
          <w:highlight w:val="none"/>
        </w:rPr>
        <w:t>法定代表人（签章）：         投标人（签章）：</w:t>
      </w:r>
    </w:p>
    <w:p w14:paraId="38764FB1">
      <w:pPr>
        <w:snapToGrid w:val="0"/>
        <w:spacing w:before="312" w:beforeLines="100" w:after="312" w:afterLines="100" w:line="360" w:lineRule="auto"/>
        <w:jc w:val="center"/>
        <w:rPr>
          <w:rFonts w:hint="eastAsia" w:ascii="宋体"/>
          <w:sz w:val="24"/>
          <w:highlight w:val="none"/>
        </w:rPr>
      </w:pPr>
      <w:r>
        <w:rPr>
          <w:rFonts w:hint="eastAsia" w:ascii="宋体"/>
          <w:sz w:val="24"/>
          <w:highlight w:val="none"/>
        </w:rPr>
        <w:t xml:space="preserve">                                    </w:t>
      </w:r>
    </w:p>
    <w:p w14:paraId="3B66C8AD">
      <w:pPr>
        <w:snapToGrid w:val="0"/>
        <w:spacing w:before="312" w:beforeLines="100" w:after="312" w:afterLines="100" w:line="360" w:lineRule="auto"/>
        <w:jc w:val="center"/>
        <w:rPr>
          <w:rFonts w:cs="Arial"/>
          <w:b/>
          <w:bCs/>
          <w:sz w:val="30"/>
          <w:szCs w:val="30"/>
          <w:highlight w:val="none"/>
        </w:rPr>
        <w:sectPr>
          <w:footerReference r:id="rId15" w:type="default"/>
          <w:pgSz w:w="11905" w:h="16838"/>
          <w:pgMar w:top="1440" w:right="1083" w:bottom="1440" w:left="1083" w:header="851" w:footer="992" w:gutter="0"/>
          <w:pgBorders>
            <w:top w:val="none" w:sz="0" w:space="0"/>
            <w:left w:val="none" w:sz="0" w:space="0"/>
            <w:bottom w:val="none" w:sz="0" w:space="0"/>
            <w:right w:val="none" w:sz="0" w:space="0"/>
          </w:pgBorders>
          <w:pgNumType w:fmt="decimal"/>
          <w:cols w:space="720" w:num="1"/>
          <w:rtlGutter w:val="0"/>
          <w:docGrid w:type="lines" w:linePitch="335" w:charSpace="0"/>
        </w:sectPr>
      </w:pPr>
      <w:r>
        <w:rPr>
          <w:rFonts w:hint="eastAsia" w:ascii="宋体"/>
          <w:sz w:val="24"/>
          <w:highlight w:val="none"/>
        </w:rPr>
        <w:t xml:space="preserve">                                       日  期：</w:t>
      </w:r>
      <w:r>
        <w:rPr>
          <w:rFonts w:hint="eastAsia" w:ascii="宋体" w:hAnsi="宋体"/>
          <w:sz w:val="24"/>
          <w:highlight w:val="none"/>
          <w:u w:val="single"/>
        </w:rPr>
        <w:t xml:space="preserve">      </w:t>
      </w:r>
      <w:r>
        <w:rPr>
          <w:rFonts w:hint="eastAsia" w:ascii="宋体"/>
          <w:sz w:val="24"/>
          <w:highlight w:val="none"/>
        </w:rPr>
        <w:t>年</w:t>
      </w:r>
      <w:r>
        <w:rPr>
          <w:rFonts w:hint="eastAsia" w:ascii="宋体" w:hAnsi="宋体"/>
          <w:sz w:val="24"/>
          <w:highlight w:val="none"/>
          <w:u w:val="single"/>
        </w:rPr>
        <w:t xml:space="preserve">     </w:t>
      </w:r>
      <w:r>
        <w:rPr>
          <w:rFonts w:hint="eastAsia" w:ascii="宋体"/>
          <w:sz w:val="24"/>
          <w:highlight w:val="none"/>
        </w:rPr>
        <w:t>月</w:t>
      </w:r>
      <w:r>
        <w:rPr>
          <w:rFonts w:hint="eastAsia" w:ascii="宋体" w:hAnsi="宋体"/>
          <w:sz w:val="24"/>
          <w:highlight w:val="none"/>
          <w:u w:val="single"/>
        </w:rPr>
        <w:t xml:space="preserve">      </w:t>
      </w:r>
      <w:r>
        <w:rPr>
          <w:rFonts w:hint="eastAsia" w:ascii="宋体"/>
          <w:sz w:val="24"/>
          <w:highlight w:val="none"/>
        </w:rPr>
        <w:t>日</w:t>
      </w:r>
    </w:p>
    <w:p w14:paraId="1938BC85">
      <w:pPr>
        <w:spacing w:line="360" w:lineRule="exact"/>
        <w:ind w:firstLine="531" w:firstLineChars="147"/>
        <w:jc w:val="center"/>
        <w:rPr>
          <w:rFonts w:hint="eastAsia" w:ascii="宋体"/>
          <w:b/>
          <w:sz w:val="36"/>
          <w:szCs w:val="36"/>
          <w:highlight w:val="none"/>
        </w:rPr>
      </w:pPr>
    </w:p>
    <w:p w14:paraId="7FC31FB6">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b/>
          <w:sz w:val="36"/>
          <w:szCs w:val="36"/>
          <w:highlight w:val="none"/>
        </w:rPr>
      </w:pPr>
      <w:r>
        <w:rPr>
          <w:rFonts w:hint="eastAsia" w:ascii="宋体"/>
          <w:b/>
          <w:sz w:val="36"/>
          <w:szCs w:val="36"/>
          <w:highlight w:val="none"/>
        </w:rPr>
        <w:t>（2）投  标  函</w:t>
      </w:r>
    </w:p>
    <w:p w14:paraId="5AEF39E9">
      <w:pPr>
        <w:spacing w:line="440" w:lineRule="exact"/>
        <w:rPr>
          <w:rFonts w:hint="eastAsia" w:ascii="宋体"/>
          <w:sz w:val="24"/>
          <w:highlight w:val="none"/>
        </w:rPr>
      </w:pPr>
    </w:p>
    <w:p w14:paraId="4194FD45">
      <w:pPr>
        <w:spacing w:line="500" w:lineRule="exact"/>
        <w:rPr>
          <w:rFonts w:hint="eastAsia" w:ascii="宋体"/>
          <w:szCs w:val="21"/>
          <w:highlight w:val="none"/>
        </w:rPr>
      </w:pPr>
      <w:bookmarkStart w:id="122" w:name="_Toc449028957"/>
      <w:r>
        <w:rPr>
          <w:rFonts w:hint="eastAsia" w:ascii="宋体"/>
          <w:szCs w:val="21"/>
          <w:highlight w:val="none"/>
        </w:rPr>
        <w:t>致：</w:t>
      </w:r>
      <w:r>
        <w:rPr>
          <w:rFonts w:hint="eastAsia" w:ascii="宋体"/>
          <w:szCs w:val="21"/>
          <w:highlight w:val="none"/>
          <w:u w:val="single"/>
        </w:rPr>
        <w:t xml:space="preserve">       (招标人)       </w:t>
      </w:r>
      <w:r>
        <w:rPr>
          <w:rFonts w:hint="eastAsia" w:ascii="宋体"/>
          <w:szCs w:val="21"/>
          <w:highlight w:val="none"/>
        </w:rPr>
        <w:t xml:space="preserve"> </w:t>
      </w:r>
    </w:p>
    <w:p w14:paraId="7C7EA580">
      <w:pPr>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cs="宋体"/>
          <w:szCs w:val="21"/>
          <w:highlight w:val="none"/>
        </w:rPr>
        <w:t>1.</w:t>
      </w:r>
      <w:r>
        <w:rPr>
          <w:rFonts w:hint="eastAsia" w:ascii="宋体" w:hAnsi="宋体"/>
          <w:color w:val="000000"/>
          <w:szCs w:val="21"/>
          <w:highlight w:val="none"/>
        </w:rPr>
        <w:t>根据你方招</w:t>
      </w:r>
      <w:bookmarkStart w:id="123" w:name="_Toc60061591"/>
      <w:r>
        <w:rPr>
          <w:rFonts w:hint="eastAsia" w:ascii="宋体" w:hAnsi="宋体"/>
          <w:color w:val="000000"/>
          <w:szCs w:val="21"/>
          <w:highlight w:val="none"/>
        </w:rPr>
        <w:t>标项目编号为</w:t>
      </w:r>
      <w:r>
        <w:rPr>
          <w:rFonts w:ascii="宋体" w:hAnsi="宋体"/>
          <w:color w:val="000000"/>
          <w:szCs w:val="21"/>
          <w:highlight w:val="none"/>
          <w:u w:val="single"/>
        </w:rPr>
        <w:t xml:space="preserve">  </w:t>
      </w:r>
      <w:bookmarkEnd w:id="123"/>
      <w:r>
        <w:rPr>
          <w:rFonts w:ascii="宋体" w:hAnsi="宋体"/>
          <w:color w:val="000000"/>
          <w:szCs w:val="21"/>
          <w:highlight w:val="none"/>
          <w:u w:val="single"/>
        </w:rPr>
        <w:t xml:space="preserve">      </w:t>
      </w:r>
      <w:r>
        <w:rPr>
          <w:rFonts w:ascii="宋体" w:hAnsi="宋体"/>
          <w:color w:val="000000"/>
          <w:szCs w:val="21"/>
          <w:highlight w:val="none"/>
        </w:rPr>
        <w:t xml:space="preserve"> </w:t>
      </w:r>
      <w:r>
        <w:rPr>
          <w:rFonts w:hint="eastAsia" w:ascii="宋体" w:hAnsi="宋体"/>
          <w:color w:val="000000"/>
          <w:szCs w:val="21"/>
          <w:highlight w:val="none"/>
        </w:rPr>
        <w:t>的</w:t>
      </w:r>
      <w:r>
        <w:rPr>
          <w:rFonts w:ascii="宋体" w:hAnsi="宋体"/>
          <w:color w:val="000000"/>
          <w:szCs w:val="21"/>
          <w:highlight w:val="non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招标文件，遵照《中华人民共和国招标投标法》等有关规定，经踏勘项目现场和研究上述招标文件的投标须知、合同条件、采购清单和其他有关文件后，</w:t>
      </w:r>
      <w:r>
        <w:rPr>
          <w:rFonts w:hint="eastAsia" w:ascii="宋体" w:hAnsi="宋体" w:cs="宋体"/>
          <w:color w:val="000000"/>
          <w:szCs w:val="21"/>
          <w:highlight w:val="none"/>
        </w:rPr>
        <w:t>我</w:t>
      </w:r>
      <w:r>
        <w:rPr>
          <w:rFonts w:hint="eastAsia" w:ascii="宋体" w:hAnsi="宋体" w:cs="宋体"/>
          <w:color w:val="000000"/>
          <w:sz w:val="21"/>
          <w:szCs w:val="21"/>
          <w:highlight w:val="none"/>
        </w:rPr>
        <w:t>方愿</w:t>
      </w:r>
      <w:r>
        <w:rPr>
          <w:rFonts w:ascii="宋体" w:hAnsi="宋体"/>
          <w:color w:val="000000"/>
          <w:sz w:val="21"/>
          <w:szCs w:val="21"/>
          <w:highlight w:val="none"/>
        </w:rPr>
        <w:t xml:space="preserve"> </w:t>
      </w:r>
      <w:r>
        <w:rPr>
          <w:rFonts w:hint="eastAsia" w:ascii="宋体" w:hAnsi="宋体"/>
          <w:color w:val="000000"/>
          <w:sz w:val="21"/>
          <w:szCs w:val="21"/>
          <w:highlight w:val="none"/>
        </w:rPr>
        <w:t>（币种，金额、单位）</w:t>
      </w:r>
      <w:r>
        <w:rPr>
          <w:rFonts w:hint="eastAsia" w:ascii="宋体" w:hAnsi="宋体"/>
          <w:color w:val="000000"/>
          <w:sz w:val="21"/>
          <w:szCs w:val="21"/>
          <w:highlight w:val="none"/>
          <w:u w:val="single"/>
        </w:rPr>
        <w:t>人民币           元</w:t>
      </w:r>
      <w:r>
        <w:rPr>
          <w:rFonts w:hint="eastAsia" w:ascii="宋体" w:hAnsi="宋体"/>
          <w:color w:val="000000"/>
          <w:sz w:val="21"/>
          <w:szCs w:val="21"/>
          <w:highlight w:val="none"/>
        </w:rPr>
        <w:t>的投标</w:t>
      </w:r>
      <w:r>
        <w:rPr>
          <w:rFonts w:hint="eastAsia" w:ascii="宋体" w:hAnsi="宋体"/>
          <w:color w:val="000000"/>
          <w:sz w:val="21"/>
          <w:szCs w:val="21"/>
          <w:highlight w:val="none"/>
          <w:lang w:val="en-US" w:eastAsia="zh-CN"/>
        </w:rPr>
        <w:t>总</w:t>
      </w:r>
      <w:r>
        <w:rPr>
          <w:rFonts w:hint="eastAsia" w:ascii="宋体" w:hAnsi="宋体"/>
          <w:color w:val="000000"/>
          <w:sz w:val="21"/>
          <w:szCs w:val="21"/>
          <w:highlight w:val="none"/>
        </w:rPr>
        <w:t>报价</w:t>
      </w:r>
      <w:r>
        <w:rPr>
          <w:rFonts w:hint="eastAsia" w:ascii="宋体" w:hAnsi="宋体" w:eastAsia="宋体" w:cs="宋体"/>
          <w:color w:val="000000"/>
          <w:sz w:val="21"/>
          <w:szCs w:val="21"/>
          <w:highlight w:val="none"/>
        </w:rPr>
        <w:t>承</w:t>
      </w:r>
      <w:r>
        <w:rPr>
          <w:rFonts w:hint="eastAsia" w:ascii="宋体" w:hAnsi="宋体" w:eastAsia="宋体" w:cs="宋体"/>
          <w:color w:val="000000"/>
          <w:sz w:val="21"/>
          <w:szCs w:val="21"/>
          <w:highlight w:val="none"/>
          <w:lang w:val="en-US" w:eastAsia="zh-CN"/>
        </w:rPr>
        <w:t>包</w:t>
      </w:r>
      <w:r>
        <w:rPr>
          <w:rFonts w:hint="eastAsia" w:ascii="宋体" w:hAnsi="宋体" w:eastAsia="宋体" w:cs="宋体"/>
          <w:color w:val="000000"/>
          <w:sz w:val="21"/>
          <w:szCs w:val="21"/>
          <w:highlight w:val="none"/>
        </w:rPr>
        <w:t>上述</w:t>
      </w:r>
      <w:r>
        <w:rPr>
          <w:rFonts w:hint="eastAsia" w:ascii="宋体" w:hAnsi="宋体" w:eastAsia="宋体" w:cs="宋体"/>
          <w:color w:val="000000"/>
          <w:sz w:val="21"/>
          <w:szCs w:val="21"/>
          <w:highlight w:val="none"/>
          <w:lang w:val="en-US" w:eastAsia="zh-CN"/>
        </w:rPr>
        <w:t>项目</w:t>
      </w:r>
      <w:r>
        <w:rPr>
          <w:rFonts w:hint="eastAsia" w:ascii="宋体" w:hAnsi="宋体"/>
          <w:color w:val="000000"/>
          <w:sz w:val="21"/>
          <w:szCs w:val="21"/>
          <w:highlight w:val="none"/>
        </w:rPr>
        <w:t>，并承担任何质量缺陷保修责任。</w:t>
      </w:r>
    </w:p>
    <w:p w14:paraId="0E789D21">
      <w:pPr>
        <w:tabs>
          <w:tab w:val="left" w:pos="840"/>
        </w:tabs>
        <w:adjustRightInd w:val="0"/>
        <w:snapToGrid w:val="0"/>
        <w:spacing w:line="560" w:lineRule="exact"/>
        <w:ind w:firstLine="420" w:firstLineChars="200"/>
        <w:rPr>
          <w:rFonts w:hint="eastAsia" w:ascii="宋体" w:hAnsi="宋体" w:cs="宋体"/>
          <w:szCs w:val="21"/>
          <w:highlight w:val="none"/>
        </w:rPr>
      </w:pPr>
      <w:r>
        <w:rPr>
          <w:rFonts w:hint="eastAsia" w:ascii="宋体" w:hAnsi="宋体" w:cs="宋体"/>
          <w:szCs w:val="21"/>
          <w:highlight w:val="none"/>
        </w:rPr>
        <w:t>2.</w:t>
      </w:r>
      <w:r>
        <w:rPr>
          <w:rFonts w:hint="eastAsia" w:ascii="宋体" w:hAnsi="宋体" w:cs="宋体"/>
          <w:color w:val="000000"/>
          <w:szCs w:val="21"/>
          <w:highlight w:val="none"/>
        </w:rPr>
        <w:t>我方已详细审核全部招标文件及有关附件，承诺招标文件及有关附件中所有条款。</w:t>
      </w:r>
    </w:p>
    <w:p w14:paraId="4FCBD8CA">
      <w:pPr>
        <w:spacing w:line="500" w:lineRule="exact"/>
        <w:ind w:firstLine="420" w:firstLineChars="200"/>
        <w:jc w:val="left"/>
        <w:rPr>
          <w:rFonts w:hint="eastAsia" w:ascii="宋体" w:hAnsi="宋体" w:eastAsia="宋体" w:cs="Times New Roman"/>
          <w:color w:val="000000"/>
          <w:sz w:val="21"/>
          <w:szCs w:val="21"/>
          <w:highlight w:val="none"/>
        </w:rPr>
      </w:pPr>
      <w:r>
        <w:rPr>
          <w:rFonts w:hint="eastAsia" w:ascii="宋体" w:hAnsi="宋体" w:eastAsia="宋体" w:cs="Times New Roman"/>
          <w:color w:val="000000"/>
          <w:sz w:val="21"/>
          <w:szCs w:val="21"/>
          <w:highlight w:val="none"/>
          <w:lang w:val="en-US" w:eastAsia="zh-CN"/>
        </w:rPr>
        <w:t>3</w:t>
      </w:r>
      <w:r>
        <w:rPr>
          <w:rFonts w:hint="eastAsia" w:ascii="宋体" w:hAnsi="宋体" w:eastAsia="宋体" w:cs="Times New Roman"/>
          <w:color w:val="000000"/>
          <w:sz w:val="21"/>
          <w:szCs w:val="21"/>
          <w:highlight w:val="none"/>
          <w:lang w:eastAsia="zh-CN"/>
        </w:rPr>
        <w:t>.</w:t>
      </w:r>
      <w:r>
        <w:rPr>
          <w:rFonts w:hint="eastAsia" w:ascii="宋体" w:hAnsi="宋体" w:eastAsia="宋体" w:cs="Times New Roman"/>
          <w:color w:val="000000"/>
          <w:sz w:val="21"/>
          <w:szCs w:val="21"/>
          <w:highlight w:val="none"/>
        </w:rPr>
        <w:t>一旦我方中标，我方保证按照招标人要求开始本</w:t>
      </w:r>
      <w:r>
        <w:rPr>
          <w:rFonts w:hint="eastAsia" w:ascii="宋体" w:hAnsi="宋体" w:eastAsia="宋体" w:cs="Times New Roman"/>
          <w:color w:val="000000"/>
          <w:sz w:val="21"/>
          <w:szCs w:val="21"/>
          <w:highlight w:val="none"/>
          <w:lang w:val="en-US" w:eastAsia="zh-CN"/>
        </w:rPr>
        <w:t>项目的供货</w:t>
      </w:r>
      <w:r>
        <w:rPr>
          <w:rFonts w:hint="eastAsia" w:ascii="宋体" w:hAnsi="宋体" w:eastAsia="宋体" w:cs="Times New Roman"/>
          <w:color w:val="000000"/>
          <w:sz w:val="21"/>
          <w:szCs w:val="21"/>
          <w:highlight w:val="none"/>
        </w:rPr>
        <w:t>，并在</w:t>
      </w:r>
      <w:r>
        <w:rPr>
          <w:rFonts w:hint="eastAsia" w:ascii="宋体" w:hAnsi="宋体" w:eastAsia="宋体" w:cs="Times New Roman"/>
          <w:color w:val="000000"/>
          <w:sz w:val="21"/>
          <w:szCs w:val="21"/>
          <w:highlight w:val="none"/>
          <w:u w:val="single"/>
        </w:rPr>
        <w:t xml:space="preserve">       </w:t>
      </w:r>
      <w:r>
        <w:rPr>
          <w:rFonts w:hint="eastAsia" w:ascii="宋体" w:hAnsi="宋体" w:eastAsia="宋体" w:cs="Times New Roman"/>
          <w:color w:val="000000"/>
          <w:sz w:val="21"/>
          <w:szCs w:val="21"/>
          <w:highlight w:val="none"/>
        </w:rPr>
        <w:t>个日历（</w:t>
      </w:r>
      <w:r>
        <w:rPr>
          <w:rFonts w:hint="eastAsia" w:ascii="宋体" w:hAnsi="宋体" w:eastAsia="宋体" w:cs="Times New Roman"/>
          <w:color w:val="000000"/>
          <w:sz w:val="21"/>
          <w:szCs w:val="21"/>
          <w:highlight w:val="none"/>
          <w:lang w:val="en-US" w:eastAsia="zh-CN"/>
        </w:rPr>
        <w:t>供货期</w:t>
      </w:r>
      <w:r>
        <w:rPr>
          <w:rFonts w:hint="eastAsia" w:ascii="宋体" w:hAnsi="宋体" w:eastAsia="宋体" w:cs="Times New Roman"/>
          <w:color w:val="000000"/>
          <w:sz w:val="21"/>
          <w:szCs w:val="21"/>
          <w:highlight w:val="none"/>
        </w:rPr>
        <w:t>）内完成本</w:t>
      </w:r>
      <w:r>
        <w:rPr>
          <w:rFonts w:hint="eastAsia" w:ascii="宋体" w:hAnsi="宋体" w:eastAsia="宋体" w:cs="Times New Roman"/>
          <w:color w:val="000000"/>
          <w:sz w:val="21"/>
          <w:szCs w:val="21"/>
          <w:highlight w:val="none"/>
          <w:lang w:val="en-US" w:eastAsia="zh-CN"/>
        </w:rPr>
        <w:t>项目的供货</w:t>
      </w:r>
      <w:r>
        <w:rPr>
          <w:rFonts w:hint="eastAsia" w:ascii="宋体" w:hAnsi="宋体" w:eastAsia="宋体" w:cs="Times New Roman"/>
          <w:color w:val="000000"/>
          <w:sz w:val="21"/>
          <w:szCs w:val="21"/>
          <w:highlight w:val="none"/>
        </w:rPr>
        <w:t>。</w:t>
      </w:r>
    </w:p>
    <w:p w14:paraId="298F3A61">
      <w:pPr>
        <w:spacing w:line="50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4.</w:t>
      </w:r>
      <w:r>
        <w:rPr>
          <w:rFonts w:hint="eastAsia" w:ascii="宋体" w:hAnsi="宋体" w:eastAsia="宋体" w:cs="宋体"/>
          <w:szCs w:val="21"/>
          <w:highlight w:val="none"/>
        </w:rPr>
        <w:t>随本投标书，我方同时按照招标文件的要求提交投标保证金。如果我方在投标截止后撤销投标文件，或在中标后无正当理由不与招标人订立合同，在签订合同时向招标人提出附加条件，或者不按照招标文件要求提交履约保证金，贵单位有权不予退还投标保证金。</w:t>
      </w:r>
    </w:p>
    <w:p w14:paraId="7A2D957F">
      <w:pPr>
        <w:spacing w:line="5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5.如果我方中标我方将按照招标文件的规定提交履约担保。服务期满后，方可退还。</w:t>
      </w:r>
    </w:p>
    <w:p w14:paraId="57B6CE9E">
      <w:pPr>
        <w:spacing w:line="5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6.我方承诺在招标文件规定的投标有效期内不撤销投标文件。</w:t>
      </w:r>
    </w:p>
    <w:p w14:paraId="3F8BD877">
      <w:pPr>
        <w:spacing w:line="500" w:lineRule="exact"/>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7.我单位提供如下通讯地址：</w:t>
      </w:r>
      <w:r>
        <w:rPr>
          <w:rFonts w:hint="eastAsia" w:ascii="宋体" w:hAnsi="宋体"/>
          <w:color w:val="000000"/>
          <w:szCs w:val="21"/>
          <w:highlight w:val="none"/>
          <w:u w:val="single"/>
        </w:rPr>
        <w:t xml:space="preserve">                </w:t>
      </w:r>
      <w:r>
        <w:rPr>
          <w:rFonts w:hint="eastAsia" w:ascii="宋体" w:hAnsi="宋体"/>
          <w:color w:val="000000"/>
          <w:szCs w:val="21"/>
          <w:highlight w:val="none"/>
        </w:rPr>
        <w:t>电子邮箱（地址），确认本项目相关法律文书均通过提供的以上地址送达，相关文书只要发送至以上电子邮箱（地址）即视为送达，投标人愿意承担一切法律后果。</w:t>
      </w:r>
    </w:p>
    <w:p w14:paraId="691AC569">
      <w:pPr>
        <w:spacing w:line="500" w:lineRule="exact"/>
        <w:ind w:firstLine="420" w:firstLineChars="200"/>
        <w:rPr>
          <w:rFonts w:hint="eastAsia" w:ascii="宋体"/>
          <w:szCs w:val="21"/>
          <w:highlight w:val="none"/>
        </w:rPr>
      </w:pPr>
      <w:r>
        <w:rPr>
          <w:rFonts w:hint="eastAsia" w:ascii="宋体"/>
          <w:szCs w:val="21"/>
          <w:highlight w:val="none"/>
        </w:rPr>
        <w:t> </w:t>
      </w:r>
      <w:r>
        <w:rPr>
          <w:rFonts w:hint="eastAsia" w:ascii="宋体" w:hAnsi="宋体"/>
          <w:color w:val="000000"/>
          <w:szCs w:val="21"/>
          <w:highlight w:val="none"/>
        </w:rPr>
        <w:t>8.</w:t>
      </w:r>
      <w:r>
        <w:rPr>
          <w:rFonts w:hint="eastAsia" w:ascii="宋体" w:hAnsi="宋体"/>
          <w:color w:val="000000"/>
          <w:szCs w:val="21"/>
          <w:highlight w:val="none"/>
          <w:u w:val="single"/>
        </w:rPr>
        <w:t xml:space="preserve">                           </w:t>
      </w:r>
      <w:r>
        <w:rPr>
          <w:rFonts w:hint="eastAsia" w:ascii="宋体" w:hAnsi="宋体"/>
          <w:color w:val="000000"/>
          <w:szCs w:val="21"/>
          <w:highlight w:val="none"/>
        </w:rPr>
        <w:t>（其他补充说明）。</w:t>
      </w:r>
    </w:p>
    <w:p w14:paraId="68300757">
      <w:pPr>
        <w:adjustRightInd w:val="0"/>
        <w:snapToGrid w:val="0"/>
        <w:spacing w:line="560" w:lineRule="exact"/>
        <w:ind w:firstLine="420" w:firstLineChars="200"/>
        <w:rPr>
          <w:rFonts w:hint="eastAsia" w:ascii="宋体" w:hAnsi="宋体"/>
          <w:color w:val="000000"/>
          <w:szCs w:val="21"/>
          <w:highlight w:val="none"/>
        </w:rPr>
      </w:pPr>
    </w:p>
    <w:p w14:paraId="67373888">
      <w:pPr>
        <w:adjustRightInd w:val="0"/>
        <w:snapToGrid w:val="0"/>
        <w:spacing w:line="560" w:lineRule="exact"/>
        <w:ind w:firstLine="420" w:firstLineChars="200"/>
        <w:rPr>
          <w:rFonts w:ascii="宋体" w:hAnsi="宋体"/>
          <w:color w:val="000000"/>
          <w:szCs w:val="21"/>
          <w:highlight w:val="none"/>
          <w:u w:val="single"/>
        </w:rPr>
      </w:pPr>
      <w:r>
        <w:rPr>
          <w:rFonts w:hint="eastAsia" w:ascii="宋体" w:hAnsi="宋体"/>
          <w:color w:val="000000"/>
          <w:szCs w:val="21"/>
          <w:highlight w:val="none"/>
        </w:rPr>
        <w:t>投标人：</w:t>
      </w:r>
      <w:r>
        <w:rPr>
          <w:rFonts w:ascii="宋体" w:hAnsi="宋体"/>
          <w:color w:val="000000"/>
          <w:szCs w:val="21"/>
          <w:highlight w:val="none"/>
          <w:u w:val="single"/>
        </w:rPr>
        <w:t xml:space="preserve">                             </w:t>
      </w:r>
      <w:r>
        <w:rPr>
          <w:rFonts w:hint="eastAsia" w:ascii="宋体" w:hAnsi="宋体"/>
          <w:color w:val="000000"/>
          <w:szCs w:val="21"/>
          <w:highlight w:val="none"/>
        </w:rPr>
        <w:t>（签章）</w:t>
      </w:r>
      <w:r>
        <w:rPr>
          <w:rFonts w:ascii="宋体" w:hAnsi="宋体"/>
          <w:color w:val="000000"/>
          <w:szCs w:val="21"/>
          <w:highlight w:val="none"/>
          <w:u w:val="single"/>
        </w:rPr>
        <w:t xml:space="preserve">   </w:t>
      </w:r>
    </w:p>
    <w:p w14:paraId="4BE3E8A0">
      <w:pPr>
        <w:adjustRightInd w:val="0"/>
        <w:snapToGrid w:val="0"/>
        <w:spacing w:line="560" w:lineRule="exact"/>
        <w:ind w:firstLine="420" w:firstLineChars="200"/>
        <w:rPr>
          <w:rFonts w:ascii="宋体" w:hAnsi="宋体"/>
          <w:color w:val="000000"/>
          <w:szCs w:val="21"/>
          <w:highlight w:val="none"/>
        </w:rPr>
      </w:pPr>
      <w:r>
        <w:rPr>
          <w:rFonts w:hint="eastAsia" w:ascii="宋体" w:hAnsi="宋体"/>
          <w:color w:val="000000"/>
          <w:szCs w:val="21"/>
          <w:highlight w:val="none"/>
        </w:rPr>
        <w:t>法定代表人：</w:t>
      </w:r>
      <w:r>
        <w:rPr>
          <w:rFonts w:ascii="宋体" w:hAnsi="宋体"/>
          <w:color w:val="000000"/>
          <w:szCs w:val="21"/>
          <w:highlight w:val="none"/>
          <w:u w:val="single"/>
        </w:rPr>
        <w:t xml:space="preserve">       </w:t>
      </w:r>
      <w:r>
        <w:rPr>
          <w:rFonts w:hint="eastAsia" w:ascii="宋体" w:hAnsi="宋体"/>
          <w:color w:val="000000"/>
          <w:szCs w:val="21"/>
          <w:highlight w:val="none"/>
          <w:u w:val="single"/>
        </w:rPr>
        <w:t xml:space="preserve">                </w:t>
      </w:r>
      <w:r>
        <w:rPr>
          <w:rFonts w:ascii="宋体" w:hAnsi="宋体"/>
          <w:color w:val="000000"/>
          <w:szCs w:val="21"/>
          <w:highlight w:val="none"/>
          <w:u w:val="single"/>
        </w:rPr>
        <w:t xml:space="preserve">  </w:t>
      </w:r>
      <w:r>
        <w:rPr>
          <w:rFonts w:hint="eastAsia" w:ascii="宋体" w:hAnsi="宋体"/>
          <w:color w:val="000000"/>
          <w:szCs w:val="21"/>
          <w:highlight w:val="none"/>
        </w:rPr>
        <w:t>（签章）</w:t>
      </w:r>
    </w:p>
    <w:p w14:paraId="7C7B33FF">
      <w:pPr>
        <w:adjustRightInd w:val="0"/>
        <w:snapToGrid w:val="0"/>
        <w:spacing w:line="56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单位地址：</w:t>
      </w:r>
      <w:r>
        <w:rPr>
          <w:rFonts w:hint="eastAsia" w:ascii="宋体" w:hAnsi="宋体"/>
          <w:color w:val="000000"/>
          <w:sz w:val="21"/>
          <w:szCs w:val="21"/>
          <w:highlight w:val="none"/>
          <w:u w:val="single"/>
        </w:rPr>
        <w:t xml:space="preserve">                                       </w:t>
      </w:r>
    </w:p>
    <w:p w14:paraId="4BFE335B">
      <w:pPr>
        <w:adjustRightInd w:val="0"/>
        <w:snapToGrid w:val="0"/>
        <w:spacing w:line="560" w:lineRule="exact"/>
        <w:ind w:firstLine="420" w:firstLineChars="200"/>
        <w:rPr>
          <w:rFonts w:ascii="宋体" w:hAnsi="宋体"/>
          <w:color w:val="000000"/>
          <w:sz w:val="21"/>
          <w:szCs w:val="21"/>
          <w:highlight w:val="none"/>
          <w:u w:val="single"/>
        </w:rPr>
      </w:pPr>
      <w:r>
        <w:rPr>
          <w:rFonts w:hint="eastAsia" w:ascii="宋体" w:hAnsi="宋体"/>
          <w:color w:val="000000"/>
          <w:sz w:val="21"/>
          <w:szCs w:val="21"/>
          <w:highlight w:val="none"/>
        </w:rPr>
        <w:t>邮政编码：</w:t>
      </w:r>
      <w:r>
        <w:rPr>
          <w:rFonts w:ascii="宋体" w:hAnsi="宋体"/>
          <w:color w:val="000000"/>
          <w:sz w:val="21"/>
          <w:szCs w:val="21"/>
          <w:highlight w:val="none"/>
          <w:u w:val="single"/>
        </w:rPr>
        <w:t xml:space="preserve">            </w:t>
      </w:r>
      <w:r>
        <w:rPr>
          <w:rFonts w:hint="eastAsia" w:ascii="宋体" w:hAnsi="宋体"/>
          <w:color w:val="000000"/>
          <w:sz w:val="21"/>
          <w:szCs w:val="21"/>
          <w:highlight w:val="none"/>
        </w:rPr>
        <w:t>联系人手机号码：</w:t>
      </w:r>
      <w:r>
        <w:rPr>
          <w:rFonts w:ascii="宋体" w:hAnsi="宋体"/>
          <w:color w:val="000000"/>
          <w:sz w:val="21"/>
          <w:szCs w:val="21"/>
          <w:highlight w:val="none"/>
          <w:u w:val="single"/>
        </w:rPr>
        <w:t xml:space="preserve">     </w:t>
      </w:r>
      <w:r>
        <w:rPr>
          <w:rFonts w:hint="eastAsia" w:ascii="宋体" w:hAnsi="宋体"/>
          <w:color w:val="000000"/>
          <w:sz w:val="21"/>
          <w:szCs w:val="21"/>
          <w:highlight w:val="none"/>
          <w:u w:val="single"/>
        </w:rPr>
        <w:t xml:space="preserve">  </w:t>
      </w:r>
      <w:r>
        <w:rPr>
          <w:rFonts w:ascii="宋体" w:hAnsi="宋体"/>
          <w:color w:val="000000"/>
          <w:sz w:val="21"/>
          <w:szCs w:val="21"/>
          <w:highlight w:val="none"/>
          <w:u w:val="single"/>
        </w:rPr>
        <w:t xml:space="preserve">   </w:t>
      </w:r>
      <w:r>
        <w:rPr>
          <w:rFonts w:hint="eastAsia" w:ascii="宋体" w:hAnsi="宋体"/>
          <w:color w:val="000000"/>
          <w:sz w:val="21"/>
          <w:szCs w:val="21"/>
          <w:highlight w:val="none"/>
        </w:rPr>
        <w:t>传真：</w:t>
      </w:r>
      <w:r>
        <w:rPr>
          <w:rFonts w:ascii="宋体" w:hAnsi="宋体"/>
          <w:color w:val="000000"/>
          <w:sz w:val="21"/>
          <w:szCs w:val="21"/>
          <w:highlight w:val="none"/>
          <w:u w:val="single"/>
        </w:rPr>
        <w:t xml:space="preserve">  </w:t>
      </w:r>
      <w:r>
        <w:rPr>
          <w:rFonts w:hint="eastAsia" w:ascii="宋体" w:hAnsi="宋体"/>
          <w:color w:val="000000"/>
          <w:sz w:val="21"/>
          <w:szCs w:val="21"/>
          <w:highlight w:val="none"/>
          <w:u w:val="single"/>
        </w:rPr>
        <w:t xml:space="preserve">   </w:t>
      </w:r>
      <w:r>
        <w:rPr>
          <w:rFonts w:ascii="宋体" w:hAnsi="宋体"/>
          <w:color w:val="000000"/>
          <w:sz w:val="21"/>
          <w:szCs w:val="21"/>
          <w:highlight w:val="none"/>
          <w:u w:val="single"/>
        </w:rPr>
        <w:t xml:space="preserve">     </w:t>
      </w:r>
    </w:p>
    <w:p w14:paraId="5EF621D4">
      <w:pPr>
        <w:adjustRightInd w:val="0"/>
        <w:snapToGrid w:val="0"/>
        <w:spacing w:line="560" w:lineRule="exact"/>
        <w:ind w:firstLine="420" w:firstLineChars="200"/>
        <w:rPr>
          <w:color w:val="000000"/>
          <w:sz w:val="21"/>
          <w:szCs w:val="21"/>
          <w:highlight w:val="none"/>
          <w:u w:val="single"/>
        </w:rPr>
      </w:pPr>
      <w:r>
        <w:rPr>
          <w:rFonts w:hint="eastAsia" w:ascii="宋体" w:hAnsi="宋体"/>
          <w:color w:val="000000"/>
          <w:sz w:val="21"/>
          <w:szCs w:val="21"/>
          <w:highlight w:val="none"/>
        </w:rPr>
        <w:t>日期：</w:t>
      </w:r>
      <w:r>
        <w:rPr>
          <w:rFonts w:ascii="宋体" w:hAnsi="宋体"/>
          <w:color w:val="000000"/>
          <w:sz w:val="21"/>
          <w:szCs w:val="21"/>
          <w:highlight w:val="none"/>
          <w:u w:val="single"/>
        </w:rPr>
        <w:t xml:space="preserve">      </w:t>
      </w:r>
      <w:r>
        <w:rPr>
          <w:rFonts w:hint="eastAsia" w:ascii="宋体" w:hAnsi="宋体"/>
          <w:color w:val="000000"/>
          <w:sz w:val="21"/>
          <w:szCs w:val="21"/>
          <w:highlight w:val="none"/>
          <w:u w:val="single"/>
        </w:rPr>
        <w:t xml:space="preserve">   </w:t>
      </w:r>
      <w:r>
        <w:rPr>
          <w:rFonts w:ascii="宋体" w:hAnsi="宋体"/>
          <w:color w:val="000000"/>
          <w:sz w:val="21"/>
          <w:szCs w:val="21"/>
          <w:highlight w:val="none"/>
          <w:u w:val="single"/>
        </w:rPr>
        <w:t xml:space="preserve">  </w:t>
      </w:r>
      <w:r>
        <w:rPr>
          <w:rFonts w:hint="eastAsia" w:ascii="宋体" w:hAnsi="宋体"/>
          <w:color w:val="000000"/>
          <w:sz w:val="21"/>
          <w:szCs w:val="21"/>
          <w:highlight w:val="none"/>
        </w:rPr>
        <w:t>年</w:t>
      </w:r>
      <w:r>
        <w:rPr>
          <w:rFonts w:ascii="宋体" w:hAnsi="宋体"/>
          <w:color w:val="000000"/>
          <w:sz w:val="21"/>
          <w:szCs w:val="21"/>
          <w:highlight w:val="none"/>
        </w:rPr>
        <w:t xml:space="preserve"> </w:t>
      </w:r>
      <w:r>
        <w:rPr>
          <w:rFonts w:ascii="宋体" w:hAnsi="宋体"/>
          <w:color w:val="000000"/>
          <w:sz w:val="21"/>
          <w:szCs w:val="21"/>
          <w:highlight w:val="none"/>
          <w:u w:val="single"/>
        </w:rPr>
        <w:t xml:space="preserve">  </w:t>
      </w:r>
      <w:r>
        <w:rPr>
          <w:rFonts w:hint="eastAsia" w:ascii="宋体" w:hAnsi="宋体"/>
          <w:color w:val="000000"/>
          <w:sz w:val="21"/>
          <w:szCs w:val="21"/>
          <w:highlight w:val="none"/>
          <w:u w:val="single"/>
        </w:rPr>
        <w:t xml:space="preserve">  </w:t>
      </w:r>
      <w:r>
        <w:rPr>
          <w:rFonts w:ascii="宋体" w:hAnsi="宋体"/>
          <w:color w:val="000000"/>
          <w:sz w:val="21"/>
          <w:szCs w:val="21"/>
          <w:highlight w:val="none"/>
          <w:u w:val="single"/>
        </w:rPr>
        <w:t xml:space="preserve">   </w:t>
      </w:r>
      <w:r>
        <w:rPr>
          <w:rFonts w:hint="eastAsia" w:ascii="宋体" w:hAnsi="宋体"/>
          <w:color w:val="000000"/>
          <w:sz w:val="21"/>
          <w:szCs w:val="21"/>
          <w:highlight w:val="none"/>
        </w:rPr>
        <w:t>月</w:t>
      </w:r>
      <w:r>
        <w:rPr>
          <w:rFonts w:ascii="宋体" w:hAnsi="宋体"/>
          <w:color w:val="000000"/>
          <w:sz w:val="21"/>
          <w:szCs w:val="21"/>
          <w:highlight w:val="none"/>
        </w:rPr>
        <w:t xml:space="preserve"> </w:t>
      </w:r>
      <w:r>
        <w:rPr>
          <w:rFonts w:ascii="宋体" w:hAnsi="宋体"/>
          <w:color w:val="000000"/>
          <w:sz w:val="21"/>
          <w:szCs w:val="21"/>
          <w:highlight w:val="none"/>
          <w:u w:val="single"/>
        </w:rPr>
        <w:t xml:space="preserve">   </w:t>
      </w:r>
      <w:r>
        <w:rPr>
          <w:rFonts w:hint="eastAsia" w:ascii="宋体" w:hAnsi="宋体"/>
          <w:color w:val="000000"/>
          <w:sz w:val="21"/>
          <w:szCs w:val="21"/>
          <w:highlight w:val="none"/>
          <w:u w:val="single"/>
        </w:rPr>
        <w:t xml:space="preserve"> </w:t>
      </w:r>
      <w:r>
        <w:rPr>
          <w:rFonts w:ascii="宋体" w:hAnsi="宋体"/>
          <w:color w:val="000000"/>
          <w:sz w:val="21"/>
          <w:szCs w:val="21"/>
          <w:highlight w:val="none"/>
          <w:u w:val="single"/>
        </w:rPr>
        <w:t xml:space="preserve">   </w:t>
      </w:r>
      <w:r>
        <w:rPr>
          <w:rFonts w:hint="eastAsia" w:ascii="宋体" w:hAnsi="宋体"/>
          <w:color w:val="000000"/>
          <w:sz w:val="21"/>
          <w:szCs w:val="21"/>
          <w:highlight w:val="none"/>
        </w:rPr>
        <w:t>日</w:t>
      </w:r>
    </w:p>
    <w:p w14:paraId="7CFD9FE4">
      <w:pPr>
        <w:snapToGrid w:val="0"/>
        <w:spacing w:before="161" w:beforeLines="50" w:after="161" w:afterLines="50" w:line="440" w:lineRule="exact"/>
        <w:jc w:val="center"/>
        <w:outlineLvl w:val="2"/>
        <w:rPr>
          <w:rFonts w:hint="eastAsia" w:ascii="宋体" w:cs="宋体"/>
          <w:b/>
          <w:bCs/>
          <w:sz w:val="28"/>
          <w:szCs w:val="28"/>
          <w:highlight w:val="none"/>
        </w:rPr>
      </w:pPr>
      <w:r>
        <w:rPr>
          <w:rFonts w:hint="eastAsia"/>
          <w:b/>
          <w:sz w:val="28"/>
          <w:szCs w:val="28"/>
          <w:highlight w:val="none"/>
        </w:rPr>
        <w:br w:type="page"/>
      </w:r>
      <w:r>
        <w:rPr>
          <w:rFonts w:hint="eastAsia" w:ascii="宋体" w:hAnsi="Times New Roman" w:eastAsia="宋体" w:cs="Times New Roman"/>
          <w:b/>
          <w:sz w:val="36"/>
          <w:szCs w:val="36"/>
          <w:highlight w:val="none"/>
          <w:lang w:val="en-US" w:eastAsia="zh-CN"/>
        </w:rPr>
        <w:t>（3）分项报价清单</w:t>
      </w:r>
    </w:p>
    <w:tbl>
      <w:tblPr>
        <w:tblStyle w:val="36"/>
        <w:tblW w:w="995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43"/>
        <w:gridCol w:w="2038"/>
        <w:gridCol w:w="1242"/>
        <w:gridCol w:w="784"/>
        <w:gridCol w:w="782"/>
        <w:gridCol w:w="898"/>
        <w:gridCol w:w="1368"/>
        <w:gridCol w:w="1098"/>
        <w:gridCol w:w="1098"/>
      </w:tblGrid>
      <w:tr w14:paraId="0B18A0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35" w:hRule="atLeast"/>
          <w:jc w:val="center"/>
        </w:trPr>
        <w:tc>
          <w:tcPr>
            <w:tcW w:w="643" w:type="dxa"/>
            <w:noWrap w:val="0"/>
            <w:vAlign w:val="center"/>
          </w:tcPr>
          <w:p w14:paraId="58DC4D57">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序号</w:t>
            </w:r>
          </w:p>
        </w:tc>
        <w:tc>
          <w:tcPr>
            <w:tcW w:w="2038" w:type="dxa"/>
            <w:tcBorders>
              <w:right w:val="single" w:color="auto" w:sz="4" w:space="0"/>
            </w:tcBorders>
            <w:noWrap w:val="0"/>
            <w:vAlign w:val="center"/>
          </w:tcPr>
          <w:p w14:paraId="03E47EEE">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产品名称</w:t>
            </w:r>
          </w:p>
        </w:tc>
        <w:tc>
          <w:tcPr>
            <w:tcW w:w="1242" w:type="dxa"/>
            <w:tcBorders>
              <w:left w:val="single" w:color="auto" w:sz="4" w:space="0"/>
            </w:tcBorders>
            <w:noWrap w:val="0"/>
            <w:vAlign w:val="center"/>
          </w:tcPr>
          <w:p w14:paraId="1E0834DF">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规格型号</w:t>
            </w:r>
          </w:p>
          <w:p w14:paraId="0980C3B2">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品牌</w:t>
            </w:r>
            <w:r>
              <w:rPr>
                <w:rFonts w:hint="eastAsia" w:ascii="宋体" w:hAnsi="宋体"/>
                <w:color w:val="000000"/>
                <w:szCs w:val="21"/>
                <w:highlight w:val="none"/>
                <w:lang w:eastAsia="zh-CN"/>
              </w:rPr>
              <w:t>（</w:t>
            </w:r>
            <w:r>
              <w:rPr>
                <w:rFonts w:hint="eastAsia" w:ascii="宋体"/>
                <w:color w:val="000000"/>
                <w:szCs w:val="21"/>
                <w:highlight w:val="none"/>
              </w:rPr>
              <w:t>生产厂家</w:t>
            </w:r>
            <w:r>
              <w:rPr>
                <w:rFonts w:hint="eastAsia" w:ascii="宋体" w:hAnsi="宋体"/>
                <w:color w:val="000000"/>
                <w:szCs w:val="21"/>
                <w:highlight w:val="none"/>
                <w:lang w:eastAsia="zh-CN"/>
              </w:rPr>
              <w:t>）</w:t>
            </w:r>
          </w:p>
        </w:tc>
        <w:tc>
          <w:tcPr>
            <w:tcW w:w="784" w:type="dxa"/>
            <w:noWrap w:val="0"/>
            <w:vAlign w:val="center"/>
          </w:tcPr>
          <w:p w14:paraId="63902564">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单位</w:t>
            </w:r>
          </w:p>
        </w:tc>
        <w:tc>
          <w:tcPr>
            <w:tcW w:w="782" w:type="dxa"/>
            <w:noWrap w:val="0"/>
            <w:vAlign w:val="center"/>
          </w:tcPr>
          <w:p w14:paraId="16845633">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数量</w:t>
            </w:r>
          </w:p>
        </w:tc>
        <w:tc>
          <w:tcPr>
            <w:tcW w:w="898" w:type="dxa"/>
            <w:tcBorders>
              <w:left w:val="single" w:color="auto" w:sz="4" w:space="0"/>
            </w:tcBorders>
            <w:noWrap w:val="0"/>
            <w:vAlign w:val="center"/>
          </w:tcPr>
          <w:p w14:paraId="4FB6D29E">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单价（元）</w:t>
            </w:r>
          </w:p>
        </w:tc>
        <w:tc>
          <w:tcPr>
            <w:tcW w:w="1368" w:type="dxa"/>
            <w:noWrap w:val="0"/>
            <w:vAlign w:val="center"/>
          </w:tcPr>
          <w:p w14:paraId="36785DBA">
            <w:pPr>
              <w:spacing w:line="300" w:lineRule="exact"/>
              <w:jc w:val="center"/>
              <w:rPr>
                <w:rFonts w:hint="eastAsia" w:ascii="宋体" w:hAnsi="宋体"/>
                <w:color w:val="000000"/>
                <w:szCs w:val="21"/>
                <w:highlight w:val="none"/>
              </w:rPr>
            </w:pPr>
            <w:r>
              <w:rPr>
                <w:rFonts w:hint="eastAsia" w:ascii="宋体" w:hAnsi="宋体"/>
                <w:color w:val="000000"/>
                <w:szCs w:val="21"/>
                <w:highlight w:val="none"/>
              </w:rPr>
              <w:t>合价（元）</w:t>
            </w:r>
          </w:p>
        </w:tc>
        <w:tc>
          <w:tcPr>
            <w:tcW w:w="1098" w:type="dxa"/>
            <w:noWrap w:val="0"/>
            <w:vAlign w:val="center"/>
          </w:tcPr>
          <w:p w14:paraId="3FE71B3B">
            <w:pPr>
              <w:spacing w:line="300" w:lineRule="exact"/>
              <w:jc w:val="center"/>
              <w:rPr>
                <w:rFonts w:hint="eastAsia" w:ascii="宋体" w:hAnsi="宋体" w:eastAsia="宋体"/>
                <w:color w:val="000000"/>
                <w:szCs w:val="21"/>
                <w:highlight w:val="none"/>
                <w:lang w:eastAsia="zh-CN"/>
              </w:rPr>
            </w:pPr>
            <w:r>
              <w:rPr>
                <w:rFonts w:hint="eastAsia" w:ascii="宋体" w:hAnsi="宋体" w:eastAsia="宋体" w:cs="Times New Roman"/>
                <w:color w:val="000000"/>
                <w:szCs w:val="21"/>
                <w:highlight w:val="none"/>
                <w:lang w:val="en-US" w:eastAsia="zh-CN"/>
              </w:rPr>
              <w:t>所投产品的图样资料</w:t>
            </w:r>
          </w:p>
        </w:tc>
        <w:tc>
          <w:tcPr>
            <w:tcW w:w="1098" w:type="dxa"/>
            <w:noWrap w:val="0"/>
            <w:vAlign w:val="center"/>
          </w:tcPr>
          <w:p w14:paraId="1C210708">
            <w:pPr>
              <w:spacing w:line="300" w:lineRule="exact"/>
              <w:jc w:val="center"/>
              <w:rPr>
                <w:rFonts w:hint="default" w:ascii="宋体" w:hAnsi="宋体" w:eastAsia="宋体" w:cs="Times New Roman"/>
                <w:color w:val="000000"/>
                <w:szCs w:val="21"/>
                <w:highlight w:val="none"/>
                <w:lang w:val="en-US" w:eastAsia="zh-CN"/>
              </w:rPr>
            </w:pPr>
            <w:r>
              <w:rPr>
                <w:rFonts w:hint="eastAsia" w:ascii="宋体" w:hAnsi="宋体" w:eastAsia="宋体" w:cs="Times New Roman"/>
                <w:color w:val="000000"/>
                <w:szCs w:val="21"/>
                <w:highlight w:val="none"/>
                <w:lang w:val="en-US" w:eastAsia="zh-CN"/>
              </w:rPr>
              <w:t>质保期</w:t>
            </w:r>
          </w:p>
        </w:tc>
      </w:tr>
      <w:tr w14:paraId="2B9B20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643" w:type="dxa"/>
            <w:shd w:val="clear" w:color="auto" w:fill="auto"/>
            <w:noWrap w:val="0"/>
            <w:vAlign w:val="center"/>
          </w:tcPr>
          <w:p w14:paraId="71137255">
            <w:pPr>
              <w:jc w:val="center"/>
              <w:textAlignment w:val="baseline"/>
              <w:rPr>
                <w:rFonts w:hint="eastAsia" w:ascii="宋体" w:hAnsi="宋体"/>
                <w:color w:val="000000"/>
                <w:szCs w:val="21"/>
                <w:highlight w:val="none"/>
              </w:rPr>
            </w:pPr>
            <w:r>
              <w:rPr>
                <w:rFonts w:hint="eastAsia" w:ascii="宋体" w:hAnsi="宋体"/>
                <w:color w:val="000000"/>
                <w:szCs w:val="21"/>
                <w:highlight w:val="none"/>
              </w:rPr>
              <w:t>1</w:t>
            </w:r>
          </w:p>
        </w:tc>
        <w:tc>
          <w:tcPr>
            <w:tcW w:w="2038" w:type="dxa"/>
            <w:tcBorders>
              <w:right w:val="single" w:color="auto" w:sz="4" w:space="0"/>
            </w:tcBorders>
            <w:shd w:val="clear" w:color="auto" w:fill="FFFFFF"/>
            <w:noWrap w:val="0"/>
            <w:vAlign w:val="center"/>
          </w:tcPr>
          <w:p w14:paraId="564613A0">
            <w:pPr>
              <w:widowControl/>
              <w:spacing w:line="360" w:lineRule="auto"/>
              <w:jc w:val="center"/>
              <w:textAlignment w:val="center"/>
              <w:rPr>
                <w:rFonts w:hint="eastAsia" w:ascii="宋体" w:hAnsi="宋体"/>
                <w:color w:val="000000"/>
                <w:sz w:val="24"/>
                <w:highlight w:val="none"/>
              </w:rPr>
            </w:pPr>
          </w:p>
        </w:tc>
        <w:tc>
          <w:tcPr>
            <w:tcW w:w="1242" w:type="dxa"/>
            <w:tcBorders>
              <w:left w:val="single" w:color="auto" w:sz="4" w:space="0"/>
            </w:tcBorders>
            <w:shd w:val="clear" w:color="auto" w:fill="auto"/>
            <w:noWrap w:val="0"/>
            <w:vAlign w:val="center"/>
          </w:tcPr>
          <w:p w14:paraId="371E268E">
            <w:pPr>
              <w:spacing w:line="300" w:lineRule="exact"/>
              <w:jc w:val="center"/>
              <w:rPr>
                <w:rFonts w:hint="eastAsia" w:ascii="宋体" w:hAnsi="宋体"/>
                <w:color w:val="000000"/>
                <w:sz w:val="24"/>
                <w:highlight w:val="none"/>
              </w:rPr>
            </w:pPr>
          </w:p>
        </w:tc>
        <w:tc>
          <w:tcPr>
            <w:tcW w:w="784" w:type="dxa"/>
            <w:shd w:val="clear" w:color="auto" w:fill="FFFFFF"/>
            <w:noWrap w:val="0"/>
            <w:vAlign w:val="center"/>
          </w:tcPr>
          <w:p w14:paraId="051BDBDE">
            <w:pPr>
              <w:widowControl/>
              <w:spacing w:line="360" w:lineRule="auto"/>
              <w:jc w:val="center"/>
              <w:textAlignment w:val="center"/>
              <w:rPr>
                <w:rFonts w:hint="eastAsia" w:ascii="宋体" w:hAnsi="宋体"/>
                <w:color w:val="000000"/>
                <w:sz w:val="24"/>
                <w:highlight w:val="none"/>
              </w:rPr>
            </w:pPr>
          </w:p>
        </w:tc>
        <w:tc>
          <w:tcPr>
            <w:tcW w:w="782" w:type="dxa"/>
            <w:shd w:val="clear" w:color="auto" w:fill="FFFFFF"/>
            <w:noWrap w:val="0"/>
            <w:vAlign w:val="center"/>
          </w:tcPr>
          <w:p w14:paraId="751D6143">
            <w:pPr>
              <w:widowControl/>
              <w:spacing w:line="360" w:lineRule="auto"/>
              <w:jc w:val="center"/>
              <w:textAlignment w:val="center"/>
              <w:rPr>
                <w:rFonts w:hint="eastAsia" w:ascii="宋体" w:hAnsi="宋体"/>
                <w:color w:val="000000"/>
                <w:sz w:val="24"/>
                <w:highlight w:val="none"/>
              </w:rPr>
            </w:pPr>
          </w:p>
        </w:tc>
        <w:tc>
          <w:tcPr>
            <w:tcW w:w="898" w:type="dxa"/>
            <w:tcBorders>
              <w:left w:val="single" w:color="auto" w:sz="4" w:space="0"/>
            </w:tcBorders>
            <w:noWrap w:val="0"/>
            <w:vAlign w:val="center"/>
          </w:tcPr>
          <w:p w14:paraId="3647BB09">
            <w:pPr>
              <w:spacing w:line="300" w:lineRule="exact"/>
              <w:jc w:val="center"/>
              <w:rPr>
                <w:rFonts w:hint="eastAsia" w:ascii="宋体" w:hAnsi="宋体"/>
                <w:color w:val="000000"/>
                <w:sz w:val="24"/>
                <w:highlight w:val="none"/>
              </w:rPr>
            </w:pPr>
          </w:p>
        </w:tc>
        <w:tc>
          <w:tcPr>
            <w:tcW w:w="1368" w:type="dxa"/>
            <w:noWrap w:val="0"/>
            <w:vAlign w:val="center"/>
          </w:tcPr>
          <w:p w14:paraId="0AE6298B">
            <w:pPr>
              <w:spacing w:line="300" w:lineRule="exact"/>
              <w:jc w:val="center"/>
              <w:rPr>
                <w:rFonts w:hint="eastAsia" w:ascii="宋体" w:hAnsi="宋体"/>
                <w:color w:val="000000"/>
                <w:sz w:val="24"/>
                <w:highlight w:val="none"/>
              </w:rPr>
            </w:pPr>
          </w:p>
        </w:tc>
        <w:tc>
          <w:tcPr>
            <w:tcW w:w="1098" w:type="dxa"/>
            <w:noWrap w:val="0"/>
            <w:vAlign w:val="center"/>
          </w:tcPr>
          <w:p w14:paraId="34C24663">
            <w:pPr>
              <w:spacing w:line="300" w:lineRule="exact"/>
              <w:jc w:val="center"/>
              <w:rPr>
                <w:rFonts w:hint="eastAsia" w:ascii="宋体" w:hAnsi="宋体"/>
                <w:color w:val="000000"/>
                <w:sz w:val="24"/>
                <w:highlight w:val="none"/>
              </w:rPr>
            </w:pPr>
          </w:p>
        </w:tc>
        <w:tc>
          <w:tcPr>
            <w:tcW w:w="1098" w:type="dxa"/>
            <w:noWrap w:val="0"/>
            <w:vAlign w:val="center"/>
          </w:tcPr>
          <w:p w14:paraId="2770AA1C">
            <w:pPr>
              <w:spacing w:line="300" w:lineRule="exact"/>
              <w:jc w:val="center"/>
              <w:rPr>
                <w:rFonts w:hint="eastAsia" w:ascii="宋体" w:hAnsi="宋体"/>
                <w:color w:val="000000"/>
                <w:sz w:val="24"/>
                <w:highlight w:val="none"/>
              </w:rPr>
            </w:pPr>
          </w:p>
        </w:tc>
      </w:tr>
      <w:tr w14:paraId="519DD89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643" w:type="dxa"/>
            <w:shd w:val="clear" w:color="auto" w:fill="auto"/>
            <w:noWrap w:val="0"/>
            <w:vAlign w:val="center"/>
          </w:tcPr>
          <w:p w14:paraId="7DCDB2D6">
            <w:pPr>
              <w:jc w:val="center"/>
              <w:textAlignment w:val="baseline"/>
              <w:rPr>
                <w:rFonts w:hint="eastAsia" w:ascii="宋体" w:hAnsi="宋体"/>
                <w:color w:val="000000"/>
                <w:szCs w:val="21"/>
                <w:highlight w:val="none"/>
              </w:rPr>
            </w:pPr>
            <w:r>
              <w:rPr>
                <w:rFonts w:hint="eastAsia" w:ascii="宋体" w:hAnsi="宋体"/>
                <w:color w:val="000000"/>
                <w:szCs w:val="21"/>
                <w:highlight w:val="none"/>
              </w:rPr>
              <w:t>2</w:t>
            </w:r>
          </w:p>
        </w:tc>
        <w:tc>
          <w:tcPr>
            <w:tcW w:w="2038" w:type="dxa"/>
            <w:tcBorders>
              <w:right w:val="single" w:color="auto" w:sz="4" w:space="0"/>
            </w:tcBorders>
            <w:shd w:val="clear" w:color="auto" w:fill="FFFFFF"/>
            <w:noWrap w:val="0"/>
            <w:vAlign w:val="center"/>
          </w:tcPr>
          <w:p w14:paraId="6EC0850D">
            <w:pPr>
              <w:widowControl/>
              <w:spacing w:line="360" w:lineRule="auto"/>
              <w:jc w:val="center"/>
              <w:textAlignment w:val="center"/>
              <w:rPr>
                <w:rFonts w:hint="eastAsia" w:ascii="宋体" w:hAnsi="宋体"/>
                <w:color w:val="000000"/>
                <w:sz w:val="24"/>
                <w:highlight w:val="none"/>
              </w:rPr>
            </w:pPr>
          </w:p>
        </w:tc>
        <w:tc>
          <w:tcPr>
            <w:tcW w:w="1242" w:type="dxa"/>
            <w:tcBorders>
              <w:left w:val="single" w:color="auto" w:sz="4" w:space="0"/>
            </w:tcBorders>
            <w:shd w:val="clear" w:color="auto" w:fill="auto"/>
            <w:noWrap w:val="0"/>
            <w:vAlign w:val="center"/>
          </w:tcPr>
          <w:p w14:paraId="280E8DBB">
            <w:pPr>
              <w:spacing w:line="300" w:lineRule="exact"/>
              <w:jc w:val="center"/>
              <w:rPr>
                <w:rFonts w:hint="eastAsia" w:ascii="宋体" w:hAnsi="宋体"/>
                <w:color w:val="000000"/>
                <w:sz w:val="24"/>
                <w:highlight w:val="none"/>
              </w:rPr>
            </w:pPr>
          </w:p>
        </w:tc>
        <w:tc>
          <w:tcPr>
            <w:tcW w:w="784" w:type="dxa"/>
            <w:shd w:val="clear" w:color="auto" w:fill="FFFFFF"/>
            <w:noWrap w:val="0"/>
            <w:vAlign w:val="center"/>
          </w:tcPr>
          <w:p w14:paraId="7905C985">
            <w:pPr>
              <w:widowControl/>
              <w:spacing w:line="360" w:lineRule="auto"/>
              <w:jc w:val="center"/>
              <w:textAlignment w:val="center"/>
              <w:rPr>
                <w:rFonts w:hint="eastAsia" w:ascii="宋体" w:hAnsi="宋体"/>
                <w:color w:val="000000"/>
                <w:sz w:val="24"/>
                <w:highlight w:val="none"/>
              </w:rPr>
            </w:pPr>
          </w:p>
        </w:tc>
        <w:tc>
          <w:tcPr>
            <w:tcW w:w="782" w:type="dxa"/>
            <w:shd w:val="clear" w:color="auto" w:fill="FFFFFF"/>
            <w:noWrap w:val="0"/>
            <w:vAlign w:val="center"/>
          </w:tcPr>
          <w:p w14:paraId="53442CAE">
            <w:pPr>
              <w:widowControl/>
              <w:spacing w:line="360" w:lineRule="auto"/>
              <w:jc w:val="center"/>
              <w:textAlignment w:val="center"/>
              <w:rPr>
                <w:rFonts w:hint="eastAsia" w:ascii="宋体" w:hAnsi="宋体"/>
                <w:color w:val="000000"/>
                <w:sz w:val="24"/>
                <w:highlight w:val="none"/>
              </w:rPr>
            </w:pPr>
          </w:p>
        </w:tc>
        <w:tc>
          <w:tcPr>
            <w:tcW w:w="898" w:type="dxa"/>
            <w:tcBorders>
              <w:left w:val="single" w:color="auto" w:sz="4" w:space="0"/>
            </w:tcBorders>
            <w:noWrap w:val="0"/>
            <w:vAlign w:val="center"/>
          </w:tcPr>
          <w:p w14:paraId="3000826B">
            <w:pPr>
              <w:spacing w:line="300" w:lineRule="exact"/>
              <w:jc w:val="center"/>
              <w:rPr>
                <w:rFonts w:hint="eastAsia" w:ascii="宋体" w:hAnsi="宋体"/>
                <w:color w:val="000000"/>
                <w:sz w:val="24"/>
                <w:highlight w:val="none"/>
              </w:rPr>
            </w:pPr>
          </w:p>
        </w:tc>
        <w:tc>
          <w:tcPr>
            <w:tcW w:w="1368" w:type="dxa"/>
            <w:noWrap w:val="0"/>
            <w:vAlign w:val="center"/>
          </w:tcPr>
          <w:p w14:paraId="08714AE4">
            <w:pPr>
              <w:spacing w:line="300" w:lineRule="exact"/>
              <w:jc w:val="center"/>
              <w:rPr>
                <w:rFonts w:hint="eastAsia" w:ascii="宋体" w:hAnsi="宋体"/>
                <w:color w:val="000000"/>
                <w:sz w:val="24"/>
                <w:highlight w:val="none"/>
              </w:rPr>
            </w:pPr>
          </w:p>
        </w:tc>
        <w:tc>
          <w:tcPr>
            <w:tcW w:w="1098" w:type="dxa"/>
            <w:noWrap w:val="0"/>
            <w:vAlign w:val="center"/>
          </w:tcPr>
          <w:p w14:paraId="5EDAE404">
            <w:pPr>
              <w:spacing w:line="300" w:lineRule="exact"/>
              <w:jc w:val="center"/>
              <w:rPr>
                <w:rFonts w:hint="eastAsia" w:ascii="宋体" w:hAnsi="宋体"/>
                <w:color w:val="000000"/>
                <w:sz w:val="24"/>
                <w:highlight w:val="none"/>
              </w:rPr>
            </w:pPr>
          </w:p>
        </w:tc>
        <w:tc>
          <w:tcPr>
            <w:tcW w:w="1098" w:type="dxa"/>
            <w:noWrap w:val="0"/>
            <w:vAlign w:val="center"/>
          </w:tcPr>
          <w:p w14:paraId="5C67B3F9">
            <w:pPr>
              <w:spacing w:line="300" w:lineRule="exact"/>
              <w:jc w:val="center"/>
              <w:rPr>
                <w:rFonts w:hint="eastAsia" w:ascii="宋体" w:hAnsi="宋体"/>
                <w:color w:val="000000"/>
                <w:sz w:val="24"/>
                <w:highlight w:val="none"/>
              </w:rPr>
            </w:pPr>
          </w:p>
        </w:tc>
      </w:tr>
      <w:tr w14:paraId="507319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643" w:type="dxa"/>
            <w:shd w:val="clear" w:color="auto" w:fill="auto"/>
            <w:noWrap w:val="0"/>
            <w:vAlign w:val="center"/>
          </w:tcPr>
          <w:p w14:paraId="1614E599">
            <w:pPr>
              <w:jc w:val="center"/>
              <w:textAlignment w:val="baseline"/>
              <w:rPr>
                <w:rFonts w:hint="eastAsia" w:ascii="宋体" w:hAnsi="宋体"/>
                <w:color w:val="000000"/>
                <w:szCs w:val="21"/>
                <w:highlight w:val="none"/>
              </w:rPr>
            </w:pPr>
            <w:r>
              <w:rPr>
                <w:rFonts w:hint="eastAsia" w:ascii="宋体" w:hAnsi="宋体"/>
                <w:color w:val="000000"/>
                <w:szCs w:val="21"/>
                <w:highlight w:val="none"/>
              </w:rPr>
              <w:t>3</w:t>
            </w:r>
          </w:p>
        </w:tc>
        <w:tc>
          <w:tcPr>
            <w:tcW w:w="2038" w:type="dxa"/>
            <w:tcBorders>
              <w:right w:val="single" w:color="auto" w:sz="4" w:space="0"/>
            </w:tcBorders>
            <w:shd w:val="clear" w:color="auto" w:fill="FFFFFF"/>
            <w:noWrap w:val="0"/>
            <w:vAlign w:val="center"/>
          </w:tcPr>
          <w:p w14:paraId="466F250D">
            <w:pPr>
              <w:widowControl/>
              <w:spacing w:line="360" w:lineRule="auto"/>
              <w:jc w:val="center"/>
              <w:textAlignment w:val="center"/>
              <w:rPr>
                <w:rFonts w:hint="eastAsia" w:ascii="宋体" w:hAnsi="宋体"/>
                <w:color w:val="000000"/>
                <w:sz w:val="24"/>
                <w:highlight w:val="none"/>
              </w:rPr>
            </w:pPr>
          </w:p>
        </w:tc>
        <w:tc>
          <w:tcPr>
            <w:tcW w:w="1242" w:type="dxa"/>
            <w:tcBorders>
              <w:left w:val="single" w:color="auto" w:sz="4" w:space="0"/>
            </w:tcBorders>
            <w:shd w:val="clear" w:color="auto" w:fill="auto"/>
            <w:noWrap w:val="0"/>
            <w:vAlign w:val="center"/>
          </w:tcPr>
          <w:p w14:paraId="6461D633">
            <w:pPr>
              <w:spacing w:line="300" w:lineRule="exact"/>
              <w:jc w:val="center"/>
              <w:rPr>
                <w:rFonts w:hint="eastAsia" w:ascii="宋体" w:hAnsi="宋体"/>
                <w:color w:val="000000"/>
                <w:sz w:val="24"/>
                <w:highlight w:val="none"/>
              </w:rPr>
            </w:pPr>
          </w:p>
        </w:tc>
        <w:tc>
          <w:tcPr>
            <w:tcW w:w="784" w:type="dxa"/>
            <w:shd w:val="clear" w:color="auto" w:fill="FFFFFF"/>
            <w:noWrap w:val="0"/>
            <w:vAlign w:val="center"/>
          </w:tcPr>
          <w:p w14:paraId="6A545EE5">
            <w:pPr>
              <w:spacing w:line="360" w:lineRule="auto"/>
              <w:jc w:val="center"/>
              <w:rPr>
                <w:rFonts w:hint="eastAsia" w:ascii="宋体" w:hAnsi="宋体"/>
                <w:color w:val="000000"/>
                <w:sz w:val="24"/>
                <w:highlight w:val="none"/>
              </w:rPr>
            </w:pPr>
          </w:p>
        </w:tc>
        <w:tc>
          <w:tcPr>
            <w:tcW w:w="782" w:type="dxa"/>
            <w:shd w:val="clear" w:color="auto" w:fill="FFFFFF"/>
            <w:noWrap w:val="0"/>
            <w:vAlign w:val="center"/>
          </w:tcPr>
          <w:p w14:paraId="769E2AC5">
            <w:pPr>
              <w:widowControl/>
              <w:spacing w:line="360" w:lineRule="auto"/>
              <w:jc w:val="center"/>
              <w:textAlignment w:val="center"/>
              <w:rPr>
                <w:rFonts w:hint="eastAsia" w:ascii="宋体" w:hAnsi="宋体"/>
                <w:color w:val="000000"/>
                <w:sz w:val="24"/>
                <w:highlight w:val="none"/>
              </w:rPr>
            </w:pPr>
          </w:p>
        </w:tc>
        <w:tc>
          <w:tcPr>
            <w:tcW w:w="898" w:type="dxa"/>
            <w:tcBorders>
              <w:left w:val="single" w:color="auto" w:sz="4" w:space="0"/>
            </w:tcBorders>
            <w:noWrap w:val="0"/>
            <w:vAlign w:val="center"/>
          </w:tcPr>
          <w:p w14:paraId="20571B87">
            <w:pPr>
              <w:spacing w:line="300" w:lineRule="exact"/>
              <w:jc w:val="center"/>
              <w:rPr>
                <w:rFonts w:hint="eastAsia" w:ascii="宋体" w:hAnsi="宋体"/>
                <w:color w:val="000000"/>
                <w:sz w:val="24"/>
                <w:highlight w:val="none"/>
              </w:rPr>
            </w:pPr>
          </w:p>
        </w:tc>
        <w:tc>
          <w:tcPr>
            <w:tcW w:w="1368" w:type="dxa"/>
            <w:noWrap w:val="0"/>
            <w:vAlign w:val="center"/>
          </w:tcPr>
          <w:p w14:paraId="069D5603">
            <w:pPr>
              <w:spacing w:line="300" w:lineRule="exact"/>
              <w:jc w:val="center"/>
              <w:rPr>
                <w:rFonts w:hint="eastAsia" w:ascii="宋体" w:hAnsi="宋体"/>
                <w:color w:val="000000"/>
                <w:sz w:val="24"/>
                <w:highlight w:val="none"/>
              </w:rPr>
            </w:pPr>
          </w:p>
        </w:tc>
        <w:tc>
          <w:tcPr>
            <w:tcW w:w="1098" w:type="dxa"/>
            <w:noWrap w:val="0"/>
            <w:vAlign w:val="center"/>
          </w:tcPr>
          <w:p w14:paraId="29713ACB">
            <w:pPr>
              <w:spacing w:line="300" w:lineRule="exact"/>
              <w:jc w:val="center"/>
              <w:rPr>
                <w:rFonts w:hint="eastAsia" w:ascii="宋体" w:hAnsi="宋体"/>
                <w:color w:val="000000"/>
                <w:sz w:val="24"/>
                <w:highlight w:val="none"/>
              </w:rPr>
            </w:pPr>
          </w:p>
        </w:tc>
        <w:tc>
          <w:tcPr>
            <w:tcW w:w="1098" w:type="dxa"/>
            <w:noWrap w:val="0"/>
            <w:vAlign w:val="center"/>
          </w:tcPr>
          <w:p w14:paraId="008C441D">
            <w:pPr>
              <w:spacing w:line="300" w:lineRule="exact"/>
              <w:jc w:val="center"/>
              <w:rPr>
                <w:rFonts w:hint="eastAsia" w:ascii="宋体" w:hAnsi="宋体"/>
                <w:color w:val="000000"/>
                <w:sz w:val="24"/>
                <w:highlight w:val="none"/>
              </w:rPr>
            </w:pPr>
          </w:p>
        </w:tc>
      </w:tr>
      <w:tr w14:paraId="22072D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643" w:type="dxa"/>
            <w:shd w:val="clear" w:color="auto" w:fill="auto"/>
            <w:noWrap w:val="0"/>
            <w:vAlign w:val="center"/>
          </w:tcPr>
          <w:p w14:paraId="1735E6E4">
            <w:pPr>
              <w:jc w:val="center"/>
              <w:textAlignment w:val="baseline"/>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w:t>
            </w:r>
          </w:p>
        </w:tc>
        <w:tc>
          <w:tcPr>
            <w:tcW w:w="2038" w:type="dxa"/>
            <w:tcBorders>
              <w:right w:val="single" w:color="auto" w:sz="4" w:space="0"/>
            </w:tcBorders>
            <w:shd w:val="clear" w:color="auto" w:fill="FFFFFF"/>
            <w:noWrap w:val="0"/>
            <w:vAlign w:val="center"/>
          </w:tcPr>
          <w:p w14:paraId="7DD6BC16">
            <w:pPr>
              <w:widowControl/>
              <w:spacing w:line="360" w:lineRule="auto"/>
              <w:jc w:val="center"/>
              <w:textAlignment w:val="center"/>
              <w:rPr>
                <w:rFonts w:hint="eastAsia" w:ascii="宋体" w:hAnsi="宋体"/>
                <w:color w:val="000000"/>
                <w:sz w:val="24"/>
                <w:highlight w:val="none"/>
              </w:rPr>
            </w:pPr>
          </w:p>
        </w:tc>
        <w:tc>
          <w:tcPr>
            <w:tcW w:w="1242" w:type="dxa"/>
            <w:tcBorders>
              <w:left w:val="single" w:color="auto" w:sz="4" w:space="0"/>
            </w:tcBorders>
            <w:shd w:val="clear" w:color="auto" w:fill="auto"/>
            <w:noWrap w:val="0"/>
            <w:vAlign w:val="center"/>
          </w:tcPr>
          <w:p w14:paraId="1DFD3AB2">
            <w:pPr>
              <w:spacing w:line="300" w:lineRule="exact"/>
              <w:jc w:val="center"/>
              <w:rPr>
                <w:rFonts w:hint="eastAsia" w:ascii="宋体" w:hAnsi="宋体"/>
                <w:color w:val="000000"/>
                <w:sz w:val="24"/>
                <w:highlight w:val="none"/>
              </w:rPr>
            </w:pPr>
          </w:p>
        </w:tc>
        <w:tc>
          <w:tcPr>
            <w:tcW w:w="784" w:type="dxa"/>
            <w:shd w:val="clear" w:color="auto" w:fill="FFFFFF"/>
            <w:noWrap w:val="0"/>
            <w:vAlign w:val="center"/>
          </w:tcPr>
          <w:p w14:paraId="349BF065">
            <w:pPr>
              <w:spacing w:line="360" w:lineRule="auto"/>
              <w:jc w:val="center"/>
              <w:rPr>
                <w:rFonts w:hint="eastAsia" w:ascii="宋体" w:hAnsi="宋体"/>
                <w:color w:val="000000"/>
                <w:sz w:val="24"/>
                <w:highlight w:val="none"/>
              </w:rPr>
            </w:pPr>
          </w:p>
        </w:tc>
        <w:tc>
          <w:tcPr>
            <w:tcW w:w="782" w:type="dxa"/>
            <w:shd w:val="clear" w:color="auto" w:fill="FFFFFF"/>
            <w:noWrap w:val="0"/>
            <w:vAlign w:val="center"/>
          </w:tcPr>
          <w:p w14:paraId="199A9D68">
            <w:pPr>
              <w:widowControl/>
              <w:spacing w:line="360" w:lineRule="auto"/>
              <w:jc w:val="center"/>
              <w:textAlignment w:val="center"/>
              <w:rPr>
                <w:rFonts w:hint="eastAsia" w:ascii="宋体" w:hAnsi="宋体"/>
                <w:color w:val="000000"/>
                <w:sz w:val="24"/>
                <w:highlight w:val="none"/>
              </w:rPr>
            </w:pPr>
          </w:p>
        </w:tc>
        <w:tc>
          <w:tcPr>
            <w:tcW w:w="898" w:type="dxa"/>
            <w:tcBorders>
              <w:left w:val="single" w:color="auto" w:sz="4" w:space="0"/>
            </w:tcBorders>
            <w:noWrap w:val="0"/>
            <w:vAlign w:val="center"/>
          </w:tcPr>
          <w:p w14:paraId="49B6C0B7">
            <w:pPr>
              <w:spacing w:line="300" w:lineRule="exact"/>
              <w:jc w:val="center"/>
              <w:rPr>
                <w:rFonts w:hint="eastAsia" w:ascii="宋体" w:hAnsi="宋体"/>
                <w:color w:val="000000"/>
                <w:sz w:val="24"/>
                <w:highlight w:val="none"/>
              </w:rPr>
            </w:pPr>
          </w:p>
        </w:tc>
        <w:tc>
          <w:tcPr>
            <w:tcW w:w="1368" w:type="dxa"/>
            <w:noWrap w:val="0"/>
            <w:vAlign w:val="center"/>
          </w:tcPr>
          <w:p w14:paraId="5F97450B">
            <w:pPr>
              <w:spacing w:line="300" w:lineRule="exact"/>
              <w:jc w:val="center"/>
              <w:rPr>
                <w:rFonts w:hint="eastAsia" w:ascii="宋体" w:hAnsi="宋体"/>
                <w:color w:val="000000"/>
                <w:sz w:val="24"/>
                <w:highlight w:val="none"/>
              </w:rPr>
            </w:pPr>
          </w:p>
        </w:tc>
        <w:tc>
          <w:tcPr>
            <w:tcW w:w="1098" w:type="dxa"/>
            <w:noWrap w:val="0"/>
            <w:vAlign w:val="center"/>
          </w:tcPr>
          <w:p w14:paraId="53F7CACD">
            <w:pPr>
              <w:spacing w:line="300" w:lineRule="exact"/>
              <w:jc w:val="center"/>
              <w:rPr>
                <w:rFonts w:hint="eastAsia" w:ascii="宋体" w:hAnsi="宋体"/>
                <w:color w:val="000000"/>
                <w:sz w:val="24"/>
                <w:highlight w:val="none"/>
              </w:rPr>
            </w:pPr>
          </w:p>
        </w:tc>
        <w:tc>
          <w:tcPr>
            <w:tcW w:w="1098" w:type="dxa"/>
            <w:noWrap w:val="0"/>
            <w:vAlign w:val="center"/>
          </w:tcPr>
          <w:p w14:paraId="7EB92979">
            <w:pPr>
              <w:spacing w:line="300" w:lineRule="exact"/>
              <w:jc w:val="center"/>
              <w:rPr>
                <w:rFonts w:hint="eastAsia" w:ascii="宋体" w:hAnsi="宋体"/>
                <w:color w:val="000000"/>
                <w:sz w:val="24"/>
                <w:highlight w:val="none"/>
              </w:rPr>
            </w:pPr>
          </w:p>
        </w:tc>
      </w:tr>
      <w:tr w14:paraId="5DD3C5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643" w:type="dxa"/>
            <w:shd w:val="clear" w:color="auto" w:fill="auto"/>
            <w:noWrap w:val="0"/>
            <w:vAlign w:val="center"/>
          </w:tcPr>
          <w:p w14:paraId="70D933A9">
            <w:pPr>
              <w:jc w:val="center"/>
              <w:textAlignment w:val="baseline"/>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w:t>
            </w:r>
          </w:p>
        </w:tc>
        <w:tc>
          <w:tcPr>
            <w:tcW w:w="2038" w:type="dxa"/>
            <w:tcBorders>
              <w:right w:val="single" w:color="auto" w:sz="4" w:space="0"/>
            </w:tcBorders>
            <w:shd w:val="clear" w:color="auto" w:fill="FFFFFF"/>
            <w:noWrap w:val="0"/>
            <w:vAlign w:val="center"/>
          </w:tcPr>
          <w:p w14:paraId="0A7FD3D8">
            <w:pPr>
              <w:widowControl/>
              <w:spacing w:line="360" w:lineRule="auto"/>
              <w:jc w:val="center"/>
              <w:textAlignment w:val="center"/>
              <w:rPr>
                <w:rFonts w:hint="eastAsia" w:ascii="宋体" w:hAnsi="宋体"/>
                <w:color w:val="000000"/>
                <w:sz w:val="24"/>
                <w:highlight w:val="none"/>
              </w:rPr>
            </w:pPr>
          </w:p>
        </w:tc>
        <w:tc>
          <w:tcPr>
            <w:tcW w:w="1242" w:type="dxa"/>
            <w:tcBorders>
              <w:left w:val="single" w:color="auto" w:sz="4" w:space="0"/>
            </w:tcBorders>
            <w:shd w:val="clear" w:color="auto" w:fill="auto"/>
            <w:noWrap w:val="0"/>
            <w:vAlign w:val="center"/>
          </w:tcPr>
          <w:p w14:paraId="78CDE7DD">
            <w:pPr>
              <w:spacing w:line="300" w:lineRule="exact"/>
              <w:jc w:val="center"/>
              <w:rPr>
                <w:rFonts w:hint="eastAsia" w:ascii="宋体" w:hAnsi="宋体"/>
                <w:color w:val="000000"/>
                <w:sz w:val="24"/>
                <w:highlight w:val="none"/>
              </w:rPr>
            </w:pPr>
          </w:p>
        </w:tc>
        <w:tc>
          <w:tcPr>
            <w:tcW w:w="784" w:type="dxa"/>
            <w:shd w:val="clear" w:color="auto" w:fill="FFFFFF"/>
            <w:noWrap w:val="0"/>
            <w:vAlign w:val="center"/>
          </w:tcPr>
          <w:p w14:paraId="305734A9">
            <w:pPr>
              <w:spacing w:line="360" w:lineRule="auto"/>
              <w:jc w:val="center"/>
              <w:rPr>
                <w:rFonts w:hint="eastAsia" w:ascii="宋体" w:hAnsi="宋体"/>
                <w:color w:val="000000"/>
                <w:sz w:val="24"/>
                <w:highlight w:val="none"/>
              </w:rPr>
            </w:pPr>
          </w:p>
        </w:tc>
        <w:tc>
          <w:tcPr>
            <w:tcW w:w="782" w:type="dxa"/>
            <w:shd w:val="clear" w:color="auto" w:fill="FFFFFF"/>
            <w:noWrap w:val="0"/>
            <w:vAlign w:val="center"/>
          </w:tcPr>
          <w:p w14:paraId="05143DF1">
            <w:pPr>
              <w:widowControl/>
              <w:spacing w:line="360" w:lineRule="auto"/>
              <w:jc w:val="center"/>
              <w:textAlignment w:val="center"/>
              <w:rPr>
                <w:rFonts w:hint="eastAsia" w:ascii="宋体" w:hAnsi="宋体"/>
                <w:color w:val="000000"/>
                <w:sz w:val="24"/>
                <w:highlight w:val="none"/>
              </w:rPr>
            </w:pPr>
          </w:p>
        </w:tc>
        <w:tc>
          <w:tcPr>
            <w:tcW w:w="898" w:type="dxa"/>
            <w:tcBorders>
              <w:left w:val="single" w:color="auto" w:sz="4" w:space="0"/>
            </w:tcBorders>
            <w:noWrap w:val="0"/>
            <w:vAlign w:val="center"/>
          </w:tcPr>
          <w:p w14:paraId="62FD0C52">
            <w:pPr>
              <w:spacing w:line="300" w:lineRule="exact"/>
              <w:jc w:val="center"/>
              <w:rPr>
                <w:rFonts w:hint="eastAsia" w:ascii="宋体" w:hAnsi="宋体"/>
                <w:color w:val="000000"/>
                <w:sz w:val="24"/>
                <w:highlight w:val="none"/>
              </w:rPr>
            </w:pPr>
          </w:p>
        </w:tc>
        <w:tc>
          <w:tcPr>
            <w:tcW w:w="1368" w:type="dxa"/>
            <w:noWrap w:val="0"/>
            <w:vAlign w:val="center"/>
          </w:tcPr>
          <w:p w14:paraId="22B712A6">
            <w:pPr>
              <w:spacing w:line="300" w:lineRule="exact"/>
              <w:jc w:val="center"/>
              <w:rPr>
                <w:rFonts w:hint="eastAsia" w:ascii="宋体" w:hAnsi="宋体"/>
                <w:color w:val="000000"/>
                <w:sz w:val="24"/>
                <w:highlight w:val="none"/>
              </w:rPr>
            </w:pPr>
          </w:p>
        </w:tc>
        <w:tc>
          <w:tcPr>
            <w:tcW w:w="1098" w:type="dxa"/>
            <w:noWrap w:val="0"/>
            <w:vAlign w:val="center"/>
          </w:tcPr>
          <w:p w14:paraId="7F77330A">
            <w:pPr>
              <w:spacing w:line="300" w:lineRule="exact"/>
              <w:jc w:val="center"/>
              <w:rPr>
                <w:rFonts w:hint="eastAsia" w:ascii="宋体" w:hAnsi="宋体"/>
                <w:color w:val="000000"/>
                <w:sz w:val="24"/>
                <w:highlight w:val="none"/>
              </w:rPr>
            </w:pPr>
          </w:p>
        </w:tc>
        <w:tc>
          <w:tcPr>
            <w:tcW w:w="1098" w:type="dxa"/>
            <w:noWrap w:val="0"/>
            <w:vAlign w:val="center"/>
          </w:tcPr>
          <w:p w14:paraId="0D74F6C0">
            <w:pPr>
              <w:spacing w:line="300" w:lineRule="exact"/>
              <w:jc w:val="center"/>
              <w:rPr>
                <w:rFonts w:hint="eastAsia" w:ascii="宋体" w:hAnsi="宋体"/>
                <w:color w:val="000000"/>
                <w:sz w:val="24"/>
                <w:highlight w:val="none"/>
              </w:rPr>
            </w:pPr>
          </w:p>
        </w:tc>
      </w:tr>
      <w:tr w14:paraId="4FB7A5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643" w:type="dxa"/>
            <w:shd w:val="clear" w:color="auto" w:fill="auto"/>
            <w:noWrap w:val="0"/>
            <w:vAlign w:val="center"/>
          </w:tcPr>
          <w:p w14:paraId="77817675">
            <w:pPr>
              <w:jc w:val="center"/>
              <w:rPr>
                <w:rFonts w:hint="default"/>
                <w:highlight w:val="none"/>
                <w:lang w:val="en-US" w:eastAsia="zh-CN"/>
              </w:rPr>
            </w:pPr>
            <w:r>
              <w:rPr>
                <w:rFonts w:hint="eastAsia" w:ascii="宋体" w:hAnsi="宋体" w:eastAsia="宋体" w:cs="宋体"/>
                <w:highlight w:val="none"/>
                <w:lang w:val="en-US" w:eastAsia="zh-CN"/>
              </w:rPr>
              <w:t>41</w:t>
            </w:r>
          </w:p>
        </w:tc>
        <w:tc>
          <w:tcPr>
            <w:tcW w:w="2038" w:type="dxa"/>
            <w:tcBorders>
              <w:right w:val="single" w:color="auto" w:sz="4" w:space="0"/>
            </w:tcBorders>
            <w:shd w:val="clear" w:color="auto" w:fill="FFFFFF"/>
            <w:noWrap w:val="0"/>
            <w:vAlign w:val="center"/>
          </w:tcPr>
          <w:p w14:paraId="0F04FD8B">
            <w:pPr>
              <w:widowControl/>
              <w:spacing w:line="360" w:lineRule="auto"/>
              <w:jc w:val="center"/>
              <w:textAlignment w:val="center"/>
              <w:rPr>
                <w:rFonts w:hint="eastAsia" w:ascii="宋体" w:hAnsi="宋体"/>
                <w:color w:val="000000"/>
                <w:sz w:val="24"/>
                <w:highlight w:val="none"/>
              </w:rPr>
            </w:pPr>
          </w:p>
        </w:tc>
        <w:tc>
          <w:tcPr>
            <w:tcW w:w="1242" w:type="dxa"/>
            <w:tcBorders>
              <w:left w:val="single" w:color="auto" w:sz="4" w:space="0"/>
            </w:tcBorders>
            <w:shd w:val="clear" w:color="auto" w:fill="auto"/>
            <w:noWrap w:val="0"/>
            <w:vAlign w:val="center"/>
          </w:tcPr>
          <w:p w14:paraId="0E6D047E">
            <w:pPr>
              <w:spacing w:line="300" w:lineRule="exact"/>
              <w:jc w:val="center"/>
              <w:rPr>
                <w:rFonts w:hint="eastAsia" w:ascii="宋体" w:hAnsi="宋体"/>
                <w:color w:val="000000"/>
                <w:sz w:val="24"/>
                <w:highlight w:val="none"/>
              </w:rPr>
            </w:pPr>
          </w:p>
        </w:tc>
        <w:tc>
          <w:tcPr>
            <w:tcW w:w="784" w:type="dxa"/>
            <w:shd w:val="clear" w:color="auto" w:fill="FFFFFF"/>
            <w:noWrap w:val="0"/>
            <w:vAlign w:val="center"/>
          </w:tcPr>
          <w:p w14:paraId="547889E8">
            <w:pPr>
              <w:spacing w:line="360" w:lineRule="auto"/>
              <w:jc w:val="center"/>
              <w:rPr>
                <w:rFonts w:hint="eastAsia" w:ascii="宋体" w:hAnsi="宋体"/>
                <w:color w:val="000000"/>
                <w:sz w:val="24"/>
                <w:highlight w:val="none"/>
              </w:rPr>
            </w:pPr>
          </w:p>
        </w:tc>
        <w:tc>
          <w:tcPr>
            <w:tcW w:w="782" w:type="dxa"/>
            <w:shd w:val="clear" w:color="auto" w:fill="FFFFFF"/>
            <w:noWrap w:val="0"/>
            <w:vAlign w:val="center"/>
          </w:tcPr>
          <w:p w14:paraId="58BAEA07">
            <w:pPr>
              <w:widowControl/>
              <w:spacing w:line="360" w:lineRule="auto"/>
              <w:jc w:val="center"/>
              <w:textAlignment w:val="center"/>
              <w:rPr>
                <w:rFonts w:hint="eastAsia" w:ascii="宋体" w:hAnsi="宋体"/>
                <w:color w:val="000000"/>
                <w:sz w:val="24"/>
                <w:highlight w:val="none"/>
              </w:rPr>
            </w:pPr>
          </w:p>
        </w:tc>
        <w:tc>
          <w:tcPr>
            <w:tcW w:w="898" w:type="dxa"/>
            <w:tcBorders>
              <w:left w:val="single" w:color="auto" w:sz="4" w:space="0"/>
            </w:tcBorders>
            <w:noWrap w:val="0"/>
            <w:vAlign w:val="center"/>
          </w:tcPr>
          <w:p w14:paraId="6C3D3353">
            <w:pPr>
              <w:spacing w:line="300" w:lineRule="exact"/>
              <w:jc w:val="center"/>
              <w:rPr>
                <w:rFonts w:hint="eastAsia" w:ascii="宋体" w:hAnsi="宋体"/>
                <w:color w:val="000000"/>
                <w:sz w:val="24"/>
                <w:highlight w:val="none"/>
              </w:rPr>
            </w:pPr>
          </w:p>
        </w:tc>
        <w:tc>
          <w:tcPr>
            <w:tcW w:w="1368" w:type="dxa"/>
            <w:noWrap w:val="0"/>
            <w:vAlign w:val="center"/>
          </w:tcPr>
          <w:p w14:paraId="67313DDB">
            <w:pPr>
              <w:spacing w:line="300" w:lineRule="exact"/>
              <w:jc w:val="center"/>
              <w:rPr>
                <w:rFonts w:hint="eastAsia" w:ascii="宋体" w:hAnsi="宋体"/>
                <w:color w:val="000000"/>
                <w:sz w:val="24"/>
                <w:highlight w:val="none"/>
              </w:rPr>
            </w:pPr>
          </w:p>
        </w:tc>
        <w:tc>
          <w:tcPr>
            <w:tcW w:w="1098" w:type="dxa"/>
            <w:noWrap w:val="0"/>
            <w:vAlign w:val="center"/>
          </w:tcPr>
          <w:p w14:paraId="1A4202DB">
            <w:pPr>
              <w:spacing w:line="300" w:lineRule="exact"/>
              <w:jc w:val="center"/>
              <w:rPr>
                <w:rFonts w:hint="eastAsia" w:ascii="宋体" w:hAnsi="宋体"/>
                <w:color w:val="000000"/>
                <w:sz w:val="24"/>
                <w:highlight w:val="none"/>
              </w:rPr>
            </w:pPr>
          </w:p>
        </w:tc>
        <w:tc>
          <w:tcPr>
            <w:tcW w:w="1098" w:type="dxa"/>
            <w:noWrap w:val="0"/>
            <w:vAlign w:val="center"/>
          </w:tcPr>
          <w:p w14:paraId="43BFA807">
            <w:pPr>
              <w:spacing w:line="300" w:lineRule="exact"/>
              <w:jc w:val="center"/>
              <w:rPr>
                <w:rFonts w:hint="eastAsia" w:ascii="宋体" w:hAnsi="宋体"/>
                <w:color w:val="000000"/>
                <w:sz w:val="24"/>
                <w:highlight w:val="none"/>
              </w:rPr>
            </w:pPr>
          </w:p>
        </w:tc>
      </w:tr>
      <w:tr w14:paraId="68D694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6" w:hRule="atLeast"/>
          <w:jc w:val="center"/>
        </w:trPr>
        <w:tc>
          <w:tcPr>
            <w:tcW w:w="9951" w:type="dxa"/>
            <w:gridSpan w:val="9"/>
            <w:noWrap w:val="0"/>
            <w:vAlign w:val="center"/>
          </w:tcPr>
          <w:p w14:paraId="4D22B90D">
            <w:pPr>
              <w:spacing w:line="300" w:lineRule="exact"/>
              <w:jc w:val="left"/>
              <w:rPr>
                <w:rFonts w:hint="eastAsia" w:ascii="宋体" w:hAnsi="宋体"/>
                <w:b/>
                <w:color w:val="000000"/>
                <w:sz w:val="24"/>
                <w:highlight w:val="none"/>
              </w:rPr>
            </w:pPr>
            <w:r>
              <w:rPr>
                <w:rFonts w:hint="eastAsia" w:ascii="宋体" w:hAnsi="宋体"/>
                <w:b/>
                <w:color w:val="000000"/>
                <w:sz w:val="24"/>
                <w:highlight w:val="none"/>
              </w:rPr>
              <w:t>投标报价（1+2+</w:t>
            </w:r>
            <w:r>
              <w:rPr>
                <w:rFonts w:hint="eastAsia" w:ascii="宋体" w:hAnsi="宋体"/>
                <w:b/>
                <w:color w:val="000000"/>
                <w:sz w:val="24"/>
                <w:highlight w:val="none"/>
                <w:lang w:eastAsia="zh-CN"/>
              </w:rPr>
              <w:t>……</w:t>
            </w:r>
            <w:r>
              <w:rPr>
                <w:rFonts w:hint="eastAsia" w:ascii="宋体" w:hAnsi="宋体"/>
                <w:b/>
                <w:color w:val="000000"/>
                <w:sz w:val="24"/>
                <w:highlight w:val="none"/>
                <w:lang w:val="en-US" w:eastAsia="zh-CN"/>
              </w:rPr>
              <w:t>+41</w:t>
            </w:r>
            <w:r>
              <w:rPr>
                <w:rFonts w:hint="eastAsia" w:ascii="宋体" w:hAnsi="宋体"/>
                <w:b/>
                <w:color w:val="000000"/>
                <w:sz w:val="24"/>
                <w:highlight w:val="none"/>
              </w:rPr>
              <w:t>）：</w:t>
            </w:r>
            <w:r>
              <w:rPr>
                <w:rFonts w:hint="eastAsia" w:ascii="宋体" w:hAnsi="宋体"/>
                <w:b/>
                <w:color w:val="000000"/>
                <w:sz w:val="24"/>
                <w:highlight w:val="none"/>
                <w:u w:val="single"/>
              </w:rPr>
              <w:t xml:space="preserve">               </w:t>
            </w:r>
            <w:r>
              <w:rPr>
                <w:rFonts w:hint="eastAsia" w:ascii="宋体" w:hAnsi="宋体"/>
                <w:b/>
                <w:color w:val="000000"/>
                <w:sz w:val="24"/>
                <w:highlight w:val="none"/>
              </w:rPr>
              <w:t>元；小写：</w:t>
            </w:r>
            <w:r>
              <w:rPr>
                <w:rFonts w:hint="eastAsia" w:ascii="宋体" w:hAnsi="宋体"/>
                <w:b/>
                <w:color w:val="000000"/>
                <w:sz w:val="24"/>
                <w:highlight w:val="none"/>
                <w:u w:val="single"/>
              </w:rPr>
              <w:t xml:space="preserve">         </w:t>
            </w:r>
            <w:r>
              <w:rPr>
                <w:rFonts w:hint="eastAsia" w:ascii="宋体" w:hAnsi="宋体"/>
                <w:b/>
                <w:color w:val="000000"/>
                <w:sz w:val="24"/>
                <w:highlight w:val="none"/>
              </w:rPr>
              <w:t xml:space="preserve"> 元；（填入投标函和开标一览表）</w:t>
            </w:r>
          </w:p>
        </w:tc>
      </w:tr>
    </w:tbl>
    <w:p w14:paraId="1F7973DE">
      <w:pPr>
        <w:ind w:firstLine="420" w:firstLineChars="200"/>
        <w:jc w:val="left"/>
        <w:rPr>
          <w:rFonts w:hint="eastAsia" w:ascii="宋体" w:hAnsi="宋体" w:eastAsia="宋体" w:cs="宋体"/>
          <w:highlight w:val="none"/>
          <w:lang w:val="zh-CN"/>
        </w:rPr>
      </w:pPr>
    </w:p>
    <w:p w14:paraId="7F79E52E">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注：</w:t>
      </w:r>
    </w:p>
    <w:p w14:paraId="0ABE59ED">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1.所有投标只能选择一种方案，单价和合价的报价只能是唯一，且须列出详细的分项报价。（与采购清单</w:t>
      </w:r>
      <w:r>
        <w:rPr>
          <w:rFonts w:hint="eastAsia" w:ascii="宋体" w:hAnsi="宋体" w:eastAsia="宋体" w:cs="宋体"/>
          <w:color w:val="000000"/>
          <w:szCs w:val="21"/>
          <w:highlight w:val="none"/>
          <w:lang w:val="en-US" w:eastAsia="zh-CN"/>
        </w:rPr>
        <w:t>顺序保持</w:t>
      </w:r>
      <w:r>
        <w:rPr>
          <w:rFonts w:hint="eastAsia" w:ascii="宋体" w:hAnsi="宋体" w:eastAsia="宋体" w:cs="宋体"/>
          <w:color w:val="000000"/>
          <w:szCs w:val="21"/>
          <w:highlight w:val="none"/>
          <w:lang w:val="zh-CN"/>
        </w:rPr>
        <w:t>一致，不得缺项，否则视同包含在其他项目。）</w:t>
      </w:r>
    </w:p>
    <w:p w14:paraId="6C72360E">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en-US" w:eastAsia="zh-CN"/>
        </w:rPr>
        <w:t>2.</w:t>
      </w:r>
      <w:r>
        <w:rPr>
          <w:rFonts w:hint="eastAsia" w:ascii="宋体" w:hAnsi="宋体" w:eastAsia="宋体" w:cs="宋体"/>
          <w:color w:val="000000"/>
          <w:szCs w:val="21"/>
          <w:highlight w:val="none"/>
          <w:lang w:val="zh-CN"/>
        </w:rPr>
        <w:t>投标报价采用综合单价法，综合单价包括完成招标文件和采购配置清单要求的所有货物及相关服务内容所包含的一切应有费用。综合单价今后将不作任何调整。</w:t>
      </w:r>
    </w:p>
    <w:p w14:paraId="1918C75F">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olor w:val="000000"/>
          <w:szCs w:val="21"/>
          <w:highlight w:val="none"/>
          <w:lang w:val="en-US" w:eastAsia="zh-CN"/>
        </w:rPr>
      </w:pPr>
      <w:r>
        <w:rPr>
          <w:rFonts w:hint="eastAsia" w:ascii="宋体" w:hAnsi="宋体" w:eastAsia="宋体" w:cs="宋体"/>
          <w:color w:val="000000"/>
          <w:szCs w:val="21"/>
          <w:highlight w:val="none"/>
          <w:lang w:val="en-US" w:eastAsia="zh-CN"/>
        </w:rPr>
        <w:t>3.投标文件中须提供上述采购清单中所有所投产品的图样资料，未提供的按无效投标处理。（供货时投标产品的主要参数以图片厂家对外发布的参数为准）。</w:t>
      </w:r>
    </w:p>
    <w:p w14:paraId="27CD212C">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4.上述清单中第1-22项须在投标文件中提供消防产品3C认证证书扫描件，未提供或提供不全的按无效投标处理。</w:t>
      </w:r>
    </w:p>
    <w:p w14:paraId="77A4DCA6">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5.上述清单中第20项“消防头盔”、21“消防手套”、22项“消防员灭火防护靴”均须在投标文件中提供国家消防装备质量监督检验中心的型式检验报告及消防产品3C认证证书扫描件，未提供或提供不全的按无效投标处理。</w:t>
      </w:r>
    </w:p>
    <w:p w14:paraId="7C85D6D8">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6</w:t>
      </w:r>
      <w:r>
        <w:rPr>
          <w:rFonts w:hint="eastAsia" w:ascii="宋体" w:hAnsi="宋体" w:eastAsia="宋体" w:cs="宋体"/>
          <w:color w:val="000000"/>
          <w:szCs w:val="21"/>
          <w:highlight w:val="none"/>
          <w:lang w:val="en-US" w:eastAsia="zh-CN"/>
        </w:rPr>
        <w:t>.采购清单</w:t>
      </w:r>
      <w:r>
        <w:rPr>
          <w:rFonts w:hint="eastAsia" w:ascii="宋体" w:hAnsi="宋体" w:eastAsia="宋体" w:cs="宋体"/>
          <w:color w:val="000000"/>
          <w:szCs w:val="21"/>
          <w:highlight w:val="none"/>
          <w:lang w:val="zh-CN" w:eastAsia="zh-CN"/>
        </w:rPr>
        <w:t>数量为预估数量，实际采购数量以签订合同后招标人每次下达的《订货通知单》为准，</w:t>
      </w:r>
      <w:r>
        <w:rPr>
          <w:rFonts w:hint="eastAsia" w:ascii="宋体" w:hAnsi="宋体" w:eastAsia="宋体" w:cs="宋体"/>
          <w:color w:val="000000"/>
          <w:szCs w:val="21"/>
          <w:highlight w:val="none"/>
          <w:lang w:val="en-US" w:eastAsia="zh-CN"/>
        </w:rPr>
        <w:t>并按实结算。</w:t>
      </w:r>
    </w:p>
    <w:p w14:paraId="07064554">
      <w:pPr>
        <w:spacing w:line="360" w:lineRule="auto"/>
        <w:rPr>
          <w:rFonts w:hint="eastAsia" w:ascii="宋体"/>
          <w:color w:val="auto"/>
          <w:sz w:val="24"/>
          <w:highlight w:val="none"/>
        </w:rPr>
      </w:pPr>
    </w:p>
    <w:p w14:paraId="17014994">
      <w:pPr>
        <w:spacing w:line="360" w:lineRule="auto"/>
        <w:rPr>
          <w:rFonts w:hint="eastAsia" w:ascii="宋体"/>
          <w:color w:val="auto"/>
          <w:sz w:val="24"/>
          <w:highlight w:val="none"/>
        </w:rPr>
      </w:pPr>
      <w:r>
        <w:rPr>
          <w:rFonts w:hint="eastAsia" w:ascii="宋体"/>
          <w:color w:val="auto"/>
          <w:sz w:val="24"/>
          <w:highlight w:val="none"/>
        </w:rPr>
        <w:t>投标人名称（签章）：</w:t>
      </w:r>
      <w:r>
        <w:rPr>
          <w:rFonts w:hint="eastAsia" w:ascii="宋体"/>
          <w:color w:val="auto"/>
          <w:sz w:val="24"/>
          <w:highlight w:val="none"/>
          <w:u w:val="single"/>
        </w:rPr>
        <w:t xml:space="preserve">                                </w:t>
      </w:r>
    </w:p>
    <w:p w14:paraId="21ECCF4B">
      <w:pPr>
        <w:spacing w:line="360" w:lineRule="auto"/>
        <w:rPr>
          <w:rFonts w:hint="eastAsia" w:ascii="宋体"/>
          <w:color w:val="auto"/>
          <w:sz w:val="24"/>
          <w:highlight w:val="none"/>
        </w:rPr>
      </w:pPr>
      <w:r>
        <w:rPr>
          <w:rFonts w:hint="eastAsia" w:ascii="宋体"/>
          <w:color w:val="auto"/>
          <w:sz w:val="24"/>
          <w:highlight w:val="none"/>
        </w:rPr>
        <w:t>法定代表人 (签章)：</w:t>
      </w:r>
      <w:r>
        <w:rPr>
          <w:rFonts w:hint="eastAsia" w:ascii="宋体"/>
          <w:color w:val="auto"/>
          <w:sz w:val="24"/>
          <w:highlight w:val="none"/>
          <w:u w:val="single"/>
        </w:rPr>
        <w:t xml:space="preserve">                          </w:t>
      </w:r>
    </w:p>
    <w:p w14:paraId="622227D7">
      <w:pPr>
        <w:spacing w:line="360" w:lineRule="auto"/>
        <w:rPr>
          <w:rFonts w:hint="eastAsia" w:ascii="宋体"/>
          <w:color w:val="auto"/>
          <w:sz w:val="24"/>
          <w:highlight w:val="none"/>
        </w:rPr>
      </w:pPr>
      <w:r>
        <w:rPr>
          <w:rFonts w:hint="eastAsia" w:ascii="宋体"/>
          <w:color w:val="auto"/>
          <w:sz w:val="24"/>
          <w:highlight w:val="none"/>
        </w:rPr>
        <w:t>日    期：</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42594BBE">
      <w:pPr>
        <w:rPr>
          <w:rFonts w:ascii="宋体" w:hAnsi="宋体" w:eastAsia="宋体" w:cs="宋体"/>
          <w:sz w:val="28"/>
          <w:szCs w:val="28"/>
          <w:highlight w:val="none"/>
        </w:rPr>
      </w:pPr>
      <w:r>
        <w:rPr>
          <w:rFonts w:hint="eastAsia" w:ascii="宋体" w:hAnsi="宋体" w:eastAsia="宋体" w:cs="宋体"/>
          <w:b/>
          <w:sz w:val="28"/>
          <w:szCs w:val="28"/>
          <w:highlight w:val="none"/>
          <w:lang w:bidi="ar"/>
        </w:rPr>
        <w:br w:type="page"/>
      </w:r>
      <w:r>
        <w:rPr>
          <w:rFonts w:hint="eastAsia" w:ascii="宋体" w:hAnsi="宋体" w:eastAsia="宋体" w:cs="宋体"/>
          <w:b/>
          <w:sz w:val="28"/>
          <w:szCs w:val="28"/>
          <w:highlight w:val="none"/>
          <w:lang w:bidi="ar"/>
        </w:rPr>
        <w:t>附件</w:t>
      </w:r>
      <w:r>
        <w:rPr>
          <w:rFonts w:ascii="Times New Roman" w:hAnsi="Times New Roman" w:eastAsia="宋体" w:cs="Times New Roman"/>
          <w:b/>
          <w:sz w:val="28"/>
          <w:szCs w:val="28"/>
          <w:highlight w:val="none"/>
          <w:lang w:bidi="ar"/>
        </w:rPr>
        <w:t>1</w:t>
      </w:r>
    </w:p>
    <w:p w14:paraId="3FE8D6D5">
      <w:pPr>
        <w:jc w:val="center"/>
        <w:rPr>
          <w:rFonts w:hint="eastAsia" w:ascii="宋体" w:hAnsi="宋体" w:eastAsia="宋体" w:cs="宋体"/>
          <w:b/>
          <w:sz w:val="28"/>
          <w:szCs w:val="28"/>
          <w:highlight w:val="none"/>
          <w:lang w:bidi="ar"/>
        </w:rPr>
      </w:pPr>
      <w:r>
        <w:rPr>
          <w:rFonts w:hint="eastAsia" w:ascii="宋体" w:hAnsi="宋体" w:eastAsia="宋体" w:cs="宋体"/>
          <w:b/>
          <w:sz w:val="28"/>
          <w:szCs w:val="28"/>
          <w:highlight w:val="none"/>
          <w:lang w:bidi="ar"/>
        </w:rPr>
        <w:t>关于联合惩戒失信行为加强信用查询管理的通知</w:t>
      </w:r>
    </w:p>
    <w:p w14:paraId="377370DB">
      <w:pPr>
        <w:adjustRightInd w:val="0"/>
        <w:snapToGrid w:val="0"/>
        <w:spacing w:line="56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一、失信行为联合惩戒的范围和查询渠道</w:t>
      </w:r>
    </w:p>
    <w:p w14:paraId="67CA435E">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在我市公共资源交易活动中对存在下列失信行为的投标人、法定代表人及其项目经理（建造师）实施联合惩戒，禁止参与我市公共资源交易活动。</w:t>
      </w:r>
    </w:p>
    <w:p w14:paraId="46A456C5">
      <w:pPr>
        <w:adjustRightInd w:val="0"/>
        <w:snapToGrid w:val="0"/>
        <w:spacing w:line="56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（一）工程建设项目</w:t>
      </w:r>
    </w:p>
    <w:p w14:paraId="684DA7A2">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1、“信用中国”网站（www.creditchina.gov.cn）查询</w:t>
      </w:r>
      <w:bookmarkStart w:id="124" w:name="OLE_LINK91"/>
      <w:bookmarkStart w:id="125" w:name="OLE_LINK103"/>
      <w:bookmarkStart w:id="126" w:name="OLE_LINK92"/>
      <w:bookmarkStart w:id="127" w:name="OLE_LINK93"/>
      <w:r>
        <w:rPr>
          <w:rFonts w:hint="eastAsia" w:ascii="宋体" w:hAnsi="宋体" w:eastAsia="宋体" w:cs="宋体"/>
          <w:color w:val="000000"/>
          <w:sz w:val="24"/>
          <w:szCs w:val="24"/>
          <w:highlight w:val="none"/>
        </w:rPr>
        <w:t>投标人、法定代表人及其项目经理(建造师)</w:t>
      </w:r>
      <w:bookmarkEnd w:id="124"/>
      <w:bookmarkEnd w:id="125"/>
      <w:bookmarkEnd w:id="126"/>
      <w:bookmarkEnd w:id="127"/>
      <w:r>
        <w:rPr>
          <w:rFonts w:hint="eastAsia" w:ascii="宋体" w:hAnsi="宋体" w:eastAsia="宋体" w:cs="宋体"/>
          <w:color w:val="000000"/>
          <w:sz w:val="24"/>
          <w:szCs w:val="24"/>
          <w:highlight w:val="none"/>
        </w:rPr>
        <w:t>以下失信行为：</w:t>
      </w:r>
    </w:p>
    <w:p w14:paraId="5D331604">
      <w:pPr>
        <w:adjustRightInd w:val="0"/>
        <w:snapToGrid w:val="0"/>
        <w:spacing w:line="560" w:lineRule="exact"/>
        <w:ind w:firstLine="480" w:firstLineChars="200"/>
        <w:rPr>
          <w:rFonts w:hint="eastAsia" w:ascii="宋体" w:hAnsi="宋体" w:eastAsia="宋体" w:cs="宋体"/>
          <w:color w:val="000000"/>
          <w:sz w:val="24"/>
          <w:szCs w:val="24"/>
          <w:highlight w:val="none"/>
        </w:rPr>
      </w:pPr>
      <w:bookmarkStart w:id="128" w:name="OLE_LINK87"/>
      <w:bookmarkStart w:id="129" w:name="OLE_LINK86"/>
      <w:bookmarkStart w:id="130" w:name="OLE_LINK119"/>
      <w:bookmarkStart w:id="131" w:name="OLE_LINK94"/>
      <w:bookmarkStart w:id="132" w:name="OLE_LINK3"/>
      <w:r>
        <w:rPr>
          <w:rFonts w:hint="eastAsia" w:ascii="宋体" w:hAnsi="宋体" w:eastAsia="宋体" w:cs="宋体"/>
          <w:color w:val="000000"/>
          <w:sz w:val="24"/>
          <w:szCs w:val="24"/>
          <w:highlight w:val="none"/>
        </w:rPr>
        <w:t>①被列入“失信被执行人”的;</w:t>
      </w:r>
    </w:p>
    <w:p w14:paraId="785D2E29">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②被列入</w:t>
      </w:r>
      <w:bookmarkStart w:id="133" w:name="OLE_LINK115"/>
      <w:bookmarkStart w:id="134" w:name="OLE_LINK116"/>
      <w:bookmarkStart w:id="135" w:name="OLE_LINK118"/>
      <w:bookmarkStart w:id="136" w:name="OLE_LINK117"/>
      <w:r>
        <w:rPr>
          <w:rFonts w:hint="eastAsia" w:ascii="宋体" w:hAnsi="宋体" w:eastAsia="宋体" w:cs="宋体"/>
          <w:color w:val="000000"/>
          <w:sz w:val="24"/>
          <w:szCs w:val="24"/>
          <w:highlight w:val="none"/>
        </w:rPr>
        <w:t>“重大税收违法失信主体”</w:t>
      </w:r>
      <w:bookmarkEnd w:id="133"/>
      <w:bookmarkEnd w:id="134"/>
      <w:bookmarkEnd w:id="135"/>
      <w:bookmarkEnd w:id="136"/>
      <w:r>
        <w:rPr>
          <w:rFonts w:hint="eastAsia" w:ascii="宋体" w:hAnsi="宋体" w:eastAsia="宋体" w:cs="宋体"/>
          <w:color w:val="000000"/>
          <w:sz w:val="24"/>
          <w:szCs w:val="24"/>
          <w:highlight w:val="none"/>
        </w:rPr>
        <w:t>的；</w:t>
      </w:r>
    </w:p>
    <w:p w14:paraId="40B36B90">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③被列入“拖欠</w:t>
      </w:r>
      <w:bookmarkStart w:id="137" w:name="OLE_LINK84"/>
      <w:bookmarkStart w:id="138" w:name="OLE_LINK85"/>
      <w:r>
        <w:rPr>
          <w:rFonts w:hint="eastAsia" w:ascii="宋体" w:hAnsi="宋体" w:eastAsia="宋体" w:cs="宋体"/>
          <w:color w:val="000000"/>
          <w:sz w:val="24"/>
          <w:szCs w:val="24"/>
          <w:highlight w:val="none"/>
        </w:rPr>
        <w:t>农民工工资失信联合惩戒对象</w:t>
      </w:r>
      <w:bookmarkEnd w:id="137"/>
      <w:bookmarkEnd w:id="138"/>
      <w:r>
        <w:rPr>
          <w:rFonts w:hint="eastAsia" w:ascii="宋体" w:hAnsi="宋体" w:eastAsia="宋体" w:cs="宋体"/>
          <w:color w:val="000000"/>
          <w:sz w:val="24"/>
          <w:szCs w:val="24"/>
          <w:highlight w:val="none"/>
        </w:rPr>
        <w:t>名单”的；</w:t>
      </w:r>
    </w:p>
    <w:p w14:paraId="31B14D6F">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④被列入 “严重失信主体名单”的；</w:t>
      </w:r>
    </w:p>
    <w:p w14:paraId="1A4515D1">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⑤在“信用中国”网站上披露的仍在公示期的严重失信行为(具体行为类别及判定依据见附件2)的。</w:t>
      </w:r>
    </w:p>
    <w:bookmarkEnd w:id="128"/>
    <w:bookmarkEnd w:id="129"/>
    <w:bookmarkEnd w:id="130"/>
    <w:bookmarkEnd w:id="131"/>
    <w:bookmarkEnd w:id="132"/>
    <w:p w14:paraId="514702BF">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w:t>
      </w:r>
      <w:bookmarkStart w:id="139" w:name="OLE_LINK130"/>
      <w:r>
        <w:rPr>
          <w:rFonts w:hint="eastAsia" w:ascii="宋体" w:hAnsi="宋体" w:eastAsia="宋体" w:cs="宋体"/>
          <w:color w:val="000000"/>
          <w:sz w:val="24"/>
          <w:szCs w:val="24"/>
          <w:highlight w:val="none"/>
        </w:rPr>
        <w:t>国家企业信用信息公示系统网站</w:t>
      </w:r>
      <w:bookmarkEnd w:id="139"/>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"http://www.gsxt.gov.cn）查询" </w:instrText>
      </w:r>
      <w:r>
        <w:rPr>
          <w:rFonts w:hint="eastAsia" w:ascii="宋体" w:hAnsi="宋体" w:eastAsia="宋体" w:cs="宋体"/>
          <w:sz w:val="24"/>
          <w:szCs w:val="24"/>
          <w:highlight w:val="none"/>
        </w:rPr>
        <w:fldChar w:fldCharType="separate"/>
      </w:r>
      <w:bookmarkStart w:id="140" w:name="OLE_LINK89"/>
      <w:bookmarkStart w:id="141" w:name="OLE_LINK90"/>
      <w:r>
        <w:rPr>
          <w:rStyle w:val="47"/>
          <w:rFonts w:hint="eastAsia" w:ascii="宋体" w:hAnsi="宋体" w:eastAsia="宋体" w:cs="宋体"/>
          <w:color w:val="000000"/>
          <w:sz w:val="24"/>
          <w:szCs w:val="24"/>
          <w:highlight w:val="none"/>
        </w:rPr>
        <w:t>www.gsxt.gov.cn</w:t>
      </w:r>
      <w:bookmarkEnd w:id="140"/>
      <w:bookmarkEnd w:id="141"/>
      <w:r>
        <w:rPr>
          <w:rStyle w:val="47"/>
          <w:rFonts w:hint="eastAsia" w:ascii="宋体" w:hAnsi="宋体" w:eastAsia="宋体" w:cs="宋体"/>
          <w:color w:val="000000"/>
          <w:sz w:val="24"/>
          <w:szCs w:val="24"/>
          <w:highlight w:val="none"/>
        </w:rPr>
        <w:t>）</w:t>
      </w:r>
      <w:r>
        <w:rPr>
          <w:rStyle w:val="47"/>
          <w:rFonts w:hint="eastAsia" w:ascii="宋体" w:hAnsi="宋体" w:eastAsia="宋体" w:cs="宋体"/>
          <w:color w:val="000000"/>
          <w:sz w:val="24"/>
          <w:szCs w:val="24"/>
          <w:highlight w:val="none"/>
        </w:rPr>
        <w:fldChar w:fldCharType="end"/>
      </w:r>
      <w:r>
        <w:rPr>
          <w:rFonts w:hint="eastAsia" w:ascii="宋体" w:hAnsi="宋体" w:eastAsia="宋体" w:cs="宋体"/>
          <w:color w:val="000000"/>
          <w:sz w:val="24"/>
          <w:szCs w:val="24"/>
          <w:highlight w:val="none"/>
        </w:rPr>
        <w:t>查询投标人以下失信行为：</w:t>
      </w:r>
    </w:p>
    <w:p w14:paraId="39607222">
      <w:pPr>
        <w:adjustRightInd w:val="0"/>
        <w:snapToGrid w:val="0"/>
        <w:spacing w:line="560" w:lineRule="exact"/>
        <w:ind w:firstLine="480" w:firstLineChars="200"/>
        <w:rPr>
          <w:rFonts w:hint="eastAsia" w:ascii="宋体" w:hAnsi="宋体" w:eastAsia="宋体" w:cs="宋体"/>
          <w:color w:val="000000"/>
          <w:sz w:val="24"/>
          <w:szCs w:val="24"/>
          <w:highlight w:val="none"/>
        </w:rPr>
      </w:pPr>
      <w:bookmarkStart w:id="142" w:name="OLE_LINK122"/>
      <w:bookmarkStart w:id="143" w:name="OLE_LINK120"/>
      <w:bookmarkStart w:id="144" w:name="OLE_LINK121"/>
      <w:r>
        <w:rPr>
          <w:rFonts w:hint="eastAsia" w:ascii="宋体" w:hAnsi="宋体" w:eastAsia="宋体" w:cs="宋体"/>
          <w:color w:val="000000"/>
          <w:sz w:val="24"/>
          <w:szCs w:val="24"/>
          <w:highlight w:val="none"/>
        </w:rPr>
        <w:t>①</w:t>
      </w:r>
      <w:bookmarkStart w:id="145" w:name="OLE_LINK114"/>
      <w:bookmarkStart w:id="146" w:name="OLE_LINK113"/>
      <w:r>
        <w:rPr>
          <w:rFonts w:hint="eastAsia" w:ascii="宋体" w:hAnsi="宋体" w:eastAsia="宋体" w:cs="宋体"/>
          <w:color w:val="000000"/>
          <w:sz w:val="24"/>
          <w:szCs w:val="24"/>
          <w:highlight w:val="none"/>
        </w:rPr>
        <w:t>被列入“经营异常名录”或者“严重违法失信名单”的</w:t>
      </w:r>
      <w:bookmarkEnd w:id="145"/>
      <w:bookmarkEnd w:id="146"/>
      <w:r>
        <w:rPr>
          <w:rFonts w:hint="eastAsia" w:ascii="宋体" w:hAnsi="宋体" w:eastAsia="宋体" w:cs="宋体"/>
          <w:color w:val="000000"/>
          <w:sz w:val="24"/>
          <w:szCs w:val="24"/>
          <w:highlight w:val="none"/>
        </w:rPr>
        <w:t>。</w:t>
      </w:r>
      <w:bookmarkEnd w:id="142"/>
      <w:bookmarkEnd w:id="143"/>
      <w:bookmarkEnd w:id="144"/>
    </w:p>
    <w:p w14:paraId="1594F921">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3、由</w:t>
      </w:r>
      <w:r>
        <w:rPr>
          <w:rFonts w:hint="eastAsia" w:ascii="宋体" w:hAnsi="宋体" w:eastAsia="宋体" w:cs="宋体"/>
          <w:color w:val="000000"/>
          <w:kern w:val="0"/>
          <w:sz w:val="24"/>
          <w:szCs w:val="24"/>
          <w:highlight w:val="none"/>
        </w:rPr>
        <w:t>投标人、法定代表人及其项目经理(建造师)</w:t>
      </w:r>
      <w:r>
        <w:rPr>
          <w:rFonts w:hint="eastAsia" w:ascii="宋体" w:hAnsi="宋体" w:eastAsia="宋体" w:cs="宋体"/>
          <w:color w:val="000000"/>
          <w:sz w:val="24"/>
          <w:szCs w:val="24"/>
          <w:highlight w:val="none"/>
        </w:rPr>
        <w:t>进行承诺，不进行现场网上信用查询的失信行为：</w:t>
      </w:r>
    </w:p>
    <w:p w14:paraId="7A0E8889">
      <w:pPr>
        <w:adjustRightInd w:val="0"/>
        <w:snapToGrid w:val="0"/>
        <w:spacing w:line="560" w:lineRule="exact"/>
        <w:ind w:firstLine="480" w:firstLineChars="200"/>
        <w:rPr>
          <w:rFonts w:hint="eastAsia" w:ascii="宋体" w:hAnsi="宋体" w:eastAsia="宋体" w:cs="宋体"/>
          <w:color w:val="000000"/>
          <w:sz w:val="24"/>
          <w:szCs w:val="24"/>
          <w:highlight w:val="none"/>
        </w:rPr>
      </w:pPr>
      <w:bookmarkStart w:id="147" w:name="OLE_LINK123"/>
      <w:bookmarkStart w:id="148" w:name="OLE_LINK124"/>
      <w:r>
        <w:rPr>
          <w:rFonts w:hint="eastAsia" w:ascii="宋体" w:hAnsi="宋体" w:eastAsia="宋体" w:cs="宋体"/>
          <w:color w:val="000000"/>
          <w:sz w:val="24"/>
          <w:szCs w:val="24"/>
          <w:highlight w:val="none"/>
        </w:rPr>
        <w:t>①前三年有行贿犯罪行为的单位和个人；</w:t>
      </w:r>
    </w:p>
    <w:p w14:paraId="792F9E18">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②被滁州市县两级公管部门取消在一定期限内的投标资格且在取消期限内的；</w:t>
      </w:r>
    </w:p>
    <w:p w14:paraId="25E79BFB">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③被滁州市县两级各行业主管部门取消在一定期限内的投标资格且在取消期限内的；</w:t>
      </w:r>
    </w:p>
    <w:p w14:paraId="092FB819">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④因拖欠农民工工资被</w:t>
      </w:r>
      <w:bookmarkStart w:id="149" w:name="OLE_LINK107"/>
      <w:bookmarkStart w:id="150" w:name="OLE_LINK108"/>
      <w:r>
        <w:rPr>
          <w:rFonts w:hint="eastAsia" w:ascii="宋体" w:hAnsi="宋体" w:eastAsia="宋体" w:cs="宋体"/>
          <w:color w:val="000000"/>
          <w:sz w:val="24"/>
          <w:szCs w:val="24"/>
          <w:highlight w:val="none"/>
        </w:rPr>
        <w:t>县级及以上有关行政主管部门限制投标资格且在限制期限内的</w:t>
      </w:r>
      <w:bookmarkEnd w:id="149"/>
      <w:bookmarkEnd w:id="150"/>
      <w:r>
        <w:rPr>
          <w:rFonts w:hint="eastAsia" w:ascii="宋体" w:hAnsi="宋体" w:eastAsia="宋体" w:cs="宋体"/>
          <w:color w:val="000000"/>
          <w:sz w:val="24"/>
          <w:szCs w:val="24"/>
          <w:highlight w:val="none"/>
        </w:rPr>
        <w:t>；</w:t>
      </w:r>
    </w:p>
    <w:p w14:paraId="38294255">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bookmarkEnd w:id="147"/>
    <w:bookmarkEnd w:id="148"/>
    <w:p w14:paraId="30E05EAF">
      <w:pPr>
        <w:adjustRightInd w:val="0"/>
        <w:snapToGrid w:val="0"/>
        <w:spacing w:line="56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（二）政府采购项目</w:t>
      </w:r>
    </w:p>
    <w:p w14:paraId="4FEAACC6">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1、“信用中国”网站（</w:t>
      </w:r>
      <w:r>
        <w:rPr>
          <w:rStyle w:val="47"/>
          <w:rFonts w:hint="eastAsia" w:ascii="宋体" w:hAnsi="宋体" w:eastAsia="宋体" w:cs="宋体"/>
          <w:color w:val="000000"/>
          <w:sz w:val="24"/>
          <w:szCs w:val="24"/>
          <w:highlight w:val="none"/>
        </w:rPr>
        <w:t>www.creditchina.gov.cn</w:t>
      </w:r>
      <w:r>
        <w:rPr>
          <w:rFonts w:hint="eastAsia" w:ascii="宋体" w:hAnsi="宋体" w:eastAsia="宋体" w:cs="宋体"/>
          <w:color w:val="000000"/>
          <w:sz w:val="24"/>
          <w:szCs w:val="24"/>
          <w:highlight w:val="none"/>
        </w:rPr>
        <w:t>）查询供应商、法定代表人及其项目负责人以下失信行为：</w:t>
      </w:r>
    </w:p>
    <w:p w14:paraId="11D2913A">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①被列入“失信被执行人”的;</w:t>
      </w:r>
    </w:p>
    <w:p w14:paraId="6D0CCDD2">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②被列入“重大税收违法失信主体”的；</w:t>
      </w:r>
    </w:p>
    <w:p w14:paraId="0300780E">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③被列入 “严重失信主体名单”的；</w:t>
      </w:r>
    </w:p>
    <w:p w14:paraId="4D86B8B5">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④在“信用中国”网站上披露的仍在公示期的严重失信行为(具体行为类别及判定依据见附件2)的。</w:t>
      </w:r>
    </w:p>
    <w:p w14:paraId="4727CC61">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2、国家企业信用信息公示系统网站（</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"http://www.gsxt.gov.cn）查询" </w:instrText>
      </w:r>
      <w:r>
        <w:rPr>
          <w:rFonts w:hint="eastAsia" w:ascii="宋体" w:hAnsi="宋体" w:eastAsia="宋体" w:cs="宋体"/>
          <w:sz w:val="24"/>
          <w:szCs w:val="24"/>
          <w:highlight w:val="none"/>
        </w:rPr>
        <w:fldChar w:fldCharType="separate"/>
      </w:r>
      <w:r>
        <w:rPr>
          <w:rFonts w:hint="eastAsia" w:ascii="宋体" w:hAnsi="宋体" w:eastAsia="宋体" w:cs="宋体"/>
          <w:color w:val="000000"/>
          <w:sz w:val="24"/>
          <w:szCs w:val="24"/>
          <w:highlight w:val="none"/>
        </w:rPr>
        <w:t>www.gsxt.gov.cn）</w:t>
      </w:r>
      <w:r>
        <w:rPr>
          <w:rFonts w:hint="eastAsia" w:ascii="宋体" w:hAnsi="宋体" w:eastAsia="宋体" w:cs="宋体"/>
          <w:color w:val="000000"/>
          <w:sz w:val="24"/>
          <w:szCs w:val="24"/>
          <w:highlight w:val="none"/>
        </w:rPr>
        <w:fldChar w:fldCharType="end"/>
      </w:r>
      <w:r>
        <w:rPr>
          <w:rFonts w:hint="eastAsia" w:ascii="宋体" w:hAnsi="宋体" w:eastAsia="宋体" w:cs="宋体"/>
          <w:color w:val="000000"/>
          <w:sz w:val="24"/>
          <w:szCs w:val="24"/>
          <w:highlight w:val="none"/>
        </w:rPr>
        <w:t>查询供应商以下失信行为：</w:t>
      </w:r>
    </w:p>
    <w:p w14:paraId="636F79A7">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w:t>
      </w:r>
      <w:bookmarkStart w:id="151" w:name="OLE_LINK101"/>
      <w:bookmarkStart w:id="152" w:name="OLE_LINK102"/>
      <w:bookmarkStart w:id="153" w:name="OLE_LINK100"/>
      <w:r>
        <w:rPr>
          <w:rFonts w:hint="eastAsia" w:ascii="宋体" w:hAnsi="宋体" w:eastAsia="宋体" w:cs="宋体"/>
          <w:color w:val="000000"/>
          <w:sz w:val="24"/>
          <w:szCs w:val="24"/>
          <w:highlight w:val="none"/>
        </w:rPr>
        <w:t>被列入“经营异常名录”或者“严重违法失信名单”的</w:t>
      </w:r>
      <w:bookmarkEnd w:id="151"/>
      <w:bookmarkEnd w:id="152"/>
      <w:bookmarkEnd w:id="153"/>
      <w:r>
        <w:rPr>
          <w:rFonts w:hint="eastAsia" w:ascii="宋体" w:hAnsi="宋体" w:eastAsia="宋体" w:cs="宋体"/>
          <w:color w:val="000000"/>
          <w:sz w:val="24"/>
          <w:szCs w:val="24"/>
          <w:highlight w:val="none"/>
        </w:rPr>
        <w:t>。</w:t>
      </w:r>
    </w:p>
    <w:p w14:paraId="76B68BCE">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3、中国政府采购网站（</w:t>
      </w:r>
      <w:bookmarkStart w:id="154" w:name="OLE_LINK96"/>
      <w:bookmarkStart w:id="155" w:name="OLE_LINK95"/>
      <w:r>
        <w:rPr>
          <w:rFonts w:hint="eastAsia" w:ascii="宋体" w:hAnsi="宋体" w:eastAsia="宋体" w:cs="宋体"/>
          <w:color w:val="000000"/>
          <w:sz w:val="24"/>
          <w:szCs w:val="24"/>
          <w:highlight w:val="none"/>
        </w:rPr>
        <w:fldChar w:fldCharType="begin"/>
      </w:r>
      <w:r>
        <w:rPr>
          <w:rFonts w:hint="eastAsia" w:ascii="宋体" w:hAnsi="宋体" w:eastAsia="宋体" w:cs="宋体"/>
          <w:color w:val="000000"/>
          <w:sz w:val="24"/>
          <w:szCs w:val="24"/>
          <w:highlight w:val="none"/>
        </w:rPr>
        <w:instrText xml:space="preserve"> HYPERLINK "http://www.ccgp.gov.cn" </w:instrText>
      </w:r>
      <w:r>
        <w:rPr>
          <w:rFonts w:hint="eastAsia" w:ascii="宋体" w:hAnsi="宋体" w:eastAsia="宋体" w:cs="宋体"/>
          <w:color w:val="000000"/>
          <w:sz w:val="24"/>
          <w:szCs w:val="24"/>
          <w:highlight w:val="none"/>
        </w:rPr>
        <w:fldChar w:fldCharType="separate"/>
      </w:r>
      <w:r>
        <w:rPr>
          <w:rFonts w:hint="eastAsia" w:ascii="宋体" w:hAnsi="宋体" w:eastAsia="宋体" w:cs="宋体"/>
          <w:color w:val="000000"/>
          <w:sz w:val="24"/>
          <w:szCs w:val="24"/>
          <w:highlight w:val="none"/>
        </w:rPr>
        <w:t>www.ccgp.gov.cn</w:t>
      </w:r>
      <w:r>
        <w:rPr>
          <w:rFonts w:hint="eastAsia" w:ascii="宋体" w:hAnsi="宋体" w:eastAsia="宋体" w:cs="宋体"/>
          <w:color w:val="000000"/>
          <w:sz w:val="24"/>
          <w:szCs w:val="24"/>
          <w:highlight w:val="none"/>
        </w:rPr>
        <w:fldChar w:fldCharType="end"/>
      </w:r>
      <w:bookmarkEnd w:id="154"/>
      <w:bookmarkEnd w:id="155"/>
      <w:r>
        <w:rPr>
          <w:rFonts w:hint="eastAsia" w:ascii="宋体" w:hAnsi="宋体" w:eastAsia="宋体" w:cs="宋体"/>
          <w:color w:val="000000"/>
          <w:sz w:val="24"/>
          <w:szCs w:val="24"/>
          <w:highlight w:val="none"/>
        </w:rPr>
        <w:t>）查询以下失信行为：</w:t>
      </w:r>
    </w:p>
    <w:p w14:paraId="65CEF089">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w:t>
      </w:r>
      <w:bookmarkStart w:id="156" w:name="OLE_LINK104"/>
      <w:bookmarkStart w:id="157" w:name="OLE_LINK105"/>
      <w:bookmarkStart w:id="158" w:name="OLE_LINK106"/>
      <w:r>
        <w:rPr>
          <w:rFonts w:hint="eastAsia" w:ascii="宋体" w:hAnsi="宋体" w:eastAsia="宋体" w:cs="宋体"/>
          <w:color w:val="000000"/>
          <w:sz w:val="24"/>
          <w:szCs w:val="24"/>
          <w:highlight w:val="none"/>
        </w:rPr>
        <w:t>被列入“政府采购严重违法失信行为信息记录”的</w:t>
      </w:r>
      <w:bookmarkEnd w:id="156"/>
      <w:bookmarkEnd w:id="157"/>
      <w:bookmarkEnd w:id="158"/>
      <w:r>
        <w:rPr>
          <w:rFonts w:hint="eastAsia" w:ascii="宋体" w:hAnsi="宋体" w:eastAsia="宋体" w:cs="宋体"/>
          <w:color w:val="000000"/>
          <w:sz w:val="24"/>
          <w:szCs w:val="24"/>
          <w:highlight w:val="none"/>
        </w:rPr>
        <w:t>。</w:t>
      </w:r>
    </w:p>
    <w:p w14:paraId="2B856987">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4、由竞争主体进行承诺，不进行现场网上信用查询的失信行为：</w:t>
      </w:r>
    </w:p>
    <w:p w14:paraId="491AB8BF">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①前三年有行贿犯罪行为的单位和个人。</w:t>
      </w:r>
    </w:p>
    <w:p w14:paraId="09E603E8">
      <w:pPr>
        <w:adjustRightInd w:val="0"/>
        <w:snapToGrid w:val="0"/>
        <w:spacing w:line="56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二、在开评标活动中的查询程序</w:t>
      </w:r>
    </w:p>
    <w:p w14:paraId="15F96AD9">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28DF2173">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626AB75">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3、项目单位及其委托的代理机构应当做好信用查询结果截图和记录留存。</w:t>
      </w:r>
    </w:p>
    <w:p w14:paraId="5C177549">
      <w:pPr>
        <w:adjustRightInd w:val="0"/>
        <w:snapToGrid w:val="0"/>
        <w:spacing w:line="56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三、相关要求</w:t>
      </w:r>
    </w:p>
    <w:p w14:paraId="05595984">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1、参与公共资源交易活动的竞争主体根据上述范围查询的内容进行自查并承诺，出具《诚信投标承诺书》（诚信投标承诺书包括但不限于上述自查并承诺内容）并注明承诺日期（投标截止时间前5日内）。</w:t>
      </w:r>
    </w:p>
    <w:p w14:paraId="6F60E221">
      <w:pPr>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0D839B5A">
      <w:pPr>
        <w:wordWrap w:val="0"/>
        <w:adjustRightInd w:val="0"/>
        <w:snapToGrid w:val="0"/>
        <w:spacing w:line="56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"https://credit.ah.gov.cn/xinyong-fuwu/xvbahv/index.html" </w:instrText>
      </w:r>
      <w:r>
        <w:rPr>
          <w:rFonts w:hint="eastAsia" w:ascii="宋体" w:hAnsi="宋体" w:eastAsia="宋体" w:cs="宋体"/>
          <w:sz w:val="24"/>
          <w:szCs w:val="24"/>
          <w:highlight w:val="none"/>
        </w:rPr>
        <w:fldChar w:fldCharType="separate"/>
      </w:r>
      <w:r>
        <w:rPr>
          <w:rFonts w:hint="eastAsia" w:ascii="宋体" w:hAnsi="宋体" w:eastAsia="宋体" w:cs="宋体"/>
          <w:color w:val="000000"/>
          <w:sz w:val="24"/>
          <w:szCs w:val="24"/>
          <w:highlight w:val="none"/>
        </w:rPr>
        <w:t>https://credit.ah.gov.cn/xinyong-fuwu/xvbahv/index.html</w:t>
      </w:r>
      <w:r>
        <w:rPr>
          <w:rFonts w:hint="eastAsia" w:ascii="宋体" w:hAnsi="宋体" w:eastAsia="宋体" w:cs="宋体"/>
          <w:color w:val="000000"/>
          <w:sz w:val="24"/>
          <w:szCs w:val="24"/>
          <w:highlight w:val="none"/>
        </w:rPr>
        <w:fldChar w:fldCharType="end"/>
      </w:r>
      <w:r>
        <w:rPr>
          <w:rFonts w:hint="eastAsia" w:ascii="宋体" w:hAnsi="宋体" w:eastAsia="宋体" w:cs="宋体"/>
          <w:color w:val="000000"/>
          <w:sz w:val="24"/>
          <w:szCs w:val="24"/>
          <w:highlight w:val="none"/>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1900E4B">
      <w:pPr>
        <w:adjustRightInd w:val="0"/>
        <w:snapToGrid w:val="0"/>
        <w:spacing w:line="560" w:lineRule="exact"/>
        <w:ind w:firstLine="482" w:firstLineChars="20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2、“信用中国”查询的严重失信行为判定依据为各行业主管部门下发的联合惩戒文件中规定的行为（按附件2执行）。</w:t>
      </w:r>
    </w:p>
    <w:p w14:paraId="28B1B701">
      <w:pPr>
        <w:spacing w:line="440" w:lineRule="exact"/>
        <w:rPr>
          <w:rFonts w:hint="eastAsia" w:ascii="宋体" w:hAnsi="宋体" w:eastAsia="宋体" w:cs="宋体"/>
          <w:b/>
          <w:sz w:val="24"/>
          <w:szCs w:val="24"/>
          <w:highlight w:val="none"/>
        </w:rPr>
      </w:pPr>
      <w:r>
        <w:rPr>
          <w:rFonts w:hint="eastAsia" w:ascii="宋体" w:hAnsi="宋体" w:eastAsia="宋体" w:cs="宋体"/>
          <w:color w:val="000000"/>
          <w:sz w:val="24"/>
          <w:szCs w:val="24"/>
          <w:highlight w:val="none"/>
        </w:rPr>
        <w:t>3、资格预审的项目以递交资格预审申请文件截止时间查询为准；资格后审的项目以递交投标文件截止时间查询为准。</w:t>
      </w:r>
      <w:r>
        <w:rPr>
          <w:rFonts w:hint="eastAsia" w:ascii="宋体" w:hAnsi="宋体" w:eastAsia="宋体" w:cs="宋体"/>
          <w:b/>
          <w:sz w:val="24"/>
          <w:szCs w:val="24"/>
          <w:highlight w:val="none"/>
          <w:lang w:bidi="ar"/>
        </w:rPr>
        <w:t xml:space="preserve"> </w:t>
      </w:r>
    </w:p>
    <w:p w14:paraId="588AF580">
      <w:pPr>
        <w:pStyle w:val="13"/>
        <w:ind w:firstLine="420"/>
        <w:rPr>
          <w:highlight w:val="none"/>
        </w:rPr>
      </w:pPr>
      <w:r>
        <w:rPr>
          <w:rFonts w:hint="eastAsia"/>
          <w:highlight w:val="none"/>
        </w:rPr>
        <w:t xml:space="preserve"> </w:t>
      </w:r>
    </w:p>
    <w:p w14:paraId="6DFA3FEE">
      <w:pPr>
        <w:spacing w:line="440" w:lineRule="exact"/>
        <w:rPr>
          <w:rFonts w:ascii="宋体" w:hAnsi="宋体" w:eastAsia="宋体" w:cs="宋体"/>
          <w:b/>
          <w:sz w:val="24"/>
          <w:szCs w:val="24"/>
          <w:highlight w:val="none"/>
        </w:rPr>
      </w:pPr>
      <w:r>
        <w:rPr>
          <w:rFonts w:hint="eastAsia" w:ascii="宋体" w:hAnsi="宋体" w:eastAsia="宋体" w:cs="宋体"/>
          <w:b/>
          <w:sz w:val="24"/>
          <w:szCs w:val="24"/>
          <w:highlight w:val="none"/>
          <w:lang w:bidi="ar"/>
        </w:rPr>
        <w:br w:type="page"/>
      </w:r>
      <w:r>
        <w:rPr>
          <w:rFonts w:hint="eastAsia" w:ascii="宋体" w:hAnsi="宋体" w:eastAsia="宋体" w:cs="宋体"/>
          <w:b/>
          <w:sz w:val="24"/>
          <w:szCs w:val="24"/>
          <w:highlight w:val="none"/>
          <w:lang w:bidi="ar"/>
        </w:rPr>
        <w:t>附件</w:t>
      </w:r>
      <w:r>
        <w:rPr>
          <w:rFonts w:ascii="Times New Roman" w:hAnsi="Times New Roman" w:eastAsia="宋体" w:cs="Times New Roman"/>
          <w:b/>
          <w:sz w:val="24"/>
          <w:szCs w:val="24"/>
          <w:highlight w:val="none"/>
          <w:lang w:bidi="ar"/>
        </w:rPr>
        <w:t>2</w:t>
      </w:r>
    </w:p>
    <w:p w14:paraId="3F9C2C58">
      <w:pPr>
        <w:adjustRightInd w:val="0"/>
        <w:snapToGrid w:val="0"/>
        <w:spacing w:line="560" w:lineRule="exact"/>
        <w:ind w:firstLine="645"/>
        <w:jc w:val="center"/>
        <w:rPr>
          <w:rFonts w:hint="eastAsia" w:ascii="宋体" w:hAnsi="宋体" w:eastAsia="宋体" w:cs="宋体"/>
          <w:b/>
          <w:sz w:val="24"/>
          <w:szCs w:val="24"/>
          <w:highlight w:val="none"/>
          <w:lang w:eastAsia="zh-CN" w:bidi="ar"/>
        </w:rPr>
      </w:pPr>
      <w:r>
        <w:rPr>
          <w:rFonts w:hint="eastAsia" w:ascii="宋体" w:hAnsi="宋体" w:eastAsia="宋体" w:cs="宋体"/>
          <w:b/>
          <w:sz w:val="24"/>
          <w:szCs w:val="24"/>
          <w:highlight w:val="none"/>
          <w:lang w:eastAsia="zh-CN" w:bidi="ar"/>
        </w:rPr>
        <w:t>“信用中国”查询的严重失信行为类别及判定依据</w:t>
      </w:r>
    </w:p>
    <w:p w14:paraId="2A81234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“信用中国”查询的严重失信行为判定依据为各行业主管部门下发的联合惩戒文件中规定的行为。下面将部分类别的严重失信行为列举如下：</w:t>
      </w:r>
    </w:p>
    <w:p w14:paraId="157CE76E">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一、安全生产领域严重失信行为：</w:t>
      </w:r>
    </w:p>
    <w:p w14:paraId="6EFB103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（一）下列发生生产安全事故的生产经营单位及其有关人员应当列入严重失信主体名单：</w:t>
      </w:r>
    </w:p>
    <w:p w14:paraId="6C96024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1、发生特别重大、重大生产安全事故的生产经营单位及其主要负责人，以及经调查认定对该事故发生负有责任，应当列入名单的其他单位和人员；</w:t>
      </w:r>
    </w:p>
    <w:p w14:paraId="453397A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2、12个月内累计发生2起以上较大生产安全事故的生产经营单位及其主要负责人；</w:t>
      </w:r>
    </w:p>
    <w:p w14:paraId="2143000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3、发生生产安全事故，情节特别严重、影响特别恶劣，依照《中华人民共和国安全生产法》第一百一十四条的规定被处以罚款数额2倍以上5倍以下罚款的生产经营单位及其主要负责人；</w:t>
      </w:r>
    </w:p>
    <w:p w14:paraId="26E14AB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4、瞒报、谎报生产安全事故的生产经营单位及其有关责任人员；</w:t>
      </w:r>
    </w:p>
    <w:p w14:paraId="4672361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5、发生生产安全事故后，不立即组织抢救或者在事故调查处理期间擅离职守或者逃匿的生产经营单位主要负责人。</w:t>
      </w:r>
    </w:p>
    <w:p w14:paraId="0732015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（二）下列未发生生产安全事故，但因安全生产违法行为，受到行政处罚的生产经营单位或者机构及其有关人员，应当列入严重失信主体名单：</w:t>
      </w:r>
    </w:p>
    <w:p w14:paraId="70D0FE7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1、未依法取得安全生产相关许可或者许可被暂扣、吊销期间从事相关生产经营活动的生产经营单位及其主要负责人；</w:t>
      </w:r>
    </w:p>
    <w:p w14:paraId="686C421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2、承担安全评价、认证、检测、检验职责的机构及其直接责任人员租借资质、挂靠、出具虚假报告或者证书的；</w:t>
      </w:r>
    </w:p>
    <w:p w14:paraId="708FDA6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3、在应急管理部门作出行政处罚后，有执行能力拒不执行或者逃避执行的生产经营单位及其主要负责人；</w:t>
      </w:r>
    </w:p>
    <w:p w14:paraId="613EE5B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4、其他违反安全生产法律法规受到行政处罚，且性质恶劣、情节严重的。</w:t>
      </w:r>
    </w:p>
    <w:p w14:paraId="64190713">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依据：《安全生产严重失信主体名单管理办法》（2023年8月8日应急管理部令第11号）</w:t>
      </w:r>
    </w:p>
    <w:p w14:paraId="36193896">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二、环境保护领域严重失信行为：</w:t>
      </w:r>
    </w:p>
    <w:p w14:paraId="4213E4E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（一）因为环境违法构成</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"https://baike.sogou.com/m/fullLemma?lid=10403954&amp;g_ut=3"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环境犯罪</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w:t>
      </w:r>
    </w:p>
    <w:p w14:paraId="3C30D56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"https://baike.sogou.com/m/fullLemma?lid=76033123&amp;g_ut=3"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建设项目环境影响评价</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文件未按规定通过审批，擅自开工建设的；</w:t>
      </w:r>
    </w:p>
    <w:p w14:paraId="5D4ECD9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（三）建设项目环保设施未建成、环保措施未落实、未通过</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"https://baike.sogou.com/m/fullLemma?lid=6470550&amp;g_ut=3"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竣工环保验收</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或者验收不合格，主体工程正式投入生产或者使用的；</w:t>
      </w:r>
    </w:p>
    <w:p w14:paraId="63CE617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（四）建设项目性质、规模、地点、采用的生产工艺或者防治污染、防止生态破坏的措施发生重大变动，未重新报批环境影响评价文件，擅自投入生产或者使用的；</w:t>
      </w:r>
    </w:p>
    <w:p w14:paraId="0987871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（五）主要污染物排放总量超过控制指标的；</w:t>
      </w:r>
    </w:p>
    <w:p w14:paraId="510C063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（六）私设暗管或者利用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"https://baike.sogou.com/m/fullLemma?lid=41657319&amp;g_ut=3"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渗井</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、渗坑、裂隙、溶洞等排放、倾倒、处置水污染物，或者通过私设旁路排放</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"https://baike.sogou.com/m/fullLemma?lid=7758328&amp;g_ut=3"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大气污染物</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的；</w:t>
      </w:r>
    </w:p>
    <w:p w14:paraId="5FE6021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（七）非法排放、倾倒、处置危险废物，或者向无</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"https://baike.sogou.com/m/fullLemma?lid=5923292&amp;g_ut=3"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经营许可证</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或者超出经营许可范围的单位或个人提供或者委托其收集、贮存、利用、处置危险废物的；</w:t>
      </w:r>
    </w:p>
    <w:p w14:paraId="63EB5B0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"https://baike.sogou.com/m/fullLemma?lid=167759803&amp;g_ut=3"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环境违法行为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造成集中式生活饮用水水源取水中断的；</w:t>
      </w:r>
    </w:p>
    <w:p w14:paraId="687C86C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（九）环境违法行为对生活饮用水水源保护区、自然保护区、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"https://baike.sogou.com/m/fullLemma?lid=155199213&amp;g_ut=3"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国家重点生态功能区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、风景名胜区、居住功能区、</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"https://baike.sogou.com/m/fullLemma?lid=7757164&amp;g_ut=3" \t "https://baike.sogou.com/m/_blank"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基本农田保护区</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等环境敏感区造成重大不利影响的；</w:t>
      </w:r>
    </w:p>
    <w:p w14:paraId="2606FEB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（十）违法从事自然资源开发、交通基础设施建设，以及其他开发建设活动，造成严重生态破坏的；</w:t>
      </w:r>
    </w:p>
    <w:p w14:paraId="5FA955F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（十一）发生较大及以上突发环境事件的；</w:t>
      </w:r>
    </w:p>
    <w:p w14:paraId="7AA1342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（十二）被环保部门挂牌督办，整改逾期未完成的；</w:t>
      </w:r>
    </w:p>
    <w:p w14:paraId="777527E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（十三）以暴力、威胁等方式拒绝、阻挠环保部门工作人员现场检查的；</w:t>
      </w:r>
    </w:p>
    <w:p w14:paraId="47DB740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（十四）违反重污染天气应急预案有关规定，对重污染天气响应不力的。</w:t>
      </w:r>
    </w:p>
    <w:p w14:paraId="585ADEB6">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w:t>
      </w:r>
      <w:bookmarkStart w:id="159" w:name="OLE_LINK9"/>
      <w:bookmarkStart w:id="160" w:name="OLE_LINK8"/>
      <w:bookmarkStart w:id="161" w:name="OLE_LINK10"/>
      <w:r>
        <w:rPr>
          <w:rFonts w:hint="eastAsia" w:ascii="宋体" w:hAnsi="宋体" w:eastAsia="宋体" w:cs="宋体"/>
          <w:b/>
          <w:color w:val="auto"/>
          <w:sz w:val="24"/>
          <w:szCs w:val="24"/>
          <w:highlight w:val="none"/>
        </w:rPr>
        <w:t>关于对环境保护领域失信生产经营单位及其有关人员开展联合惩戒的合作备忘录</w:t>
      </w:r>
      <w:bookmarkEnd w:id="159"/>
      <w:bookmarkEnd w:id="160"/>
      <w:bookmarkEnd w:id="161"/>
      <w:r>
        <w:rPr>
          <w:rFonts w:hint="eastAsia" w:ascii="宋体" w:hAnsi="宋体" w:eastAsia="宋体" w:cs="宋体"/>
          <w:b/>
          <w:color w:val="auto"/>
          <w:sz w:val="24"/>
          <w:szCs w:val="24"/>
          <w:highlight w:val="none"/>
        </w:rPr>
        <w:t>》、《</w:t>
      </w:r>
      <w:bookmarkStart w:id="162" w:name="OLE_LINK11"/>
      <w:bookmarkStart w:id="163" w:name="OLE_LINK12"/>
      <w:r>
        <w:rPr>
          <w:rFonts w:hint="eastAsia" w:ascii="宋体" w:hAnsi="宋体" w:eastAsia="宋体" w:cs="宋体"/>
          <w:b/>
          <w:color w:val="auto"/>
          <w:sz w:val="24"/>
          <w:szCs w:val="24"/>
          <w:highlight w:val="none"/>
        </w:rPr>
        <w:t>企业环境信用评价办法（试行）</w:t>
      </w:r>
      <w:bookmarkEnd w:id="162"/>
      <w:bookmarkEnd w:id="163"/>
      <w:r>
        <w:rPr>
          <w:rFonts w:hint="eastAsia" w:ascii="宋体" w:hAnsi="宋体" w:eastAsia="宋体" w:cs="宋体"/>
          <w:b/>
          <w:color w:val="auto"/>
          <w:sz w:val="24"/>
          <w:szCs w:val="24"/>
          <w:highlight w:val="none"/>
        </w:rPr>
        <w:t>》（环发〔2013〕150号）</w:t>
      </w:r>
    </w:p>
    <w:p w14:paraId="3BC71458">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公共资源交易领域严重失信行为</w:t>
      </w:r>
    </w:p>
    <w:p w14:paraId="5A05355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（一）违反法律规定，必须进行招标的项目而不招标的，将必须进行招标的项目化整为零或者以其他任何方式规避招标的； </w:t>
      </w:r>
    </w:p>
    <w:p w14:paraId="244A582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（二）招标代理机构违反法律规定，泄露应当保密的与招标投标活动有关的情况和资料的，或者与招标人、投标人串通损害 国家利益、社会公共利益或者他人合法权益的；</w:t>
      </w:r>
    </w:p>
    <w:p w14:paraId="5CB2121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（三）招标人以不合理的条件限制或者排斥潜在投标人的，对潜在投标人实行歧视待遇的，强制要求投标人组成联合体共同 投标的，或者限制投标人之间竞争的；</w:t>
      </w:r>
    </w:p>
    <w:p w14:paraId="5E894CD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（四）依法必须进行招标的项目的招标人向他人透露已获取招标文件的潜在投标人的名称、数量或者可能影响公平竞争的有 关招标投标的其他情况的，或者泄露标底的；</w:t>
      </w:r>
    </w:p>
    <w:p w14:paraId="05499CA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（五）投标人相互串通投标或者与招标人串通投标的，投标人以向招标人或者评标委员会成员行贿的手段谋取中标的； </w:t>
      </w:r>
    </w:p>
    <w:p w14:paraId="7FA1DC5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（六）投标人以他人名义投标或者以其他方式弄虚作假，骗取中标的；</w:t>
      </w:r>
    </w:p>
    <w:p w14:paraId="3534036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（七）依法必须进行招标的项目，招标人违反法律规定，与投标人就投标价格、投标方案等实质性内容进行谈判的；</w:t>
      </w:r>
    </w:p>
    <w:p w14:paraId="5093CEE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7FB64C4C">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（九）招标人在评标委员会依法推荐的中标候选人以外确定中标人的，依法必须进行招标的项目在所有投标被评标委员会否 决后自行确定中标人的； </w:t>
      </w:r>
    </w:p>
    <w:p w14:paraId="7A3C396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（十）中标人将中标项目转让给他人的，将中标项目肢解后分别转让给他人的，违反法律规定将中标项目的部分主体、关键 性工作分包给他人的，或者分包人再次分包的； </w:t>
      </w:r>
    </w:p>
    <w:p w14:paraId="2C3959E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（十一）招标人与中标人不按照招标文件和中标人的投标文件订立合同的，或者招标人、中标人订立背离合同实质性内容的 协议的； </w:t>
      </w:r>
    </w:p>
    <w:p w14:paraId="6D5192D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（十二）中标人不按照与招标人订立的合同履行义务，情节严重的； </w:t>
      </w:r>
    </w:p>
    <w:p w14:paraId="4F8A68C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0917BC1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29C08BE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（十五）采购人对应当实行集中采购的政府采购项目，不委托集中采购机构实行集中采购的； </w:t>
      </w:r>
    </w:p>
    <w:p w14:paraId="4C9EBE4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（十六）采购人、采购代理机构违反法律规定隐匿、销毁应当保存的采购文件或者伪造、变造采购文件的； </w:t>
      </w:r>
    </w:p>
    <w:p w14:paraId="57820F4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152B6D0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（十八）疫苗生产企业向县级疾病预防控制机构以外的单位或者个人销售第二类疫苗的； </w:t>
      </w:r>
    </w:p>
    <w:p w14:paraId="2015105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（十九）存在其他违反公共资源交易法律法规行为的。</w:t>
      </w:r>
    </w:p>
    <w:p w14:paraId="7E29D0CE">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依据：《</w:t>
      </w:r>
      <w:bookmarkStart w:id="164" w:name="OLE_LINK13"/>
      <w:bookmarkStart w:id="165" w:name="OLE_LINK14"/>
      <w:r>
        <w:rPr>
          <w:rFonts w:hint="eastAsia" w:ascii="宋体" w:hAnsi="宋体" w:eastAsia="宋体" w:cs="宋体"/>
          <w:b/>
          <w:color w:val="auto"/>
          <w:sz w:val="24"/>
          <w:szCs w:val="24"/>
          <w:highlight w:val="none"/>
        </w:rPr>
        <w:t>关于对公共资源交易领域严重失信主体开展联合惩戒的备忘录</w:t>
      </w:r>
      <w:bookmarkEnd w:id="164"/>
      <w:bookmarkEnd w:id="165"/>
      <w:r>
        <w:rPr>
          <w:rFonts w:hint="eastAsia" w:ascii="宋体" w:hAnsi="宋体" w:eastAsia="宋体" w:cs="宋体"/>
          <w:b/>
          <w:color w:val="auto"/>
          <w:sz w:val="24"/>
          <w:szCs w:val="24"/>
          <w:highlight w:val="none"/>
        </w:rPr>
        <w:t>》（发改法规〔2018〕457号）</w:t>
      </w:r>
    </w:p>
    <w:p w14:paraId="72C7C92C">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四、</w:t>
      </w:r>
      <w:r>
        <w:rPr>
          <w:rFonts w:hint="eastAsia" w:ascii="宋体" w:hAnsi="宋体" w:eastAsia="宋体" w:cs="宋体"/>
          <w:b/>
          <w:bCs/>
          <w:color w:val="auto"/>
          <w:sz w:val="24"/>
          <w:szCs w:val="24"/>
          <w:highlight w:val="none"/>
        </w:rPr>
        <w:t>社会保险领域严重失信行为</w:t>
      </w:r>
    </w:p>
    <w:p w14:paraId="269440F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（一）用人单位未按相关规定参加社会保险且拒不整改的； </w:t>
      </w:r>
    </w:p>
    <w:p w14:paraId="281BBC38">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（二）用人单位未如实申报社会保险缴费基数且拒不整改的； </w:t>
      </w:r>
    </w:p>
    <w:p w14:paraId="6F5EE06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（三）应缴纳社会保险费却拒不缴纳的； </w:t>
      </w:r>
    </w:p>
    <w:p w14:paraId="7E9DF5A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（四）隐匿、转移、侵占、挪用社会保险费款、基金或者违规投资运营的；</w:t>
      </w:r>
    </w:p>
    <w:p w14:paraId="24F37CF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（五）以欺诈、伪造证明材料或者其他手段参加、申报社会保险和骗取社会保险基金支出或社会保险待遇的； </w:t>
      </w:r>
    </w:p>
    <w:p w14:paraId="43851F7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（六）非法获取、出售或变相交易社会保险个人权益数据的； </w:t>
      </w:r>
    </w:p>
    <w:p w14:paraId="50A1AB5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（七）社会保险服务机构违反服务协议或相关规定的； </w:t>
      </w:r>
    </w:p>
    <w:p w14:paraId="787CF78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（八）拒绝协助社会保险行政部门、经办机构对事故和问题进 行调查核实的；拒绝接受或协助税务部门对社会保险实施监督检查， 不如实提供与社会保险相关各项资料的； </w:t>
      </w:r>
    </w:p>
    <w:p w14:paraId="51DAF56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（九）其他违反法律法规规定的。</w:t>
      </w:r>
    </w:p>
    <w:p w14:paraId="716C0C92">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依据：《</w:t>
      </w:r>
      <w:bookmarkStart w:id="166" w:name="OLE_LINK15"/>
      <w:bookmarkStart w:id="167" w:name="OLE_LINK16"/>
      <w:r>
        <w:rPr>
          <w:rFonts w:hint="eastAsia" w:ascii="宋体" w:hAnsi="宋体" w:eastAsia="宋体" w:cs="宋体"/>
          <w:b/>
          <w:color w:val="auto"/>
          <w:sz w:val="24"/>
          <w:szCs w:val="24"/>
          <w:highlight w:val="none"/>
        </w:rPr>
        <w:t>关于对社会保险领域严重失信企业及其有关人员实施联合惩戒的合作备忘录</w:t>
      </w:r>
      <w:bookmarkEnd w:id="166"/>
      <w:bookmarkEnd w:id="167"/>
      <w:r>
        <w:rPr>
          <w:rFonts w:hint="eastAsia" w:ascii="宋体" w:hAnsi="宋体" w:eastAsia="宋体" w:cs="宋体"/>
          <w:b/>
          <w:color w:val="auto"/>
          <w:sz w:val="24"/>
          <w:szCs w:val="24"/>
          <w:highlight w:val="none"/>
        </w:rPr>
        <w:t>》（发改财金〔2018〕1704号）</w:t>
      </w:r>
    </w:p>
    <w:p w14:paraId="3113A52E">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五、建筑市场领域</w:t>
      </w:r>
      <w:r>
        <w:rPr>
          <w:rFonts w:hint="eastAsia" w:ascii="宋体" w:hAnsi="宋体" w:eastAsia="宋体" w:cs="宋体"/>
          <w:b/>
          <w:bCs/>
          <w:color w:val="auto"/>
          <w:sz w:val="24"/>
          <w:szCs w:val="24"/>
          <w:highlight w:val="none"/>
        </w:rPr>
        <w:t>严重失信行为</w:t>
      </w:r>
    </w:p>
    <w:p w14:paraId="64BCA89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（一）利用虚假材料、以欺骗手段取得企业资质的；</w:t>
      </w:r>
    </w:p>
    <w:p w14:paraId="6ED6C274">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（二）发生转包、出借资质，受到行政处罚的；</w:t>
      </w:r>
    </w:p>
    <w:p w14:paraId="43C1FC6F">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（三）发生重大及以上工程质量安全事故，或1年内累计发生2次及以上较大工程质量安全事故，或发生性质恶劣、危害性严重、社会影响大的较大工程质量安全事故，受到行政处罚的；</w:t>
      </w:r>
    </w:p>
    <w:p w14:paraId="560CEBA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（四）经法院判决或仲裁机构裁决，认定为拖欠工程款,且拒不履行生效法律文书确定的义务的。</w:t>
      </w:r>
    </w:p>
    <w:p w14:paraId="123608E0">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各级住房城乡建设主管部门应当参照建筑市场主体“黑名单”，对被人力资源社会保障行政部门列入拖欠农民工工资“黑名单”的建筑市场各方主体加强监管。</w:t>
      </w:r>
    </w:p>
    <w:p w14:paraId="41918783">
      <w:pPr>
        <w:keepNext w:val="0"/>
        <w:keepLines w:val="0"/>
        <w:pageBreakBefore w:val="0"/>
        <w:widowControl w:val="0"/>
        <w:kinsoku/>
        <w:wordWrap/>
        <w:overflowPunct/>
        <w:topLinePunct w:val="0"/>
        <w:autoSpaceDE/>
        <w:autoSpaceDN/>
        <w:bidi w:val="0"/>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w:t>
      </w:r>
      <w:bookmarkStart w:id="168" w:name="OLE_LINK18"/>
      <w:bookmarkStart w:id="169" w:name="OLE_LINK17"/>
      <w:r>
        <w:rPr>
          <w:rFonts w:hint="eastAsia" w:ascii="宋体" w:hAnsi="宋体" w:eastAsia="宋体" w:cs="宋体"/>
          <w:b/>
          <w:color w:val="auto"/>
          <w:sz w:val="24"/>
          <w:szCs w:val="24"/>
          <w:highlight w:val="none"/>
        </w:rPr>
        <w:t>建筑市场信用管理暂行办法</w:t>
      </w:r>
      <w:bookmarkEnd w:id="168"/>
      <w:bookmarkEnd w:id="169"/>
      <w:r>
        <w:rPr>
          <w:rFonts w:hint="eastAsia" w:ascii="宋体" w:hAnsi="宋体" w:eastAsia="宋体" w:cs="宋体"/>
          <w:b/>
          <w:color w:val="auto"/>
          <w:sz w:val="24"/>
          <w:szCs w:val="24"/>
          <w:highlight w:val="none"/>
        </w:rPr>
        <w:t>》（建市〔2017〕241号）</w:t>
      </w:r>
    </w:p>
    <w:p w14:paraId="24152B03">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w:t>
      </w:r>
      <w:bookmarkStart w:id="170" w:name="OLE_LINK19"/>
      <w:bookmarkStart w:id="171" w:name="OLE_LINK20"/>
      <w:r>
        <w:rPr>
          <w:rFonts w:hint="eastAsia" w:ascii="宋体" w:hAnsi="宋体" w:eastAsia="宋体" w:cs="宋体"/>
          <w:b/>
          <w:color w:val="auto"/>
          <w:sz w:val="24"/>
          <w:szCs w:val="24"/>
          <w:highlight w:val="none"/>
        </w:rPr>
        <w:t>政府采购严重失信行为</w:t>
      </w:r>
      <w:bookmarkEnd w:id="170"/>
      <w:bookmarkEnd w:id="171"/>
    </w:p>
    <w:p w14:paraId="0B4E984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供应商、采购代理机构在三年内受到财政部门作出下列情形之一的行政处罚，列入政府采购严重违法失信行为记录名单。</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（一）三万元以上罚款；</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（二）在一至三年内禁止参加政府采购活动（处罚期限届满的除外）；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（三）在一至三年内禁止代理政府采购业务（处罚期限届满的除外）；</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（四）撤销政府采购代理机构资格（仅针对《政府采购法》第78条修改前作出的处罚决定）。</w:t>
      </w:r>
    </w:p>
    <w:p w14:paraId="38FBA63B">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依据：《关于报送政府采购严重违法失信行为信息记录的通知》（财办库〔2014〕526号）</w:t>
      </w:r>
    </w:p>
    <w:p w14:paraId="579E94AB">
      <w:pPr>
        <w:keepNext w:val="0"/>
        <w:keepLines w:val="0"/>
        <w:pageBreakBefore w:val="0"/>
        <w:widowControl w:val="0"/>
        <w:kinsoku/>
        <w:wordWrap/>
        <w:overflowPunct/>
        <w:topLinePunct w:val="0"/>
        <w:autoSpaceDE/>
        <w:autoSpaceDN/>
        <w:bidi w:val="0"/>
        <w:spacing w:line="440" w:lineRule="exact"/>
        <w:ind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未列出的其他类别严重失信行为，由招标人（代理机构）根据各类别行业主管部门下发的联合惩戒文件进行判断。</w:t>
      </w:r>
    </w:p>
    <w:p w14:paraId="5D3D768C">
      <w:pPr>
        <w:adjustRightInd w:val="0"/>
        <w:snapToGrid w:val="0"/>
        <w:spacing w:line="560" w:lineRule="exact"/>
        <w:ind w:firstLine="615"/>
        <w:rPr>
          <w:rFonts w:hint="eastAsia" w:ascii="FangSong_GB2312" w:eastAsia="FangSong_GB2312"/>
          <w:b/>
          <w:color w:val="000000"/>
          <w:sz w:val="32"/>
          <w:szCs w:val="32"/>
          <w:highlight w:val="none"/>
        </w:rPr>
      </w:pPr>
    </w:p>
    <w:p w14:paraId="1DB0551A">
      <w:pPr>
        <w:ind w:firstLine="615"/>
        <w:rPr>
          <w:rFonts w:hint="eastAsia" w:ascii="仿宋_GB2312" w:hAnsi="宋体" w:eastAsia="仿宋_GB2312"/>
          <w:b/>
          <w:sz w:val="28"/>
          <w:szCs w:val="28"/>
          <w:highlight w:val="none"/>
        </w:rPr>
      </w:pPr>
    </w:p>
    <w:p w14:paraId="00701677">
      <w:pPr>
        <w:spacing w:line="440" w:lineRule="exact"/>
        <w:jc w:val="center"/>
        <w:outlineLvl w:val="0"/>
        <w:rPr>
          <w:rFonts w:hint="eastAsia" w:hAnsi="宋体"/>
          <w:b/>
          <w:bCs/>
          <w:sz w:val="32"/>
          <w:szCs w:val="32"/>
          <w:highlight w:val="none"/>
        </w:rPr>
      </w:pPr>
      <w:r>
        <w:rPr>
          <w:rFonts w:ascii="宋体"/>
          <w:b/>
          <w:sz w:val="32"/>
          <w:szCs w:val="32"/>
          <w:highlight w:val="none"/>
        </w:rPr>
        <w:br w:type="page"/>
      </w:r>
      <w:bookmarkEnd w:id="122"/>
      <w:r>
        <w:rPr>
          <w:rFonts w:hint="eastAsia" w:hAnsi="宋体"/>
          <w:b/>
          <w:bCs/>
          <w:sz w:val="32"/>
          <w:szCs w:val="32"/>
          <w:highlight w:val="none"/>
        </w:rPr>
        <w:t>第八章  招标单位和招标代理机构对本招标文件的确认</w:t>
      </w:r>
    </w:p>
    <w:bookmarkEnd w:id="0"/>
    <w:tbl>
      <w:tblPr>
        <w:tblStyle w:val="36"/>
        <w:tblW w:w="9374" w:type="dxa"/>
        <w:jc w:val="center"/>
        <w:tblLayout w:type="fixed"/>
        <w:tblCellMar>
          <w:top w:w="0" w:type="dxa"/>
          <w:left w:w="108" w:type="dxa"/>
          <w:bottom w:w="0" w:type="dxa"/>
          <w:right w:w="108" w:type="dxa"/>
        </w:tblCellMar>
      </w:tblPr>
      <w:tblGrid>
        <w:gridCol w:w="9374"/>
      </w:tblGrid>
      <w:tr w14:paraId="7D825CE5">
        <w:tblPrEx>
          <w:tblCellMar>
            <w:top w:w="0" w:type="dxa"/>
            <w:left w:w="108" w:type="dxa"/>
            <w:bottom w:w="0" w:type="dxa"/>
            <w:right w:w="108" w:type="dxa"/>
          </w:tblCellMar>
        </w:tblPrEx>
        <w:trPr>
          <w:trHeight w:val="6231"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7DF8E6CB">
            <w:pPr>
              <w:spacing w:line="440" w:lineRule="exact"/>
              <w:ind w:firstLine="560" w:firstLineChars="200"/>
              <w:rPr>
                <w:rFonts w:hint="eastAsia" w:ascii="宋体" w:cs="宋体"/>
                <w:sz w:val="28"/>
                <w:szCs w:val="28"/>
                <w:highlight w:val="none"/>
              </w:rPr>
            </w:pPr>
          </w:p>
          <w:p w14:paraId="28ACBF9E">
            <w:pPr>
              <w:spacing w:after="159" w:afterLines="50"/>
              <w:rPr>
                <w:rFonts w:hint="eastAsia" w:ascii="宋体" w:cs="宋体"/>
                <w:sz w:val="28"/>
                <w:szCs w:val="28"/>
                <w:highlight w:val="none"/>
              </w:rPr>
            </w:pPr>
            <w:r>
              <w:rPr>
                <w:rFonts w:hint="eastAsia" w:ascii="宋体" w:cs="宋体"/>
                <w:sz w:val="28"/>
                <w:szCs w:val="28"/>
                <w:highlight w:val="none"/>
              </w:rPr>
              <w:t xml:space="preserve">   我单位对</w:t>
            </w:r>
            <w:r>
              <w:rPr>
                <w:rFonts w:hint="eastAsia" w:ascii="宋体" w:cs="宋体"/>
                <w:sz w:val="28"/>
                <w:szCs w:val="28"/>
                <w:highlight w:val="none"/>
                <w:u w:val="single"/>
                <w:lang w:eastAsia="zh-CN"/>
              </w:rPr>
              <w:t>2025年滁州轨道运营消防器材采购项目</w:t>
            </w:r>
            <w:r>
              <w:rPr>
                <w:rFonts w:hint="eastAsia" w:ascii="宋体" w:cs="宋体"/>
                <w:sz w:val="28"/>
                <w:szCs w:val="28"/>
                <w:highlight w:val="none"/>
              </w:rPr>
              <w:t>的招标文件进行确认。</w:t>
            </w:r>
          </w:p>
          <w:p w14:paraId="3262B8C1">
            <w:pPr>
              <w:spacing w:line="520" w:lineRule="exact"/>
              <w:ind w:firstLine="560" w:firstLineChars="200"/>
              <w:rPr>
                <w:rFonts w:hint="eastAsia" w:ascii="宋体" w:eastAsia="宋体" w:cs="宋体"/>
                <w:sz w:val="28"/>
                <w:szCs w:val="28"/>
                <w:highlight w:val="none"/>
                <w:lang w:eastAsia="zh-CN"/>
              </w:rPr>
            </w:pPr>
            <w:r>
              <w:rPr>
                <w:rFonts w:hint="eastAsia" w:ascii="宋体" w:cs="宋体"/>
                <w:sz w:val="28"/>
                <w:szCs w:val="28"/>
                <w:highlight w:val="none"/>
              </w:rPr>
              <w:t>招标单位：</w:t>
            </w:r>
            <w:r>
              <w:rPr>
                <w:rFonts w:hint="eastAsia" w:ascii="宋体" w:cs="宋体"/>
                <w:sz w:val="28"/>
                <w:szCs w:val="28"/>
                <w:highlight w:val="none"/>
                <w:lang w:eastAsia="zh-CN"/>
              </w:rPr>
              <w:t>滁州市轨道交通运营有限公司</w:t>
            </w:r>
          </w:p>
          <w:p w14:paraId="1B959B0D">
            <w:pPr>
              <w:spacing w:line="520" w:lineRule="exact"/>
              <w:ind w:firstLine="560" w:firstLineChars="200"/>
              <w:rPr>
                <w:rFonts w:hint="eastAsia" w:ascii="宋体" w:eastAsia="宋体" w:cs="宋体"/>
                <w:sz w:val="28"/>
                <w:szCs w:val="28"/>
                <w:highlight w:val="none"/>
                <w:lang w:eastAsia="zh-CN"/>
              </w:rPr>
            </w:pPr>
            <w:r>
              <w:rPr>
                <w:rFonts w:hint="eastAsia" w:ascii="宋体" w:cs="宋体"/>
                <w:sz w:val="28"/>
                <w:szCs w:val="28"/>
                <w:highlight w:val="none"/>
              </w:rPr>
              <w:t>联系人：</w:t>
            </w:r>
            <w:r>
              <w:rPr>
                <w:rFonts w:hint="eastAsia" w:ascii="宋体" w:cs="宋体"/>
                <w:sz w:val="28"/>
                <w:szCs w:val="28"/>
                <w:highlight w:val="none"/>
                <w:lang w:eastAsia="zh-CN"/>
              </w:rPr>
              <w:t>范家鑫</w:t>
            </w:r>
          </w:p>
          <w:p w14:paraId="541CB1BD">
            <w:pPr>
              <w:spacing w:line="520" w:lineRule="exact"/>
              <w:ind w:firstLine="560" w:firstLineChars="200"/>
              <w:rPr>
                <w:rFonts w:hint="eastAsia" w:ascii="宋体" w:eastAsia="宋体" w:cs="宋体"/>
                <w:sz w:val="28"/>
                <w:szCs w:val="28"/>
                <w:highlight w:val="none"/>
                <w:lang w:eastAsia="zh-CN"/>
              </w:rPr>
            </w:pPr>
            <w:r>
              <w:rPr>
                <w:rFonts w:hint="eastAsia" w:ascii="宋体" w:cs="宋体"/>
                <w:sz w:val="28"/>
                <w:szCs w:val="28"/>
                <w:highlight w:val="none"/>
              </w:rPr>
              <w:t>联系电话：</w:t>
            </w:r>
            <w:r>
              <w:rPr>
                <w:rFonts w:hint="eastAsia" w:ascii="宋体" w:cs="宋体"/>
                <w:sz w:val="28"/>
                <w:szCs w:val="28"/>
                <w:highlight w:val="none"/>
                <w:lang w:eastAsia="zh-CN"/>
              </w:rPr>
              <w:t>0550-3352129</w:t>
            </w:r>
          </w:p>
          <w:p w14:paraId="165A2B47">
            <w:pPr>
              <w:spacing w:line="520" w:lineRule="exact"/>
              <w:ind w:firstLine="560" w:firstLineChars="200"/>
              <w:rPr>
                <w:rFonts w:hint="eastAsia" w:ascii="宋体" w:cs="宋体"/>
                <w:sz w:val="28"/>
                <w:szCs w:val="28"/>
                <w:highlight w:val="none"/>
              </w:rPr>
            </w:pPr>
            <w:r>
              <w:rPr>
                <w:rFonts w:hint="eastAsia" w:ascii="宋体" w:cs="宋体"/>
                <w:sz w:val="28"/>
                <w:szCs w:val="28"/>
                <w:highlight w:val="none"/>
              </w:rPr>
              <w:t xml:space="preserve">  </w:t>
            </w:r>
          </w:p>
          <w:p w14:paraId="77620ED2">
            <w:pPr>
              <w:pStyle w:val="13"/>
              <w:ind w:firstLine="560"/>
              <w:rPr>
                <w:rFonts w:hint="eastAsia" w:ascii="宋体" w:cs="宋体"/>
                <w:sz w:val="28"/>
                <w:szCs w:val="28"/>
                <w:highlight w:val="none"/>
              </w:rPr>
            </w:pPr>
          </w:p>
          <w:p w14:paraId="3E0C0650">
            <w:pPr>
              <w:rPr>
                <w:rFonts w:hint="eastAsia"/>
                <w:highlight w:val="none"/>
              </w:rPr>
            </w:pPr>
          </w:p>
          <w:p w14:paraId="617581FE">
            <w:pPr>
              <w:spacing w:line="540" w:lineRule="exact"/>
              <w:ind w:firstLine="6720" w:firstLineChars="2400"/>
              <w:rPr>
                <w:rFonts w:hint="eastAsia" w:ascii="宋体" w:cs="宋体"/>
                <w:sz w:val="28"/>
                <w:szCs w:val="28"/>
                <w:highlight w:val="none"/>
                <w:u w:val="single"/>
              </w:rPr>
            </w:pPr>
            <w:r>
              <w:rPr>
                <w:rFonts w:hint="eastAsia" w:ascii="宋体" w:cs="宋体"/>
                <w:sz w:val="28"/>
                <w:szCs w:val="28"/>
                <w:highlight w:val="none"/>
                <w:u w:val="single"/>
              </w:rPr>
              <w:t xml:space="preserve"> 202</w:t>
            </w:r>
            <w:r>
              <w:rPr>
                <w:rFonts w:hint="eastAsia" w:ascii="宋体" w:cs="宋体"/>
                <w:sz w:val="28"/>
                <w:szCs w:val="28"/>
                <w:highlight w:val="none"/>
                <w:u w:val="single"/>
                <w:lang w:val="en-US" w:eastAsia="zh-CN"/>
              </w:rPr>
              <w:t>5</w:t>
            </w:r>
            <w:r>
              <w:rPr>
                <w:rFonts w:hint="eastAsia" w:ascii="宋体" w:cs="宋体"/>
                <w:sz w:val="28"/>
                <w:szCs w:val="28"/>
                <w:highlight w:val="none"/>
                <w:u w:val="single"/>
              </w:rPr>
              <w:t xml:space="preserve"> </w:t>
            </w:r>
            <w:r>
              <w:rPr>
                <w:rFonts w:hint="eastAsia" w:ascii="宋体" w:cs="宋体"/>
                <w:sz w:val="28"/>
                <w:szCs w:val="28"/>
                <w:highlight w:val="none"/>
              </w:rPr>
              <w:t>年</w:t>
            </w:r>
            <w:r>
              <w:rPr>
                <w:rFonts w:hint="eastAsia" w:ascii="宋体" w:cs="宋体"/>
                <w:sz w:val="28"/>
                <w:szCs w:val="28"/>
                <w:highlight w:val="none"/>
                <w:u w:val="single"/>
                <w:lang w:val="en-US" w:eastAsia="zh-CN"/>
              </w:rPr>
              <w:t>06</w:t>
            </w:r>
            <w:r>
              <w:rPr>
                <w:rFonts w:hint="eastAsia" w:ascii="宋体" w:cs="宋体"/>
                <w:sz w:val="28"/>
                <w:szCs w:val="28"/>
                <w:highlight w:val="none"/>
              </w:rPr>
              <w:t>月</w:t>
            </w:r>
            <w:r>
              <w:rPr>
                <w:rFonts w:hint="eastAsia" w:ascii="宋体" w:cs="宋体"/>
                <w:sz w:val="28"/>
                <w:szCs w:val="28"/>
                <w:highlight w:val="none"/>
                <w:u w:val="single"/>
              </w:rPr>
              <w:t xml:space="preserve"> </w:t>
            </w:r>
          </w:p>
          <w:p w14:paraId="561CFA96">
            <w:pPr>
              <w:spacing w:line="440" w:lineRule="exact"/>
              <w:rPr>
                <w:rFonts w:hint="eastAsia" w:ascii="宋体" w:cs="宋体"/>
                <w:sz w:val="28"/>
                <w:szCs w:val="28"/>
                <w:highlight w:val="none"/>
              </w:rPr>
            </w:pPr>
          </w:p>
          <w:p w14:paraId="77B8D1EB">
            <w:pPr>
              <w:spacing w:line="540" w:lineRule="exact"/>
              <w:ind w:firstLine="6792" w:firstLineChars="2426"/>
              <w:rPr>
                <w:rFonts w:hint="eastAsia" w:ascii="宋体" w:cs="宋体"/>
                <w:sz w:val="28"/>
                <w:szCs w:val="28"/>
                <w:highlight w:val="none"/>
              </w:rPr>
            </w:pPr>
          </w:p>
        </w:tc>
      </w:tr>
      <w:tr w14:paraId="2E7B36BD">
        <w:tblPrEx>
          <w:tblCellMar>
            <w:top w:w="0" w:type="dxa"/>
            <w:left w:w="108" w:type="dxa"/>
            <w:bottom w:w="0" w:type="dxa"/>
            <w:right w:w="108" w:type="dxa"/>
          </w:tblCellMar>
        </w:tblPrEx>
        <w:trPr>
          <w:trHeight w:val="6378" w:hRule="atLeast"/>
          <w:jc w:val="center"/>
        </w:trPr>
        <w:tc>
          <w:tcPr>
            <w:tcW w:w="9374" w:type="dxa"/>
            <w:tcBorders>
              <w:top w:val="single" w:color="auto" w:sz="4" w:space="0"/>
              <w:left w:val="single" w:color="auto" w:sz="4" w:space="0"/>
              <w:bottom w:val="single" w:color="auto" w:sz="4" w:space="0"/>
              <w:right w:val="single" w:color="auto" w:sz="4" w:space="0"/>
            </w:tcBorders>
            <w:noWrap w:val="0"/>
            <w:vAlign w:val="top"/>
          </w:tcPr>
          <w:p w14:paraId="5583734D">
            <w:pPr>
              <w:spacing w:line="520" w:lineRule="exact"/>
              <w:ind w:firstLine="560" w:firstLineChars="200"/>
              <w:rPr>
                <w:rFonts w:hint="eastAsia" w:ascii="宋体" w:cs="宋体"/>
                <w:sz w:val="28"/>
                <w:szCs w:val="28"/>
                <w:highlight w:val="none"/>
              </w:rPr>
            </w:pPr>
          </w:p>
          <w:p w14:paraId="2A1E0118">
            <w:pPr>
              <w:spacing w:line="520" w:lineRule="exact"/>
              <w:ind w:firstLine="560" w:firstLineChars="200"/>
              <w:rPr>
                <w:rFonts w:hint="eastAsia" w:ascii="宋体" w:cs="宋体"/>
                <w:sz w:val="28"/>
                <w:szCs w:val="28"/>
                <w:highlight w:val="none"/>
              </w:rPr>
            </w:pPr>
            <w:r>
              <w:rPr>
                <w:rFonts w:hint="eastAsia" w:ascii="宋体" w:cs="宋体"/>
                <w:sz w:val="28"/>
                <w:szCs w:val="28"/>
                <w:highlight w:val="none"/>
              </w:rPr>
              <w:t>代理机构：滁州市城投工程咨询管理有限公司</w:t>
            </w:r>
          </w:p>
          <w:p w14:paraId="1E7B3D10">
            <w:pPr>
              <w:spacing w:line="520" w:lineRule="exact"/>
              <w:ind w:firstLine="560" w:firstLineChars="200"/>
              <w:rPr>
                <w:rFonts w:ascii="宋体" w:cs="宋体"/>
                <w:sz w:val="28"/>
                <w:szCs w:val="28"/>
                <w:highlight w:val="none"/>
              </w:rPr>
            </w:pPr>
            <w:r>
              <w:rPr>
                <w:rFonts w:hint="eastAsia" w:ascii="宋体" w:cs="宋体"/>
                <w:sz w:val="28"/>
                <w:szCs w:val="28"/>
                <w:highlight w:val="none"/>
              </w:rPr>
              <w:t>联系人：周蓓蕾</w:t>
            </w:r>
          </w:p>
          <w:p w14:paraId="091A9AFD">
            <w:pPr>
              <w:spacing w:line="520" w:lineRule="exact"/>
              <w:ind w:firstLine="560" w:firstLineChars="200"/>
              <w:rPr>
                <w:rFonts w:ascii="宋体" w:cs="宋体"/>
                <w:sz w:val="28"/>
                <w:szCs w:val="28"/>
                <w:highlight w:val="none"/>
              </w:rPr>
            </w:pPr>
            <w:r>
              <w:rPr>
                <w:rFonts w:hint="eastAsia" w:ascii="宋体" w:cs="宋体"/>
                <w:sz w:val="28"/>
                <w:szCs w:val="28"/>
                <w:highlight w:val="none"/>
              </w:rPr>
              <w:t>电  话：0550-3519519  18005505728</w:t>
            </w:r>
          </w:p>
          <w:p w14:paraId="43610525">
            <w:pPr>
              <w:pStyle w:val="28"/>
              <w:ind w:left="0" w:firstLine="0"/>
              <w:rPr>
                <w:rFonts w:hint="eastAsia"/>
                <w:highlight w:val="none"/>
              </w:rPr>
            </w:pPr>
          </w:p>
          <w:p w14:paraId="410BAEF1">
            <w:pPr>
              <w:spacing w:line="540" w:lineRule="exact"/>
              <w:ind w:firstLine="6792" w:firstLineChars="2426"/>
              <w:rPr>
                <w:rFonts w:hint="eastAsia" w:ascii="宋体" w:cs="宋体"/>
                <w:sz w:val="28"/>
                <w:szCs w:val="28"/>
                <w:highlight w:val="none"/>
                <w:u w:val="single"/>
              </w:rPr>
            </w:pPr>
          </w:p>
          <w:p w14:paraId="5B2B4AFA">
            <w:pPr>
              <w:spacing w:line="540" w:lineRule="exact"/>
              <w:ind w:firstLine="6792" w:firstLineChars="2426"/>
              <w:rPr>
                <w:rFonts w:hint="eastAsia" w:ascii="宋体" w:cs="宋体"/>
                <w:sz w:val="28"/>
                <w:szCs w:val="28"/>
                <w:highlight w:val="none"/>
                <w:u w:val="single"/>
              </w:rPr>
            </w:pPr>
          </w:p>
          <w:p w14:paraId="4C2346E8">
            <w:pPr>
              <w:spacing w:line="540" w:lineRule="exact"/>
              <w:ind w:firstLine="6792" w:firstLineChars="2426"/>
              <w:rPr>
                <w:rFonts w:hint="eastAsia" w:ascii="宋体" w:cs="宋体"/>
                <w:sz w:val="28"/>
                <w:szCs w:val="28"/>
                <w:highlight w:val="none"/>
                <w:u w:val="single"/>
              </w:rPr>
            </w:pPr>
          </w:p>
          <w:p w14:paraId="36FE2B92">
            <w:pPr>
              <w:spacing w:line="540" w:lineRule="exact"/>
              <w:ind w:firstLine="6792" w:firstLineChars="2426"/>
              <w:rPr>
                <w:rFonts w:hint="eastAsia" w:ascii="宋体" w:cs="宋体"/>
                <w:sz w:val="28"/>
                <w:szCs w:val="28"/>
                <w:highlight w:val="none"/>
                <w:u w:val="single"/>
              </w:rPr>
            </w:pPr>
          </w:p>
          <w:p w14:paraId="458B4098">
            <w:pPr>
              <w:spacing w:line="540" w:lineRule="exact"/>
              <w:ind w:firstLine="6792" w:firstLineChars="2426"/>
              <w:rPr>
                <w:rFonts w:hint="eastAsia" w:ascii="宋体" w:cs="宋体"/>
                <w:sz w:val="28"/>
                <w:szCs w:val="28"/>
                <w:highlight w:val="none"/>
                <w:u w:val="single"/>
              </w:rPr>
            </w:pPr>
            <w:r>
              <w:rPr>
                <w:rFonts w:hint="eastAsia" w:ascii="宋体" w:cs="宋体"/>
                <w:sz w:val="28"/>
                <w:szCs w:val="28"/>
                <w:highlight w:val="none"/>
                <w:u w:val="single"/>
              </w:rPr>
              <w:t xml:space="preserve"> 202</w:t>
            </w:r>
            <w:r>
              <w:rPr>
                <w:rFonts w:hint="eastAsia" w:ascii="宋体" w:cs="宋体"/>
                <w:sz w:val="28"/>
                <w:szCs w:val="28"/>
                <w:highlight w:val="none"/>
                <w:u w:val="single"/>
                <w:lang w:val="en-US" w:eastAsia="zh-CN"/>
              </w:rPr>
              <w:t>5</w:t>
            </w:r>
            <w:r>
              <w:rPr>
                <w:rFonts w:hint="eastAsia" w:ascii="宋体" w:cs="宋体"/>
                <w:sz w:val="28"/>
                <w:szCs w:val="28"/>
                <w:highlight w:val="none"/>
                <w:u w:val="single"/>
              </w:rPr>
              <w:t xml:space="preserve"> </w:t>
            </w:r>
            <w:r>
              <w:rPr>
                <w:rFonts w:hint="eastAsia" w:ascii="宋体" w:cs="宋体"/>
                <w:sz w:val="28"/>
                <w:szCs w:val="28"/>
                <w:highlight w:val="none"/>
              </w:rPr>
              <w:t>年</w:t>
            </w:r>
            <w:r>
              <w:rPr>
                <w:rFonts w:hint="eastAsia" w:ascii="宋体" w:cs="宋体"/>
                <w:sz w:val="28"/>
                <w:szCs w:val="28"/>
                <w:highlight w:val="none"/>
                <w:u w:val="single"/>
                <w:lang w:val="en-US" w:eastAsia="zh-CN"/>
              </w:rPr>
              <w:t>06</w:t>
            </w:r>
            <w:r>
              <w:rPr>
                <w:rFonts w:hint="eastAsia" w:ascii="宋体" w:cs="宋体"/>
                <w:sz w:val="28"/>
                <w:szCs w:val="28"/>
                <w:highlight w:val="none"/>
              </w:rPr>
              <w:t>月</w:t>
            </w:r>
          </w:p>
        </w:tc>
      </w:tr>
    </w:tbl>
    <w:p w14:paraId="2E592195">
      <w:pPr>
        <w:pStyle w:val="13"/>
        <w:ind w:left="0" w:leftChars="0" w:firstLine="0" w:firstLineChars="0"/>
        <w:rPr>
          <w:highlight w:val="none"/>
        </w:rPr>
      </w:pPr>
    </w:p>
    <w:bookmarkEnd w:id="172"/>
    <w:sectPr>
      <w:pgSz w:w="11905" w:h="16838"/>
      <w:pgMar w:top="1440" w:right="1083" w:bottom="1440" w:left="1083" w:header="851" w:footer="992" w:gutter="0"/>
      <w:pgBorders>
        <w:top w:val="none" w:sz="0" w:space="0"/>
        <w:left w:val="none" w:sz="0" w:space="0"/>
        <w:bottom w:val="none" w:sz="0" w:space="0"/>
        <w:right w:val="none" w:sz="0" w:space="0"/>
      </w:pgBorders>
      <w:pgNumType w:fmt="decimal"/>
      <w:cols w:space="720" w:num="1"/>
      <w:rtlGutter w:val="0"/>
      <w:docGrid w:type="lines" w:linePitch="3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DokChampa">
    <w:altName w:val="Microsoft Sans Serif"/>
    <w:panose1 w:val="00000000000000000000"/>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7F" w:usb3="00000000" w:csb0="203F01FF" w:csb1="DFFF0000"/>
  </w:font>
  <w:font w:name="Times">
    <w:altName w:val="Times New Roman"/>
    <w:panose1 w:val="02020603050405020304"/>
    <w:charset w:val="00"/>
    <w:family w:val="roman"/>
    <w:pitch w:val="default"/>
    <w:sig w:usb0="00000000" w:usb1="00000000"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FangSong_GB2312">
    <w:altName w:val="仿宋"/>
    <w:panose1 w:val="02010609060101010101"/>
    <w:charset w:val="86"/>
    <w:family w:val="modern"/>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C5700">
    <w:pPr>
      <w:pStyle w:val="24"/>
      <w:ind w:right="360"/>
      <w:rPr>
        <w:rStyle w:val="40"/>
      </w:rPr>
    </w:pPr>
  </w:p>
  <w:p w14:paraId="4D7E9B14">
    <w:pPr>
      <w:pStyle w:val="24"/>
      <w:framePr w:wrap="around" w:vAnchor="text" w:hAnchor="margin" w:xAlign="center" w:y="1"/>
      <w:ind w:right="360"/>
      <w:rPr>
        <w:rStyle w:val="40"/>
      </w:rPr>
    </w:pPr>
  </w:p>
  <w:p w14:paraId="30549566">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EB7BD">
    <w:pPr>
      <w:pStyle w:val="24"/>
      <w:framePr w:wrap="around" w:vAnchor="text" w:hAnchor="margin" w:xAlign="center" w:y="1"/>
      <w:rPr>
        <w:rStyle w:val="40"/>
      </w:rPr>
    </w:pPr>
    <w:r>
      <w:fldChar w:fldCharType="begin"/>
    </w:r>
    <w:r>
      <w:rPr>
        <w:rStyle w:val="40"/>
      </w:rPr>
      <w:instrText xml:space="preserve">PAGE  </w:instrText>
    </w:r>
    <w:r>
      <w:fldChar w:fldCharType="separate"/>
    </w:r>
    <w:r>
      <w:rPr>
        <w:rStyle w:val="40"/>
      </w:rPr>
      <w:t>6</w:t>
    </w:r>
    <w:r>
      <w:fldChar w:fldCharType="end"/>
    </w:r>
  </w:p>
  <w:p w14:paraId="10AA285B">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83A28">
    <w:pPr>
      <w:pStyle w:val="24"/>
      <w:tabs>
        <w:tab w:val="center" w:pos="4264"/>
        <w:tab w:val="clear" w:pos="4153"/>
        <w:tab w:val="clear" w:pos="8306"/>
      </w:tabs>
      <w:rPr>
        <w:rFonts w:hint="eastAsia"/>
      </w:rPr>
    </w:pP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F5455">
    <w:pPr>
      <w:pStyle w:val="2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B9F4C">
    <w:pPr>
      <w:pStyle w:val="24"/>
      <w:tabs>
        <w:tab w:val="center" w:pos="4264"/>
        <w:tab w:val="clear" w:pos="4153"/>
        <w:tab w:val="clear" w:pos="8306"/>
      </w:tabs>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3"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37672B6">
                          <w:pPr>
                            <w:pStyle w:val="2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7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Ar6+zV1AEAAKcDAAAOAAAAAAAAAAEAIAAA&#10;ACIBAABkcnMvZTJvRG9jLnhtbFBLBQYAAAAABgAGAFkBAABoBQAAAAA=&#10;">
              <v:fill on="f" focussize="0,0"/>
              <v:stroke on="f" weight="1.25pt"/>
              <v:imagedata o:title=""/>
              <o:lock v:ext="edit" aspectratio="f"/>
              <v:textbox inset="0mm,0mm,0mm,0mm" style="mso-fit-shape-to-text:t;">
                <w:txbxContent>
                  <w:p w14:paraId="137672B6">
                    <w:pPr>
                      <w:pStyle w:val="24"/>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FAAC6">
    <w:pPr>
      <w:pStyle w:val="24"/>
      <w:tabs>
        <w:tab w:val="clear" w:pos="4153"/>
        <w:tab w:val="clear" w:pos="8306"/>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1"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1938611">
                          <w:pPr>
                            <w:pStyle w:val="24"/>
                          </w:pPr>
                          <w:r>
                            <w:fldChar w:fldCharType="begin"/>
                          </w:r>
                          <w:r>
                            <w:instrText xml:space="preserve"> PAGE  \* MERGEFORMAT </w:instrText>
                          </w:r>
                          <w:r>
                            <w:fldChar w:fldCharType="separate"/>
                          </w:r>
                          <w:r>
                            <w:t>56</w:t>
                          </w:r>
                          <w:r>
                            <w:fldChar w:fldCharType="end"/>
                          </w:r>
                        </w:p>
                      </w:txbxContent>
                    </wps:txbx>
                    <wps:bodyPr vert="horz" wrap="none" lIns="0" tIns="0" rIns="0" bIns="0" anchor="t" anchorCtr="0" upright="0">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oaYJL0wAA&#10;AAUBAAAPAAAAAAAAAAEAIAAAACIAAABkcnMvZG93bnJldi54bWxQSwECFAAUAAAACACHTuJA+gwu&#10;ZeoBAADMAwAADgAAAAAAAAABACAAAAAiAQAAZHJzL2Uyb0RvYy54bWxQSwUGAAAAAAYABgBZAQAA&#10;fgUAAAAA&#10;">
              <v:fill on="f" focussize="0,0"/>
              <v:stroke on="f" weight="1.25pt"/>
              <v:imagedata o:title=""/>
              <o:lock v:ext="edit" aspectratio="f"/>
              <v:textbox inset="0mm,0mm,0mm,0mm" style="mso-fit-shape-to-text:t;">
                <w:txbxContent>
                  <w:p w14:paraId="51938611">
                    <w:pPr>
                      <w:pStyle w:val="24"/>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BF12F">
    <w:pPr>
      <w:pStyle w:val="24"/>
      <w:tabs>
        <w:tab w:val="clear" w:pos="4153"/>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2"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7134DFE">
                          <w:pPr>
                            <w:pStyle w:val="24"/>
                          </w:pPr>
                          <w:r>
                            <w:fldChar w:fldCharType="begin"/>
                          </w:r>
                          <w:r>
                            <w:instrText xml:space="preserve"> PAGE  \* MERGEFORMAT </w:instrText>
                          </w:r>
                          <w:r>
                            <w:fldChar w:fldCharType="separate"/>
                          </w:r>
                          <w:r>
                            <w:t>58</w:t>
                          </w:r>
                          <w:r>
                            <w:fldChar w:fldCharType="end"/>
                          </w:r>
                        </w:p>
                      </w:txbxContent>
                    </wps:txbx>
                    <wps:bodyPr vert="horz" wrap="none" lIns="0" tIns="0" rIns="0" bIns="0" anchor="t" anchorCtr="0" upright="0">
                      <a:spAutoFit/>
                    </wps:bodyPr>
                  </wps:wsp>
                </a:graphicData>
              </a:graphic>
            </wp:anchor>
          </w:drawing>
        </mc:Choice>
        <mc:Fallback>
          <w:pict>
            <v:shape id="文本框 7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aGmCS9MAAAAF&#10;AQAADwAAAAAAAAABACAAAAAiAAAAZHJzL2Rvd25yZXYueG1sUEsBAhQAFAAAAAgAh07iQAMTLk7o&#10;AQAAzAMAAA4AAAAAAAAAAQAgAAAAIgEAAGRycy9lMm9Eb2MueG1sUEsFBgAAAAAGAAYAWQEAAHwF&#10;AAAAAA==&#10;">
              <v:fill on="f" focussize="0,0"/>
              <v:stroke on="f" weight="1.25pt"/>
              <v:imagedata o:title=""/>
              <o:lock v:ext="edit" aspectratio="f"/>
              <v:textbox inset="0mm,0mm,0mm,0mm" style="mso-fit-shape-to-text:t;">
                <w:txbxContent>
                  <w:p w14:paraId="77134DFE">
                    <w:pPr>
                      <w:pStyle w:val="24"/>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12778">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AB6DF">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9F4D4">
    <w:pPr>
      <w:pStyle w:val="2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5BBE2">
    <w:pPr>
      <w:pStyle w:val="25"/>
      <w:pBdr>
        <w:bottom w:val="none" w:color="auto" w:sz="0" w:space="0"/>
      </w:pBdr>
      <w:tabs>
        <w:tab w:val="clear" w:pos="4153"/>
        <w:tab w:val="clear" w:pos="8306"/>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CB768">
    <w:pPr>
      <w:pStyle w:val="25"/>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FCB74">
    <w:pPr>
      <w:pStyle w:val="25"/>
      <w:pBdr>
        <w:bottom w:val="none" w:color="auto" w:sz="0" w:space="0"/>
      </w:pBdr>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4EAD72"/>
    <w:multiLevelType w:val="singleLevel"/>
    <w:tmpl w:val="A24EAD72"/>
    <w:lvl w:ilvl="0" w:tentative="0">
      <w:start w:val="21"/>
      <w:numFmt w:val="decimal"/>
      <w:suff w:val="space"/>
      <w:lvlText w:val="%1."/>
      <w:lvlJc w:val="left"/>
    </w:lvl>
  </w:abstractNum>
  <w:abstractNum w:abstractNumId="1">
    <w:nsid w:val="BA4C3B95"/>
    <w:multiLevelType w:val="singleLevel"/>
    <w:tmpl w:val="BA4C3B95"/>
    <w:lvl w:ilvl="0" w:tentative="0">
      <w:start w:val="1"/>
      <w:numFmt w:val="chineseCounting"/>
      <w:suff w:val="nothing"/>
      <w:lvlText w:val="%1、"/>
      <w:lvlJc w:val="left"/>
      <w:rPr>
        <w:rFonts w:hint="eastAsia"/>
      </w:rPr>
    </w:lvl>
  </w:abstractNum>
  <w:abstractNum w:abstractNumId="2">
    <w:nsid w:val="DA1385A4"/>
    <w:multiLevelType w:val="singleLevel"/>
    <w:tmpl w:val="DA1385A4"/>
    <w:lvl w:ilvl="0" w:tentative="0">
      <w:start w:val="2"/>
      <w:numFmt w:val="chineseCounting"/>
      <w:suff w:val="nothing"/>
      <w:lvlText w:val="%1、"/>
      <w:lvlJc w:val="left"/>
      <w:pPr>
        <w:ind w:left="-2"/>
      </w:pPr>
      <w:rPr>
        <w:rFonts w:hint="eastAsia"/>
      </w:rPr>
    </w:lvl>
  </w:abstractNum>
  <w:abstractNum w:abstractNumId="3">
    <w:nsid w:val="E5502954"/>
    <w:multiLevelType w:val="singleLevel"/>
    <w:tmpl w:val="E5502954"/>
    <w:lvl w:ilvl="0" w:tentative="0">
      <w:start w:val="1"/>
      <w:numFmt w:val="decimal"/>
      <w:lvlText w:val="%1."/>
      <w:lvlJc w:val="left"/>
      <w:pPr>
        <w:tabs>
          <w:tab w:val="left" w:pos="312"/>
        </w:tabs>
      </w:pPr>
    </w:lvl>
  </w:abstractNum>
  <w:abstractNum w:abstractNumId="4">
    <w:nsid w:val="00000019"/>
    <w:multiLevelType w:val="multilevel"/>
    <w:tmpl w:val="00000019"/>
    <w:lvl w:ilvl="0" w:tentative="0">
      <w:start w:val="1"/>
      <w:numFmt w:val="chineseCountingThousand"/>
      <w:pStyle w:val="87"/>
      <w:suff w:val="space"/>
      <w:lvlText w:val="%1、"/>
      <w:lvlJc w:val="left"/>
      <w:pPr>
        <w:ind w:left="425" w:hanging="425"/>
      </w:pPr>
      <w:rPr>
        <w:rFonts w:hint="eastAsia"/>
      </w:rPr>
    </w:lvl>
    <w:lvl w:ilvl="1" w:tentative="0">
      <w:start w:val="1"/>
      <w:numFmt w:val="decimal"/>
      <w:lvlRestart w:val="0"/>
      <w:suff w:val="space"/>
      <w:lvlText w:val="%2、"/>
      <w:lvlJc w:val="left"/>
      <w:pPr>
        <w:ind w:left="454" w:hanging="454"/>
      </w:pPr>
      <w:rPr>
        <w:rFonts w:hint="eastAsia"/>
      </w:rPr>
    </w:lvl>
    <w:lvl w:ilvl="2" w:tentative="0">
      <w:start w:val="1"/>
      <w:numFmt w:val="decimal"/>
      <w:lvlRestart w:val="0"/>
      <w:suff w:val="space"/>
      <w:lvlText w:val="%2.%3"/>
      <w:lvlJc w:val="left"/>
      <w:pPr>
        <w:ind w:left="454" w:hanging="454"/>
      </w:pPr>
      <w:rPr>
        <w:rFonts w:hint="default" w:ascii="Cambria" w:hAnsi="Cambria"/>
      </w:rPr>
    </w:lvl>
    <w:lvl w:ilvl="3" w:tentative="0">
      <w:start w:val="1"/>
      <w:numFmt w:val="decimal"/>
      <w:lvlText w:val="%2.%3.%4"/>
      <w:lvlJc w:val="left"/>
      <w:pPr>
        <w:ind w:left="454" w:hanging="454"/>
      </w:pPr>
      <w:rPr>
        <w:rFonts w:hint="eastAsia"/>
      </w:rPr>
    </w:lvl>
    <w:lvl w:ilvl="4" w:tentative="0">
      <w:start w:val="1"/>
      <w:numFmt w:val="decimal"/>
      <w:lvlText w:val="%2.%3.%4.%5"/>
      <w:lvlJc w:val="left"/>
      <w:pPr>
        <w:ind w:left="454" w:hanging="454"/>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5">
    <w:nsid w:val="181D5CA9"/>
    <w:multiLevelType w:val="singleLevel"/>
    <w:tmpl w:val="181D5CA9"/>
    <w:lvl w:ilvl="0" w:tentative="0">
      <w:start w:val="35"/>
      <w:numFmt w:val="decimal"/>
      <w:lvlText w:val="%1."/>
      <w:lvlJc w:val="left"/>
      <w:pPr>
        <w:tabs>
          <w:tab w:val="left" w:pos="312"/>
        </w:tabs>
      </w:pPr>
    </w:lvl>
  </w:abstractNum>
  <w:abstractNum w:abstractNumId="6">
    <w:nsid w:val="18995355"/>
    <w:multiLevelType w:val="multilevel"/>
    <w:tmpl w:val="18995355"/>
    <w:lvl w:ilvl="0" w:tentative="0">
      <w:start w:val="1"/>
      <w:numFmt w:val="decimal"/>
      <w:pStyle w:val="110"/>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2323379E"/>
    <w:multiLevelType w:val="multilevel"/>
    <w:tmpl w:val="2323379E"/>
    <w:lvl w:ilvl="0" w:tentative="0">
      <w:start w:val="1"/>
      <w:numFmt w:val="chineseCountingThousand"/>
      <w:pStyle w:val="33"/>
      <w:lvlText w:val="%1、"/>
      <w:lvlJc w:val="left"/>
      <w:pPr>
        <w:ind w:left="420" w:hanging="4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5E5C4CD"/>
    <w:multiLevelType w:val="singleLevel"/>
    <w:tmpl w:val="25E5C4CD"/>
    <w:lvl w:ilvl="0" w:tentative="0">
      <w:start w:val="5"/>
      <w:numFmt w:val="chineseCounting"/>
      <w:suff w:val="space"/>
      <w:lvlText w:val="第%1章"/>
      <w:lvlJc w:val="left"/>
      <w:rPr>
        <w:rFonts w:hint="eastAsia"/>
      </w:rPr>
    </w:lvl>
  </w:abstractNum>
  <w:abstractNum w:abstractNumId="9">
    <w:nsid w:val="26857717"/>
    <w:multiLevelType w:val="multilevel"/>
    <w:tmpl w:val="26857717"/>
    <w:lvl w:ilvl="0" w:tentative="0">
      <w:start w:val="1"/>
      <w:numFmt w:val="chineseCountingThousand"/>
      <w:pStyle w:val="107"/>
      <w:lvlText w:val="%1、"/>
      <w:lvlJc w:val="left"/>
      <w:pPr>
        <w:tabs>
          <w:tab w:val="left" w:pos="425"/>
        </w:tabs>
        <w:ind w:left="425" w:hanging="425"/>
      </w:pPr>
      <w:rPr>
        <w:rFonts w:hint="eastAsia" w:cs="Times New Roman"/>
      </w:rPr>
    </w:lvl>
    <w:lvl w:ilvl="1" w:tentative="0">
      <w:start w:val="1"/>
      <w:numFmt w:val="decimal"/>
      <w:isLgl/>
      <w:lvlText w:val="%1.%2"/>
      <w:lvlJc w:val="left"/>
      <w:pPr>
        <w:tabs>
          <w:tab w:val="left" w:pos="567"/>
        </w:tabs>
        <w:ind w:left="567" w:hanging="567"/>
      </w:pPr>
      <w:rPr>
        <w:rFonts w:hint="default" w:ascii="Arial" w:hAnsi="Arial" w:cs="Arial"/>
      </w:rPr>
    </w:lvl>
    <w:lvl w:ilvl="2" w:tentative="0">
      <w:start w:val="1"/>
      <w:numFmt w:val="decimal"/>
      <w:isLgl/>
      <w:lvlText w:val="%1.%2.%3"/>
      <w:lvlJc w:val="left"/>
      <w:pPr>
        <w:tabs>
          <w:tab w:val="left" w:pos="1069"/>
        </w:tabs>
        <w:ind w:left="1069" w:hanging="709"/>
      </w:pPr>
      <w:rPr>
        <w:rFonts w:hint="default" w:ascii="Arial" w:hAnsi="Arial" w:cs="Arial"/>
      </w:rPr>
    </w:lvl>
    <w:lvl w:ilvl="3" w:tentative="0">
      <w:start w:val="1"/>
      <w:numFmt w:val="decimal"/>
      <w:isLgl/>
      <w:lvlText w:val="%1.%2.%3.%4"/>
      <w:lvlJc w:val="left"/>
      <w:pPr>
        <w:tabs>
          <w:tab w:val="left" w:pos="1080"/>
        </w:tabs>
        <w:ind w:left="851" w:hanging="851"/>
      </w:pPr>
      <w:rPr>
        <w:rFonts w:hint="default" w:ascii="Arial" w:hAnsi="Arial" w:cs="Arial"/>
        <w:sz w:val="24"/>
        <w:szCs w:val="24"/>
      </w:rPr>
    </w:lvl>
    <w:lvl w:ilvl="4" w:tentative="0">
      <w:start w:val="1"/>
      <w:numFmt w:val="decimal"/>
      <w:isLgl/>
      <w:lvlText w:val="%1.%2.%3.%4.%5"/>
      <w:lvlJc w:val="left"/>
      <w:pPr>
        <w:tabs>
          <w:tab w:val="left" w:pos="1440"/>
        </w:tabs>
        <w:ind w:left="992" w:hanging="992"/>
      </w:pPr>
      <w:rPr>
        <w:rFonts w:hint="eastAsia" w:cs="Times New Roman"/>
      </w:rPr>
    </w:lvl>
    <w:lvl w:ilvl="5" w:tentative="0">
      <w:start w:val="1"/>
      <w:numFmt w:val="decimal"/>
      <w:isLgl/>
      <w:lvlText w:val="%1.%2.%3.%4.%5.%6"/>
      <w:lvlJc w:val="left"/>
      <w:pPr>
        <w:tabs>
          <w:tab w:val="left" w:pos="1440"/>
        </w:tabs>
        <w:ind w:left="1134" w:hanging="1134"/>
      </w:pPr>
      <w:rPr>
        <w:rFonts w:hint="eastAsia" w:cs="Times New Roman"/>
      </w:rPr>
    </w:lvl>
    <w:lvl w:ilvl="6" w:tentative="0">
      <w:start w:val="1"/>
      <w:numFmt w:val="decimal"/>
      <w:isLgl/>
      <w:lvlText w:val="%1.%2.%3.%4.%5.%6.%7"/>
      <w:lvlJc w:val="left"/>
      <w:pPr>
        <w:tabs>
          <w:tab w:val="left" w:pos="1800"/>
        </w:tabs>
        <w:ind w:left="1276" w:hanging="1276"/>
      </w:pPr>
      <w:rPr>
        <w:rFonts w:hint="eastAsia" w:cs="Times New Roman"/>
      </w:rPr>
    </w:lvl>
    <w:lvl w:ilvl="7" w:tentative="0">
      <w:start w:val="1"/>
      <w:numFmt w:val="decimal"/>
      <w:isLgl/>
      <w:lvlText w:val="%1.%2.%3.%4.%5.%6.%7.%8"/>
      <w:lvlJc w:val="left"/>
      <w:pPr>
        <w:tabs>
          <w:tab w:val="left" w:pos="1800"/>
        </w:tabs>
        <w:ind w:left="1418" w:hanging="1418"/>
      </w:pPr>
      <w:rPr>
        <w:rFonts w:hint="eastAsia" w:cs="Times New Roman"/>
      </w:rPr>
    </w:lvl>
    <w:lvl w:ilvl="8" w:tentative="0">
      <w:start w:val="1"/>
      <w:numFmt w:val="decimal"/>
      <w:isLgl/>
      <w:lvlText w:val="%1.%2.%3.%4.%5.%6.%7.%8.%9"/>
      <w:lvlJc w:val="left"/>
      <w:pPr>
        <w:tabs>
          <w:tab w:val="left" w:pos="2160"/>
        </w:tabs>
        <w:ind w:left="1559" w:hanging="1559"/>
      </w:pPr>
      <w:rPr>
        <w:rFonts w:hint="eastAsia" w:cs="Times New Roman"/>
      </w:rPr>
    </w:lvl>
  </w:abstractNum>
  <w:abstractNum w:abstractNumId="10">
    <w:nsid w:val="26F2549E"/>
    <w:multiLevelType w:val="multilevel"/>
    <w:tmpl w:val="26F2549E"/>
    <w:lvl w:ilvl="0" w:tentative="0">
      <w:start w:val="1"/>
      <w:numFmt w:val="decimal"/>
      <w:lvlText w:val="%1、"/>
      <w:lvlJc w:val="left"/>
      <w:pPr>
        <w:ind w:left="371" w:hanging="360"/>
      </w:pPr>
      <w:rPr>
        <w:rFonts w:hint="default"/>
      </w:rPr>
    </w:lvl>
    <w:lvl w:ilvl="1" w:tentative="0">
      <w:start w:val="1"/>
      <w:numFmt w:val="lowerLetter"/>
      <w:pStyle w:val="3"/>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11">
    <w:nsid w:val="543955E3"/>
    <w:multiLevelType w:val="multilevel"/>
    <w:tmpl w:val="543955E3"/>
    <w:lvl w:ilvl="0" w:tentative="0">
      <w:start w:val="10"/>
      <w:numFmt w:val="decimal"/>
      <w:lvlText w:val="%1."/>
      <w:lvlJc w:val="left"/>
      <w:pPr>
        <w:tabs>
          <w:tab w:val="left" w:pos="525"/>
        </w:tabs>
        <w:ind w:left="525" w:hanging="5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CB11212"/>
    <w:multiLevelType w:val="multilevel"/>
    <w:tmpl w:val="6CB11212"/>
    <w:lvl w:ilvl="0" w:tentative="0">
      <w:start w:val="1"/>
      <w:numFmt w:val="decimal"/>
      <w:pStyle w:val="11"/>
      <w:lvlText w:val="%1"/>
      <w:lvlJc w:val="left"/>
      <w:pPr>
        <w:tabs>
          <w:tab w:val="left" w:pos="425"/>
        </w:tabs>
        <w:ind w:left="425" w:hanging="425"/>
      </w:pPr>
      <w:rPr>
        <w:rFonts w:hint="default" w:ascii="Times New Roman" w:hAnsi="Times New Roman" w:cs="Times New Roman"/>
        <w:b/>
        <w:i w:val="0"/>
        <w:sz w:val="28"/>
      </w:rPr>
    </w:lvl>
    <w:lvl w:ilvl="1" w:tentative="0">
      <w:start w:val="1"/>
      <w:numFmt w:val="decimal"/>
      <w:lvlText w:val="%1.%2"/>
      <w:lvlJc w:val="left"/>
      <w:pPr>
        <w:tabs>
          <w:tab w:val="left" w:pos="992"/>
        </w:tabs>
        <w:ind w:left="992" w:hanging="567"/>
      </w:pPr>
      <w:rPr>
        <w:rFonts w:hint="eastAsia" w:cs="Times New Roman"/>
      </w:rPr>
    </w:lvl>
    <w:lvl w:ilvl="2" w:tentative="0">
      <w:start w:val="1"/>
      <w:numFmt w:val="decimal"/>
      <w:lvlText w:val="%1.%2.%3"/>
      <w:lvlJc w:val="left"/>
      <w:pPr>
        <w:tabs>
          <w:tab w:val="left" w:pos="1418"/>
        </w:tabs>
        <w:ind w:left="1418" w:hanging="567"/>
      </w:pPr>
      <w:rPr>
        <w:rFonts w:hint="eastAsia" w:cs="Times New Roman"/>
      </w:rPr>
    </w:lvl>
    <w:lvl w:ilvl="3" w:tentative="0">
      <w:start w:val="1"/>
      <w:numFmt w:val="decimal"/>
      <w:lvlText w:val="%1.%2.%3.%4"/>
      <w:lvlJc w:val="left"/>
      <w:pPr>
        <w:tabs>
          <w:tab w:val="left" w:pos="1984"/>
        </w:tabs>
        <w:ind w:left="1984" w:hanging="708"/>
      </w:pPr>
      <w:rPr>
        <w:rFonts w:hint="eastAsia" w:cs="Times New Roman"/>
      </w:rPr>
    </w:lvl>
    <w:lvl w:ilvl="4" w:tentative="0">
      <w:start w:val="1"/>
      <w:numFmt w:val="decimal"/>
      <w:lvlText w:val="%1.%2.%3.%4.%5"/>
      <w:lvlJc w:val="left"/>
      <w:pPr>
        <w:tabs>
          <w:tab w:val="left" w:pos="2551"/>
        </w:tabs>
        <w:ind w:left="2551" w:hanging="850"/>
      </w:pPr>
      <w:rPr>
        <w:rFonts w:hint="eastAsia" w:cs="Times New Roman"/>
      </w:rPr>
    </w:lvl>
    <w:lvl w:ilvl="5" w:tentative="0">
      <w:start w:val="1"/>
      <w:numFmt w:val="decimal"/>
      <w:lvlText w:val="%1.%2.%3.%4.%5.%6"/>
      <w:lvlJc w:val="left"/>
      <w:pPr>
        <w:tabs>
          <w:tab w:val="left" w:pos="3260"/>
        </w:tabs>
        <w:ind w:left="3260" w:hanging="1134"/>
      </w:pPr>
      <w:rPr>
        <w:rFonts w:hint="eastAsia" w:cs="Times New Roman"/>
      </w:rPr>
    </w:lvl>
    <w:lvl w:ilvl="6" w:tentative="0">
      <w:start w:val="1"/>
      <w:numFmt w:val="decimal"/>
      <w:lvlText w:val="%1.%2.%3.%4.%5.%6.%7"/>
      <w:lvlJc w:val="left"/>
      <w:pPr>
        <w:tabs>
          <w:tab w:val="left" w:pos="3827"/>
        </w:tabs>
        <w:ind w:left="3827" w:hanging="1276"/>
      </w:pPr>
      <w:rPr>
        <w:rFonts w:hint="eastAsia" w:cs="Times New Roman"/>
      </w:rPr>
    </w:lvl>
    <w:lvl w:ilvl="7" w:tentative="0">
      <w:start w:val="1"/>
      <w:numFmt w:val="decimal"/>
      <w:lvlText w:val="%1.%2.%3.%4.%5.%6.%7.%8"/>
      <w:lvlJc w:val="left"/>
      <w:pPr>
        <w:tabs>
          <w:tab w:val="left" w:pos="4394"/>
        </w:tabs>
        <w:ind w:left="4394" w:hanging="1418"/>
      </w:pPr>
      <w:rPr>
        <w:rFonts w:hint="eastAsia" w:cs="Times New Roman"/>
      </w:rPr>
    </w:lvl>
    <w:lvl w:ilvl="8" w:tentative="0">
      <w:start w:val="1"/>
      <w:numFmt w:val="decimal"/>
      <w:lvlText w:val="%1.%2.%3.%4.%5.%6.%7.%8.%9"/>
      <w:lvlJc w:val="left"/>
      <w:pPr>
        <w:tabs>
          <w:tab w:val="left" w:pos="5102"/>
        </w:tabs>
        <w:ind w:left="5102" w:hanging="1700"/>
      </w:pPr>
      <w:rPr>
        <w:rFonts w:hint="eastAsia" w:cs="Times New Roman"/>
      </w:rPr>
    </w:lvl>
  </w:abstractNum>
  <w:abstractNum w:abstractNumId="13">
    <w:nsid w:val="6F1D7D26"/>
    <w:multiLevelType w:val="multilevel"/>
    <w:tmpl w:val="6F1D7D26"/>
    <w:lvl w:ilvl="0" w:tentative="0">
      <w:start w:val="1"/>
      <w:numFmt w:val="decimal"/>
      <w:pStyle w:val="27"/>
      <w:lvlText w:val="%1."/>
      <w:lvlJc w:val="left"/>
      <w:pPr>
        <w:ind w:left="420" w:firstLine="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12"/>
  </w:num>
  <w:num w:numId="3">
    <w:abstractNumId w:val="13"/>
  </w:num>
  <w:num w:numId="4">
    <w:abstractNumId w:val="7"/>
  </w:num>
  <w:num w:numId="5">
    <w:abstractNumId w:val="4"/>
  </w:num>
  <w:num w:numId="6">
    <w:abstractNumId w:val="9"/>
  </w:num>
  <w:num w:numId="7">
    <w:abstractNumId w:val="6"/>
  </w:num>
  <w:num w:numId="8">
    <w:abstractNumId w:val="0"/>
  </w:num>
  <w:num w:numId="9">
    <w:abstractNumId w:val="5"/>
  </w:num>
  <w:num w:numId="10">
    <w:abstractNumId w:val="8"/>
  </w:num>
  <w:num w:numId="11">
    <w:abstractNumId w:val="1"/>
  </w:num>
  <w:num w:numId="12">
    <w:abstractNumId w:val="2"/>
  </w:num>
  <w:num w:numId="13">
    <w:abstractNumId w:val="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168"/>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00AE79E0"/>
    <w:rsid w:val="00000FD7"/>
    <w:rsid w:val="00001745"/>
    <w:rsid w:val="000018C2"/>
    <w:rsid w:val="00001EDD"/>
    <w:rsid w:val="00002FE3"/>
    <w:rsid w:val="00003231"/>
    <w:rsid w:val="0000387A"/>
    <w:rsid w:val="00003B78"/>
    <w:rsid w:val="00003E3C"/>
    <w:rsid w:val="00003F2A"/>
    <w:rsid w:val="00005025"/>
    <w:rsid w:val="00005C91"/>
    <w:rsid w:val="0000620B"/>
    <w:rsid w:val="0000682D"/>
    <w:rsid w:val="00007272"/>
    <w:rsid w:val="00007892"/>
    <w:rsid w:val="00011FD2"/>
    <w:rsid w:val="0001207D"/>
    <w:rsid w:val="00012CBB"/>
    <w:rsid w:val="00012CFA"/>
    <w:rsid w:val="00013187"/>
    <w:rsid w:val="000131BA"/>
    <w:rsid w:val="00014B17"/>
    <w:rsid w:val="0001582D"/>
    <w:rsid w:val="00015980"/>
    <w:rsid w:val="0001696F"/>
    <w:rsid w:val="00016F81"/>
    <w:rsid w:val="00017E3B"/>
    <w:rsid w:val="000201C1"/>
    <w:rsid w:val="000204E4"/>
    <w:rsid w:val="00020F35"/>
    <w:rsid w:val="00021C59"/>
    <w:rsid w:val="00021FD3"/>
    <w:rsid w:val="00023055"/>
    <w:rsid w:val="00023156"/>
    <w:rsid w:val="00023185"/>
    <w:rsid w:val="00026A08"/>
    <w:rsid w:val="00026B7C"/>
    <w:rsid w:val="000279EA"/>
    <w:rsid w:val="000314DB"/>
    <w:rsid w:val="000316BD"/>
    <w:rsid w:val="00032E2D"/>
    <w:rsid w:val="000334DF"/>
    <w:rsid w:val="00033536"/>
    <w:rsid w:val="00033AA1"/>
    <w:rsid w:val="00033B6A"/>
    <w:rsid w:val="00034324"/>
    <w:rsid w:val="0003496F"/>
    <w:rsid w:val="00034BA3"/>
    <w:rsid w:val="00034CDA"/>
    <w:rsid w:val="00034F63"/>
    <w:rsid w:val="0003627F"/>
    <w:rsid w:val="00037505"/>
    <w:rsid w:val="000404C6"/>
    <w:rsid w:val="000405BF"/>
    <w:rsid w:val="00040C87"/>
    <w:rsid w:val="00040CAE"/>
    <w:rsid w:val="00041067"/>
    <w:rsid w:val="00041856"/>
    <w:rsid w:val="00041921"/>
    <w:rsid w:val="000430E9"/>
    <w:rsid w:val="00044BB7"/>
    <w:rsid w:val="00044F9F"/>
    <w:rsid w:val="00045942"/>
    <w:rsid w:val="00045EE5"/>
    <w:rsid w:val="00047196"/>
    <w:rsid w:val="00050258"/>
    <w:rsid w:val="0005034F"/>
    <w:rsid w:val="00051277"/>
    <w:rsid w:val="0005173F"/>
    <w:rsid w:val="00051ECE"/>
    <w:rsid w:val="00054663"/>
    <w:rsid w:val="00055300"/>
    <w:rsid w:val="00055AB6"/>
    <w:rsid w:val="0005632F"/>
    <w:rsid w:val="00056A13"/>
    <w:rsid w:val="00061311"/>
    <w:rsid w:val="00061B85"/>
    <w:rsid w:val="00062064"/>
    <w:rsid w:val="00063028"/>
    <w:rsid w:val="00063B93"/>
    <w:rsid w:val="00063EFE"/>
    <w:rsid w:val="00064417"/>
    <w:rsid w:val="0006463B"/>
    <w:rsid w:val="00064649"/>
    <w:rsid w:val="00064BF9"/>
    <w:rsid w:val="00065388"/>
    <w:rsid w:val="00065665"/>
    <w:rsid w:val="0006601A"/>
    <w:rsid w:val="000665FE"/>
    <w:rsid w:val="000671A2"/>
    <w:rsid w:val="00067818"/>
    <w:rsid w:val="00067833"/>
    <w:rsid w:val="00067D7A"/>
    <w:rsid w:val="00070340"/>
    <w:rsid w:val="000708F9"/>
    <w:rsid w:val="000719DB"/>
    <w:rsid w:val="00071DAC"/>
    <w:rsid w:val="0007207A"/>
    <w:rsid w:val="00072CA0"/>
    <w:rsid w:val="00072FF3"/>
    <w:rsid w:val="00073F2F"/>
    <w:rsid w:val="00073F71"/>
    <w:rsid w:val="00073F84"/>
    <w:rsid w:val="000743D1"/>
    <w:rsid w:val="000746A8"/>
    <w:rsid w:val="00074FC6"/>
    <w:rsid w:val="00076052"/>
    <w:rsid w:val="00076223"/>
    <w:rsid w:val="00076436"/>
    <w:rsid w:val="00076558"/>
    <w:rsid w:val="00077068"/>
    <w:rsid w:val="0007793B"/>
    <w:rsid w:val="00077C43"/>
    <w:rsid w:val="00077D8B"/>
    <w:rsid w:val="00082390"/>
    <w:rsid w:val="00082EB0"/>
    <w:rsid w:val="00083463"/>
    <w:rsid w:val="00083C57"/>
    <w:rsid w:val="00084EFD"/>
    <w:rsid w:val="00085489"/>
    <w:rsid w:val="000863D1"/>
    <w:rsid w:val="00086A7A"/>
    <w:rsid w:val="000874E4"/>
    <w:rsid w:val="00087DEF"/>
    <w:rsid w:val="000921FF"/>
    <w:rsid w:val="000942A8"/>
    <w:rsid w:val="00094641"/>
    <w:rsid w:val="00094F01"/>
    <w:rsid w:val="00095245"/>
    <w:rsid w:val="00095368"/>
    <w:rsid w:val="00095431"/>
    <w:rsid w:val="000955A6"/>
    <w:rsid w:val="0009679B"/>
    <w:rsid w:val="00097185"/>
    <w:rsid w:val="000A2970"/>
    <w:rsid w:val="000A2A2A"/>
    <w:rsid w:val="000A3B88"/>
    <w:rsid w:val="000A3FD5"/>
    <w:rsid w:val="000A4A5B"/>
    <w:rsid w:val="000A4BA2"/>
    <w:rsid w:val="000A4C42"/>
    <w:rsid w:val="000A4D00"/>
    <w:rsid w:val="000A6219"/>
    <w:rsid w:val="000A694F"/>
    <w:rsid w:val="000A6DD1"/>
    <w:rsid w:val="000A6DF5"/>
    <w:rsid w:val="000A7BFA"/>
    <w:rsid w:val="000A7E34"/>
    <w:rsid w:val="000B071E"/>
    <w:rsid w:val="000B0A14"/>
    <w:rsid w:val="000B0B87"/>
    <w:rsid w:val="000B0C3D"/>
    <w:rsid w:val="000B2E83"/>
    <w:rsid w:val="000B40C2"/>
    <w:rsid w:val="000B428C"/>
    <w:rsid w:val="000B5B09"/>
    <w:rsid w:val="000B5CD6"/>
    <w:rsid w:val="000B5DAB"/>
    <w:rsid w:val="000B6098"/>
    <w:rsid w:val="000B615E"/>
    <w:rsid w:val="000B7097"/>
    <w:rsid w:val="000B71A8"/>
    <w:rsid w:val="000B7353"/>
    <w:rsid w:val="000B7627"/>
    <w:rsid w:val="000B7B9F"/>
    <w:rsid w:val="000B7FF5"/>
    <w:rsid w:val="000C0D0A"/>
    <w:rsid w:val="000C3114"/>
    <w:rsid w:val="000C5FF0"/>
    <w:rsid w:val="000C7F94"/>
    <w:rsid w:val="000D0783"/>
    <w:rsid w:val="000D0794"/>
    <w:rsid w:val="000D1770"/>
    <w:rsid w:val="000D1955"/>
    <w:rsid w:val="000D1963"/>
    <w:rsid w:val="000D2B25"/>
    <w:rsid w:val="000D2BE7"/>
    <w:rsid w:val="000D3563"/>
    <w:rsid w:val="000D3FE5"/>
    <w:rsid w:val="000D456B"/>
    <w:rsid w:val="000D45FF"/>
    <w:rsid w:val="000D522D"/>
    <w:rsid w:val="000D57AA"/>
    <w:rsid w:val="000D5856"/>
    <w:rsid w:val="000D5BFA"/>
    <w:rsid w:val="000D73C3"/>
    <w:rsid w:val="000E12E1"/>
    <w:rsid w:val="000E169F"/>
    <w:rsid w:val="000E18AA"/>
    <w:rsid w:val="000E3822"/>
    <w:rsid w:val="000E416E"/>
    <w:rsid w:val="000E427E"/>
    <w:rsid w:val="000E4C55"/>
    <w:rsid w:val="000E4F64"/>
    <w:rsid w:val="000E5225"/>
    <w:rsid w:val="000E7541"/>
    <w:rsid w:val="000F1DED"/>
    <w:rsid w:val="000F1DEE"/>
    <w:rsid w:val="000F1E18"/>
    <w:rsid w:val="000F2EDB"/>
    <w:rsid w:val="000F365B"/>
    <w:rsid w:val="000F3FFF"/>
    <w:rsid w:val="000F44ED"/>
    <w:rsid w:val="000F4B95"/>
    <w:rsid w:val="000F5992"/>
    <w:rsid w:val="000F6AB9"/>
    <w:rsid w:val="000F6B00"/>
    <w:rsid w:val="000F6FE4"/>
    <w:rsid w:val="000F7194"/>
    <w:rsid w:val="000F746A"/>
    <w:rsid w:val="0010047E"/>
    <w:rsid w:val="001008C8"/>
    <w:rsid w:val="0010124A"/>
    <w:rsid w:val="001017D7"/>
    <w:rsid w:val="00102D15"/>
    <w:rsid w:val="00103102"/>
    <w:rsid w:val="00104E2B"/>
    <w:rsid w:val="001051AF"/>
    <w:rsid w:val="001057AF"/>
    <w:rsid w:val="00106684"/>
    <w:rsid w:val="0010699C"/>
    <w:rsid w:val="00106EC5"/>
    <w:rsid w:val="00107005"/>
    <w:rsid w:val="001072E0"/>
    <w:rsid w:val="00107B42"/>
    <w:rsid w:val="001108D1"/>
    <w:rsid w:val="00111111"/>
    <w:rsid w:val="001123E7"/>
    <w:rsid w:val="001129B2"/>
    <w:rsid w:val="00112A7E"/>
    <w:rsid w:val="00113A3E"/>
    <w:rsid w:val="00114702"/>
    <w:rsid w:val="00114A7D"/>
    <w:rsid w:val="001159EE"/>
    <w:rsid w:val="00115E66"/>
    <w:rsid w:val="001161CF"/>
    <w:rsid w:val="001167DB"/>
    <w:rsid w:val="00116967"/>
    <w:rsid w:val="00116A34"/>
    <w:rsid w:val="00116D76"/>
    <w:rsid w:val="00116E49"/>
    <w:rsid w:val="00117062"/>
    <w:rsid w:val="001170CE"/>
    <w:rsid w:val="001178E2"/>
    <w:rsid w:val="00117C52"/>
    <w:rsid w:val="001209B7"/>
    <w:rsid w:val="001213E9"/>
    <w:rsid w:val="001214D0"/>
    <w:rsid w:val="00123DB7"/>
    <w:rsid w:val="0012425E"/>
    <w:rsid w:val="00124F09"/>
    <w:rsid w:val="0012511F"/>
    <w:rsid w:val="00125262"/>
    <w:rsid w:val="00125392"/>
    <w:rsid w:val="00126AD8"/>
    <w:rsid w:val="001276ED"/>
    <w:rsid w:val="00127E6A"/>
    <w:rsid w:val="00130067"/>
    <w:rsid w:val="001302B8"/>
    <w:rsid w:val="00131086"/>
    <w:rsid w:val="0013112F"/>
    <w:rsid w:val="0013161B"/>
    <w:rsid w:val="00131C30"/>
    <w:rsid w:val="00131D14"/>
    <w:rsid w:val="00131F24"/>
    <w:rsid w:val="00132477"/>
    <w:rsid w:val="0013362D"/>
    <w:rsid w:val="0013431D"/>
    <w:rsid w:val="00134648"/>
    <w:rsid w:val="001347EC"/>
    <w:rsid w:val="00135759"/>
    <w:rsid w:val="00135AED"/>
    <w:rsid w:val="00135BC4"/>
    <w:rsid w:val="001369C3"/>
    <w:rsid w:val="00136EE6"/>
    <w:rsid w:val="001378A8"/>
    <w:rsid w:val="00137AF4"/>
    <w:rsid w:val="00137B6B"/>
    <w:rsid w:val="001407AB"/>
    <w:rsid w:val="00141CB6"/>
    <w:rsid w:val="00142194"/>
    <w:rsid w:val="0014457C"/>
    <w:rsid w:val="001449E6"/>
    <w:rsid w:val="0014579B"/>
    <w:rsid w:val="00146A7E"/>
    <w:rsid w:val="0015132A"/>
    <w:rsid w:val="00151628"/>
    <w:rsid w:val="00151A64"/>
    <w:rsid w:val="0015210B"/>
    <w:rsid w:val="0015286F"/>
    <w:rsid w:val="001528B1"/>
    <w:rsid w:val="00152AFF"/>
    <w:rsid w:val="001554EC"/>
    <w:rsid w:val="001565DA"/>
    <w:rsid w:val="00157E12"/>
    <w:rsid w:val="001602D9"/>
    <w:rsid w:val="001605FB"/>
    <w:rsid w:val="00160863"/>
    <w:rsid w:val="00160C56"/>
    <w:rsid w:val="001621B2"/>
    <w:rsid w:val="00162769"/>
    <w:rsid w:val="00162B12"/>
    <w:rsid w:val="00163021"/>
    <w:rsid w:val="00163A4F"/>
    <w:rsid w:val="00164A96"/>
    <w:rsid w:val="001654FA"/>
    <w:rsid w:val="0016649D"/>
    <w:rsid w:val="00166692"/>
    <w:rsid w:val="0016722F"/>
    <w:rsid w:val="00167DD2"/>
    <w:rsid w:val="00167EAD"/>
    <w:rsid w:val="00170051"/>
    <w:rsid w:val="00170340"/>
    <w:rsid w:val="0017080E"/>
    <w:rsid w:val="00170C26"/>
    <w:rsid w:val="00171430"/>
    <w:rsid w:val="00173435"/>
    <w:rsid w:val="00173C5E"/>
    <w:rsid w:val="00174529"/>
    <w:rsid w:val="00174D16"/>
    <w:rsid w:val="00174E84"/>
    <w:rsid w:val="00175041"/>
    <w:rsid w:val="00175BB3"/>
    <w:rsid w:val="00176570"/>
    <w:rsid w:val="0017662E"/>
    <w:rsid w:val="0017703B"/>
    <w:rsid w:val="00177477"/>
    <w:rsid w:val="00177851"/>
    <w:rsid w:val="00177B77"/>
    <w:rsid w:val="00177E3F"/>
    <w:rsid w:val="001801CB"/>
    <w:rsid w:val="00180275"/>
    <w:rsid w:val="00180644"/>
    <w:rsid w:val="0018131E"/>
    <w:rsid w:val="00181735"/>
    <w:rsid w:val="00181BE3"/>
    <w:rsid w:val="00182153"/>
    <w:rsid w:val="00183195"/>
    <w:rsid w:val="00183525"/>
    <w:rsid w:val="0018358B"/>
    <w:rsid w:val="00183724"/>
    <w:rsid w:val="00184EAF"/>
    <w:rsid w:val="0018503D"/>
    <w:rsid w:val="0018523C"/>
    <w:rsid w:val="00185E01"/>
    <w:rsid w:val="00186292"/>
    <w:rsid w:val="00187319"/>
    <w:rsid w:val="00187533"/>
    <w:rsid w:val="0019079F"/>
    <w:rsid w:val="00190953"/>
    <w:rsid w:val="00191194"/>
    <w:rsid w:val="00192441"/>
    <w:rsid w:val="00192922"/>
    <w:rsid w:val="001935E2"/>
    <w:rsid w:val="0019444D"/>
    <w:rsid w:val="00194A22"/>
    <w:rsid w:val="00194D8F"/>
    <w:rsid w:val="001958DC"/>
    <w:rsid w:val="00196252"/>
    <w:rsid w:val="001966AA"/>
    <w:rsid w:val="00196D5E"/>
    <w:rsid w:val="00196F4B"/>
    <w:rsid w:val="001A0CAB"/>
    <w:rsid w:val="001A0E41"/>
    <w:rsid w:val="001A11EB"/>
    <w:rsid w:val="001A1D0A"/>
    <w:rsid w:val="001A3056"/>
    <w:rsid w:val="001A312F"/>
    <w:rsid w:val="001A330F"/>
    <w:rsid w:val="001A344A"/>
    <w:rsid w:val="001A3ACE"/>
    <w:rsid w:val="001A406C"/>
    <w:rsid w:val="001A62A1"/>
    <w:rsid w:val="001A63E7"/>
    <w:rsid w:val="001A64CF"/>
    <w:rsid w:val="001A6AF5"/>
    <w:rsid w:val="001B0F50"/>
    <w:rsid w:val="001B16CE"/>
    <w:rsid w:val="001B1C75"/>
    <w:rsid w:val="001B253D"/>
    <w:rsid w:val="001B31D7"/>
    <w:rsid w:val="001B4093"/>
    <w:rsid w:val="001B522A"/>
    <w:rsid w:val="001B5738"/>
    <w:rsid w:val="001B58C9"/>
    <w:rsid w:val="001B6006"/>
    <w:rsid w:val="001B6C2D"/>
    <w:rsid w:val="001B6E93"/>
    <w:rsid w:val="001B74F5"/>
    <w:rsid w:val="001B79FD"/>
    <w:rsid w:val="001B7B84"/>
    <w:rsid w:val="001C05AB"/>
    <w:rsid w:val="001C1059"/>
    <w:rsid w:val="001C2A8A"/>
    <w:rsid w:val="001C4859"/>
    <w:rsid w:val="001C54F3"/>
    <w:rsid w:val="001C5539"/>
    <w:rsid w:val="001C5E26"/>
    <w:rsid w:val="001D28A8"/>
    <w:rsid w:val="001D2F5F"/>
    <w:rsid w:val="001D30A6"/>
    <w:rsid w:val="001D44EC"/>
    <w:rsid w:val="001D58FF"/>
    <w:rsid w:val="001D59B0"/>
    <w:rsid w:val="001D6266"/>
    <w:rsid w:val="001D63FD"/>
    <w:rsid w:val="001D677E"/>
    <w:rsid w:val="001D6F3F"/>
    <w:rsid w:val="001D72FB"/>
    <w:rsid w:val="001D77EC"/>
    <w:rsid w:val="001D79C2"/>
    <w:rsid w:val="001E04F1"/>
    <w:rsid w:val="001E07BF"/>
    <w:rsid w:val="001E1E50"/>
    <w:rsid w:val="001E3BD1"/>
    <w:rsid w:val="001E3F0E"/>
    <w:rsid w:val="001E44BA"/>
    <w:rsid w:val="001E460E"/>
    <w:rsid w:val="001E4EE8"/>
    <w:rsid w:val="001E5159"/>
    <w:rsid w:val="001E5898"/>
    <w:rsid w:val="001E68D0"/>
    <w:rsid w:val="001E7E31"/>
    <w:rsid w:val="001F07C5"/>
    <w:rsid w:val="001F1324"/>
    <w:rsid w:val="001F134E"/>
    <w:rsid w:val="001F1946"/>
    <w:rsid w:val="001F1C38"/>
    <w:rsid w:val="001F1C73"/>
    <w:rsid w:val="001F3378"/>
    <w:rsid w:val="001F3C43"/>
    <w:rsid w:val="001F4719"/>
    <w:rsid w:val="001F602E"/>
    <w:rsid w:val="001F66CF"/>
    <w:rsid w:val="001F7137"/>
    <w:rsid w:val="001F7DFE"/>
    <w:rsid w:val="002005FD"/>
    <w:rsid w:val="00201180"/>
    <w:rsid w:val="00201590"/>
    <w:rsid w:val="00201F0C"/>
    <w:rsid w:val="00202157"/>
    <w:rsid w:val="002028E4"/>
    <w:rsid w:val="00202D5B"/>
    <w:rsid w:val="00202F2A"/>
    <w:rsid w:val="002036F3"/>
    <w:rsid w:val="00204191"/>
    <w:rsid w:val="002047D3"/>
    <w:rsid w:val="002054D8"/>
    <w:rsid w:val="002056FA"/>
    <w:rsid w:val="00205A83"/>
    <w:rsid w:val="00205CBD"/>
    <w:rsid w:val="00206487"/>
    <w:rsid w:val="0020674D"/>
    <w:rsid w:val="00206C3F"/>
    <w:rsid w:val="00206E10"/>
    <w:rsid w:val="00207273"/>
    <w:rsid w:val="00207E8B"/>
    <w:rsid w:val="002108DD"/>
    <w:rsid w:val="0021092F"/>
    <w:rsid w:val="0021169E"/>
    <w:rsid w:val="00211789"/>
    <w:rsid w:val="00211C20"/>
    <w:rsid w:val="00212686"/>
    <w:rsid w:val="002130FB"/>
    <w:rsid w:val="0021421B"/>
    <w:rsid w:val="002157C5"/>
    <w:rsid w:val="00215BDE"/>
    <w:rsid w:val="0021605B"/>
    <w:rsid w:val="002164F2"/>
    <w:rsid w:val="002169E6"/>
    <w:rsid w:val="0021708A"/>
    <w:rsid w:val="002173CF"/>
    <w:rsid w:val="00217490"/>
    <w:rsid w:val="00217DC1"/>
    <w:rsid w:val="00220226"/>
    <w:rsid w:val="00220734"/>
    <w:rsid w:val="002216C1"/>
    <w:rsid w:val="00222513"/>
    <w:rsid w:val="0022259D"/>
    <w:rsid w:val="0022346E"/>
    <w:rsid w:val="00224266"/>
    <w:rsid w:val="00224DB7"/>
    <w:rsid w:val="00225305"/>
    <w:rsid w:val="00225A4D"/>
    <w:rsid w:val="00226100"/>
    <w:rsid w:val="00227667"/>
    <w:rsid w:val="00227E9F"/>
    <w:rsid w:val="002306BE"/>
    <w:rsid w:val="00230CC1"/>
    <w:rsid w:val="00230D14"/>
    <w:rsid w:val="00231065"/>
    <w:rsid w:val="002314E9"/>
    <w:rsid w:val="00231F99"/>
    <w:rsid w:val="00232729"/>
    <w:rsid w:val="00233016"/>
    <w:rsid w:val="00235478"/>
    <w:rsid w:val="00235509"/>
    <w:rsid w:val="002358C7"/>
    <w:rsid w:val="002362CC"/>
    <w:rsid w:val="00237506"/>
    <w:rsid w:val="002378D0"/>
    <w:rsid w:val="00237D12"/>
    <w:rsid w:val="002402A5"/>
    <w:rsid w:val="0024055D"/>
    <w:rsid w:val="00240863"/>
    <w:rsid w:val="00240C70"/>
    <w:rsid w:val="00240ECA"/>
    <w:rsid w:val="002410F9"/>
    <w:rsid w:val="0024120B"/>
    <w:rsid w:val="002414ED"/>
    <w:rsid w:val="002423ED"/>
    <w:rsid w:val="00242A2B"/>
    <w:rsid w:val="00243A1C"/>
    <w:rsid w:val="00245ACA"/>
    <w:rsid w:val="00245C87"/>
    <w:rsid w:val="00245E60"/>
    <w:rsid w:val="00246194"/>
    <w:rsid w:val="00246411"/>
    <w:rsid w:val="00247253"/>
    <w:rsid w:val="00247B6D"/>
    <w:rsid w:val="00252089"/>
    <w:rsid w:val="0025249A"/>
    <w:rsid w:val="00252ADA"/>
    <w:rsid w:val="0025326E"/>
    <w:rsid w:val="0025448F"/>
    <w:rsid w:val="002553EA"/>
    <w:rsid w:val="00255705"/>
    <w:rsid w:val="0025577C"/>
    <w:rsid w:val="002557DC"/>
    <w:rsid w:val="0025785F"/>
    <w:rsid w:val="00261696"/>
    <w:rsid w:val="00261984"/>
    <w:rsid w:val="0026258A"/>
    <w:rsid w:val="00262A9D"/>
    <w:rsid w:val="00263540"/>
    <w:rsid w:val="00263AF8"/>
    <w:rsid w:val="00264279"/>
    <w:rsid w:val="0026440A"/>
    <w:rsid w:val="002646DF"/>
    <w:rsid w:val="00265130"/>
    <w:rsid w:val="00265203"/>
    <w:rsid w:val="0026581B"/>
    <w:rsid w:val="00265D50"/>
    <w:rsid w:val="00265EDA"/>
    <w:rsid w:val="00266594"/>
    <w:rsid w:val="0026664B"/>
    <w:rsid w:val="00270D49"/>
    <w:rsid w:val="00270FEA"/>
    <w:rsid w:val="00272390"/>
    <w:rsid w:val="00272582"/>
    <w:rsid w:val="00272A37"/>
    <w:rsid w:val="00272B60"/>
    <w:rsid w:val="00272E91"/>
    <w:rsid w:val="002734B2"/>
    <w:rsid w:val="00273945"/>
    <w:rsid w:val="00273DEE"/>
    <w:rsid w:val="0027522C"/>
    <w:rsid w:val="0027543F"/>
    <w:rsid w:val="002760E4"/>
    <w:rsid w:val="002765B9"/>
    <w:rsid w:val="00277378"/>
    <w:rsid w:val="002775E0"/>
    <w:rsid w:val="00280BAA"/>
    <w:rsid w:val="002834D7"/>
    <w:rsid w:val="0028431C"/>
    <w:rsid w:val="00284AA1"/>
    <w:rsid w:val="00284BDB"/>
    <w:rsid w:val="00284FF3"/>
    <w:rsid w:val="00285937"/>
    <w:rsid w:val="00285CC4"/>
    <w:rsid w:val="00286851"/>
    <w:rsid w:val="002870BB"/>
    <w:rsid w:val="002909AD"/>
    <w:rsid w:val="00291B90"/>
    <w:rsid w:val="00292F4A"/>
    <w:rsid w:val="00293F97"/>
    <w:rsid w:val="00294D1A"/>
    <w:rsid w:val="002962C6"/>
    <w:rsid w:val="0029660E"/>
    <w:rsid w:val="00296FAA"/>
    <w:rsid w:val="00297134"/>
    <w:rsid w:val="0029727E"/>
    <w:rsid w:val="0029798C"/>
    <w:rsid w:val="002A04DB"/>
    <w:rsid w:val="002A1959"/>
    <w:rsid w:val="002A3638"/>
    <w:rsid w:val="002A49E9"/>
    <w:rsid w:val="002A4D9A"/>
    <w:rsid w:val="002A61A0"/>
    <w:rsid w:val="002A64B0"/>
    <w:rsid w:val="002A666B"/>
    <w:rsid w:val="002A6B50"/>
    <w:rsid w:val="002A7567"/>
    <w:rsid w:val="002A7DF4"/>
    <w:rsid w:val="002B0308"/>
    <w:rsid w:val="002B14F2"/>
    <w:rsid w:val="002B1A43"/>
    <w:rsid w:val="002B1ABC"/>
    <w:rsid w:val="002B1FB9"/>
    <w:rsid w:val="002B2690"/>
    <w:rsid w:val="002B26EC"/>
    <w:rsid w:val="002B324A"/>
    <w:rsid w:val="002B3D17"/>
    <w:rsid w:val="002B3EF5"/>
    <w:rsid w:val="002B5793"/>
    <w:rsid w:val="002B5F03"/>
    <w:rsid w:val="002B6423"/>
    <w:rsid w:val="002B65EE"/>
    <w:rsid w:val="002B6A63"/>
    <w:rsid w:val="002B6B7B"/>
    <w:rsid w:val="002B7C85"/>
    <w:rsid w:val="002B7DCD"/>
    <w:rsid w:val="002C0484"/>
    <w:rsid w:val="002C0D1E"/>
    <w:rsid w:val="002C1DFD"/>
    <w:rsid w:val="002C20CF"/>
    <w:rsid w:val="002C2381"/>
    <w:rsid w:val="002C2987"/>
    <w:rsid w:val="002C2BF7"/>
    <w:rsid w:val="002C324F"/>
    <w:rsid w:val="002C3B7F"/>
    <w:rsid w:val="002C4380"/>
    <w:rsid w:val="002C44F8"/>
    <w:rsid w:val="002C66EA"/>
    <w:rsid w:val="002D09B1"/>
    <w:rsid w:val="002D1BCB"/>
    <w:rsid w:val="002D2B6F"/>
    <w:rsid w:val="002D4617"/>
    <w:rsid w:val="002D5B85"/>
    <w:rsid w:val="002D64B1"/>
    <w:rsid w:val="002D6C02"/>
    <w:rsid w:val="002D6F6A"/>
    <w:rsid w:val="002D73D4"/>
    <w:rsid w:val="002E023A"/>
    <w:rsid w:val="002E05E3"/>
    <w:rsid w:val="002E0CF1"/>
    <w:rsid w:val="002E1533"/>
    <w:rsid w:val="002E1AF0"/>
    <w:rsid w:val="002E1F1A"/>
    <w:rsid w:val="002E2E1F"/>
    <w:rsid w:val="002E3A69"/>
    <w:rsid w:val="002E3B8A"/>
    <w:rsid w:val="002E5015"/>
    <w:rsid w:val="002E55E5"/>
    <w:rsid w:val="002E5DC8"/>
    <w:rsid w:val="002E620F"/>
    <w:rsid w:val="002E6CBA"/>
    <w:rsid w:val="002E6CF3"/>
    <w:rsid w:val="002E779E"/>
    <w:rsid w:val="002F0126"/>
    <w:rsid w:val="002F04E5"/>
    <w:rsid w:val="002F0C88"/>
    <w:rsid w:val="002F1B07"/>
    <w:rsid w:val="002F29ED"/>
    <w:rsid w:val="002F33E4"/>
    <w:rsid w:val="002F553D"/>
    <w:rsid w:val="002F5EA3"/>
    <w:rsid w:val="002F60DC"/>
    <w:rsid w:val="002F62E7"/>
    <w:rsid w:val="002F6350"/>
    <w:rsid w:val="002F65D3"/>
    <w:rsid w:val="002F6C62"/>
    <w:rsid w:val="002F6E36"/>
    <w:rsid w:val="002F7307"/>
    <w:rsid w:val="002F7D96"/>
    <w:rsid w:val="003002FC"/>
    <w:rsid w:val="0030054A"/>
    <w:rsid w:val="00301451"/>
    <w:rsid w:val="00301764"/>
    <w:rsid w:val="003061F3"/>
    <w:rsid w:val="003065EA"/>
    <w:rsid w:val="0030791A"/>
    <w:rsid w:val="00310A63"/>
    <w:rsid w:val="00311D1C"/>
    <w:rsid w:val="0031215C"/>
    <w:rsid w:val="00312B46"/>
    <w:rsid w:val="00313C11"/>
    <w:rsid w:val="00313E87"/>
    <w:rsid w:val="00314E48"/>
    <w:rsid w:val="00314EAA"/>
    <w:rsid w:val="00315218"/>
    <w:rsid w:val="003162FE"/>
    <w:rsid w:val="003169FF"/>
    <w:rsid w:val="00317374"/>
    <w:rsid w:val="0031782B"/>
    <w:rsid w:val="00320797"/>
    <w:rsid w:val="003209A5"/>
    <w:rsid w:val="00321303"/>
    <w:rsid w:val="003215D0"/>
    <w:rsid w:val="00321B0F"/>
    <w:rsid w:val="00321BF5"/>
    <w:rsid w:val="00321CA7"/>
    <w:rsid w:val="00322242"/>
    <w:rsid w:val="0032294B"/>
    <w:rsid w:val="00322BDA"/>
    <w:rsid w:val="00322FEA"/>
    <w:rsid w:val="0032368B"/>
    <w:rsid w:val="00323B3C"/>
    <w:rsid w:val="00323B9B"/>
    <w:rsid w:val="00323EE0"/>
    <w:rsid w:val="003250B5"/>
    <w:rsid w:val="0032569D"/>
    <w:rsid w:val="00325E39"/>
    <w:rsid w:val="00327342"/>
    <w:rsid w:val="003275CF"/>
    <w:rsid w:val="00327958"/>
    <w:rsid w:val="00327AE8"/>
    <w:rsid w:val="003300D1"/>
    <w:rsid w:val="00330EEC"/>
    <w:rsid w:val="003310FC"/>
    <w:rsid w:val="003316A2"/>
    <w:rsid w:val="00331BA2"/>
    <w:rsid w:val="00331F09"/>
    <w:rsid w:val="0033248F"/>
    <w:rsid w:val="0033289C"/>
    <w:rsid w:val="00334294"/>
    <w:rsid w:val="00336881"/>
    <w:rsid w:val="0033705C"/>
    <w:rsid w:val="00337E3A"/>
    <w:rsid w:val="00340700"/>
    <w:rsid w:val="00341701"/>
    <w:rsid w:val="00341E1B"/>
    <w:rsid w:val="00342538"/>
    <w:rsid w:val="00343F2D"/>
    <w:rsid w:val="00345340"/>
    <w:rsid w:val="003454D9"/>
    <w:rsid w:val="003468BE"/>
    <w:rsid w:val="003468D2"/>
    <w:rsid w:val="00346D81"/>
    <w:rsid w:val="0034767C"/>
    <w:rsid w:val="003504E0"/>
    <w:rsid w:val="00351B7B"/>
    <w:rsid w:val="003520CF"/>
    <w:rsid w:val="00352130"/>
    <w:rsid w:val="00352629"/>
    <w:rsid w:val="00352F5E"/>
    <w:rsid w:val="003535C3"/>
    <w:rsid w:val="0035435C"/>
    <w:rsid w:val="00354637"/>
    <w:rsid w:val="0035480E"/>
    <w:rsid w:val="0035494E"/>
    <w:rsid w:val="00354BFF"/>
    <w:rsid w:val="00355078"/>
    <w:rsid w:val="00355BD8"/>
    <w:rsid w:val="00356AD2"/>
    <w:rsid w:val="003577C2"/>
    <w:rsid w:val="003607F7"/>
    <w:rsid w:val="00360DE5"/>
    <w:rsid w:val="00361C08"/>
    <w:rsid w:val="0036201E"/>
    <w:rsid w:val="003633E1"/>
    <w:rsid w:val="0036373E"/>
    <w:rsid w:val="003639F7"/>
    <w:rsid w:val="00363AD4"/>
    <w:rsid w:val="00363D93"/>
    <w:rsid w:val="00363EAE"/>
    <w:rsid w:val="00364893"/>
    <w:rsid w:val="00365A9D"/>
    <w:rsid w:val="00366C81"/>
    <w:rsid w:val="00366D2F"/>
    <w:rsid w:val="00367FDD"/>
    <w:rsid w:val="0037282B"/>
    <w:rsid w:val="0037338E"/>
    <w:rsid w:val="003738CE"/>
    <w:rsid w:val="0037433D"/>
    <w:rsid w:val="003764D2"/>
    <w:rsid w:val="00376B56"/>
    <w:rsid w:val="003773A5"/>
    <w:rsid w:val="003775F7"/>
    <w:rsid w:val="0037765D"/>
    <w:rsid w:val="0037791B"/>
    <w:rsid w:val="00377CC1"/>
    <w:rsid w:val="0038033E"/>
    <w:rsid w:val="003822A4"/>
    <w:rsid w:val="003822B8"/>
    <w:rsid w:val="00382429"/>
    <w:rsid w:val="00382C45"/>
    <w:rsid w:val="00382C7E"/>
    <w:rsid w:val="00383387"/>
    <w:rsid w:val="0038351C"/>
    <w:rsid w:val="00383891"/>
    <w:rsid w:val="003845F8"/>
    <w:rsid w:val="00384A94"/>
    <w:rsid w:val="003852A8"/>
    <w:rsid w:val="00385827"/>
    <w:rsid w:val="00385E7A"/>
    <w:rsid w:val="00386A77"/>
    <w:rsid w:val="00386B3B"/>
    <w:rsid w:val="003872A8"/>
    <w:rsid w:val="00387EF5"/>
    <w:rsid w:val="0039030C"/>
    <w:rsid w:val="003906A3"/>
    <w:rsid w:val="003907C0"/>
    <w:rsid w:val="00390A55"/>
    <w:rsid w:val="003916E8"/>
    <w:rsid w:val="00391F3C"/>
    <w:rsid w:val="00392149"/>
    <w:rsid w:val="00392461"/>
    <w:rsid w:val="00392690"/>
    <w:rsid w:val="0039288E"/>
    <w:rsid w:val="00393021"/>
    <w:rsid w:val="00393365"/>
    <w:rsid w:val="0039363C"/>
    <w:rsid w:val="00393D4C"/>
    <w:rsid w:val="00394B4B"/>
    <w:rsid w:val="00397EBC"/>
    <w:rsid w:val="00397F87"/>
    <w:rsid w:val="003A185C"/>
    <w:rsid w:val="003A1C83"/>
    <w:rsid w:val="003A1FAF"/>
    <w:rsid w:val="003A24EE"/>
    <w:rsid w:val="003A2A46"/>
    <w:rsid w:val="003A2BEE"/>
    <w:rsid w:val="003A4F37"/>
    <w:rsid w:val="003A53B6"/>
    <w:rsid w:val="003A5F71"/>
    <w:rsid w:val="003A6060"/>
    <w:rsid w:val="003A797D"/>
    <w:rsid w:val="003A7EA6"/>
    <w:rsid w:val="003B03DB"/>
    <w:rsid w:val="003B080C"/>
    <w:rsid w:val="003B0BC6"/>
    <w:rsid w:val="003B25FB"/>
    <w:rsid w:val="003B436D"/>
    <w:rsid w:val="003B45BC"/>
    <w:rsid w:val="003B49C5"/>
    <w:rsid w:val="003B500B"/>
    <w:rsid w:val="003B7173"/>
    <w:rsid w:val="003B76FC"/>
    <w:rsid w:val="003B7796"/>
    <w:rsid w:val="003B77DC"/>
    <w:rsid w:val="003C0070"/>
    <w:rsid w:val="003C008F"/>
    <w:rsid w:val="003C1764"/>
    <w:rsid w:val="003C1D2A"/>
    <w:rsid w:val="003C2AF5"/>
    <w:rsid w:val="003C4520"/>
    <w:rsid w:val="003C4616"/>
    <w:rsid w:val="003C4D5C"/>
    <w:rsid w:val="003C522F"/>
    <w:rsid w:val="003C562D"/>
    <w:rsid w:val="003C58A1"/>
    <w:rsid w:val="003C6DB2"/>
    <w:rsid w:val="003C7D73"/>
    <w:rsid w:val="003C7EC0"/>
    <w:rsid w:val="003D0205"/>
    <w:rsid w:val="003D086A"/>
    <w:rsid w:val="003D1587"/>
    <w:rsid w:val="003D238C"/>
    <w:rsid w:val="003D24F7"/>
    <w:rsid w:val="003D3259"/>
    <w:rsid w:val="003D38BA"/>
    <w:rsid w:val="003D589D"/>
    <w:rsid w:val="003D6965"/>
    <w:rsid w:val="003D6DAE"/>
    <w:rsid w:val="003E0184"/>
    <w:rsid w:val="003E042B"/>
    <w:rsid w:val="003E0721"/>
    <w:rsid w:val="003E0CD3"/>
    <w:rsid w:val="003E13FF"/>
    <w:rsid w:val="003E14E7"/>
    <w:rsid w:val="003E1E30"/>
    <w:rsid w:val="003E2182"/>
    <w:rsid w:val="003E333B"/>
    <w:rsid w:val="003E334E"/>
    <w:rsid w:val="003E3BF0"/>
    <w:rsid w:val="003E4056"/>
    <w:rsid w:val="003E42A7"/>
    <w:rsid w:val="003E4507"/>
    <w:rsid w:val="003E5852"/>
    <w:rsid w:val="003E5EB4"/>
    <w:rsid w:val="003E5F67"/>
    <w:rsid w:val="003E6E09"/>
    <w:rsid w:val="003E6F20"/>
    <w:rsid w:val="003E718F"/>
    <w:rsid w:val="003E7D50"/>
    <w:rsid w:val="003F101A"/>
    <w:rsid w:val="003F1095"/>
    <w:rsid w:val="003F15CD"/>
    <w:rsid w:val="003F1B20"/>
    <w:rsid w:val="003F2112"/>
    <w:rsid w:val="003F2267"/>
    <w:rsid w:val="003F2E97"/>
    <w:rsid w:val="003F3171"/>
    <w:rsid w:val="003F382F"/>
    <w:rsid w:val="003F41E8"/>
    <w:rsid w:val="003F4D4E"/>
    <w:rsid w:val="003F5570"/>
    <w:rsid w:val="003F6082"/>
    <w:rsid w:val="003F6180"/>
    <w:rsid w:val="003F6452"/>
    <w:rsid w:val="003F6931"/>
    <w:rsid w:val="003F7D6D"/>
    <w:rsid w:val="004006D6"/>
    <w:rsid w:val="00401DB1"/>
    <w:rsid w:val="00402646"/>
    <w:rsid w:val="00402C0A"/>
    <w:rsid w:val="004039CF"/>
    <w:rsid w:val="00404F09"/>
    <w:rsid w:val="00405792"/>
    <w:rsid w:val="00405802"/>
    <w:rsid w:val="00405E5E"/>
    <w:rsid w:val="004066FB"/>
    <w:rsid w:val="00407458"/>
    <w:rsid w:val="004079D9"/>
    <w:rsid w:val="00410282"/>
    <w:rsid w:val="00410585"/>
    <w:rsid w:val="0041072B"/>
    <w:rsid w:val="00410764"/>
    <w:rsid w:val="004113FC"/>
    <w:rsid w:val="0041223C"/>
    <w:rsid w:val="004126E0"/>
    <w:rsid w:val="00412E27"/>
    <w:rsid w:val="0041542E"/>
    <w:rsid w:val="004154BF"/>
    <w:rsid w:val="00415780"/>
    <w:rsid w:val="00415A8A"/>
    <w:rsid w:val="00415D23"/>
    <w:rsid w:val="0041615B"/>
    <w:rsid w:val="00416645"/>
    <w:rsid w:val="004168C5"/>
    <w:rsid w:val="00416D78"/>
    <w:rsid w:val="00417BC7"/>
    <w:rsid w:val="0042096D"/>
    <w:rsid w:val="00420E6D"/>
    <w:rsid w:val="00421C2B"/>
    <w:rsid w:val="004233B2"/>
    <w:rsid w:val="004236FB"/>
    <w:rsid w:val="004237BE"/>
    <w:rsid w:val="00423B8C"/>
    <w:rsid w:val="00423FF8"/>
    <w:rsid w:val="00424232"/>
    <w:rsid w:val="00424370"/>
    <w:rsid w:val="00424BCC"/>
    <w:rsid w:val="00427129"/>
    <w:rsid w:val="0042715C"/>
    <w:rsid w:val="004274FB"/>
    <w:rsid w:val="004301B1"/>
    <w:rsid w:val="00430339"/>
    <w:rsid w:val="004303D4"/>
    <w:rsid w:val="00432121"/>
    <w:rsid w:val="004326BA"/>
    <w:rsid w:val="004333A6"/>
    <w:rsid w:val="004338B0"/>
    <w:rsid w:val="00433900"/>
    <w:rsid w:val="00434AED"/>
    <w:rsid w:val="00434EAA"/>
    <w:rsid w:val="004350B4"/>
    <w:rsid w:val="004363E7"/>
    <w:rsid w:val="004376E9"/>
    <w:rsid w:val="00437EE6"/>
    <w:rsid w:val="004400F3"/>
    <w:rsid w:val="004416DD"/>
    <w:rsid w:val="00441D12"/>
    <w:rsid w:val="004425B4"/>
    <w:rsid w:val="00443B24"/>
    <w:rsid w:val="00445AD1"/>
    <w:rsid w:val="004460F3"/>
    <w:rsid w:val="004465A9"/>
    <w:rsid w:val="0044683C"/>
    <w:rsid w:val="00446E3D"/>
    <w:rsid w:val="00447213"/>
    <w:rsid w:val="00447CE2"/>
    <w:rsid w:val="00450FFB"/>
    <w:rsid w:val="004511E3"/>
    <w:rsid w:val="004520ED"/>
    <w:rsid w:val="00452E71"/>
    <w:rsid w:val="00453895"/>
    <w:rsid w:val="00453EBB"/>
    <w:rsid w:val="004542CB"/>
    <w:rsid w:val="0045480C"/>
    <w:rsid w:val="00454DE2"/>
    <w:rsid w:val="004555C5"/>
    <w:rsid w:val="00457544"/>
    <w:rsid w:val="0046063A"/>
    <w:rsid w:val="0046069B"/>
    <w:rsid w:val="004607F9"/>
    <w:rsid w:val="00460DA4"/>
    <w:rsid w:val="00461382"/>
    <w:rsid w:val="00462D9B"/>
    <w:rsid w:val="004630FD"/>
    <w:rsid w:val="0046342A"/>
    <w:rsid w:val="00463E1B"/>
    <w:rsid w:val="0046401C"/>
    <w:rsid w:val="00464999"/>
    <w:rsid w:val="004650EF"/>
    <w:rsid w:val="004676E9"/>
    <w:rsid w:val="00467822"/>
    <w:rsid w:val="00467898"/>
    <w:rsid w:val="00470476"/>
    <w:rsid w:val="00471219"/>
    <w:rsid w:val="00471564"/>
    <w:rsid w:val="0047382F"/>
    <w:rsid w:val="00473C03"/>
    <w:rsid w:val="00474DB3"/>
    <w:rsid w:val="004753B8"/>
    <w:rsid w:val="00475748"/>
    <w:rsid w:val="00476BBF"/>
    <w:rsid w:val="00477AEB"/>
    <w:rsid w:val="00477C21"/>
    <w:rsid w:val="00480BD3"/>
    <w:rsid w:val="00480E1C"/>
    <w:rsid w:val="00480ED4"/>
    <w:rsid w:val="004810CA"/>
    <w:rsid w:val="00481B48"/>
    <w:rsid w:val="004824DF"/>
    <w:rsid w:val="00484148"/>
    <w:rsid w:val="004845DF"/>
    <w:rsid w:val="004860C8"/>
    <w:rsid w:val="0048617F"/>
    <w:rsid w:val="004870BB"/>
    <w:rsid w:val="004874ED"/>
    <w:rsid w:val="0049006E"/>
    <w:rsid w:val="00491CA5"/>
    <w:rsid w:val="00492569"/>
    <w:rsid w:val="00492593"/>
    <w:rsid w:val="00493825"/>
    <w:rsid w:val="004946A1"/>
    <w:rsid w:val="00495EE5"/>
    <w:rsid w:val="00496239"/>
    <w:rsid w:val="00496267"/>
    <w:rsid w:val="00496540"/>
    <w:rsid w:val="00496F58"/>
    <w:rsid w:val="004A009F"/>
    <w:rsid w:val="004A1991"/>
    <w:rsid w:val="004A1F33"/>
    <w:rsid w:val="004A2693"/>
    <w:rsid w:val="004A2A11"/>
    <w:rsid w:val="004A2E1E"/>
    <w:rsid w:val="004A3F21"/>
    <w:rsid w:val="004A44AE"/>
    <w:rsid w:val="004A478F"/>
    <w:rsid w:val="004A4B21"/>
    <w:rsid w:val="004A4C5E"/>
    <w:rsid w:val="004A65D9"/>
    <w:rsid w:val="004A7286"/>
    <w:rsid w:val="004A7AB9"/>
    <w:rsid w:val="004B1083"/>
    <w:rsid w:val="004B1BB6"/>
    <w:rsid w:val="004B21D8"/>
    <w:rsid w:val="004B2282"/>
    <w:rsid w:val="004B3258"/>
    <w:rsid w:val="004B36C2"/>
    <w:rsid w:val="004B3765"/>
    <w:rsid w:val="004B39C1"/>
    <w:rsid w:val="004B3D77"/>
    <w:rsid w:val="004B46CA"/>
    <w:rsid w:val="004B4B38"/>
    <w:rsid w:val="004B6214"/>
    <w:rsid w:val="004B67D1"/>
    <w:rsid w:val="004B7182"/>
    <w:rsid w:val="004B74DD"/>
    <w:rsid w:val="004C031B"/>
    <w:rsid w:val="004C0519"/>
    <w:rsid w:val="004C07D7"/>
    <w:rsid w:val="004C0F35"/>
    <w:rsid w:val="004C193F"/>
    <w:rsid w:val="004C1A8A"/>
    <w:rsid w:val="004C1D16"/>
    <w:rsid w:val="004C1E29"/>
    <w:rsid w:val="004C2023"/>
    <w:rsid w:val="004C2D1E"/>
    <w:rsid w:val="004C32E5"/>
    <w:rsid w:val="004C34B1"/>
    <w:rsid w:val="004C4357"/>
    <w:rsid w:val="004C4429"/>
    <w:rsid w:val="004C4656"/>
    <w:rsid w:val="004C50AB"/>
    <w:rsid w:val="004C5351"/>
    <w:rsid w:val="004C5697"/>
    <w:rsid w:val="004C5734"/>
    <w:rsid w:val="004C6E98"/>
    <w:rsid w:val="004C6EA0"/>
    <w:rsid w:val="004C6EFC"/>
    <w:rsid w:val="004C7260"/>
    <w:rsid w:val="004C7DF5"/>
    <w:rsid w:val="004C7FDD"/>
    <w:rsid w:val="004D067C"/>
    <w:rsid w:val="004D072B"/>
    <w:rsid w:val="004D0CC6"/>
    <w:rsid w:val="004D1634"/>
    <w:rsid w:val="004D18C2"/>
    <w:rsid w:val="004D27C4"/>
    <w:rsid w:val="004D2AC1"/>
    <w:rsid w:val="004D2C5E"/>
    <w:rsid w:val="004D3FCF"/>
    <w:rsid w:val="004D44DC"/>
    <w:rsid w:val="004D470B"/>
    <w:rsid w:val="004D4765"/>
    <w:rsid w:val="004D4CC6"/>
    <w:rsid w:val="004D4E3E"/>
    <w:rsid w:val="004D52FF"/>
    <w:rsid w:val="004D5837"/>
    <w:rsid w:val="004D63C6"/>
    <w:rsid w:val="004D7742"/>
    <w:rsid w:val="004D7796"/>
    <w:rsid w:val="004E03FE"/>
    <w:rsid w:val="004E1DDA"/>
    <w:rsid w:val="004E2027"/>
    <w:rsid w:val="004E23B9"/>
    <w:rsid w:val="004E33E6"/>
    <w:rsid w:val="004E3802"/>
    <w:rsid w:val="004E4631"/>
    <w:rsid w:val="004E4C3E"/>
    <w:rsid w:val="004E5DDF"/>
    <w:rsid w:val="004E7513"/>
    <w:rsid w:val="004F0179"/>
    <w:rsid w:val="004F0776"/>
    <w:rsid w:val="004F07B4"/>
    <w:rsid w:val="004F0A2E"/>
    <w:rsid w:val="004F0A50"/>
    <w:rsid w:val="004F0BBC"/>
    <w:rsid w:val="004F158C"/>
    <w:rsid w:val="004F2179"/>
    <w:rsid w:val="004F2D39"/>
    <w:rsid w:val="004F2E66"/>
    <w:rsid w:val="004F31B6"/>
    <w:rsid w:val="00500239"/>
    <w:rsid w:val="005013C8"/>
    <w:rsid w:val="00501669"/>
    <w:rsid w:val="00501833"/>
    <w:rsid w:val="00501D1E"/>
    <w:rsid w:val="00502D77"/>
    <w:rsid w:val="00502E30"/>
    <w:rsid w:val="0050301A"/>
    <w:rsid w:val="00503965"/>
    <w:rsid w:val="00503B38"/>
    <w:rsid w:val="00503F0C"/>
    <w:rsid w:val="005048EF"/>
    <w:rsid w:val="00506243"/>
    <w:rsid w:val="00506740"/>
    <w:rsid w:val="00506AF4"/>
    <w:rsid w:val="0051007B"/>
    <w:rsid w:val="00510100"/>
    <w:rsid w:val="005103F6"/>
    <w:rsid w:val="00510FF3"/>
    <w:rsid w:val="00511A3F"/>
    <w:rsid w:val="005123B0"/>
    <w:rsid w:val="00512C46"/>
    <w:rsid w:val="00513292"/>
    <w:rsid w:val="005133F8"/>
    <w:rsid w:val="005140B3"/>
    <w:rsid w:val="00514644"/>
    <w:rsid w:val="00515E9D"/>
    <w:rsid w:val="005170DB"/>
    <w:rsid w:val="0051736C"/>
    <w:rsid w:val="0051783C"/>
    <w:rsid w:val="00517A78"/>
    <w:rsid w:val="00520130"/>
    <w:rsid w:val="00520994"/>
    <w:rsid w:val="00520DE4"/>
    <w:rsid w:val="005212D1"/>
    <w:rsid w:val="00521398"/>
    <w:rsid w:val="005216F4"/>
    <w:rsid w:val="00521A71"/>
    <w:rsid w:val="00521C4C"/>
    <w:rsid w:val="005230ED"/>
    <w:rsid w:val="0052353E"/>
    <w:rsid w:val="005241CD"/>
    <w:rsid w:val="005253CD"/>
    <w:rsid w:val="005254B6"/>
    <w:rsid w:val="00525807"/>
    <w:rsid w:val="00526CD8"/>
    <w:rsid w:val="00526EAD"/>
    <w:rsid w:val="00527552"/>
    <w:rsid w:val="00530019"/>
    <w:rsid w:val="00530813"/>
    <w:rsid w:val="00530C83"/>
    <w:rsid w:val="00531CED"/>
    <w:rsid w:val="00531D80"/>
    <w:rsid w:val="0053214E"/>
    <w:rsid w:val="005324E4"/>
    <w:rsid w:val="005329CE"/>
    <w:rsid w:val="00532A14"/>
    <w:rsid w:val="00533A96"/>
    <w:rsid w:val="00534464"/>
    <w:rsid w:val="005355C1"/>
    <w:rsid w:val="00535B0B"/>
    <w:rsid w:val="005360E0"/>
    <w:rsid w:val="005364A9"/>
    <w:rsid w:val="00536A36"/>
    <w:rsid w:val="005402D0"/>
    <w:rsid w:val="005407B3"/>
    <w:rsid w:val="0054154B"/>
    <w:rsid w:val="005425D7"/>
    <w:rsid w:val="005429C0"/>
    <w:rsid w:val="005429D8"/>
    <w:rsid w:val="00543A5B"/>
    <w:rsid w:val="005448F0"/>
    <w:rsid w:val="0054503F"/>
    <w:rsid w:val="00545325"/>
    <w:rsid w:val="005453AD"/>
    <w:rsid w:val="00545DB7"/>
    <w:rsid w:val="005462E0"/>
    <w:rsid w:val="00546C28"/>
    <w:rsid w:val="00547001"/>
    <w:rsid w:val="00547251"/>
    <w:rsid w:val="005478AA"/>
    <w:rsid w:val="00550097"/>
    <w:rsid w:val="00550481"/>
    <w:rsid w:val="00550683"/>
    <w:rsid w:val="005511C0"/>
    <w:rsid w:val="0055255E"/>
    <w:rsid w:val="0055448A"/>
    <w:rsid w:val="0055471E"/>
    <w:rsid w:val="00555A2D"/>
    <w:rsid w:val="00555DC1"/>
    <w:rsid w:val="005567A5"/>
    <w:rsid w:val="00560806"/>
    <w:rsid w:val="00560AC2"/>
    <w:rsid w:val="00560F48"/>
    <w:rsid w:val="0056185D"/>
    <w:rsid w:val="00561DE3"/>
    <w:rsid w:val="005623A4"/>
    <w:rsid w:val="00562825"/>
    <w:rsid w:val="00562CB9"/>
    <w:rsid w:val="00563E7F"/>
    <w:rsid w:val="005651DF"/>
    <w:rsid w:val="0056536A"/>
    <w:rsid w:val="0056585D"/>
    <w:rsid w:val="005667D3"/>
    <w:rsid w:val="005669E9"/>
    <w:rsid w:val="005678C9"/>
    <w:rsid w:val="00567EE8"/>
    <w:rsid w:val="0057014C"/>
    <w:rsid w:val="005713D9"/>
    <w:rsid w:val="00573793"/>
    <w:rsid w:val="005742A7"/>
    <w:rsid w:val="00576042"/>
    <w:rsid w:val="00576136"/>
    <w:rsid w:val="0057660A"/>
    <w:rsid w:val="005770D8"/>
    <w:rsid w:val="00577A29"/>
    <w:rsid w:val="00577EBF"/>
    <w:rsid w:val="0058170B"/>
    <w:rsid w:val="00581CF2"/>
    <w:rsid w:val="00581D96"/>
    <w:rsid w:val="005828DE"/>
    <w:rsid w:val="00582938"/>
    <w:rsid w:val="0058309C"/>
    <w:rsid w:val="005851F3"/>
    <w:rsid w:val="00586D56"/>
    <w:rsid w:val="0058721B"/>
    <w:rsid w:val="00590CD1"/>
    <w:rsid w:val="00591360"/>
    <w:rsid w:val="00591AAD"/>
    <w:rsid w:val="00591DFC"/>
    <w:rsid w:val="00592A5D"/>
    <w:rsid w:val="00592D2A"/>
    <w:rsid w:val="0059373E"/>
    <w:rsid w:val="00594EC0"/>
    <w:rsid w:val="0059545B"/>
    <w:rsid w:val="00596D16"/>
    <w:rsid w:val="00596DC4"/>
    <w:rsid w:val="005A0E19"/>
    <w:rsid w:val="005A224F"/>
    <w:rsid w:val="005A268E"/>
    <w:rsid w:val="005A3F5D"/>
    <w:rsid w:val="005A5F79"/>
    <w:rsid w:val="005A7103"/>
    <w:rsid w:val="005A7372"/>
    <w:rsid w:val="005A79B9"/>
    <w:rsid w:val="005A7A1D"/>
    <w:rsid w:val="005B0CEE"/>
    <w:rsid w:val="005B214C"/>
    <w:rsid w:val="005B2527"/>
    <w:rsid w:val="005B4E15"/>
    <w:rsid w:val="005B583B"/>
    <w:rsid w:val="005B5A2B"/>
    <w:rsid w:val="005B6758"/>
    <w:rsid w:val="005B6852"/>
    <w:rsid w:val="005B6B94"/>
    <w:rsid w:val="005B72DA"/>
    <w:rsid w:val="005B7348"/>
    <w:rsid w:val="005B79A8"/>
    <w:rsid w:val="005B7DF7"/>
    <w:rsid w:val="005B7E73"/>
    <w:rsid w:val="005C12E9"/>
    <w:rsid w:val="005C14DC"/>
    <w:rsid w:val="005C1E5C"/>
    <w:rsid w:val="005C2D29"/>
    <w:rsid w:val="005C326A"/>
    <w:rsid w:val="005C386B"/>
    <w:rsid w:val="005C3EB0"/>
    <w:rsid w:val="005C4719"/>
    <w:rsid w:val="005C47D6"/>
    <w:rsid w:val="005C50B4"/>
    <w:rsid w:val="005C61C4"/>
    <w:rsid w:val="005C6209"/>
    <w:rsid w:val="005C6232"/>
    <w:rsid w:val="005C62AB"/>
    <w:rsid w:val="005C6739"/>
    <w:rsid w:val="005C6A97"/>
    <w:rsid w:val="005C6ABF"/>
    <w:rsid w:val="005C7960"/>
    <w:rsid w:val="005D03FC"/>
    <w:rsid w:val="005D082B"/>
    <w:rsid w:val="005D146B"/>
    <w:rsid w:val="005D1CAE"/>
    <w:rsid w:val="005D2E94"/>
    <w:rsid w:val="005D32B9"/>
    <w:rsid w:val="005D3C7D"/>
    <w:rsid w:val="005D4C9D"/>
    <w:rsid w:val="005D50B8"/>
    <w:rsid w:val="005D5217"/>
    <w:rsid w:val="005D5811"/>
    <w:rsid w:val="005D6DFF"/>
    <w:rsid w:val="005D7212"/>
    <w:rsid w:val="005D72C0"/>
    <w:rsid w:val="005E04D3"/>
    <w:rsid w:val="005E1071"/>
    <w:rsid w:val="005E135F"/>
    <w:rsid w:val="005E14C5"/>
    <w:rsid w:val="005E1AD4"/>
    <w:rsid w:val="005E216A"/>
    <w:rsid w:val="005E21ED"/>
    <w:rsid w:val="005E3267"/>
    <w:rsid w:val="005E424D"/>
    <w:rsid w:val="005E63E0"/>
    <w:rsid w:val="005E6A58"/>
    <w:rsid w:val="005E74AA"/>
    <w:rsid w:val="005F20ED"/>
    <w:rsid w:val="005F250C"/>
    <w:rsid w:val="005F265C"/>
    <w:rsid w:val="005F272D"/>
    <w:rsid w:val="005F276A"/>
    <w:rsid w:val="005F34DC"/>
    <w:rsid w:val="005F472D"/>
    <w:rsid w:val="005F486C"/>
    <w:rsid w:val="005F4A05"/>
    <w:rsid w:val="005F515D"/>
    <w:rsid w:val="005F58F6"/>
    <w:rsid w:val="005F6A04"/>
    <w:rsid w:val="005F70C0"/>
    <w:rsid w:val="005F7D1A"/>
    <w:rsid w:val="0060026A"/>
    <w:rsid w:val="00600974"/>
    <w:rsid w:val="00600D49"/>
    <w:rsid w:val="00601AD4"/>
    <w:rsid w:val="00601EFD"/>
    <w:rsid w:val="006026B5"/>
    <w:rsid w:val="00602F06"/>
    <w:rsid w:val="0060367E"/>
    <w:rsid w:val="00603A0D"/>
    <w:rsid w:val="00604420"/>
    <w:rsid w:val="006047C3"/>
    <w:rsid w:val="00604D8B"/>
    <w:rsid w:val="0060515D"/>
    <w:rsid w:val="0060572C"/>
    <w:rsid w:val="00605ADC"/>
    <w:rsid w:val="00605E01"/>
    <w:rsid w:val="0060714A"/>
    <w:rsid w:val="006077C1"/>
    <w:rsid w:val="00610392"/>
    <w:rsid w:val="0061141D"/>
    <w:rsid w:val="00611CD4"/>
    <w:rsid w:val="00611CE4"/>
    <w:rsid w:val="00612728"/>
    <w:rsid w:val="00612914"/>
    <w:rsid w:val="00612E4C"/>
    <w:rsid w:val="006147E7"/>
    <w:rsid w:val="006148C0"/>
    <w:rsid w:val="0061506A"/>
    <w:rsid w:val="00615574"/>
    <w:rsid w:val="006156DE"/>
    <w:rsid w:val="00615AC0"/>
    <w:rsid w:val="00616E90"/>
    <w:rsid w:val="0061737F"/>
    <w:rsid w:val="006207BC"/>
    <w:rsid w:val="00621166"/>
    <w:rsid w:val="00621C81"/>
    <w:rsid w:val="00621DDA"/>
    <w:rsid w:val="00621E03"/>
    <w:rsid w:val="00623207"/>
    <w:rsid w:val="0062332E"/>
    <w:rsid w:val="00623DFC"/>
    <w:rsid w:val="0062412C"/>
    <w:rsid w:val="0062440C"/>
    <w:rsid w:val="0062472F"/>
    <w:rsid w:val="006247C0"/>
    <w:rsid w:val="00625048"/>
    <w:rsid w:val="00625D78"/>
    <w:rsid w:val="00626629"/>
    <w:rsid w:val="00626A56"/>
    <w:rsid w:val="00626E36"/>
    <w:rsid w:val="00627173"/>
    <w:rsid w:val="00627474"/>
    <w:rsid w:val="00627B8B"/>
    <w:rsid w:val="0063105D"/>
    <w:rsid w:val="0063330A"/>
    <w:rsid w:val="00633CBC"/>
    <w:rsid w:val="00633D90"/>
    <w:rsid w:val="006347A2"/>
    <w:rsid w:val="00634A5D"/>
    <w:rsid w:val="0063570F"/>
    <w:rsid w:val="00635711"/>
    <w:rsid w:val="006363D5"/>
    <w:rsid w:val="006363DA"/>
    <w:rsid w:val="00640F05"/>
    <w:rsid w:val="006421DF"/>
    <w:rsid w:val="00643884"/>
    <w:rsid w:val="0064418E"/>
    <w:rsid w:val="00644F7F"/>
    <w:rsid w:val="0064538E"/>
    <w:rsid w:val="00645472"/>
    <w:rsid w:val="00645F55"/>
    <w:rsid w:val="00646A25"/>
    <w:rsid w:val="00646EA5"/>
    <w:rsid w:val="00647A5E"/>
    <w:rsid w:val="00647B5F"/>
    <w:rsid w:val="00647B67"/>
    <w:rsid w:val="00647C7F"/>
    <w:rsid w:val="00650039"/>
    <w:rsid w:val="006510E8"/>
    <w:rsid w:val="00651C76"/>
    <w:rsid w:val="00654555"/>
    <w:rsid w:val="00654915"/>
    <w:rsid w:val="00654D9A"/>
    <w:rsid w:val="00654EEE"/>
    <w:rsid w:val="00655F87"/>
    <w:rsid w:val="006562F3"/>
    <w:rsid w:val="00656573"/>
    <w:rsid w:val="00657568"/>
    <w:rsid w:val="006600B9"/>
    <w:rsid w:val="00660260"/>
    <w:rsid w:val="00661381"/>
    <w:rsid w:val="0066164D"/>
    <w:rsid w:val="00661B4A"/>
    <w:rsid w:val="00662265"/>
    <w:rsid w:val="006624E0"/>
    <w:rsid w:val="00662FB6"/>
    <w:rsid w:val="00663804"/>
    <w:rsid w:val="00664193"/>
    <w:rsid w:val="006643DF"/>
    <w:rsid w:val="00664E12"/>
    <w:rsid w:val="006651D0"/>
    <w:rsid w:val="006653DB"/>
    <w:rsid w:val="0066573E"/>
    <w:rsid w:val="00665D65"/>
    <w:rsid w:val="006664BC"/>
    <w:rsid w:val="006665F2"/>
    <w:rsid w:val="00666FE8"/>
    <w:rsid w:val="006671DE"/>
    <w:rsid w:val="00667EA6"/>
    <w:rsid w:val="006702FE"/>
    <w:rsid w:val="00670AF3"/>
    <w:rsid w:val="00670B5E"/>
    <w:rsid w:val="00671C63"/>
    <w:rsid w:val="00671FF3"/>
    <w:rsid w:val="006726D4"/>
    <w:rsid w:val="00672BF0"/>
    <w:rsid w:val="00672EBC"/>
    <w:rsid w:val="006733E5"/>
    <w:rsid w:val="006736C1"/>
    <w:rsid w:val="006743BA"/>
    <w:rsid w:val="00674A18"/>
    <w:rsid w:val="0067528F"/>
    <w:rsid w:val="0067619F"/>
    <w:rsid w:val="00677784"/>
    <w:rsid w:val="0068001A"/>
    <w:rsid w:val="0068018B"/>
    <w:rsid w:val="00680B45"/>
    <w:rsid w:val="00680B97"/>
    <w:rsid w:val="006810FA"/>
    <w:rsid w:val="00681A38"/>
    <w:rsid w:val="00682F92"/>
    <w:rsid w:val="00683085"/>
    <w:rsid w:val="00683B4C"/>
    <w:rsid w:val="0068522C"/>
    <w:rsid w:val="0068609C"/>
    <w:rsid w:val="006874D8"/>
    <w:rsid w:val="00687E01"/>
    <w:rsid w:val="00687F19"/>
    <w:rsid w:val="00690220"/>
    <w:rsid w:val="00690638"/>
    <w:rsid w:val="00691098"/>
    <w:rsid w:val="00691980"/>
    <w:rsid w:val="006932B6"/>
    <w:rsid w:val="00694402"/>
    <w:rsid w:val="0069481D"/>
    <w:rsid w:val="00694887"/>
    <w:rsid w:val="00694C91"/>
    <w:rsid w:val="006950FD"/>
    <w:rsid w:val="006957C4"/>
    <w:rsid w:val="00696109"/>
    <w:rsid w:val="00696684"/>
    <w:rsid w:val="006967E5"/>
    <w:rsid w:val="00696B27"/>
    <w:rsid w:val="006A02CB"/>
    <w:rsid w:val="006A0D9E"/>
    <w:rsid w:val="006A10D8"/>
    <w:rsid w:val="006A1449"/>
    <w:rsid w:val="006A1797"/>
    <w:rsid w:val="006A1EAF"/>
    <w:rsid w:val="006A2403"/>
    <w:rsid w:val="006A25A4"/>
    <w:rsid w:val="006A298B"/>
    <w:rsid w:val="006A2FFC"/>
    <w:rsid w:val="006A3379"/>
    <w:rsid w:val="006A33C7"/>
    <w:rsid w:val="006A3701"/>
    <w:rsid w:val="006A39AF"/>
    <w:rsid w:val="006A3D83"/>
    <w:rsid w:val="006A5308"/>
    <w:rsid w:val="006A59BA"/>
    <w:rsid w:val="006A59DA"/>
    <w:rsid w:val="006A5D0C"/>
    <w:rsid w:val="006A6B2B"/>
    <w:rsid w:val="006A6CA2"/>
    <w:rsid w:val="006A7844"/>
    <w:rsid w:val="006B0212"/>
    <w:rsid w:val="006B1C46"/>
    <w:rsid w:val="006B1E20"/>
    <w:rsid w:val="006B2C55"/>
    <w:rsid w:val="006B32A5"/>
    <w:rsid w:val="006B38E7"/>
    <w:rsid w:val="006B404E"/>
    <w:rsid w:val="006B522D"/>
    <w:rsid w:val="006B5339"/>
    <w:rsid w:val="006B5367"/>
    <w:rsid w:val="006B5455"/>
    <w:rsid w:val="006B63AA"/>
    <w:rsid w:val="006B66C8"/>
    <w:rsid w:val="006B7579"/>
    <w:rsid w:val="006B7E61"/>
    <w:rsid w:val="006B7FD5"/>
    <w:rsid w:val="006B7FDD"/>
    <w:rsid w:val="006C0111"/>
    <w:rsid w:val="006C012F"/>
    <w:rsid w:val="006C0731"/>
    <w:rsid w:val="006C119B"/>
    <w:rsid w:val="006C1DF0"/>
    <w:rsid w:val="006C208C"/>
    <w:rsid w:val="006C3157"/>
    <w:rsid w:val="006C5277"/>
    <w:rsid w:val="006C54F9"/>
    <w:rsid w:val="006C6955"/>
    <w:rsid w:val="006C73EB"/>
    <w:rsid w:val="006C7B78"/>
    <w:rsid w:val="006D123A"/>
    <w:rsid w:val="006D2000"/>
    <w:rsid w:val="006D2689"/>
    <w:rsid w:val="006D3D6F"/>
    <w:rsid w:val="006D5A20"/>
    <w:rsid w:val="006D5FF4"/>
    <w:rsid w:val="006D6134"/>
    <w:rsid w:val="006D64C7"/>
    <w:rsid w:val="006D6704"/>
    <w:rsid w:val="006D6C92"/>
    <w:rsid w:val="006D6D53"/>
    <w:rsid w:val="006D76C3"/>
    <w:rsid w:val="006D7DF8"/>
    <w:rsid w:val="006E0634"/>
    <w:rsid w:val="006E17C0"/>
    <w:rsid w:val="006E188C"/>
    <w:rsid w:val="006E190E"/>
    <w:rsid w:val="006E2D7D"/>
    <w:rsid w:val="006E33B2"/>
    <w:rsid w:val="006E3A1F"/>
    <w:rsid w:val="006E42CB"/>
    <w:rsid w:val="006E49ED"/>
    <w:rsid w:val="006E5612"/>
    <w:rsid w:val="006E592D"/>
    <w:rsid w:val="006E62A3"/>
    <w:rsid w:val="006E6620"/>
    <w:rsid w:val="006E7719"/>
    <w:rsid w:val="006E7B1E"/>
    <w:rsid w:val="006F106B"/>
    <w:rsid w:val="006F108F"/>
    <w:rsid w:val="006F1BBF"/>
    <w:rsid w:val="006F2DED"/>
    <w:rsid w:val="006F46C4"/>
    <w:rsid w:val="006F4A9F"/>
    <w:rsid w:val="006F4FC7"/>
    <w:rsid w:val="006F5022"/>
    <w:rsid w:val="006F611E"/>
    <w:rsid w:val="006F74E4"/>
    <w:rsid w:val="006F770D"/>
    <w:rsid w:val="00700E28"/>
    <w:rsid w:val="007022E1"/>
    <w:rsid w:val="0070290A"/>
    <w:rsid w:val="0070320D"/>
    <w:rsid w:val="007033FB"/>
    <w:rsid w:val="007040AD"/>
    <w:rsid w:val="007049BE"/>
    <w:rsid w:val="00704A99"/>
    <w:rsid w:val="00704F7C"/>
    <w:rsid w:val="00705D76"/>
    <w:rsid w:val="0070660A"/>
    <w:rsid w:val="00706680"/>
    <w:rsid w:val="00706B95"/>
    <w:rsid w:val="00706F32"/>
    <w:rsid w:val="00707B58"/>
    <w:rsid w:val="00707B88"/>
    <w:rsid w:val="00707EC6"/>
    <w:rsid w:val="00707F3F"/>
    <w:rsid w:val="0071013E"/>
    <w:rsid w:val="00710702"/>
    <w:rsid w:val="007107B7"/>
    <w:rsid w:val="00710E26"/>
    <w:rsid w:val="0071121C"/>
    <w:rsid w:val="007113B6"/>
    <w:rsid w:val="007114B6"/>
    <w:rsid w:val="00711A71"/>
    <w:rsid w:val="00711C04"/>
    <w:rsid w:val="00712829"/>
    <w:rsid w:val="00713390"/>
    <w:rsid w:val="00713748"/>
    <w:rsid w:val="007151E5"/>
    <w:rsid w:val="00716902"/>
    <w:rsid w:val="007175D3"/>
    <w:rsid w:val="00717AFA"/>
    <w:rsid w:val="00717D7C"/>
    <w:rsid w:val="00720042"/>
    <w:rsid w:val="00720655"/>
    <w:rsid w:val="00720BA7"/>
    <w:rsid w:val="00722CF8"/>
    <w:rsid w:val="00723080"/>
    <w:rsid w:val="00723224"/>
    <w:rsid w:val="00723285"/>
    <w:rsid w:val="0072329B"/>
    <w:rsid w:val="00723CDC"/>
    <w:rsid w:val="0072525F"/>
    <w:rsid w:val="00725D4E"/>
    <w:rsid w:val="007272AF"/>
    <w:rsid w:val="007277E1"/>
    <w:rsid w:val="00727812"/>
    <w:rsid w:val="0072790F"/>
    <w:rsid w:val="007307A3"/>
    <w:rsid w:val="00731244"/>
    <w:rsid w:val="00731AE4"/>
    <w:rsid w:val="00731CBA"/>
    <w:rsid w:val="0073264B"/>
    <w:rsid w:val="00732771"/>
    <w:rsid w:val="007333C0"/>
    <w:rsid w:val="007349FD"/>
    <w:rsid w:val="00737C5E"/>
    <w:rsid w:val="007402C7"/>
    <w:rsid w:val="00740E95"/>
    <w:rsid w:val="00741B79"/>
    <w:rsid w:val="007425D6"/>
    <w:rsid w:val="00742777"/>
    <w:rsid w:val="00743424"/>
    <w:rsid w:val="00743AB1"/>
    <w:rsid w:val="0074550E"/>
    <w:rsid w:val="00745A48"/>
    <w:rsid w:val="00745C40"/>
    <w:rsid w:val="00747549"/>
    <w:rsid w:val="0075047D"/>
    <w:rsid w:val="00751B48"/>
    <w:rsid w:val="00752498"/>
    <w:rsid w:val="007535AE"/>
    <w:rsid w:val="00754F7F"/>
    <w:rsid w:val="00755589"/>
    <w:rsid w:val="0075760B"/>
    <w:rsid w:val="007576C7"/>
    <w:rsid w:val="00757D8F"/>
    <w:rsid w:val="00757DCD"/>
    <w:rsid w:val="00760288"/>
    <w:rsid w:val="00760490"/>
    <w:rsid w:val="00760ECE"/>
    <w:rsid w:val="00761014"/>
    <w:rsid w:val="007618D8"/>
    <w:rsid w:val="0076208F"/>
    <w:rsid w:val="00762219"/>
    <w:rsid w:val="007625DB"/>
    <w:rsid w:val="00762725"/>
    <w:rsid w:val="00762EF7"/>
    <w:rsid w:val="00762F07"/>
    <w:rsid w:val="0076323D"/>
    <w:rsid w:val="007638D6"/>
    <w:rsid w:val="00763B28"/>
    <w:rsid w:val="0076430C"/>
    <w:rsid w:val="00764A1D"/>
    <w:rsid w:val="00764DD4"/>
    <w:rsid w:val="0076535E"/>
    <w:rsid w:val="00765824"/>
    <w:rsid w:val="007666F9"/>
    <w:rsid w:val="00766F93"/>
    <w:rsid w:val="007704C6"/>
    <w:rsid w:val="00770543"/>
    <w:rsid w:val="007709DA"/>
    <w:rsid w:val="00770ABF"/>
    <w:rsid w:val="00770BAD"/>
    <w:rsid w:val="00772F22"/>
    <w:rsid w:val="00772F8D"/>
    <w:rsid w:val="00773132"/>
    <w:rsid w:val="0077349C"/>
    <w:rsid w:val="00773831"/>
    <w:rsid w:val="00773B22"/>
    <w:rsid w:val="00774512"/>
    <w:rsid w:val="00775C80"/>
    <w:rsid w:val="0078055F"/>
    <w:rsid w:val="00780CF2"/>
    <w:rsid w:val="007813CF"/>
    <w:rsid w:val="00784404"/>
    <w:rsid w:val="0078497E"/>
    <w:rsid w:val="00784B14"/>
    <w:rsid w:val="00784F2C"/>
    <w:rsid w:val="007850DF"/>
    <w:rsid w:val="00785674"/>
    <w:rsid w:val="00785690"/>
    <w:rsid w:val="0078692E"/>
    <w:rsid w:val="00790432"/>
    <w:rsid w:val="00790494"/>
    <w:rsid w:val="00790808"/>
    <w:rsid w:val="00790FA5"/>
    <w:rsid w:val="007913B6"/>
    <w:rsid w:val="007936DC"/>
    <w:rsid w:val="00794AFE"/>
    <w:rsid w:val="00794CA3"/>
    <w:rsid w:val="00794CEF"/>
    <w:rsid w:val="007974FA"/>
    <w:rsid w:val="0079757D"/>
    <w:rsid w:val="00797995"/>
    <w:rsid w:val="007A0212"/>
    <w:rsid w:val="007A034C"/>
    <w:rsid w:val="007A0AC9"/>
    <w:rsid w:val="007A10C2"/>
    <w:rsid w:val="007A1104"/>
    <w:rsid w:val="007A1A75"/>
    <w:rsid w:val="007A1D54"/>
    <w:rsid w:val="007A2E94"/>
    <w:rsid w:val="007A38B9"/>
    <w:rsid w:val="007A3CEB"/>
    <w:rsid w:val="007A413D"/>
    <w:rsid w:val="007A427A"/>
    <w:rsid w:val="007A4656"/>
    <w:rsid w:val="007A4D9D"/>
    <w:rsid w:val="007A59E3"/>
    <w:rsid w:val="007A6174"/>
    <w:rsid w:val="007A634A"/>
    <w:rsid w:val="007A63B5"/>
    <w:rsid w:val="007A6406"/>
    <w:rsid w:val="007A65E9"/>
    <w:rsid w:val="007A6A9E"/>
    <w:rsid w:val="007A6C84"/>
    <w:rsid w:val="007A7176"/>
    <w:rsid w:val="007A72CF"/>
    <w:rsid w:val="007A7638"/>
    <w:rsid w:val="007B0900"/>
    <w:rsid w:val="007B0B93"/>
    <w:rsid w:val="007B13C7"/>
    <w:rsid w:val="007B13EC"/>
    <w:rsid w:val="007B233C"/>
    <w:rsid w:val="007B2CBB"/>
    <w:rsid w:val="007B452D"/>
    <w:rsid w:val="007B462B"/>
    <w:rsid w:val="007B698D"/>
    <w:rsid w:val="007B7175"/>
    <w:rsid w:val="007C0011"/>
    <w:rsid w:val="007C0309"/>
    <w:rsid w:val="007C0C6B"/>
    <w:rsid w:val="007C154A"/>
    <w:rsid w:val="007C1842"/>
    <w:rsid w:val="007C24AA"/>
    <w:rsid w:val="007C2CD3"/>
    <w:rsid w:val="007C2E4D"/>
    <w:rsid w:val="007C3037"/>
    <w:rsid w:val="007C460F"/>
    <w:rsid w:val="007C65CD"/>
    <w:rsid w:val="007C71D9"/>
    <w:rsid w:val="007C77DE"/>
    <w:rsid w:val="007C7D63"/>
    <w:rsid w:val="007D0D07"/>
    <w:rsid w:val="007D0DFB"/>
    <w:rsid w:val="007D1746"/>
    <w:rsid w:val="007D1E14"/>
    <w:rsid w:val="007D2649"/>
    <w:rsid w:val="007D4838"/>
    <w:rsid w:val="007D516E"/>
    <w:rsid w:val="007D6896"/>
    <w:rsid w:val="007D6B1D"/>
    <w:rsid w:val="007D79B9"/>
    <w:rsid w:val="007D7FB5"/>
    <w:rsid w:val="007E0419"/>
    <w:rsid w:val="007E04C9"/>
    <w:rsid w:val="007E095D"/>
    <w:rsid w:val="007E15CA"/>
    <w:rsid w:val="007E2BC5"/>
    <w:rsid w:val="007E3271"/>
    <w:rsid w:val="007E3C04"/>
    <w:rsid w:val="007E4384"/>
    <w:rsid w:val="007E4E45"/>
    <w:rsid w:val="007E5646"/>
    <w:rsid w:val="007E61C8"/>
    <w:rsid w:val="007E62E8"/>
    <w:rsid w:val="007E63BF"/>
    <w:rsid w:val="007E66ED"/>
    <w:rsid w:val="007F017A"/>
    <w:rsid w:val="007F05B0"/>
    <w:rsid w:val="007F0ACA"/>
    <w:rsid w:val="007F21FB"/>
    <w:rsid w:val="007F2D2B"/>
    <w:rsid w:val="007F301F"/>
    <w:rsid w:val="007F5828"/>
    <w:rsid w:val="007F5DA7"/>
    <w:rsid w:val="007F60C9"/>
    <w:rsid w:val="007F7081"/>
    <w:rsid w:val="007F7256"/>
    <w:rsid w:val="00800178"/>
    <w:rsid w:val="00800743"/>
    <w:rsid w:val="008011CA"/>
    <w:rsid w:val="00802115"/>
    <w:rsid w:val="0080297F"/>
    <w:rsid w:val="00804653"/>
    <w:rsid w:val="008050D4"/>
    <w:rsid w:val="00805376"/>
    <w:rsid w:val="00805E6B"/>
    <w:rsid w:val="00806B48"/>
    <w:rsid w:val="00806B79"/>
    <w:rsid w:val="00807409"/>
    <w:rsid w:val="00807C05"/>
    <w:rsid w:val="00810142"/>
    <w:rsid w:val="00810D7D"/>
    <w:rsid w:val="00810E82"/>
    <w:rsid w:val="0081149E"/>
    <w:rsid w:val="0081255C"/>
    <w:rsid w:val="008139AE"/>
    <w:rsid w:val="00814123"/>
    <w:rsid w:val="008142DE"/>
    <w:rsid w:val="00814482"/>
    <w:rsid w:val="008144F4"/>
    <w:rsid w:val="00814509"/>
    <w:rsid w:val="00815814"/>
    <w:rsid w:val="0081713C"/>
    <w:rsid w:val="00817A3E"/>
    <w:rsid w:val="00817CE9"/>
    <w:rsid w:val="0082098C"/>
    <w:rsid w:val="00820C87"/>
    <w:rsid w:val="00822524"/>
    <w:rsid w:val="0082336A"/>
    <w:rsid w:val="008237D2"/>
    <w:rsid w:val="008248B1"/>
    <w:rsid w:val="00824A60"/>
    <w:rsid w:val="00824D94"/>
    <w:rsid w:val="00826543"/>
    <w:rsid w:val="00827420"/>
    <w:rsid w:val="00827500"/>
    <w:rsid w:val="00827D38"/>
    <w:rsid w:val="00830D77"/>
    <w:rsid w:val="00831610"/>
    <w:rsid w:val="0083401D"/>
    <w:rsid w:val="00834126"/>
    <w:rsid w:val="00834226"/>
    <w:rsid w:val="00834839"/>
    <w:rsid w:val="00835338"/>
    <w:rsid w:val="00835FAD"/>
    <w:rsid w:val="0083660F"/>
    <w:rsid w:val="00837CF8"/>
    <w:rsid w:val="00840530"/>
    <w:rsid w:val="00840EAF"/>
    <w:rsid w:val="0084102B"/>
    <w:rsid w:val="008411AD"/>
    <w:rsid w:val="008415D7"/>
    <w:rsid w:val="0084160B"/>
    <w:rsid w:val="00841666"/>
    <w:rsid w:val="00842134"/>
    <w:rsid w:val="00842394"/>
    <w:rsid w:val="00842B81"/>
    <w:rsid w:val="00843508"/>
    <w:rsid w:val="00844DE2"/>
    <w:rsid w:val="008452CB"/>
    <w:rsid w:val="0084548E"/>
    <w:rsid w:val="008477BC"/>
    <w:rsid w:val="00851032"/>
    <w:rsid w:val="0085148D"/>
    <w:rsid w:val="00851504"/>
    <w:rsid w:val="0085314A"/>
    <w:rsid w:val="00853ECF"/>
    <w:rsid w:val="0085439C"/>
    <w:rsid w:val="00854AD1"/>
    <w:rsid w:val="00855332"/>
    <w:rsid w:val="0085543E"/>
    <w:rsid w:val="0085578B"/>
    <w:rsid w:val="00855CB4"/>
    <w:rsid w:val="00856EEC"/>
    <w:rsid w:val="00857202"/>
    <w:rsid w:val="0085763D"/>
    <w:rsid w:val="008579B9"/>
    <w:rsid w:val="00857C72"/>
    <w:rsid w:val="00860637"/>
    <w:rsid w:val="00860E4D"/>
    <w:rsid w:val="00861337"/>
    <w:rsid w:val="00861906"/>
    <w:rsid w:val="008633F6"/>
    <w:rsid w:val="00864415"/>
    <w:rsid w:val="008646F4"/>
    <w:rsid w:val="00864EE5"/>
    <w:rsid w:val="0086594A"/>
    <w:rsid w:val="00865A02"/>
    <w:rsid w:val="00865EE8"/>
    <w:rsid w:val="0086750F"/>
    <w:rsid w:val="008676F6"/>
    <w:rsid w:val="00870753"/>
    <w:rsid w:val="00870BED"/>
    <w:rsid w:val="00872B76"/>
    <w:rsid w:val="00873FFC"/>
    <w:rsid w:val="008742D4"/>
    <w:rsid w:val="00875B10"/>
    <w:rsid w:val="00875FB0"/>
    <w:rsid w:val="00880122"/>
    <w:rsid w:val="008803DB"/>
    <w:rsid w:val="0088059E"/>
    <w:rsid w:val="00880A20"/>
    <w:rsid w:val="00881014"/>
    <w:rsid w:val="0088132C"/>
    <w:rsid w:val="008814B9"/>
    <w:rsid w:val="00881613"/>
    <w:rsid w:val="008819D7"/>
    <w:rsid w:val="00881CE8"/>
    <w:rsid w:val="00882328"/>
    <w:rsid w:val="0088255E"/>
    <w:rsid w:val="00882B67"/>
    <w:rsid w:val="0088317C"/>
    <w:rsid w:val="00883B30"/>
    <w:rsid w:val="00884217"/>
    <w:rsid w:val="00884BA6"/>
    <w:rsid w:val="008855C7"/>
    <w:rsid w:val="0088645D"/>
    <w:rsid w:val="008868ED"/>
    <w:rsid w:val="00891286"/>
    <w:rsid w:val="00891B2E"/>
    <w:rsid w:val="00893590"/>
    <w:rsid w:val="00893596"/>
    <w:rsid w:val="00893C65"/>
    <w:rsid w:val="00894794"/>
    <w:rsid w:val="00894BAC"/>
    <w:rsid w:val="00894EEA"/>
    <w:rsid w:val="0089578A"/>
    <w:rsid w:val="00895CF2"/>
    <w:rsid w:val="00896B6C"/>
    <w:rsid w:val="008973DD"/>
    <w:rsid w:val="008978E4"/>
    <w:rsid w:val="008A084B"/>
    <w:rsid w:val="008A18DE"/>
    <w:rsid w:val="008A1976"/>
    <w:rsid w:val="008A1A55"/>
    <w:rsid w:val="008A2374"/>
    <w:rsid w:val="008A2709"/>
    <w:rsid w:val="008A3B0F"/>
    <w:rsid w:val="008A44CD"/>
    <w:rsid w:val="008A4910"/>
    <w:rsid w:val="008A53A8"/>
    <w:rsid w:val="008A60AD"/>
    <w:rsid w:val="008A60BD"/>
    <w:rsid w:val="008A6C6B"/>
    <w:rsid w:val="008A6CCF"/>
    <w:rsid w:val="008A76FD"/>
    <w:rsid w:val="008A7BCB"/>
    <w:rsid w:val="008B0347"/>
    <w:rsid w:val="008B03CD"/>
    <w:rsid w:val="008B0AB8"/>
    <w:rsid w:val="008B1368"/>
    <w:rsid w:val="008B2C6E"/>
    <w:rsid w:val="008B37D1"/>
    <w:rsid w:val="008B4713"/>
    <w:rsid w:val="008B4846"/>
    <w:rsid w:val="008B48F3"/>
    <w:rsid w:val="008B6593"/>
    <w:rsid w:val="008B6A09"/>
    <w:rsid w:val="008B7006"/>
    <w:rsid w:val="008C0B15"/>
    <w:rsid w:val="008C0FFE"/>
    <w:rsid w:val="008C2AB7"/>
    <w:rsid w:val="008C3219"/>
    <w:rsid w:val="008C4945"/>
    <w:rsid w:val="008C4ACB"/>
    <w:rsid w:val="008C59D3"/>
    <w:rsid w:val="008C7357"/>
    <w:rsid w:val="008D050A"/>
    <w:rsid w:val="008D08B1"/>
    <w:rsid w:val="008D1ADD"/>
    <w:rsid w:val="008D2AB4"/>
    <w:rsid w:val="008D31E0"/>
    <w:rsid w:val="008D4818"/>
    <w:rsid w:val="008D4E03"/>
    <w:rsid w:val="008D5327"/>
    <w:rsid w:val="008D6086"/>
    <w:rsid w:val="008D6A1C"/>
    <w:rsid w:val="008D6FA8"/>
    <w:rsid w:val="008D747C"/>
    <w:rsid w:val="008E0096"/>
    <w:rsid w:val="008E00B8"/>
    <w:rsid w:val="008E1259"/>
    <w:rsid w:val="008E1935"/>
    <w:rsid w:val="008E292F"/>
    <w:rsid w:val="008E29FF"/>
    <w:rsid w:val="008E31C0"/>
    <w:rsid w:val="008E329C"/>
    <w:rsid w:val="008E5051"/>
    <w:rsid w:val="008E5C69"/>
    <w:rsid w:val="008E65EC"/>
    <w:rsid w:val="008E6D1A"/>
    <w:rsid w:val="008E7021"/>
    <w:rsid w:val="008E79D3"/>
    <w:rsid w:val="008E7E7B"/>
    <w:rsid w:val="008F092E"/>
    <w:rsid w:val="008F0B62"/>
    <w:rsid w:val="008F133D"/>
    <w:rsid w:val="008F1365"/>
    <w:rsid w:val="008F1670"/>
    <w:rsid w:val="008F1B99"/>
    <w:rsid w:val="008F2132"/>
    <w:rsid w:val="008F2249"/>
    <w:rsid w:val="008F28AA"/>
    <w:rsid w:val="008F3D82"/>
    <w:rsid w:val="008F42C8"/>
    <w:rsid w:val="008F4DC2"/>
    <w:rsid w:val="008F572E"/>
    <w:rsid w:val="008F5A54"/>
    <w:rsid w:val="008F5D8C"/>
    <w:rsid w:val="008F63D2"/>
    <w:rsid w:val="008F64AE"/>
    <w:rsid w:val="008F6C65"/>
    <w:rsid w:val="00900033"/>
    <w:rsid w:val="009004DF"/>
    <w:rsid w:val="0090122B"/>
    <w:rsid w:val="009017F9"/>
    <w:rsid w:val="009019ED"/>
    <w:rsid w:val="00901D95"/>
    <w:rsid w:val="009027B1"/>
    <w:rsid w:val="00902D57"/>
    <w:rsid w:val="0090407C"/>
    <w:rsid w:val="00905504"/>
    <w:rsid w:val="00906B8F"/>
    <w:rsid w:val="00906BBF"/>
    <w:rsid w:val="00906CF9"/>
    <w:rsid w:val="009100A1"/>
    <w:rsid w:val="009102F3"/>
    <w:rsid w:val="00910587"/>
    <w:rsid w:val="00910D50"/>
    <w:rsid w:val="009114C1"/>
    <w:rsid w:val="009119E7"/>
    <w:rsid w:val="00913747"/>
    <w:rsid w:val="00913E62"/>
    <w:rsid w:val="009143FC"/>
    <w:rsid w:val="00915F1C"/>
    <w:rsid w:val="00916340"/>
    <w:rsid w:val="00917B17"/>
    <w:rsid w:val="009215B3"/>
    <w:rsid w:val="0092176E"/>
    <w:rsid w:val="00921771"/>
    <w:rsid w:val="00924006"/>
    <w:rsid w:val="009250E4"/>
    <w:rsid w:val="00925958"/>
    <w:rsid w:val="00925D5A"/>
    <w:rsid w:val="009263DA"/>
    <w:rsid w:val="0093028F"/>
    <w:rsid w:val="00930D6E"/>
    <w:rsid w:val="00931895"/>
    <w:rsid w:val="00933E6D"/>
    <w:rsid w:val="00934302"/>
    <w:rsid w:val="0093447D"/>
    <w:rsid w:val="00934ED4"/>
    <w:rsid w:val="00935C34"/>
    <w:rsid w:val="00936BB8"/>
    <w:rsid w:val="00937316"/>
    <w:rsid w:val="00937817"/>
    <w:rsid w:val="009407CC"/>
    <w:rsid w:val="00940969"/>
    <w:rsid w:val="00941460"/>
    <w:rsid w:val="009415E6"/>
    <w:rsid w:val="009416A8"/>
    <w:rsid w:val="00942307"/>
    <w:rsid w:val="009433D5"/>
    <w:rsid w:val="009436AD"/>
    <w:rsid w:val="00943C53"/>
    <w:rsid w:val="00944BB1"/>
    <w:rsid w:val="009453C4"/>
    <w:rsid w:val="0094785D"/>
    <w:rsid w:val="00947C94"/>
    <w:rsid w:val="00951727"/>
    <w:rsid w:val="00951846"/>
    <w:rsid w:val="00951F8F"/>
    <w:rsid w:val="009547A0"/>
    <w:rsid w:val="00955C3A"/>
    <w:rsid w:val="00955EFF"/>
    <w:rsid w:val="00956000"/>
    <w:rsid w:val="0095690D"/>
    <w:rsid w:val="00960CD9"/>
    <w:rsid w:val="00960E15"/>
    <w:rsid w:val="0096221C"/>
    <w:rsid w:val="009622B9"/>
    <w:rsid w:val="00962F51"/>
    <w:rsid w:val="0096360F"/>
    <w:rsid w:val="0096478B"/>
    <w:rsid w:val="009647EF"/>
    <w:rsid w:val="00966EBC"/>
    <w:rsid w:val="00967288"/>
    <w:rsid w:val="00967352"/>
    <w:rsid w:val="0096771D"/>
    <w:rsid w:val="00967CBD"/>
    <w:rsid w:val="0097026B"/>
    <w:rsid w:val="00971384"/>
    <w:rsid w:val="00972005"/>
    <w:rsid w:val="00972124"/>
    <w:rsid w:val="00973D76"/>
    <w:rsid w:val="0097450C"/>
    <w:rsid w:val="009746CD"/>
    <w:rsid w:val="00975419"/>
    <w:rsid w:val="00975672"/>
    <w:rsid w:val="00975891"/>
    <w:rsid w:val="0097591B"/>
    <w:rsid w:val="00975F53"/>
    <w:rsid w:val="009768E6"/>
    <w:rsid w:val="009809D4"/>
    <w:rsid w:val="00981545"/>
    <w:rsid w:val="009816D9"/>
    <w:rsid w:val="009818C1"/>
    <w:rsid w:val="00981D12"/>
    <w:rsid w:val="00982B4B"/>
    <w:rsid w:val="00983912"/>
    <w:rsid w:val="00983E29"/>
    <w:rsid w:val="00986183"/>
    <w:rsid w:val="00986691"/>
    <w:rsid w:val="00986F93"/>
    <w:rsid w:val="009870C7"/>
    <w:rsid w:val="009879AD"/>
    <w:rsid w:val="00990106"/>
    <w:rsid w:val="009901B3"/>
    <w:rsid w:val="009902FB"/>
    <w:rsid w:val="0099045A"/>
    <w:rsid w:val="0099063B"/>
    <w:rsid w:val="00990D70"/>
    <w:rsid w:val="00991417"/>
    <w:rsid w:val="00991731"/>
    <w:rsid w:val="00992311"/>
    <w:rsid w:val="00993604"/>
    <w:rsid w:val="00993814"/>
    <w:rsid w:val="009954B9"/>
    <w:rsid w:val="009964C4"/>
    <w:rsid w:val="00996C9B"/>
    <w:rsid w:val="009973BB"/>
    <w:rsid w:val="00997649"/>
    <w:rsid w:val="00997E5B"/>
    <w:rsid w:val="009A01DD"/>
    <w:rsid w:val="009A07F0"/>
    <w:rsid w:val="009A0E02"/>
    <w:rsid w:val="009A16EF"/>
    <w:rsid w:val="009A176E"/>
    <w:rsid w:val="009A1A84"/>
    <w:rsid w:val="009A2CCF"/>
    <w:rsid w:val="009A32AE"/>
    <w:rsid w:val="009A36FE"/>
    <w:rsid w:val="009A4AD1"/>
    <w:rsid w:val="009A5295"/>
    <w:rsid w:val="009A60BC"/>
    <w:rsid w:val="009A67B2"/>
    <w:rsid w:val="009B20FF"/>
    <w:rsid w:val="009B22BC"/>
    <w:rsid w:val="009B30FB"/>
    <w:rsid w:val="009B3593"/>
    <w:rsid w:val="009B41AF"/>
    <w:rsid w:val="009B491B"/>
    <w:rsid w:val="009B51E7"/>
    <w:rsid w:val="009B5A8B"/>
    <w:rsid w:val="009B6833"/>
    <w:rsid w:val="009B68BD"/>
    <w:rsid w:val="009B7953"/>
    <w:rsid w:val="009B7B21"/>
    <w:rsid w:val="009C11A8"/>
    <w:rsid w:val="009C23DD"/>
    <w:rsid w:val="009C242A"/>
    <w:rsid w:val="009C3469"/>
    <w:rsid w:val="009C3C24"/>
    <w:rsid w:val="009C424A"/>
    <w:rsid w:val="009C4DA6"/>
    <w:rsid w:val="009C50D9"/>
    <w:rsid w:val="009C514B"/>
    <w:rsid w:val="009C5DB1"/>
    <w:rsid w:val="009C5E4A"/>
    <w:rsid w:val="009C78F7"/>
    <w:rsid w:val="009C796C"/>
    <w:rsid w:val="009C7A44"/>
    <w:rsid w:val="009C7D7A"/>
    <w:rsid w:val="009D0398"/>
    <w:rsid w:val="009D0998"/>
    <w:rsid w:val="009D09C4"/>
    <w:rsid w:val="009D0F17"/>
    <w:rsid w:val="009D1679"/>
    <w:rsid w:val="009D176A"/>
    <w:rsid w:val="009D1D9B"/>
    <w:rsid w:val="009D1E2D"/>
    <w:rsid w:val="009D250D"/>
    <w:rsid w:val="009D39E9"/>
    <w:rsid w:val="009D3A7E"/>
    <w:rsid w:val="009D4A03"/>
    <w:rsid w:val="009D4BBA"/>
    <w:rsid w:val="009D5FBF"/>
    <w:rsid w:val="009D68F6"/>
    <w:rsid w:val="009D6930"/>
    <w:rsid w:val="009D7CB3"/>
    <w:rsid w:val="009E069C"/>
    <w:rsid w:val="009E1851"/>
    <w:rsid w:val="009E1E47"/>
    <w:rsid w:val="009E249C"/>
    <w:rsid w:val="009E2F96"/>
    <w:rsid w:val="009E40EF"/>
    <w:rsid w:val="009E4275"/>
    <w:rsid w:val="009E4A2A"/>
    <w:rsid w:val="009E4BCE"/>
    <w:rsid w:val="009E5B01"/>
    <w:rsid w:val="009E70DA"/>
    <w:rsid w:val="009E7DE5"/>
    <w:rsid w:val="009F18CE"/>
    <w:rsid w:val="009F2CF8"/>
    <w:rsid w:val="009F31B6"/>
    <w:rsid w:val="009F3EEF"/>
    <w:rsid w:val="009F4065"/>
    <w:rsid w:val="009F4552"/>
    <w:rsid w:val="009F4B67"/>
    <w:rsid w:val="009F4C1D"/>
    <w:rsid w:val="009F5503"/>
    <w:rsid w:val="009F5866"/>
    <w:rsid w:val="009F615F"/>
    <w:rsid w:val="009F6F81"/>
    <w:rsid w:val="009F71A9"/>
    <w:rsid w:val="00A01176"/>
    <w:rsid w:val="00A0257C"/>
    <w:rsid w:val="00A039E6"/>
    <w:rsid w:val="00A03F0D"/>
    <w:rsid w:val="00A0479D"/>
    <w:rsid w:val="00A05AF4"/>
    <w:rsid w:val="00A05CF3"/>
    <w:rsid w:val="00A0632E"/>
    <w:rsid w:val="00A0748F"/>
    <w:rsid w:val="00A0753F"/>
    <w:rsid w:val="00A07754"/>
    <w:rsid w:val="00A10319"/>
    <w:rsid w:val="00A10453"/>
    <w:rsid w:val="00A10C44"/>
    <w:rsid w:val="00A117A1"/>
    <w:rsid w:val="00A11FFF"/>
    <w:rsid w:val="00A120C7"/>
    <w:rsid w:val="00A1237F"/>
    <w:rsid w:val="00A12592"/>
    <w:rsid w:val="00A12B88"/>
    <w:rsid w:val="00A12B90"/>
    <w:rsid w:val="00A139C2"/>
    <w:rsid w:val="00A13A72"/>
    <w:rsid w:val="00A13CEC"/>
    <w:rsid w:val="00A15247"/>
    <w:rsid w:val="00A15567"/>
    <w:rsid w:val="00A15664"/>
    <w:rsid w:val="00A15A35"/>
    <w:rsid w:val="00A15D28"/>
    <w:rsid w:val="00A16C2D"/>
    <w:rsid w:val="00A16FAF"/>
    <w:rsid w:val="00A202D9"/>
    <w:rsid w:val="00A206EA"/>
    <w:rsid w:val="00A208DF"/>
    <w:rsid w:val="00A2097D"/>
    <w:rsid w:val="00A2121E"/>
    <w:rsid w:val="00A21BD9"/>
    <w:rsid w:val="00A22490"/>
    <w:rsid w:val="00A235C2"/>
    <w:rsid w:val="00A2437C"/>
    <w:rsid w:val="00A27CB5"/>
    <w:rsid w:val="00A27D6F"/>
    <w:rsid w:val="00A30CD0"/>
    <w:rsid w:val="00A3113C"/>
    <w:rsid w:val="00A3196C"/>
    <w:rsid w:val="00A34E38"/>
    <w:rsid w:val="00A35F68"/>
    <w:rsid w:val="00A36840"/>
    <w:rsid w:val="00A3735F"/>
    <w:rsid w:val="00A374CF"/>
    <w:rsid w:val="00A375FB"/>
    <w:rsid w:val="00A37CA6"/>
    <w:rsid w:val="00A37FDE"/>
    <w:rsid w:val="00A40174"/>
    <w:rsid w:val="00A40184"/>
    <w:rsid w:val="00A41747"/>
    <w:rsid w:val="00A41770"/>
    <w:rsid w:val="00A41B9C"/>
    <w:rsid w:val="00A422F9"/>
    <w:rsid w:val="00A42695"/>
    <w:rsid w:val="00A44AC4"/>
    <w:rsid w:val="00A450FD"/>
    <w:rsid w:val="00A45114"/>
    <w:rsid w:val="00A46894"/>
    <w:rsid w:val="00A46CBB"/>
    <w:rsid w:val="00A46E36"/>
    <w:rsid w:val="00A47A03"/>
    <w:rsid w:val="00A512F8"/>
    <w:rsid w:val="00A51E34"/>
    <w:rsid w:val="00A521ED"/>
    <w:rsid w:val="00A52588"/>
    <w:rsid w:val="00A534B2"/>
    <w:rsid w:val="00A54D04"/>
    <w:rsid w:val="00A54DE3"/>
    <w:rsid w:val="00A55626"/>
    <w:rsid w:val="00A55D1E"/>
    <w:rsid w:val="00A5673B"/>
    <w:rsid w:val="00A567D2"/>
    <w:rsid w:val="00A56E67"/>
    <w:rsid w:val="00A572A2"/>
    <w:rsid w:val="00A57D9B"/>
    <w:rsid w:val="00A60EE0"/>
    <w:rsid w:val="00A6193F"/>
    <w:rsid w:val="00A62702"/>
    <w:rsid w:val="00A62800"/>
    <w:rsid w:val="00A62A44"/>
    <w:rsid w:val="00A63099"/>
    <w:rsid w:val="00A63186"/>
    <w:rsid w:val="00A632D6"/>
    <w:rsid w:val="00A63AD6"/>
    <w:rsid w:val="00A64FBA"/>
    <w:rsid w:val="00A659F2"/>
    <w:rsid w:val="00A66887"/>
    <w:rsid w:val="00A6748D"/>
    <w:rsid w:val="00A67496"/>
    <w:rsid w:val="00A674A8"/>
    <w:rsid w:val="00A705DC"/>
    <w:rsid w:val="00A705F0"/>
    <w:rsid w:val="00A70FE2"/>
    <w:rsid w:val="00A719FC"/>
    <w:rsid w:val="00A71CD7"/>
    <w:rsid w:val="00A7331D"/>
    <w:rsid w:val="00A742C5"/>
    <w:rsid w:val="00A77171"/>
    <w:rsid w:val="00A77297"/>
    <w:rsid w:val="00A77377"/>
    <w:rsid w:val="00A7793E"/>
    <w:rsid w:val="00A77B5C"/>
    <w:rsid w:val="00A80323"/>
    <w:rsid w:val="00A80505"/>
    <w:rsid w:val="00A807C2"/>
    <w:rsid w:val="00A808E2"/>
    <w:rsid w:val="00A81616"/>
    <w:rsid w:val="00A818FF"/>
    <w:rsid w:val="00A81E2D"/>
    <w:rsid w:val="00A82819"/>
    <w:rsid w:val="00A8334B"/>
    <w:rsid w:val="00A8397B"/>
    <w:rsid w:val="00A8440D"/>
    <w:rsid w:val="00A84C32"/>
    <w:rsid w:val="00A85053"/>
    <w:rsid w:val="00A8521D"/>
    <w:rsid w:val="00A858B6"/>
    <w:rsid w:val="00A85BE2"/>
    <w:rsid w:val="00A876E2"/>
    <w:rsid w:val="00A90CBB"/>
    <w:rsid w:val="00A91064"/>
    <w:rsid w:val="00A922B6"/>
    <w:rsid w:val="00A92BDA"/>
    <w:rsid w:val="00A931B2"/>
    <w:rsid w:val="00A93D56"/>
    <w:rsid w:val="00A94E4F"/>
    <w:rsid w:val="00A96B4F"/>
    <w:rsid w:val="00AA0428"/>
    <w:rsid w:val="00AA0801"/>
    <w:rsid w:val="00AA0D56"/>
    <w:rsid w:val="00AA0DE8"/>
    <w:rsid w:val="00AA1D19"/>
    <w:rsid w:val="00AA2590"/>
    <w:rsid w:val="00AA273D"/>
    <w:rsid w:val="00AA2758"/>
    <w:rsid w:val="00AA3063"/>
    <w:rsid w:val="00AA3ADB"/>
    <w:rsid w:val="00AA4298"/>
    <w:rsid w:val="00AA47C8"/>
    <w:rsid w:val="00AA579E"/>
    <w:rsid w:val="00AA5A39"/>
    <w:rsid w:val="00AA6128"/>
    <w:rsid w:val="00AA7811"/>
    <w:rsid w:val="00AA7EAA"/>
    <w:rsid w:val="00AB004A"/>
    <w:rsid w:val="00AB04F4"/>
    <w:rsid w:val="00AB0536"/>
    <w:rsid w:val="00AB0757"/>
    <w:rsid w:val="00AB1AA8"/>
    <w:rsid w:val="00AB1E03"/>
    <w:rsid w:val="00AB1E5B"/>
    <w:rsid w:val="00AB200C"/>
    <w:rsid w:val="00AB227C"/>
    <w:rsid w:val="00AB244B"/>
    <w:rsid w:val="00AB3106"/>
    <w:rsid w:val="00AB3B84"/>
    <w:rsid w:val="00AB4A2B"/>
    <w:rsid w:val="00AB56CA"/>
    <w:rsid w:val="00AB5731"/>
    <w:rsid w:val="00AB5EA2"/>
    <w:rsid w:val="00AB6B57"/>
    <w:rsid w:val="00AB6F2C"/>
    <w:rsid w:val="00AC399B"/>
    <w:rsid w:val="00AC4381"/>
    <w:rsid w:val="00AC4AC9"/>
    <w:rsid w:val="00AC4BD5"/>
    <w:rsid w:val="00AC6506"/>
    <w:rsid w:val="00AC6F58"/>
    <w:rsid w:val="00AC7E02"/>
    <w:rsid w:val="00AD0CFD"/>
    <w:rsid w:val="00AD105A"/>
    <w:rsid w:val="00AD12F6"/>
    <w:rsid w:val="00AD15B0"/>
    <w:rsid w:val="00AD1D1A"/>
    <w:rsid w:val="00AD1E38"/>
    <w:rsid w:val="00AD221E"/>
    <w:rsid w:val="00AD2CA8"/>
    <w:rsid w:val="00AD307C"/>
    <w:rsid w:val="00AD30C8"/>
    <w:rsid w:val="00AD34D4"/>
    <w:rsid w:val="00AD3E2A"/>
    <w:rsid w:val="00AD41CC"/>
    <w:rsid w:val="00AD421D"/>
    <w:rsid w:val="00AD4DEC"/>
    <w:rsid w:val="00AD5CD6"/>
    <w:rsid w:val="00AD6CE1"/>
    <w:rsid w:val="00AE02EC"/>
    <w:rsid w:val="00AE1953"/>
    <w:rsid w:val="00AE1DFC"/>
    <w:rsid w:val="00AE2ADB"/>
    <w:rsid w:val="00AE2C01"/>
    <w:rsid w:val="00AE35E2"/>
    <w:rsid w:val="00AE4E58"/>
    <w:rsid w:val="00AE5259"/>
    <w:rsid w:val="00AE5C9B"/>
    <w:rsid w:val="00AE6772"/>
    <w:rsid w:val="00AE7646"/>
    <w:rsid w:val="00AE79E0"/>
    <w:rsid w:val="00AE7CEB"/>
    <w:rsid w:val="00AF0336"/>
    <w:rsid w:val="00AF0580"/>
    <w:rsid w:val="00AF080A"/>
    <w:rsid w:val="00AF208F"/>
    <w:rsid w:val="00AF2D16"/>
    <w:rsid w:val="00AF3186"/>
    <w:rsid w:val="00AF40BA"/>
    <w:rsid w:val="00AF4FD5"/>
    <w:rsid w:val="00AF58BD"/>
    <w:rsid w:val="00AF5CF3"/>
    <w:rsid w:val="00AF5E95"/>
    <w:rsid w:val="00AF5F90"/>
    <w:rsid w:val="00AF673A"/>
    <w:rsid w:val="00AF7284"/>
    <w:rsid w:val="00AF7926"/>
    <w:rsid w:val="00AF7F56"/>
    <w:rsid w:val="00B00FD3"/>
    <w:rsid w:val="00B01A5E"/>
    <w:rsid w:val="00B01D40"/>
    <w:rsid w:val="00B021A2"/>
    <w:rsid w:val="00B02486"/>
    <w:rsid w:val="00B02FFE"/>
    <w:rsid w:val="00B04B6C"/>
    <w:rsid w:val="00B05154"/>
    <w:rsid w:val="00B05DCC"/>
    <w:rsid w:val="00B06CB4"/>
    <w:rsid w:val="00B072A3"/>
    <w:rsid w:val="00B07A86"/>
    <w:rsid w:val="00B1057A"/>
    <w:rsid w:val="00B12215"/>
    <w:rsid w:val="00B12B49"/>
    <w:rsid w:val="00B12BE1"/>
    <w:rsid w:val="00B12CC9"/>
    <w:rsid w:val="00B12E11"/>
    <w:rsid w:val="00B13263"/>
    <w:rsid w:val="00B13953"/>
    <w:rsid w:val="00B1663B"/>
    <w:rsid w:val="00B16A4F"/>
    <w:rsid w:val="00B16D49"/>
    <w:rsid w:val="00B17262"/>
    <w:rsid w:val="00B17DF6"/>
    <w:rsid w:val="00B2032E"/>
    <w:rsid w:val="00B208E7"/>
    <w:rsid w:val="00B20CAE"/>
    <w:rsid w:val="00B217E8"/>
    <w:rsid w:val="00B22EC9"/>
    <w:rsid w:val="00B232AF"/>
    <w:rsid w:val="00B25206"/>
    <w:rsid w:val="00B2573C"/>
    <w:rsid w:val="00B268BB"/>
    <w:rsid w:val="00B268F8"/>
    <w:rsid w:val="00B27682"/>
    <w:rsid w:val="00B277C1"/>
    <w:rsid w:val="00B27EE7"/>
    <w:rsid w:val="00B319D1"/>
    <w:rsid w:val="00B320BE"/>
    <w:rsid w:val="00B34323"/>
    <w:rsid w:val="00B358BA"/>
    <w:rsid w:val="00B366A1"/>
    <w:rsid w:val="00B36B52"/>
    <w:rsid w:val="00B3738C"/>
    <w:rsid w:val="00B37C19"/>
    <w:rsid w:val="00B400EF"/>
    <w:rsid w:val="00B40C1D"/>
    <w:rsid w:val="00B41572"/>
    <w:rsid w:val="00B42442"/>
    <w:rsid w:val="00B43EFE"/>
    <w:rsid w:val="00B44600"/>
    <w:rsid w:val="00B447D3"/>
    <w:rsid w:val="00B44F95"/>
    <w:rsid w:val="00B456EF"/>
    <w:rsid w:val="00B45C89"/>
    <w:rsid w:val="00B47884"/>
    <w:rsid w:val="00B5021E"/>
    <w:rsid w:val="00B508DA"/>
    <w:rsid w:val="00B5094E"/>
    <w:rsid w:val="00B50D86"/>
    <w:rsid w:val="00B50D8A"/>
    <w:rsid w:val="00B50FBC"/>
    <w:rsid w:val="00B50FF6"/>
    <w:rsid w:val="00B5125D"/>
    <w:rsid w:val="00B52414"/>
    <w:rsid w:val="00B5266A"/>
    <w:rsid w:val="00B535A1"/>
    <w:rsid w:val="00B535F4"/>
    <w:rsid w:val="00B53A6F"/>
    <w:rsid w:val="00B53CAD"/>
    <w:rsid w:val="00B54769"/>
    <w:rsid w:val="00B547A7"/>
    <w:rsid w:val="00B55363"/>
    <w:rsid w:val="00B55596"/>
    <w:rsid w:val="00B5599A"/>
    <w:rsid w:val="00B55AEE"/>
    <w:rsid w:val="00B55ECC"/>
    <w:rsid w:val="00B56EAE"/>
    <w:rsid w:val="00B57380"/>
    <w:rsid w:val="00B61080"/>
    <w:rsid w:val="00B61E45"/>
    <w:rsid w:val="00B62043"/>
    <w:rsid w:val="00B62A55"/>
    <w:rsid w:val="00B635D6"/>
    <w:rsid w:val="00B639F0"/>
    <w:rsid w:val="00B6438D"/>
    <w:rsid w:val="00B6469B"/>
    <w:rsid w:val="00B648D2"/>
    <w:rsid w:val="00B6518D"/>
    <w:rsid w:val="00B652EA"/>
    <w:rsid w:val="00B65A58"/>
    <w:rsid w:val="00B65DBB"/>
    <w:rsid w:val="00B67A3D"/>
    <w:rsid w:val="00B70670"/>
    <w:rsid w:val="00B7140F"/>
    <w:rsid w:val="00B71493"/>
    <w:rsid w:val="00B719E8"/>
    <w:rsid w:val="00B71EBF"/>
    <w:rsid w:val="00B72A0C"/>
    <w:rsid w:val="00B72DDC"/>
    <w:rsid w:val="00B7364C"/>
    <w:rsid w:val="00B73D5D"/>
    <w:rsid w:val="00B74007"/>
    <w:rsid w:val="00B74319"/>
    <w:rsid w:val="00B74320"/>
    <w:rsid w:val="00B743FE"/>
    <w:rsid w:val="00B753CD"/>
    <w:rsid w:val="00B7570C"/>
    <w:rsid w:val="00B75D60"/>
    <w:rsid w:val="00B7660D"/>
    <w:rsid w:val="00B7710E"/>
    <w:rsid w:val="00B775B8"/>
    <w:rsid w:val="00B77F0D"/>
    <w:rsid w:val="00B801AA"/>
    <w:rsid w:val="00B803B2"/>
    <w:rsid w:val="00B80855"/>
    <w:rsid w:val="00B82219"/>
    <w:rsid w:val="00B82761"/>
    <w:rsid w:val="00B827D7"/>
    <w:rsid w:val="00B82CDD"/>
    <w:rsid w:val="00B82EB1"/>
    <w:rsid w:val="00B83506"/>
    <w:rsid w:val="00B838CD"/>
    <w:rsid w:val="00B83C1A"/>
    <w:rsid w:val="00B86290"/>
    <w:rsid w:val="00B8656B"/>
    <w:rsid w:val="00B86A31"/>
    <w:rsid w:val="00B87913"/>
    <w:rsid w:val="00B87949"/>
    <w:rsid w:val="00B87B26"/>
    <w:rsid w:val="00B907DE"/>
    <w:rsid w:val="00B90B20"/>
    <w:rsid w:val="00B91F0D"/>
    <w:rsid w:val="00B92058"/>
    <w:rsid w:val="00B92BA4"/>
    <w:rsid w:val="00B9307D"/>
    <w:rsid w:val="00B93847"/>
    <w:rsid w:val="00B940D6"/>
    <w:rsid w:val="00B94110"/>
    <w:rsid w:val="00B95DB5"/>
    <w:rsid w:val="00B96D93"/>
    <w:rsid w:val="00B96E0A"/>
    <w:rsid w:val="00BA086D"/>
    <w:rsid w:val="00BA17C8"/>
    <w:rsid w:val="00BA1A83"/>
    <w:rsid w:val="00BA1AEE"/>
    <w:rsid w:val="00BA2F77"/>
    <w:rsid w:val="00BA38CF"/>
    <w:rsid w:val="00BA396A"/>
    <w:rsid w:val="00BA3B4D"/>
    <w:rsid w:val="00BA3BB9"/>
    <w:rsid w:val="00BA3E03"/>
    <w:rsid w:val="00BA440E"/>
    <w:rsid w:val="00BA5988"/>
    <w:rsid w:val="00BA5EA9"/>
    <w:rsid w:val="00BA6677"/>
    <w:rsid w:val="00BA6CF0"/>
    <w:rsid w:val="00BA7DB6"/>
    <w:rsid w:val="00BB07BE"/>
    <w:rsid w:val="00BB07CA"/>
    <w:rsid w:val="00BB107C"/>
    <w:rsid w:val="00BB2243"/>
    <w:rsid w:val="00BB26BD"/>
    <w:rsid w:val="00BB3259"/>
    <w:rsid w:val="00BB3BCA"/>
    <w:rsid w:val="00BB3FFB"/>
    <w:rsid w:val="00BB4A80"/>
    <w:rsid w:val="00BB5340"/>
    <w:rsid w:val="00BB5558"/>
    <w:rsid w:val="00BB6C1E"/>
    <w:rsid w:val="00BC0938"/>
    <w:rsid w:val="00BC0BD8"/>
    <w:rsid w:val="00BC2228"/>
    <w:rsid w:val="00BC2FB5"/>
    <w:rsid w:val="00BC5DFE"/>
    <w:rsid w:val="00BC6258"/>
    <w:rsid w:val="00BD14DA"/>
    <w:rsid w:val="00BD16A2"/>
    <w:rsid w:val="00BD16CA"/>
    <w:rsid w:val="00BD17B8"/>
    <w:rsid w:val="00BD17DC"/>
    <w:rsid w:val="00BD2385"/>
    <w:rsid w:val="00BD4AF8"/>
    <w:rsid w:val="00BD581A"/>
    <w:rsid w:val="00BD58F4"/>
    <w:rsid w:val="00BD6551"/>
    <w:rsid w:val="00BD6B29"/>
    <w:rsid w:val="00BD7267"/>
    <w:rsid w:val="00BD7941"/>
    <w:rsid w:val="00BD7959"/>
    <w:rsid w:val="00BD7AB8"/>
    <w:rsid w:val="00BE085B"/>
    <w:rsid w:val="00BE0887"/>
    <w:rsid w:val="00BE0D35"/>
    <w:rsid w:val="00BE266C"/>
    <w:rsid w:val="00BE2894"/>
    <w:rsid w:val="00BE2988"/>
    <w:rsid w:val="00BE43EF"/>
    <w:rsid w:val="00BE48A9"/>
    <w:rsid w:val="00BE4D39"/>
    <w:rsid w:val="00BE4DC8"/>
    <w:rsid w:val="00BE5175"/>
    <w:rsid w:val="00BE6E37"/>
    <w:rsid w:val="00BE6F4B"/>
    <w:rsid w:val="00BE7AE5"/>
    <w:rsid w:val="00BE7FDF"/>
    <w:rsid w:val="00BF05F5"/>
    <w:rsid w:val="00BF0B19"/>
    <w:rsid w:val="00BF0C21"/>
    <w:rsid w:val="00BF0C83"/>
    <w:rsid w:val="00BF0CD5"/>
    <w:rsid w:val="00BF10DC"/>
    <w:rsid w:val="00BF11EE"/>
    <w:rsid w:val="00BF1246"/>
    <w:rsid w:val="00BF30D4"/>
    <w:rsid w:val="00BF3216"/>
    <w:rsid w:val="00BF35F2"/>
    <w:rsid w:val="00BF454F"/>
    <w:rsid w:val="00BF480E"/>
    <w:rsid w:val="00BF4B19"/>
    <w:rsid w:val="00BF4BF4"/>
    <w:rsid w:val="00BF51F8"/>
    <w:rsid w:val="00BF60FB"/>
    <w:rsid w:val="00BF6BC2"/>
    <w:rsid w:val="00BF75DD"/>
    <w:rsid w:val="00BF7616"/>
    <w:rsid w:val="00BF7620"/>
    <w:rsid w:val="00C01054"/>
    <w:rsid w:val="00C012B3"/>
    <w:rsid w:val="00C012D5"/>
    <w:rsid w:val="00C0222E"/>
    <w:rsid w:val="00C02634"/>
    <w:rsid w:val="00C0398A"/>
    <w:rsid w:val="00C0420F"/>
    <w:rsid w:val="00C0470E"/>
    <w:rsid w:val="00C04D71"/>
    <w:rsid w:val="00C050DB"/>
    <w:rsid w:val="00C06666"/>
    <w:rsid w:val="00C06C13"/>
    <w:rsid w:val="00C074CA"/>
    <w:rsid w:val="00C07F30"/>
    <w:rsid w:val="00C10750"/>
    <w:rsid w:val="00C112F8"/>
    <w:rsid w:val="00C1189D"/>
    <w:rsid w:val="00C11ABA"/>
    <w:rsid w:val="00C12496"/>
    <w:rsid w:val="00C12C03"/>
    <w:rsid w:val="00C12EFC"/>
    <w:rsid w:val="00C130E8"/>
    <w:rsid w:val="00C1366B"/>
    <w:rsid w:val="00C1469A"/>
    <w:rsid w:val="00C14C24"/>
    <w:rsid w:val="00C155C9"/>
    <w:rsid w:val="00C16047"/>
    <w:rsid w:val="00C20872"/>
    <w:rsid w:val="00C20C2B"/>
    <w:rsid w:val="00C22F14"/>
    <w:rsid w:val="00C23BD9"/>
    <w:rsid w:val="00C23DE0"/>
    <w:rsid w:val="00C23E3F"/>
    <w:rsid w:val="00C248E4"/>
    <w:rsid w:val="00C24E48"/>
    <w:rsid w:val="00C30357"/>
    <w:rsid w:val="00C308AD"/>
    <w:rsid w:val="00C30E75"/>
    <w:rsid w:val="00C312C1"/>
    <w:rsid w:val="00C31EAC"/>
    <w:rsid w:val="00C31ED5"/>
    <w:rsid w:val="00C321BE"/>
    <w:rsid w:val="00C32A23"/>
    <w:rsid w:val="00C334CC"/>
    <w:rsid w:val="00C3468F"/>
    <w:rsid w:val="00C35560"/>
    <w:rsid w:val="00C35754"/>
    <w:rsid w:val="00C36452"/>
    <w:rsid w:val="00C37C37"/>
    <w:rsid w:val="00C40878"/>
    <w:rsid w:val="00C408BB"/>
    <w:rsid w:val="00C40A89"/>
    <w:rsid w:val="00C40B12"/>
    <w:rsid w:val="00C40BF0"/>
    <w:rsid w:val="00C40DA6"/>
    <w:rsid w:val="00C40EAB"/>
    <w:rsid w:val="00C411AB"/>
    <w:rsid w:val="00C425AA"/>
    <w:rsid w:val="00C433DF"/>
    <w:rsid w:val="00C44303"/>
    <w:rsid w:val="00C44393"/>
    <w:rsid w:val="00C448B7"/>
    <w:rsid w:val="00C45145"/>
    <w:rsid w:val="00C46202"/>
    <w:rsid w:val="00C46E5A"/>
    <w:rsid w:val="00C47624"/>
    <w:rsid w:val="00C47901"/>
    <w:rsid w:val="00C47F66"/>
    <w:rsid w:val="00C500FA"/>
    <w:rsid w:val="00C50869"/>
    <w:rsid w:val="00C51601"/>
    <w:rsid w:val="00C53602"/>
    <w:rsid w:val="00C54BBD"/>
    <w:rsid w:val="00C55023"/>
    <w:rsid w:val="00C55728"/>
    <w:rsid w:val="00C5585F"/>
    <w:rsid w:val="00C558D9"/>
    <w:rsid w:val="00C57223"/>
    <w:rsid w:val="00C6012A"/>
    <w:rsid w:val="00C612F0"/>
    <w:rsid w:val="00C61AEE"/>
    <w:rsid w:val="00C629F5"/>
    <w:rsid w:val="00C629FD"/>
    <w:rsid w:val="00C62B8A"/>
    <w:rsid w:val="00C63946"/>
    <w:rsid w:val="00C63D40"/>
    <w:rsid w:val="00C640D9"/>
    <w:rsid w:val="00C644A0"/>
    <w:rsid w:val="00C6488D"/>
    <w:rsid w:val="00C64CCF"/>
    <w:rsid w:val="00C66EE0"/>
    <w:rsid w:val="00C67A89"/>
    <w:rsid w:val="00C67E7E"/>
    <w:rsid w:val="00C700B2"/>
    <w:rsid w:val="00C700F9"/>
    <w:rsid w:val="00C704CE"/>
    <w:rsid w:val="00C70CCA"/>
    <w:rsid w:val="00C72794"/>
    <w:rsid w:val="00C72869"/>
    <w:rsid w:val="00C7318D"/>
    <w:rsid w:val="00C7389D"/>
    <w:rsid w:val="00C74011"/>
    <w:rsid w:val="00C74AD3"/>
    <w:rsid w:val="00C74FB7"/>
    <w:rsid w:val="00C7504C"/>
    <w:rsid w:val="00C75318"/>
    <w:rsid w:val="00C759C1"/>
    <w:rsid w:val="00C764DB"/>
    <w:rsid w:val="00C76BB7"/>
    <w:rsid w:val="00C77793"/>
    <w:rsid w:val="00C808CA"/>
    <w:rsid w:val="00C81E1A"/>
    <w:rsid w:val="00C83AA4"/>
    <w:rsid w:val="00C842C7"/>
    <w:rsid w:val="00C8532E"/>
    <w:rsid w:val="00C85DE4"/>
    <w:rsid w:val="00C866F6"/>
    <w:rsid w:val="00C86E3F"/>
    <w:rsid w:val="00C8793D"/>
    <w:rsid w:val="00C87B1E"/>
    <w:rsid w:val="00C90091"/>
    <w:rsid w:val="00C92600"/>
    <w:rsid w:val="00C93782"/>
    <w:rsid w:val="00C94032"/>
    <w:rsid w:val="00C9439C"/>
    <w:rsid w:val="00C94EA9"/>
    <w:rsid w:val="00C95011"/>
    <w:rsid w:val="00C95513"/>
    <w:rsid w:val="00C95C89"/>
    <w:rsid w:val="00C97834"/>
    <w:rsid w:val="00C97AEC"/>
    <w:rsid w:val="00C97CDD"/>
    <w:rsid w:val="00C97F5B"/>
    <w:rsid w:val="00CA03AB"/>
    <w:rsid w:val="00CA0B0A"/>
    <w:rsid w:val="00CA1540"/>
    <w:rsid w:val="00CA17EE"/>
    <w:rsid w:val="00CA2332"/>
    <w:rsid w:val="00CA3355"/>
    <w:rsid w:val="00CA4DA6"/>
    <w:rsid w:val="00CA7945"/>
    <w:rsid w:val="00CA7A4C"/>
    <w:rsid w:val="00CB109B"/>
    <w:rsid w:val="00CB1B6F"/>
    <w:rsid w:val="00CB1BC6"/>
    <w:rsid w:val="00CB2250"/>
    <w:rsid w:val="00CB289A"/>
    <w:rsid w:val="00CB328A"/>
    <w:rsid w:val="00CB3D0A"/>
    <w:rsid w:val="00CB4A4F"/>
    <w:rsid w:val="00CB5982"/>
    <w:rsid w:val="00CB59B4"/>
    <w:rsid w:val="00CB6058"/>
    <w:rsid w:val="00CB6081"/>
    <w:rsid w:val="00CB7142"/>
    <w:rsid w:val="00CB7ADB"/>
    <w:rsid w:val="00CC1AF7"/>
    <w:rsid w:val="00CC2A25"/>
    <w:rsid w:val="00CC2C3B"/>
    <w:rsid w:val="00CC608F"/>
    <w:rsid w:val="00CC60EA"/>
    <w:rsid w:val="00CC69CB"/>
    <w:rsid w:val="00CC78DD"/>
    <w:rsid w:val="00CC7A0B"/>
    <w:rsid w:val="00CC7AF9"/>
    <w:rsid w:val="00CD17D5"/>
    <w:rsid w:val="00CD185E"/>
    <w:rsid w:val="00CD1D2C"/>
    <w:rsid w:val="00CD216C"/>
    <w:rsid w:val="00CD34B3"/>
    <w:rsid w:val="00CD3933"/>
    <w:rsid w:val="00CD3E25"/>
    <w:rsid w:val="00CD44D3"/>
    <w:rsid w:val="00CD4F85"/>
    <w:rsid w:val="00CD5205"/>
    <w:rsid w:val="00CD54D9"/>
    <w:rsid w:val="00CD54DA"/>
    <w:rsid w:val="00CD6B8C"/>
    <w:rsid w:val="00CD73DC"/>
    <w:rsid w:val="00CE047F"/>
    <w:rsid w:val="00CE11FE"/>
    <w:rsid w:val="00CE279C"/>
    <w:rsid w:val="00CE2E5D"/>
    <w:rsid w:val="00CE3476"/>
    <w:rsid w:val="00CE3F73"/>
    <w:rsid w:val="00CE58BA"/>
    <w:rsid w:val="00CF0C11"/>
    <w:rsid w:val="00CF126E"/>
    <w:rsid w:val="00CF1B95"/>
    <w:rsid w:val="00CF2654"/>
    <w:rsid w:val="00CF2A17"/>
    <w:rsid w:val="00CF2C79"/>
    <w:rsid w:val="00CF2F34"/>
    <w:rsid w:val="00CF4433"/>
    <w:rsid w:val="00CF5640"/>
    <w:rsid w:val="00CF5872"/>
    <w:rsid w:val="00CF6C37"/>
    <w:rsid w:val="00CF7E51"/>
    <w:rsid w:val="00D001EF"/>
    <w:rsid w:val="00D00265"/>
    <w:rsid w:val="00D02657"/>
    <w:rsid w:val="00D0266E"/>
    <w:rsid w:val="00D041F1"/>
    <w:rsid w:val="00D04A21"/>
    <w:rsid w:val="00D04E0B"/>
    <w:rsid w:val="00D05A65"/>
    <w:rsid w:val="00D0635D"/>
    <w:rsid w:val="00D07D31"/>
    <w:rsid w:val="00D07F09"/>
    <w:rsid w:val="00D101D9"/>
    <w:rsid w:val="00D1126C"/>
    <w:rsid w:val="00D11A14"/>
    <w:rsid w:val="00D12228"/>
    <w:rsid w:val="00D12A1E"/>
    <w:rsid w:val="00D133F8"/>
    <w:rsid w:val="00D146FC"/>
    <w:rsid w:val="00D14B54"/>
    <w:rsid w:val="00D15336"/>
    <w:rsid w:val="00D16DF7"/>
    <w:rsid w:val="00D16F70"/>
    <w:rsid w:val="00D1768D"/>
    <w:rsid w:val="00D17B8B"/>
    <w:rsid w:val="00D17DCF"/>
    <w:rsid w:val="00D20F6E"/>
    <w:rsid w:val="00D21313"/>
    <w:rsid w:val="00D213C7"/>
    <w:rsid w:val="00D22168"/>
    <w:rsid w:val="00D22E0B"/>
    <w:rsid w:val="00D2318D"/>
    <w:rsid w:val="00D23463"/>
    <w:rsid w:val="00D23520"/>
    <w:rsid w:val="00D242C6"/>
    <w:rsid w:val="00D247B7"/>
    <w:rsid w:val="00D255C8"/>
    <w:rsid w:val="00D26BF4"/>
    <w:rsid w:val="00D2741E"/>
    <w:rsid w:val="00D27FC7"/>
    <w:rsid w:val="00D3001E"/>
    <w:rsid w:val="00D30AFC"/>
    <w:rsid w:val="00D30B3A"/>
    <w:rsid w:val="00D32873"/>
    <w:rsid w:val="00D32C4F"/>
    <w:rsid w:val="00D337A9"/>
    <w:rsid w:val="00D34183"/>
    <w:rsid w:val="00D349E6"/>
    <w:rsid w:val="00D353D9"/>
    <w:rsid w:val="00D36A63"/>
    <w:rsid w:val="00D36BE7"/>
    <w:rsid w:val="00D402A3"/>
    <w:rsid w:val="00D40AE2"/>
    <w:rsid w:val="00D41262"/>
    <w:rsid w:val="00D44487"/>
    <w:rsid w:val="00D44C3F"/>
    <w:rsid w:val="00D4559A"/>
    <w:rsid w:val="00D459B6"/>
    <w:rsid w:val="00D47242"/>
    <w:rsid w:val="00D479F2"/>
    <w:rsid w:val="00D50142"/>
    <w:rsid w:val="00D501B4"/>
    <w:rsid w:val="00D50C22"/>
    <w:rsid w:val="00D50CF9"/>
    <w:rsid w:val="00D523BE"/>
    <w:rsid w:val="00D52C26"/>
    <w:rsid w:val="00D52CB4"/>
    <w:rsid w:val="00D536BF"/>
    <w:rsid w:val="00D53932"/>
    <w:rsid w:val="00D54FBC"/>
    <w:rsid w:val="00D56ADB"/>
    <w:rsid w:val="00D60E9A"/>
    <w:rsid w:val="00D61141"/>
    <w:rsid w:val="00D61520"/>
    <w:rsid w:val="00D61CF0"/>
    <w:rsid w:val="00D6300D"/>
    <w:rsid w:val="00D63840"/>
    <w:rsid w:val="00D64361"/>
    <w:rsid w:val="00D64AAF"/>
    <w:rsid w:val="00D64ADE"/>
    <w:rsid w:val="00D659E4"/>
    <w:rsid w:val="00D65E99"/>
    <w:rsid w:val="00D661E3"/>
    <w:rsid w:val="00D6673E"/>
    <w:rsid w:val="00D67BCF"/>
    <w:rsid w:val="00D67EF9"/>
    <w:rsid w:val="00D709AD"/>
    <w:rsid w:val="00D7111B"/>
    <w:rsid w:val="00D71682"/>
    <w:rsid w:val="00D739A3"/>
    <w:rsid w:val="00D740A8"/>
    <w:rsid w:val="00D74585"/>
    <w:rsid w:val="00D745B3"/>
    <w:rsid w:val="00D74EA2"/>
    <w:rsid w:val="00D75129"/>
    <w:rsid w:val="00D75B60"/>
    <w:rsid w:val="00D77100"/>
    <w:rsid w:val="00D77997"/>
    <w:rsid w:val="00D801B6"/>
    <w:rsid w:val="00D80B9F"/>
    <w:rsid w:val="00D81BE3"/>
    <w:rsid w:val="00D829CD"/>
    <w:rsid w:val="00D82DE9"/>
    <w:rsid w:val="00D83412"/>
    <w:rsid w:val="00D835A7"/>
    <w:rsid w:val="00D83759"/>
    <w:rsid w:val="00D84ABE"/>
    <w:rsid w:val="00D85255"/>
    <w:rsid w:val="00D855E5"/>
    <w:rsid w:val="00D86D1E"/>
    <w:rsid w:val="00D87420"/>
    <w:rsid w:val="00D87B2E"/>
    <w:rsid w:val="00D91D13"/>
    <w:rsid w:val="00D91D38"/>
    <w:rsid w:val="00D927DD"/>
    <w:rsid w:val="00D92F8D"/>
    <w:rsid w:val="00D936AD"/>
    <w:rsid w:val="00D939EE"/>
    <w:rsid w:val="00D95501"/>
    <w:rsid w:val="00D95823"/>
    <w:rsid w:val="00D95E59"/>
    <w:rsid w:val="00D95EBC"/>
    <w:rsid w:val="00D96608"/>
    <w:rsid w:val="00D974CF"/>
    <w:rsid w:val="00D976F8"/>
    <w:rsid w:val="00D97F5F"/>
    <w:rsid w:val="00DA0F36"/>
    <w:rsid w:val="00DA181E"/>
    <w:rsid w:val="00DA1A1C"/>
    <w:rsid w:val="00DA21E6"/>
    <w:rsid w:val="00DA2F4B"/>
    <w:rsid w:val="00DA2F8B"/>
    <w:rsid w:val="00DA3253"/>
    <w:rsid w:val="00DA39B7"/>
    <w:rsid w:val="00DA496E"/>
    <w:rsid w:val="00DA5358"/>
    <w:rsid w:val="00DA5796"/>
    <w:rsid w:val="00DA5940"/>
    <w:rsid w:val="00DA5F8D"/>
    <w:rsid w:val="00DA618B"/>
    <w:rsid w:val="00DA6C8E"/>
    <w:rsid w:val="00DA7549"/>
    <w:rsid w:val="00DA7571"/>
    <w:rsid w:val="00DA7628"/>
    <w:rsid w:val="00DA78B6"/>
    <w:rsid w:val="00DA7CD3"/>
    <w:rsid w:val="00DB05E3"/>
    <w:rsid w:val="00DB1494"/>
    <w:rsid w:val="00DB1667"/>
    <w:rsid w:val="00DB22EC"/>
    <w:rsid w:val="00DB2842"/>
    <w:rsid w:val="00DB3A7F"/>
    <w:rsid w:val="00DB41CD"/>
    <w:rsid w:val="00DB6970"/>
    <w:rsid w:val="00DB6E92"/>
    <w:rsid w:val="00DC019B"/>
    <w:rsid w:val="00DC0695"/>
    <w:rsid w:val="00DC06CC"/>
    <w:rsid w:val="00DC0920"/>
    <w:rsid w:val="00DC2451"/>
    <w:rsid w:val="00DC2BB3"/>
    <w:rsid w:val="00DC4508"/>
    <w:rsid w:val="00DC4673"/>
    <w:rsid w:val="00DC4CE9"/>
    <w:rsid w:val="00DC4E38"/>
    <w:rsid w:val="00DC5325"/>
    <w:rsid w:val="00DC5349"/>
    <w:rsid w:val="00DC57B7"/>
    <w:rsid w:val="00DC5A5A"/>
    <w:rsid w:val="00DC5C08"/>
    <w:rsid w:val="00DC634F"/>
    <w:rsid w:val="00DC6DB7"/>
    <w:rsid w:val="00DC6F77"/>
    <w:rsid w:val="00DC759D"/>
    <w:rsid w:val="00DD05DB"/>
    <w:rsid w:val="00DD0974"/>
    <w:rsid w:val="00DD1447"/>
    <w:rsid w:val="00DD1BE8"/>
    <w:rsid w:val="00DD1EA0"/>
    <w:rsid w:val="00DD22C5"/>
    <w:rsid w:val="00DD32B7"/>
    <w:rsid w:val="00DD4059"/>
    <w:rsid w:val="00DD4C91"/>
    <w:rsid w:val="00DD50C5"/>
    <w:rsid w:val="00DD7F04"/>
    <w:rsid w:val="00DE041D"/>
    <w:rsid w:val="00DE0744"/>
    <w:rsid w:val="00DE0912"/>
    <w:rsid w:val="00DE10B9"/>
    <w:rsid w:val="00DE1962"/>
    <w:rsid w:val="00DE3EA2"/>
    <w:rsid w:val="00DE40EC"/>
    <w:rsid w:val="00DE42AF"/>
    <w:rsid w:val="00DE43B2"/>
    <w:rsid w:val="00DE4C68"/>
    <w:rsid w:val="00DE517F"/>
    <w:rsid w:val="00DE583F"/>
    <w:rsid w:val="00DE69D6"/>
    <w:rsid w:val="00DF0F6F"/>
    <w:rsid w:val="00DF2B2F"/>
    <w:rsid w:val="00DF383A"/>
    <w:rsid w:val="00DF419D"/>
    <w:rsid w:val="00DF5195"/>
    <w:rsid w:val="00DF601B"/>
    <w:rsid w:val="00E006A4"/>
    <w:rsid w:val="00E02DFF"/>
    <w:rsid w:val="00E03A48"/>
    <w:rsid w:val="00E03A69"/>
    <w:rsid w:val="00E0561C"/>
    <w:rsid w:val="00E0575B"/>
    <w:rsid w:val="00E10CA5"/>
    <w:rsid w:val="00E10F77"/>
    <w:rsid w:val="00E11102"/>
    <w:rsid w:val="00E111CE"/>
    <w:rsid w:val="00E12696"/>
    <w:rsid w:val="00E12CD0"/>
    <w:rsid w:val="00E12FC8"/>
    <w:rsid w:val="00E131BD"/>
    <w:rsid w:val="00E133DB"/>
    <w:rsid w:val="00E140FB"/>
    <w:rsid w:val="00E14D32"/>
    <w:rsid w:val="00E15D18"/>
    <w:rsid w:val="00E15DB7"/>
    <w:rsid w:val="00E163FB"/>
    <w:rsid w:val="00E16941"/>
    <w:rsid w:val="00E17235"/>
    <w:rsid w:val="00E17509"/>
    <w:rsid w:val="00E17DA9"/>
    <w:rsid w:val="00E20A78"/>
    <w:rsid w:val="00E21B81"/>
    <w:rsid w:val="00E22006"/>
    <w:rsid w:val="00E2240F"/>
    <w:rsid w:val="00E22A59"/>
    <w:rsid w:val="00E22E75"/>
    <w:rsid w:val="00E236A0"/>
    <w:rsid w:val="00E24853"/>
    <w:rsid w:val="00E24E2C"/>
    <w:rsid w:val="00E25E1A"/>
    <w:rsid w:val="00E25EBE"/>
    <w:rsid w:val="00E26367"/>
    <w:rsid w:val="00E27B5C"/>
    <w:rsid w:val="00E27B8C"/>
    <w:rsid w:val="00E3021E"/>
    <w:rsid w:val="00E30DB4"/>
    <w:rsid w:val="00E31715"/>
    <w:rsid w:val="00E31E1C"/>
    <w:rsid w:val="00E3247D"/>
    <w:rsid w:val="00E32DDC"/>
    <w:rsid w:val="00E33305"/>
    <w:rsid w:val="00E33611"/>
    <w:rsid w:val="00E33A5A"/>
    <w:rsid w:val="00E346CB"/>
    <w:rsid w:val="00E34BBE"/>
    <w:rsid w:val="00E37E76"/>
    <w:rsid w:val="00E410E7"/>
    <w:rsid w:val="00E41AAA"/>
    <w:rsid w:val="00E42C7B"/>
    <w:rsid w:val="00E43C15"/>
    <w:rsid w:val="00E453E2"/>
    <w:rsid w:val="00E4636B"/>
    <w:rsid w:val="00E46B21"/>
    <w:rsid w:val="00E47A9A"/>
    <w:rsid w:val="00E47D33"/>
    <w:rsid w:val="00E51D75"/>
    <w:rsid w:val="00E52B75"/>
    <w:rsid w:val="00E53911"/>
    <w:rsid w:val="00E53AD9"/>
    <w:rsid w:val="00E543FC"/>
    <w:rsid w:val="00E54C1A"/>
    <w:rsid w:val="00E556C8"/>
    <w:rsid w:val="00E5698B"/>
    <w:rsid w:val="00E57317"/>
    <w:rsid w:val="00E605CA"/>
    <w:rsid w:val="00E61DD8"/>
    <w:rsid w:val="00E623FA"/>
    <w:rsid w:val="00E62D0A"/>
    <w:rsid w:val="00E6333D"/>
    <w:rsid w:val="00E63409"/>
    <w:rsid w:val="00E63F28"/>
    <w:rsid w:val="00E64D67"/>
    <w:rsid w:val="00E65822"/>
    <w:rsid w:val="00E6628F"/>
    <w:rsid w:val="00E66B87"/>
    <w:rsid w:val="00E66CE3"/>
    <w:rsid w:val="00E67725"/>
    <w:rsid w:val="00E7007E"/>
    <w:rsid w:val="00E707CA"/>
    <w:rsid w:val="00E716F9"/>
    <w:rsid w:val="00E718E9"/>
    <w:rsid w:val="00E7190B"/>
    <w:rsid w:val="00E730C9"/>
    <w:rsid w:val="00E7398E"/>
    <w:rsid w:val="00E73B79"/>
    <w:rsid w:val="00E74078"/>
    <w:rsid w:val="00E74BEA"/>
    <w:rsid w:val="00E74E3A"/>
    <w:rsid w:val="00E75D2E"/>
    <w:rsid w:val="00E75D79"/>
    <w:rsid w:val="00E7605E"/>
    <w:rsid w:val="00E76186"/>
    <w:rsid w:val="00E77B2E"/>
    <w:rsid w:val="00E80386"/>
    <w:rsid w:val="00E80438"/>
    <w:rsid w:val="00E808C8"/>
    <w:rsid w:val="00E8111A"/>
    <w:rsid w:val="00E812F9"/>
    <w:rsid w:val="00E814C8"/>
    <w:rsid w:val="00E81554"/>
    <w:rsid w:val="00E81A0D"/>
    <w:rsid w:val="00E8220A"/>
    <w:rsid w:val="00E826AE"/>
    <w:rsid w:val="00E832F9"/>
    <w:rsid w:val="00E83309"/>
    <w:rsid w:val="00E84074"/>
    <w:rsid w:val="00E84BF8"/>
    <w:rsid w:val="00E84D69"/>
    <w:rsid w:val="00E86E07"/>
    <w:rsid w:val="00E86E5E"/>
    <w:rsid w:val="00E87EE9"/>
    <w:rsid w:val="00E90F76"/>
    <w:rsid w:val="00E91D49"/>
    <w:rsid w:val="00E924F6"/>
    <w:rsid w:val="00E9292D"/>
    <w:rsid w:val="00E92ED0"/>
    <w:rsid w:val="00E93238"/>
    <w:rsid w:val="00E937E9"/>
    <w:rsid w:val="00E94268"/>
    <w:rsid w:val="00E9519D"/>
    <w:rsid w:val="00E9526A"/>
    <w:rsid w:val="00E95A9D"/>
    <w:rsid w:val="00E961FD"/>
    <w:rsid w:val="00E9705F"/>
    <w:rsid w:val="00E971B2"/>
    <w:rsid w:val="00E975CA"/>
    <w:rsid w:val="00E97FDF"/>
    <w:rsid w:val="00EA0274"/>
    <w:rsid w:val="00EA05C5"/>
    <w:rsid w:val="00EA1AE3"/>
    <w:rsid w:val="00EA1BB6"/>
    <w:rsid w:val="00EA1CC0"/>
    <w:rsid w:val="00EA20BE"/>
    <w:rsid w:val="00EA3D4C"/>
    <w:rsid w:val="00EA42C7"/>
    <w:rsid w:val="00EA42DA"/>
    <w:rsid w:val="00EA5675"/>
    <w:rsid w:val="00EA59E1"/>
    <w:rsid w:val="00EA5C70"/>
    <w:rsid w:val="00EA68BC"/>
    <w:rsid w:val="00EA6F04"/>
    <w:rsid w:val="00EB05F5"/>
    <w:rsid w:val="00EB1255"/>
    <w:rsid w:val="00EB2F2E"/>
    <w:rsid w:val="00EB4941"/>
    <w:rsid w:val="00EB4A95"/>
    <w:rsid w:val="00EB4B53"/>
    <w:rsid w:val="00EB4CC3"/>
    <w:rsid w:val="00EB533C"/>
    <w:rsid w:val="00EB5BB7"/>
    <w:rsid w:val="00EB641D"/>
    <w:rsid w:val="00EB6EC1"/>
    <w:rsid w:val="00EB7189"/>
    <w:rsid w:val="00EB7CAA"/>
    <w:rsid w:val="00EC0232"/>
    <w:rsid w:val="00EC0844"/>
    <w:rsid w:val="00EC0ABA"/>
    <w:rsid w:val="00EC2ED3"/>
    <w:rsid w:val="00EC333F"/>
    <w:rsid w:val="00EC354E"/>
    <w:rsid w:val="00EC375B"/>
    <w:rsid w:val="00EC4E1B"/>
    <w:rsid w:val="00EC5757"/>
    <w:rsid w:val="00EC59BE"/>
    <w:rsid w:val="00EC6190"/>
    <w:rsid w:val="00EC6F9C"/>
    <w:rsid w:val="00EC7131"/>
    <w:rsid w:val="00EC7566"/>
    <w:rsid w:val="00EC7676"/>
    <w:rsid w:val="00EC7F98"/>
    <w:rsid w:val="00ED199B"/>
    <w:rsid w:val="00ED1E66"/>
    <w:rsid w:val="00ED2248"/>
    <w:rsid w:val="00ED2E55"/>
    <w:rsid w:val="00ED4161"/>
    <w:rsid w:val="00ED5AB8"/>
    <w:rsid w:val="00ED6332"/>
    <w:rsid w:val="00ED7446"/>
    <w:rsid w:val="00ED7B42"/>
    <w:rsid w:val="00EE3592"/>
    <w:rsid w:val="00EE35C0"/>
    <w:rsid w:val="00EE371F"/>
    <w:rsid w:val="00EE3F6D"/>
    <w:rsid w:val="00EE4177"/>
    <w:rsid w:val="00EE45D0"/>
    <w:rsid w:val="00EE4733"/>
    <w:rsid w:val="00EE634B"/>
    <w:rsid w:val="00EE648B"/>
    <w:rsid w:val="00EE65A8"/>
    <w:rsid w:val="00EE7028"/>
    <w:rsid w:val="00EF03F1"/>
    <w:rsid w:val="00EF0BB8"/>
    <w:rsid w:val="00EF0E62"/>
    <w:rsid w:val="00EF1922"/>
    <w:rsid w:val="00EF235C"/>
    <w:rsid w:val="00EF23AE"/>
    <w:rsid w:val="00EF2713"/>
    <w:rsid w:val="00EF2817"/>
    <w:rsid w:val="00EF2956"/>
    <w:rsid w:val="00EF2C3A"/>
    <w:rsid w:val="00EF2E65"/>
    <w:rsid w:val="00EF35E0"/>
    <w:rsid w:val="00EF406E"/>
    <w:rsid w:val="00EF4457"/>
    <w:rsid w:val="00EF4F36"/>
    <w:rsid w:val="00EF5E0B"/>
    <w:rsid w:val="00EF5ED5"/>
    <w:rsid w:val="00EF63E9"/>
    <w:rsid w:val="00EF699F"/>
    <w:rsid w:val="00EF7015"/>
    <w:rsid w:val="00EF7271"/>
    <w:rsid w:val="00EF745B"/>
    <w:rsid w:val="00EF7A2C"/>
    <w:rsid w:val="00F001FE"/>
    <w:rsid w:val="00F00A68"/>
    <w:rsid w:val="00F00A84"/>
    <w:rsid w:val="00F00BA3"/>
    <w:rsid w:val="00F00D28"/>
    <w:rsid w:val="00F01554"/>
    <w:rsid w:val="00F02ACC"/>
    <w:rsid w:val="00F0317C"/>
    <w:rsid w:val="00F03E68"/>
    <w:rsid w:val="00F04A3D"/>
    <w:rsid w:val="00F0698C"/>
    <w:rsid w:val="00F069CD"/>
    <w:rsid w:val="00F070AC"/>
    <w:rsid w:val="00F07F19"/>
    <w:rsid w:val="00F1182D"/>
    <w:rsid w:val="00F11B1D"/>
    <w:rsid w:val="00F126FF"/>
    <w:rsid w:val="00F12CEB"/>
    <w:rsid w:val="00F12E45"/>
    <w:rsid w:val="00F14708"/>
    <w:rsid w:val="00F15255"/>
    <w:rsid w:val="00F152BC"/>
    <w:rsid w:val="00F15D2A"/>
    <w:rsid w:val="00F15E2F"/>
    <w:rsid w:val="00F1659B"/>
    <w:rsid w:val="00F17B6E"/>
    <w:rsid w:val="00F17CCB"/>
    <w:rsid w:val="00F202E8"/>
    <w:rsid w:val="00F2036F"/>
    <w:rsid w:val="00F21F66"/>
    <w:rsid w:val="00F229EA"/>
    <w:rsid w:val="00F233AA"/>
    <w:rsid w:val="00F23527"/>
    <w:rsid w:val="00F23E3B"/>
    <w:rsid w:val="00F23EE9"/>
    <w:rsid w:val="00F2636C"/>
    <w:rsid w:val="00F26AC3"/>
    <w:rsid w:val="00F26D51"/>
    <w:rsid w:val="00F270E6"/>
    <w:rsid w:val="00F274C3"/>
    <w:rsid w:val="00F30660"/>
    <w:rsid w:val="00F309AE"/>
    <w:rsid w:val="00F30E10"/>
    <w:rsid w:val="00F30E75"/>
    <w:rsid w:val="00F311DC"/>
    <w:rsid w:val="00F3180A"/>
    <w:rsid w:val="00F31C34"/>
    <w:rsid w:val="00F31F0A"/>
    <w:rsid w:val="00F31F33"/>
    <w:rsid w:val="00F31FC6"/>
    <w:rsid w:val="00F32175"/>
    <w:rsid w:val="00F3233D"/>
    <w:rsid w:val="00F323EA"/>
    <w:rsid w:val="00F325B2"/>
    <w:rsid w:val="00F3420D"/>
    <w:rsid w:val="00F346E5"/>
    <w:rsid w:val="00F34C32"/>
    <w:rsid w:val="00F361B0"/>
    <w:rsid w:val="00F36936"/>
    <w:rsid w:val="00F371C8"/>
    <w:rsid w:val="00F37B12"/>
    <w:rsid w:val="00F4004F"/>
    <w:rsid w:val="00F40A7D"/>
    <w:rsid w:val="00F40DF4"/>
    <w:rsid w:val="00F4130C"/>
    <w:rsid w:val="00F41788"/>
    <w:rsid w:val="00F41AA8"/>
    <w:rsid w:val="00F41C79"/>
    <w:rsid w:val="00F41F05"/>
    <w:rsid w:val="00F42085"/>
    <w:rsid w:val="00F420D8"/>
    <w:rsid w:val="00F43602"/>
    <w:rsid w:val="00F43736"/>
    <w:rsid w:val="00F44343"/>
    <w:rsid w:val="00F45082"/>
    <w:rsid w:val="00F45675"/>
    <w:rsid w:val="00F45A11"/>
    <w:rsid w:val="00F45B5A"/>
    <w:rsid w:val="00F46DA2"/>
    <w:rsid w:val="00F477B5"/>
    <w:rsid w:val="00F5006D"/>
    <w:rsid w:val="00F50AB0"/>
    <w:rsid w:val="00F51128"/>
    <w:rsid w:val="00F511D2"/>
    <w:rsid w:val="00F514C2"/>
    <w:rsid w:val="00F5173D"/>
    <w:rsid w:val="00F532D7"/>
    <w:rsid w:val="00F53C02"/>
    <w:rsid w:val="00F53DB7"/>
    <w:rsid w:val="00F554B1"/>
    <w:rsid w:val="00F558D1"/>
    <w:rsid w:val="00F55ADC"/>
    <w:rsid w:val="00F56628"/>
    <w:rsid w:val="00F5666C"/>
    <w:rsid w:val="00F566BA"/>
    <w:rsid w:val="00F56BE6"/>
    <w:rsid w:val="00F56CC8"/>
    <w:rsid w:val="00F578F1"/>
    <w:rsid w:val="00F57B80"/>
    <w:rsid w:val="00F57CA6"/>
    <w:rsid w:val="00F60472"/>
    <w:rsid w:val="00F604D1"/>
    <w:rsid w:val="00F609C7"/>
    <w:rsid w:val="00F60F9F"/>
    <w:rsid w:val="00F612F5"/>
    <w:rsid w:val="00F61384"/>
    <w:rsid w:val="00F61AF2"/>
    <w:rsid w:val="00F6209B"/>
    <w:rsid w:val="00F6252F"/>
    <w:rsid w:val="00F628AF"/>
    <w:rsid w:val="00F62F22"/>
    <w:rsid w:val="00F63A74"/>
    <w:rsid w:val="00F64354"/>
    <w:rsid w:val="00F64798"/>
    <w:rsid w:val="00F64A4B"/>
    <w:rsid w:val="00F64AC6"/>
    <w:rsid w:val="00F65288"/>
    <w:rsid w:val="00F6588E"/>
    <w:rsid w:val="00F66F40"/>
    <w:rsid w:val="00F676EB"/>
    <w:rsid w:val="00F67E0A"/>
    <w:rsid w:val="00F70005"/>
    <w:rsid w:val="00F71012"/>
    <w:rsid w:val="00F734A4"/>
    <w:rsid w:val="00F7394B"/>
    <w:rsid w:val="00F73C1B"/>
    <w:rsid w:val="00F73E84"/>
    <w:rsid w:val="00F74577"/>
    <w:rsid w:val="00F74A43"/>
    <w:rsid w:val="00F7676F"/>
    <w:rsid w:val="00F7717A"/>
    <w:rsid w:val="00F77233"/>
    <w:rsid w:val="00F778E0"/>
    <w:rsid w:val="00F80277"/>
    <w:rsid w:val="00F80AB8"/>
    <w:rsid w:val="00F811C9"/>
    <w:rsid w:val="00F81234"/>
    <w:rsid w:val="00F812D5"/>
    <w:rsid w:val="00F81AD1"/>
    <w:rsid w:val="00F82545"/>
    <w:rsid w:val="00F829A5"/>
    <w:rsid w:val="00F83C08"/>
    <w:rsid w:val="00F83CD2"/>
    <w:rsid w:val="00F8499E"/>
    <w:rsid w:val="00F86091"/>
    <w:rsid w:val="00F86B43"/>
    <w:rsid w:val="00F90560"/>
    <w:rsid w:val="00F90864"/>
    <w:rsid w:val="00F91AD4"/>
    <w:rsid w:val="00F9202C"/>
    <w:rsid w:val="00F92421"/>
    <w:rsid w:val="00F92531"/>
    <w:rsid w:val="00F92A28"/>
    <w:rsid w:val="00F93778"/>
    <w:rsid w:val="00F948A4"/>
    <w:rsid w:val="00F94C79"/>
    <w:rsid w:val="00F95067"/>
    <w:rsid w:val="00F963DD"/>
    <w:rsid w:val="00F972CD"/>
    <w:rsid w:val="00F97950"/>
    <w:rsid w:val="00F97DF5"/>
    <w:rsid w:val="00FA0BB9"/>
    <w:rsid w:val="00FA0F12"/>
    <w:rsid w:val="00FA155D"/>
    <w:rsid w:val="00FA17B0"/>
    <w:rsid w:val="00FA3553"/>
    <w:rsid w:val="00FA365D"/>
    <w:rsid w:val="00FA3776"/>
    <w:rsid w:val="00FA37CC"/>
    <w:rsid w:val="00FA4416"/>
    <w:rsid w:val="00FA55AA"/>
    <w:rsid w:val="00FA6871"/>
    <w:rsid w:val="00FA7A2E"/>
    <w:rsid w:val="00FB18E9"/>
    <w:rsid w:val="00FB19FF"/>
    <w:rsid w:val="00FB1BBF"/>
    <w:rsid w:val="00FB234F"/>
    <w:rsid w:val="00FB2AB7"/>
    <w:rsid w:val="00FB4720"/>
    <w:rsid w:val="00FB472A"/>
    <w:rsid w:val="00FB491F"/>
    <w:rsid w:val="00FB4970"/>
    <w:rsid w:val="00FB49F4"/>
    <w:rsid w:val="00FB67B4"/>
    <w:rsid w:val="00FB68BB"/>
    <w:rsid w:val="00FB6ADF"/>
    <w:rsid w:val="00FB71F1"/>
    <w:rsid w:val="00FB731B"/>
    <w:rsid w:val="00FB7553"/>
    <w:rsid w:val="00FC052F"/>
    <w:rsid w:val="00FC13EA"/>
    <w:rsid w:val="00FC2C14"/>
    <w:rsid w:val="00FC30FA"/>
    <w:rsid w:val="00FC336B"/>
    <w:rsid w:val="00FC3E3B"/>
    <w:rsid w:val="00FC5154"/>
    <w:rsid w:val="00FC73AB"/>
    <w:rsid w:val="00FC7E36"/>
    <w:rsid w:val="00FC7E99"/>
    <w:rsid w:val="00FD0C5B"/>
    <w:rsid w:val="00FD10D1"/>
    <w:rsid w:val="00FD173C"/>
    <w:rsid w:val="00FD1FC1"/>
    <w:rsid w:val="00FD3324"/>
    <w:rsid w:val="00FD34D9"/>
    <w:rsid w:val="00FD4129"/>
    <w:rsid w:val="00FD487A"/>
    <w:rsid w:val="00FD4EBA"/>
    <w:rsid w:val="00FD6419"/>
    <w:rsid w:val="00FD6646"/>
    <w:rsid w:val="00FD7028"/>
    <w:rsid w:val="00FE11E1"/>
    <w:rsid w:val="00FE190E"/>
    <w:rsid w:val="00FE2424"/>
    <w:rsid w:val="00FE2703"/>
    <w:rsid w:val="00FE3D94"/>
    <w:rsid w:val="00FE41B8"/>
    <w:rsid w:val="00FE4B47"/>
    <w:rsid w:val="00FE5B80"/>
    <w:rsid w:val="00FE61D8"/>
    <w:rsid w:val="00FE6574"/>
    <w:rsid w:val="00FE67CB"/>
    <w:rsid w:val="00FE7E4B"/>
    <w:rsid w:val="00FE7FA3"/>
    <w:rsid w:val="00FF0273"/>
    <w:rsid w:val="00FF0C25"/>
    <w:rsid w:val="00FF151A"/>
    <w:rsid w:val="00FF158F"/>
    <w:rsid w:val="00FF2228"/>
    <w:rsid w:val="00FF2FEC"/>
    <w:rsid w:val="00FF3172"/>
    <w:rsid w:val="00FF39A0"/>
    <w:rsid w:val="00FF39B4"/>
    <w:rsid w:val="00FF3CCF"/>
    <w:rsid w:val="00FF3EBA"/>
    <w:rsid w:val="00FF4025"/>
    <w:rsid w:val="00FF41B1"/>
    <w:rsid w:val="00FF53A5"/>
    <w:rsid w:val="00FF5723"/>
    <w:rsid w:val="00FF72AB"/>
    <w:rsid w:val="01111420"/>
    <w:rsid w:val="01546440"/>
    <w:rsid w:val="0160078A"/>
    <w:rsid w:val="01700A46"/>
    <w:rsid w:val="01BB7BC2"/>
    <w:rsid w:val="01BF370B"/>
    <w:rsid w:val="02136A35"/>
    <w:rsid w:val="02263E9A"/>
    <w:rsid w:val="025A7081"/>
    <w:rsid w:val="02CB71AD"/>
    <w:rsid w:val="030C4B2E"/>
    <w:rsid w:val="03636F78"/>
    <w:rsid w:val="03705FCB"/>
    <w:rsid w:val="03851B2E"/>
    <w:rsid w:val="038F7198"/>
    <w:rsid w:val="03AA7B5F"/>
    <w:rsid w:val="03AF4A3D"/>
    <w:rsid w:val="03B41164"/>
    <w:rsid w:val="03BE2FFA"/>
    <w:rsid w:val="03F30833"/>
    <w:rsid w:val="04455A67"/>
    <w:rsid w:val="04491FBC"/>
    <w:rsid w:val="04775A3C"/>
    <w:rsid w:val="047A7CF9"/>
    <w:rsid w:val="04937B7A"/>
    <w:rsid w:val="04C10C9F"/>
    <w:rsid w:val="04C45282"/>
    <w:rsid w:val="04C90D1F"/>
    <w:rsid w:val="04FE6311"/>
    <w:rsid w:val="050E1D19"/>
    <w:rsid w:val="05B121DF"/>
    <w:rsid w:val="05B922DB"/>
    <w:rsid w:val="05EB7E30"/>
    <w:rsid w:val="064510DB"/>
    <w:rsid w:val="06620B3A"/>
    <w:rsid w:val="06D0451E"/>
    <w:rsid w:val="06DA6FC6"/>
    <w:rsid w:val="070A729C"/>
    <w:rsid w:val="073C599D"/>
    <w:rsid w:val="076432D3"/>
    <w:rsid w:val="07A25744"/>
    <w:rsid w:val="07B63215"/>
    <w:rsid w:val="07B77A9C"/>
    <w:rsid w:val="07D43F4C"/>
    <w:rsid w:val="07F51193"/>
    <w:rsid w:val="07F9414A"/>
    <w:rsid w:val="080B7557"/>
    <w:rsid w:val="081952B3"/>
    <w:rsid w:val="083040C3"/>
    <w:rsid w:val="08413AF9"/>
    <w:rsid w:val="085264A2"/>
    <w:rsid w:val="08A919BD"/>
    <w:rsid w:val="08B001C4"/>
    <w:rsid w:val="08CB1648"/>
    <w:rsid w:val="08E30141"/>
    <w:rsid w:val="08EF5F46"/>
    <w:rsid w:val="090F12E9"/>
    <w:rsid w:val="0916724A"/>
    <w:rsid w:val="096A3477"/>
    <w:rsid w:val="097174E8"/>
    <w:rsid w:val="09752E46"/>
    <w:rsid w:val="097C361B"/>
    <w:rsid w:val="09AB5942"/>
    <w:rsid w:val="09BF2ED7"/>
    <w:rsid w:val="0A2456C5"/>
    <w:rsid w:val="0A2829C8"/>
    <w:rsid w:val="0A474057"/>
    <w:rsid w:val="0A5718C1"/>
    <w:rsid w:val="0A626208"/>
    <w:rsid w:val="0A8752A9"/>
    <w:rsid w:val="0AA34B1B"/>
    <w:rsid w:val="0ABC2A85"/>
    <w:rsid w:val="0ABD15CE"/>
    <w:rsid w:val="0B4A109D"/>
    <w:rsid w:val="0B5C048E"/>
    <w:rsid w:val="0B62242B"/>
    <w:rsid w:val="0B7C57A6"/>
    <w:rsid w:val="0B842ECF"/>
    <w:rsid w:val="0BA53A0C"/>
    <w:rsid w:val="0BA8462C"/>
    <w:rsid w:val="0BD10EF4"/>
    <w:rsid w:val="0BED19DF"/>
    <w:rsid w:val="0C102EA5"/>
    <w:rsid w:val="0C1D6A27"/>
    <w:rsid w:val="0C2D783E"/>
    <w:rsid w:val="0C392862"/>
    <w:rsid w:val="0C403BDE"/>
    <w:rsid w:val="0C447B66"/>
    <w:rsid w:val="0C6172A8"/>
    <w:rsid w:val="0CB21A52"/>
    <w:rsid w:val="0D194DAA"/>
    <w:rsid w:val="0D3D634E"/>
    <w:rsid w:val="0D7D3980"/>
    <w:rsid w:val="0D83708C"/>
    <w:rsid w:val="0D854328"/>
    <w:rsid w:val="0DAE4CA0"/>
    <w:rsid w:val="0DBD2363"/>
    <w:rsid w:val="0DD85A81"/>
    <w:rsid w:val="0DDB1F25"/>
    <w:rsid w:val="0E5A2C39"/>
    <w:rsid w:val="0E6122C1"/>
    <w:rsid w:val="0E6E2C92"/>
    <w:rsid w:val="0E7F3562"/>
    <w:rsid w:val="0E8E126E"/>
    <w:rsid w:val="0EBD2885"/>
    <w:rsid w:val="0EC34B2B"/>
    <w:rsid w:val="0ECB5D10"/>
    <w:rsid w:val="0ECC1E18"/>
    <w:rsid w:val="0EE35EF2"/>
    <w:rsid w:val="0F1E6594"/>
    <w:rsid w:val="0F45421B"/>
    <w:rsid w:val="0F461C36"/>
    <w:rsid w:val="0F547B71"/>
    <w:rsid w:val="0F590199"/>
    <w:rsid w:val="0F6F23E3"/>
    <w:rsid w:val="0F7936CC"/>
    <w:rsid w:val="0F94091E"/>
    <w:rsid w:val="0FAD4701"/>
    <w:rsid w:val="0FE825FD"/>
    <w:rsid w:val="101831FE"/>
    <w:rsid w:val="10780E0A"/>
    <w:rsid w:val="10966716"/>
    <w:rsid w:val="10B325F0"/>
    <w:rsid w:val="10E83584"/>
    <w:rsid w:val="10FD18AA"/>
    <w:rsid w:val="114641B3"/>
    <w:rsid w:val="11700B96"/>
    <w:rsid w:val="11936E7F"/>
    <w:rsid w:val="119D0D92"/>
    <w:rsid w:val="12653E6A"/>
    <w:rsid w:val="127658D7"/>
    <w:rsid w:val="12864FA7"/>
    <w:rsid w:val="128D4928"/>
    <w:rsid w:val="129B6D42"/>
    <w:rsid w:val="12CC7D65"/>
    <w:rsid w:val="12ED1816"/>
    <w:rsid w:val="12EF60FD"/>
    <w:rsid w:val="13267E28"/>
    <w:rsid w:val="13687FB3"/>
    <w:rsid w:val="136B46BF"/>
    <w:rsid w:val="1386538C"/>
    <w:rsid w:val="138A779A"/>
    <w:rsid w:val="138E17D4"/>
    <w:rsid w:val="13A12FBB"/>
    <w:rsid w:val="13B3185F"/>
    <w:rsid w:val="14473B09"/>
    <w:rsid w:val="1447685A"/>
    <w:rsid w:val="14840D97"/>
    <w:rsid w:val="14C1724C"/>
    <w:rsid w:val="14CF3D47"/>
    <w:rsid w:val="14D94AE9"/>
    <w:rsid w:val="14FC59FF"/>
    <w:rsid w:val="15264D55"/>
    <w:rsid w:val="15305093"/>
    <w:rsid w:val="15485A51"/>
    <w:rsid w:val="15876E40"/>
    <w:rsid w:val="158C2DC7"/>
    <w:rsid w:val="159160F7"/>
    <w:rsid w:val="15BF64B6"/>
    <w:rsid w:val="15F22818"/>
    <w:rsid w:val="15FB6C69"/>
    <w:rsid w:val="162921F6"/>
    <w:rsid w:val="163F2811"/>
    <w:rsid w:val="164B793D"/>
    <w:rsid w:val="164E7686"/>
    <w:rsid w:val="165C2B80"/>
    <w:rsid w:val="16630A92"/>
    <w:rsid w:val="167748C5"/>
    <w:rsid w:val="16850E26"/>
    <w:rsid w:val="16A22419"/>
    <w:rsid w:val="16A43F00"/>
    <w:rsid w:val="16CF74AC"/>
    <w:rsid w:val="16EB0E48"/>
    <w:rsid w:val="16F47617"/>
    <w:rsid w:val="17025136"/>
    <w:rsid w:val="17080CB3"/>
    <w:rsid w:val="173914CE"/>
    <w:rsid w:val="17435B9A"/>
    <w:rsid w:val="1770488D"/>
    <w:rsid w:val="179F403B"/>
    <w:rsid w:val="181069EA"/>
    <w:rsid w:val="181D21AB"/>
    <w:rsid w:val="18297794"/>
    <w:rsid w:val="184A50F1"/>
    <w:rsid w:val="184E0744"/>
    <w:rsid w:val="185F40FF"/>
    <w:rsid w:val="1887731B"/>
    <w:rsid w:val="1896444D"/>
    <w:rsid w:val="18B06992"/>
    <w:rsid w:val="18B35301"/>
    <w:rsid w:val="18FC51AA"/>
    <w:rsid w:val="18FE2B4B"/>
    <w:rsid w:val="19133920"/>
    <w:rsid w:val="19260F89"/>
    <w:rsid w:val="193759A9"/>
    <w:rsid w:val="196C36C2"/>
    <w:rsid w:val="19F45BB5"/>
    <w:rsid w:val="19FA6457"/>
    <w:rsid w:val="1A03285B"/>
    <w:rsid w:val="1A13563E"/>
    <w:rsid w:val="1A3366A8"/>
    <w:rsid w:val="1A767F97"/>
    <w:rsid w:val="1AA650CC"/>
    <w:rsid w:val="1AA864FA"/>
    <w:rsid w:val="1AB02009"/>
    <w:rsid w:val="1AB97B24"/>
    <w:rsid w:val="1AFD6EC1"/>
    <w:rsid w:val="1B0818E3"/>
    <w:rsid w:val="1B0B38C8"/>
    <w:rsid w:val="1B7A597B"/>
    <w:rsid w:val="1B7D2468"/>
    <w:rsid w:val="1BAB30F2"/>
    <w:rsid w:val="1BB64807"/>
    <w:rsid w:val="1BB7133F"/>
    <w:rsid w:val="1BC45815"/>
    <w:rsid w:val="1BEE345E"/>
    <w:rsid w:val="1BF209FD"/>
    <w:rsid w:val="1C045816"/>
    <w:rsid w:val="1C10630D"/>
    <w:rsid w:val="1C3860C7"/>
    <w:rsid w:val="1C5217D1"/>
    <w:rsid w:val="1C643DE8"/>
    <w:rsid w:val="1C6D192C"/>
    <w:rsid w:val="1C6D30D8"/>
    <w:rsid w:val="1CF3330B"/>
    <w:rsid w:val="1D7C5FBA"/>
    <w:rsid w:val="1D9F19C4"/>
    <w:rsid w:val="1E0B6578"/>
    <w:rsid w:val="1E0E1833"/>
    <w:rsid w:val="1E2C3397"/>
    <w:rsid w:val="1E366767"/>
    <w:rsid w:val="1E370CF6"/>
    <w:rsid w:val="1E3A6C06"/>
    <w:rsid w:val="1E424E8A"/>
    <w:rsid w:val="1E460097"/>
    <w:rsid w:val="1E724326"/>
    <w:rsid w:val="1E961AD8"/>
    <w:rsid w:val="1EBE134D"/>
    <w:rsid w:val="1EC00497"/>
    <w:rsid w:val="1EE613D0"/>
    <w:rsid w:val="1EF21855"/>
    <w:rsid w:val="1F161BBA"/>
    <w:rsid w:val="1F1D4CEA"/>
    <w:rsid w:val="1F3761D4"/>
    <w:rsid w:val="1F392F36"/>
    <w:rsid w:val="1F412ACD"/>
    <w:rsid w:val="1F571210"/>
    <w:rsid w:val="1F845286"/>
    <w:rsid w:val="1FA51C58"/>
    <w:rsid w:val="1FB4154A"/>
    <w:rsid w:val="1FC47EFD"/>
    <w:rsid w:val="1FDE2234"/>
    <w:rsid w:val="1FE65DEE"/>
    <w:rsid w:val="20005F46"/>
    <w:rsid w:val="20061562"/>
    <w:rsid w:val="201D0468"/>
    <w:rsid w:val="2039755F"/>
    <w:rsid w:val="203D7B26"/>
    <w:rsid w:val="20DB0CE4"/>
    <w:rsid w:val="210E7B0A"/>
    <w:rsid w:val="2129014B"/>
    <w:rsid w:val="21725E20"/>
    <w:rsid w:val="21A148C9"/>
    <w:rsid w:val="21F0308C"/>
    <w:rsid w:val="21F841CB"/>
    <w:rsid w:val="21F97629"/>
    <w:rsid w:val="2224426F"/>
    <w:rsid w:val="224C10D0"/>
    <w:rsid w:val="225222AD"/>
    <w:rsid w:val="225C24EF"/>
    <w:rsid w:val="22634C82"/>
    <w:rsid w:val="226433E0"/>
    <w:rsid w:val="22685BE4"/>
    <w:rsid w:val="226F3FF6"/>
    <w:rsid w:val="22786DC6"/>
    <w:rsid w:val="22951269"/>
    <w:rsid w:val="230D3F37"/>
    <w:rsid w:val="23E31938"/>
    <w:rsid w:val="23EB0129"/>
    <w:rsid w:val="23EE71CC"/>
    <w:rsid w:val="24123DE9"/>
    <w:rsid w:val="2434279C"/>
    <w:rsid w:val="24390A60"/>
    <w:rsid w:val="243E33BC"/>
    <w:rsid w:val="24537289"/>
    <w:rsid w:val="24BD4EB2"/>
    <w:rsid w:val="24D240D5"/>
    <w:rsid w:val="24E75108"/>
    <w:rsid w:val="25002940"/>
    <w:rsid w:val="253311F6"/>
    <w:rsid w:val="253B3193"/>
    <w:rsid w:val="25453733"/>
    <w:rsid w:val="25476FAC"/>
    <w:rsid w:val="25552E9E"/>
    <w:rsid w:val="25654FC9"/>
    <w:rsid w:val="25F91E29"/>
    <w:rsid w:val="25FF0936"/>
    <w:rsid w:val="264B7744"/>
    <w:rsid w:val="2661082A"/>
    <w:rsid w:val="26761DFB"/>
    <w:rsid w:val="268E50EF"/>
    <w:rsid w:val="26B478E6"/>
    <w:rsid w:val="26C66AA9"/>
    <w:rsid w:val="26F87EF2"/>
    <w:rsid w:val="270B22BE"/>
    <w:rsid w:val="272B38BD"/>
    <w:rsid w:val="27407747"/>
    <w:rsid w:val="27572D3B"/>
    <w:rsid w:val="2776644A"/>
    <w:rsid w:val="277F2F2D"/>
    <w:rsid w:val="27884C0A"/>
    <w:rsid w:val="27892A44"/>
    <w:rsid w:val="27A44289"/>
    <w:rsid w:val="27C024AF"/>
    <w:rsid w:val="281B7D88"/>
    <w:rsid w:val="28342B35"/>
    <w:rsid w:val="284E32AF"/>
    <w:rsid w:val="28C4031B"/>
    <w:rsid w:val="28C50E13"/>
    <w:rsid w:val="28C5506E"/>
    <w:rsid w:val="28DA7C9C"/>
    <w:rsid w:val="28EC71CA"/>
    <w:rsid w:val="28F11061"/>
    <w:rsid w:val="290F3210"/>
    <w:rsid w:val="291E1A43"/>
    <w:rsid w:val="2924258A"/>
    <w:rsid w:val="29652731"/>
    <w:rsid w:val="296D1EE4"/>
    <w:rsid w:val="29791839"/>
    <w:rsid w:val="299959B4"/>
    <w:rsid w:val="29B0676C"/>
    <w:rsid w:val="29BC5542"/>
    <w:rsid w:val="29F100E2"/>
    <w:rsid w:val="29FB1FE8"/>
    <w:rsid w:val="29FE68AE"/>
    <w:rsid w:val="2A070C32"/>
    <w:rsid w:val="2A2102CB"/>
    <w:rsid w:val="2A6F4131"/>
    <w:rsid w:val="2A821832"/>
    <w:rsid w:val="2AB534AC"/>
    <w:rsid w:val="2ABC3312"/>
    <w:rsid w:val="2AC50660"/>
    <w:rsid w:val="2ACE42A1"/>
    <w:rsid w:val="2B165951"/>
    <w:rsid w:val="2B1671B5"/>
    <w:rsid w:val="2B214434"/>
    <w:rsid w:val="2B6A62D2"/>
    <w:rsid w:val="2B6E1B3C"/>
    <w:rsid w:val="2BAC482A"/>
    <w:rsid w:val="2BAF1E04"/>
    <w:rsid w:val="2BB255CF"/>
    <w:rsid w:val="2BBE3714"/>
    <w:rsid w:val="2BF138F8"/>
    <w:rsid w:val="2C1F1CEA"/>
    <w:rsid w:val="2C540D91"/>
    <w:rsid w:val="2C6537E2"/>
    <w:rsid w:val="2CA12159"/>
    <w:rsid w:val="2CC52248"/>
    <w:rsid w:val="2CCE2D92"/>
    <w:rsid w:val="2CD326FB"/>
    <w:rsid w:val="2CD33D72"/>
    <w:rsid w:val="2CDD2170"/>
    <w:rsid w:val="2D056154"/>
    <w:rsid w:val="2D0F02B1"/>
    <w:rsid w:val="2D2106D1"/>
    <w:rsid w:val="2D2A52C6"/>
    <w:rsid w:val="2D4C797B"/>
    <w:rsid w:val="2D872129"/>
    <w:rsid w:val="2D915A33"/>
    <w:rsid w:val="2D954534"/>
    <w:rsid w:val="2D9800A5"/>
    <w:rsid w:val="2D9C5D82"/>
    <w:rsid w:val="2DA2152D"/>
    <w:rsid w:val="2DC3712A"/>
    <w:rsid w:val="2DE47403"/>
    <w:rsid w:val="2E425478"/>
    <w:rsid w:val="2E6332CF"/>
    <w:rsid w:val="2E9E290B"/>
    <w:rsid w:val="2EB55486"/>
    <w:rsid w:val="2EBA0298"/>
    <w:rsid w:val="2EBF09B3"/>
    <w:rsid w:val="2F17327D"/>
    <w:rsid w:val="2F486989"/>
    <w:rsid w:val="2F872756"/>
    <w:rsid w:val="2F8D622E"/>
    <w:rsid w:val="2FCB7EDC"/>
    <w:rsid w:val="2FFE3400"/>
    <w:rsid w:val="3006444D"/>
    <w:rsid w:val="30402959"/>
    <w:rsid w:val="306C3ED5"/>
    <w:rsid w:val="3098267E"/>
    <w:rsid w:val="30C22649"/>
    <w:rsid w:val="30EC42D9"/>
    <w:rsid w:val="31290371"/>
    <w:rsid w:val="312E022B"/>
    <w:rsid w:val="318A3760"/>
    <w:rsid w:val="31C75735"/>
    <w:rsid w:val="31D163B5"/>
    <w:rsid w:val="31DE4220"/>
    <w:rsid w:val="322372F1"/>
    <w:rsid w:val="322B691E"/>
    <w:rsid w:val="32537654"/>
    <w:rsid w:val="327B7589"/>
    <w:rsid w:val="329F519D"/>
    <w:rsid w:val="32D645F2"/>
    <w:rsid w:val="32D71710"/>
    <w:rsid w:val="32ED5A24"/>
    <w:rsid w:val="32F81DE5"/>
    <w:rsid w:val="332F3D9F"/>
    <w:rsid w:val="335A2E8A"/>
    <w:rsid w:val="335C2BE6"/>
    <w:rsid w:val="33B55BF7"/>
    <w:rsid w:val="33C344D2"/>
    <w:rsid w:val="33C47242"/>
    <w:rsid w:val="33D4718D"/>
    <w:rsid w:val="33E331E2"/>
    <w:rsid w:val="33E54418"/>
    <w:rsid w:val="341A5E10"/>
    <w:rsid w:val="347A4AA6"/>
    <w:rsid w:val="34BC5AFA"/>
    <w:rsid w:val="34CE5585"/>
    <w:rsid w:val="34D6600F"/>
    <w:rsid w:val="34DD43B0"/>
    <w:rsid w:val="34ED2C66"/>
    <w:rsid w:val="34FA7F15"/>
    <w:rsid w:val="355B1EF6"/>
    <w:rsid w:val="35847960"/>
    <w:rsid w:val="35A66D4C"/>
    <w:rsid w:val="35B5404A"/>
    <w:rsid w:val="35C41102"/>
    <w:rsid w:val="35CA6E6E"/>
    <w:rsid w:val="35F950CF"/>
    <w:rsid w:val="360C4E26"/>
    <w:rsid w:val="361E6D32"/>
    <w:rsid w:val="363104A2"/>
    <w:rsid w:val="3680259C"/>
    <w:rsid w:val="368A5A67"/>
    <w:rsid w:val="369D7707"/>
    <w:rsid w:val="36AB7BA3"/>
    <w:rsid w:val="36E05D1D"/>
    <w:rsid w:val="37403D5B"/>
    <w:rsid w:val="37974CF5"/>
    <w:rsid w:val="37A02925"/>
    <w:rsid w:val="37A61DFA"/>
    <w:rsid w:val="37B34CA4"/>
    <w:rsid w:val="37BD7469"/>
    <w:rsid w:val="37D82AD7"/>
    <w:rsid w:val="37E93A81"/>
    <w:rsid w:val="37F55AC5"/>
    <w:rsid w:val="37F75EE1"/>
    <w:rsid w:val="38164374"/>
    <w:rsid w:val="384274DA"/>
    <w:rsid w:val="38697E97"/>
    <w:rsid w:val="3888121E"/>
    <w:rsid w:val="389B1BDF"/>
    <w:rsid w:val="38CF4068"/>
    <w:rsid w:val="38D026CE"/>
    <w:rsid w:val="38ED6E52"/>
    <w:rsid w:val="38F02478"/>
    <w:rsid w:val="390F0F9B"/>
    <w:rsid w:val="39127577"/>
    <w:rsid w:val="39180C1C"/>
    <w:rsid w:val="393A6E69"/>
    <w:rsid w:val="393E7137"/>
    <w:rsid w:val="39675500"/>
    <w:rsid w:val="39942391"/>
    <w:rsid w:val="39BF57BB"/>
    <w:rsid w:val="3A106B3C"/>
    <w:rsid w:val="3A1172F4"/>
    <w:rsid w:val="3A255086"/>
    <w:rsid w:val="3A2E4C8D"/>
    <w:rsid w:val="3A333C40"/>
    <w:rsid w:val="3A35147E"/>
    <w:rsid w:val="3A634689"/>
    <w:rsid w:val="3A684F47"/>
    <w:rsid w:val="3A6A4A9F"/>
    <w:rsid w:val="3AA1177A"/>
    <w:rsid w:val="3B3E73BE"/>
    <w:rsid w:val="3B60677A"/>
    <w:rsid w:val="3B83147F"/>
    <w:rsid w:val="3B9274E0"/>
    <w:rsid w:val="3B9E0AE3"/>
    <w:rsid w:val="3BAF7463"/>
    <w:rsid w:val="3BB557AB"/>
    <w:rsid w:val="3BE97BD9"/>
    <w:rsid w:val="3C146DD4"/>
    <w:rsid w:val="3C2C0B19"/>
    <w:rsid w:val="3C4414D2"/>
    <w:rsid w:val="3C595B04"/>
    <w:rsid w:val="3C7356FA"/>
    <w:rsid w:val="3C872830"/>
    <w:rsid w:val="3CFB3A43"/>
    <w:rsid w:val="3CFB661F"/>
    <w:rsid w:val="3D22228B"/>
    <w:rsid w:val="3D2A78A7"/>
    <w:rsid w:val="3D5F2FD1"/>
    <w:rsid w:val="3DDB7983"/>
    <w:rsid w:val="3DDE7492"/>
    <w:rsid w:val="3DEE596E"/>
    <w:rsid w:val="3E7A49BD"/>
    <w:rsid w:val="3EC35CE1"/>
    <w:rsid w:val="3EC80F65"/>
    <w:rsid w:val="3ED35D96"/>
    <w:rsid w:val="3ED410CC"/>
    <w:rsid w:val="3EE0310F"/>
    <w:rsid w:val="3F2179D1"/>
    <w:rsid w:val="3F315E73"/>
    <w:rsid w:val="3F5C61BC"/>
    <w:rsid w:val="3F636189"/>
    <w:rsid w:val="3F6A2E3E"/>
    <w:rsid w:val="3F821E5A"/>
    <w:rsid w:val="3F826617"/>
    <w:rsid w:val="3FC359D8"/>
    <w:rsid w:val="3FD85683"/>
    <w:rsid w:val="3FFF6096"/>
    <w:rsid w:val="40044B90"/>
    <w:rsid w:val="40216DB7"/>
    <w:rsid w:val="40310071"/>
    <w:rsid w:val="40A01D3A"/>
    <w:rsid w:val="40B13901"/>
    <w:rsid w:val="40C41E8A"/>
    <w:rsid w:val="40ED1A5D"/>
    <w:rsid w:val="410B1F6C"/>
    <w:rsid w:val="416A190F"/>
    <w:rsid w:val="416E5371"/>
    <w:rsid w:val="41DD56A5"/>
    <w:rsid w:val="41E4550F"/>
    <w:rsid w:val="42277327"/>
    <w:rsid w:val="422F448D"/>
    <w:rsid w:val="4235647E"/>
    <w:rsid w:val="42366258"/>
    <w:rsid w:val="424C228D"/>
    <w:rsid w:val="424E40FE"/>
    <w:rsid w:val="4262323F"/>
    <w:rsid w:val="427B287D"/>
    <w:rsid w:val="427E4A81"/>
    <w:rsid w:val="42B55EDB"/>
    <w:rsid w:val="42C26869"/>
    <w:rsid w:val="42C302C0"/>
    <w:rsid w:val="42ED02B3"/>
    <w:rsid w:val="43121EB0"/>
    <w:rsid w:val="43152860"/>
    <w:rsid w:val="431A4176"/>
    <w:rsid w:val="43582ED3"/>
    <w:rsid w:val="4385027D"/>
    <w:rsid w:val="438761B4"/>
    <w:rsid w:val="4389474A"/>
    <w:rsid w:val="43A4707C"/>
    <w:rsid w:val="4445330B"/>
    <w:rsid w:val="44484B78"/>
    <w:rsid w:val="445140E7"/>
    <w:rsid w:val="445C4887"/>
    <w:rsid w:val="4462239C"/>
    <w:rsid w:val="446A0EEF"/>
    <w:rsid w:val="448F024A"/>
    <w:rsid w:val="44BA2C69"/>
    <w:rsid w:val="44C86593"/>
    <w:rsid w:val="44EA1549"/>
    <w:rsid w:val="45174183"/>
    <w:rsid w:val="45323082"/>
    <w:rsid w:val="45492AC0"/>
    <w:rsid w:val="45675331"/>
    <w:rsid w:val="457178D7"/>
    <w:rsid w:val="458021A9"/>
    <w:rsid w:val="45AF203C"/>
    <w:rsid w:val="45C86010"/>
    <w:rsid w:val="462F3DA9"/>
    <w:rsid w:val="465C33CC"/>
    <w:rsid w:val="466B02B8"/>
    <w:rsid w:val="46832413"/>
    <w:rsid w:val="468719D2"/>
    <w:rsid w:val="469F2601"/>
    <w:rsid w:val="46A82FBF"/>
    <w:rsid w:val="46AB40C3"/>
    <w:rsid w:val="46B015E0"/>
    <w:rsid w:val="46C439A8"/>
    <w:rsid w:val="46FC1214"/>
    <w:rsid w:val="47042558"/>
    <w:rsid w:val="470B69B8"/>
    <w:rsid w:val="470F5986"/>
    <w:rsid w:val="47172DF2"/>
    <w:rsid w:val="471B0658"/>
    <w:rsid w:val="471F2FD5"/>
    <w:rsid w:val="477822E4"/>
    <w:rsid w:val="47947156"/>
    <w:rsid w:val="47A56FB4"/>
    <w:rsid w:val="47AD7CF1"/>
    <w:rsid w:val="47D67F88"/>
    <w:rsid w:val="47FB1307"/>
    <w:rsid w:val="480D66CD"/>
    <w:rsid w:val="4813210A"/>
    <w:rsid w:val="482849BA"/>
    <w:rsid w:val="48476B71"/>
    <w:rsid w:val="48A23873"/>
    <w:rsid w:val="48BA15B1"/>
    <w:rsid w:val="48D76D49"/>
    <w:rsid w:val="48E97759"/>
    <w:rsid w:val="48F62D0F"/>
    <w:rsid w:val="48FC3F85"/>
    <w:rsid w:val="490F03A0"/>
    <w:rsid w:val="491932F4"/>
    <w:rsid w:val="49292C3C"/>
    <w:rsid w:val="49600707"/>
    <w:rsid w:val="49920446"/>
    <w:rsid w:val="49C50EEB"/>
    <w:rsid w:val="49E204D8"/>
    <w:rsid w:val="4A0C72D2"/>
    <w:rsid w:val="4A103FF4"/>
    <w:rsid w:val="4A437B73"/>
    <w:rsid w:val="4A4D25BF"/>
    <w:rsid w:val="4A666565"/>
    <w:rsid w:val="4A7B66E4"/>
    <w:rsid w:val="4A7F4FCB"/>
    <w:rsid w:val="4AA51FEB"/>
    <w:rsid w:val="4AC7390A"/>
    <w:rsid w:val="4AD5154D"/>
    <w:rsid w:val="4B902FB1"/>
    <w:rsid w:val="4BCC283D"/>
    <w:rsid w:val="4BD35E6D"/>
    <w:rsid w:val="4C130A18"/>
    <w:rsid w:val="4C5B5DF1"/>
    <w:rsid w:val="4C6D6DCE"/>
    <w:rsid w:val="4C752052"/>
    <w:rsid w:val="4C7C73F3"/>
    <w:rsid w:val="4C7D3694"/>
    <w:rsid w:val="4CA13EFD"/>
    <w:rsid w:val="4CE60B12"/>
    <w:rsid w:val="4D2D4855"/>
    <w:rsid w:val="4D393332"/>
    <w:rsid w:val="4D3B01A7"/>
    <w:rsid w:val="4D4746C5"/>
    <w:rsid w:val="4D924229"/>
    <w:rsid w:val="4DC46776"/>
    <w:rsid w:val="4DDB2344"/>
    <w:rsid w:val="4DFD50C1"/>
    <w:rsid w:val="4E496865"/>
    <w:rsid w:val="4E58321E"/>
    <w:rsid w:val="4E5C54C6"/>
    <w:rsid w:val="4E756ED1"/>
    <w:rsid w:val="4E7B594C"/>
    <w:rsid w:val="4F0E00E7"/>
    <w:rsid w:val="4F593889"/>
    <w:rsid w:val="4F6264CF"/>
    <w:rsid w:val="4F864B42"/>
    <w:rsid w:val="4F926200"/>
    <w:rsid w:val="4F9A0295"/>
    <w:rsid w:val="4FA1745C"/>
    <w:rsid w:val="4FE20FB2"/>
    <w:rsid w:val="5038679F"/>
    <w:rsid w:val="505676C6"/>
    <w:rsid w:val="50670571"/>
    <w:rsid w:val="50973662"/>
    <w:rsid w:val="50A0134A"/>
    <w:rsid w:val="50B95E75"/>
    <w:rsid w:val="50CA6916"/>
    <w:rsid w:val="50D81C8D"/>
    <w:rsid w:val="510E21E4"/>
    <w:rsid w:val="51402CF4"/>
    <w:rsid w:val="517B5A9D"/>
    <w:rsid w:val="51801D58"/>
    <w:rsid w:val="518D3816"/>
    <w:rsid w:val="518E7B41"/>
    <w:rsid w:val="51AB7C62"/>
    <w:rsid w:val="51CD69E1"/>
    <w:rsid w:val="51E77F87"/>
    <w:rsid w:val="51EC52F9"/>
    <w:rsid w:val="51F87B88"/>
    <w:rsid w:val="520B44FF"/>
    <w:rsid w:val="523E1BC7"/>
    <w:rsid w:val="52650B75"/>
    <w:rsid w:val="52B44BC0"/>
    <w:rsid w:val="52B61B7F"/>
    <w:rsid w:val="52CD201A"/>
    <w:rsid w:val="530F02BC"/>
    <w:rsid w:val="53130F14"/>
    <w:rsid w:val="531C6A38"/>
    <w:rsid w:val="535F54FB"/>
    <w:rsid w:val="536D7252"/>
    <w:rsid w:val="5373169B"/>
    <w:rsid w:val="53BD574A"/>
    <w:rsid w:val="53CF4A5C"/>
    <w:rsid w:val="53DB6E8D"/>
    <w:rsid w:val="53E11D02"/>
    <w:rsid w:val="53E544DB"/>
    <w:rsid w:val="53FE0EEC"/>
    <w:rsid w:val="5402495B"/>
    <w:rsid w:val="54296649"/>
    <w:rsid w:val="548C1FAB"/>
    <w:rsid w:val="54E63064"/>
    <w:rsid w:val="54F41028"/>
    <w:rsid w:val="54FD2FF1"/>
    <w:rsid w:val="550A5B4D"/>
    <w:rsid w:val="551654DF"/>
    <w:rsid w:val="554E3DBB"/>
    <w:rsid w:val="556E02DF"/>
    <w:rsid w:val="558B0806"/>
    <w:rsid w:val="55944949"/>
    <w:rsid w:val="559C154A"/>
    <w:rsid w:val="55B24181"/>
    <w:rsid w:val="55B96238"/>
    <w:rsid w:val="55BB4C08"/>
    <w:rsid w:val="562F0EAB"/>
    <w:rsid w:val="56403495"/>
    <w:rsid w:val="565467A5"/>
    <w:rsid w:val="568357E0"/>
    <w:rsid w:val="56966D6B"/>
    <w:rsid w:val="56981066"/>
    <w:rsid w:val="56C97DBD"/>
    <w:rsid w:val="56EA73AE"/>
    <w:rsid w:val="56F0657B"/>
    <w:rsid w:val="56F20621"/>
    <w:rsid w:val="57364C46"/>
    <w:rsid w:val="574C4B98"/>
    <w:rsid w:val="575A47E7"/>
    <w:rsid w:val="575D1A76"/>
    <w:rsid w:val="57911484"/>
    <w:rsid w:val="57B01079"/>
    <w:rsid w:val="57CF104F"/>
    <w:rsid w:val="57CF47C9"/>
    <w:rsid w:val="57FF0946"/>
    <w:rsid w:val="58127ED2"/>
    <w:rsid w:val="583D29A8"/>
    <w:rsid w:val="58406187"/>
    <w:rsid w:val="58471072"/>
    <w:rsid w:val="58537A63"/>
    <w:rsid w:val="588C2AEC"/>
    <w:rsid w:val="58F90DE0"/>
    <w:rsid w:val="591337AD"/>
    <w:rsid w:val="59493F76"/>
    <w:rsid w:val="595650B7"/>
    <w:rsid w:val="59597AB8"/>
    <w:rsid w:val="59622FBF"/>
    <w:rsid w:val="59651728"/>
    <w:rsid w:val="597F1341"/>
    <w:rsid w:val="599057E7"/>
    <w:rsid w:val="59920FCC"/>
    <w:rsid w:val="59A27420"/>
    <w:rsid w:val="59D66171"/>
    <w:rsid w:val="59D80CBB"/>
    <w:rsid w:val="5A3B2A7A"/>
    <w:rsid w:val="5A8156DE"/>
    <w:rsid w:val="5A825713"/>
    <w:rsid w:val="5A9C48FD"/>
    <w:rsid w:val="5AD10DAF"/>
    <w:rsid w:val="5AE56545"/>
    <w:rsid w:val="5B163201"/>
    <w:rsid w:val="5B244E04"/>
    <w:rsid w:val="5B636D7E"/>
    <w:rsid w:val="5B7A6DEA"/>
    <w:rsid w:val="5BA74DE8"/>
    <w:rsid w:val="5BBB765D"/>
    <w:rsid w:val="5BF54320"/>
    <w:rsid w:val="5C0D25D1"/>
    <w:rsid w:val="5C1633F6"/>
    <w:rsid w:val="5C674AA2"/>
    <w:rsid w:val="5C7B7F04"/>
    <w:rsid w:val="5C7C6011"/>
    <w:rsid w:val="5C9E7970"/>
    <w:rsid w:val="5CA02A22"/>
    <w:rsid w:val="5CC37F37"/>
    <w:rsid w:val="5D044DFB"/>
    <w:rsid w:val="5D09307A"/>
    <w:rsid w:val="5D200F45"/>
    <w:rsid w:val="5D2E4206"/>
    <w:rsid w:val="5D697BC9"/>
    <w:rsid w:val="5D8D23A3"/>
    <w:rsid w:val="5DA21809"/>
    <w:rsid w:val="5DC67B16"/>
    <w:rsid w:val="5DD72C2F"/>
    <w:rsid w:val="5DDA30BD"/>
    <w:rsid w:val="5DEE1444"/>
    <w:rsid w:val="5DF51920"/>
    <w:rsid w:val="5E2E0B2C"/>
    <w:rsid w:val="5E37388C"/>
    <w:rsid w:val="5E7B72A3"/>
    <w:rsid w:val="5EAE0F71"/>
    <w:rsid w:val="5ED35BB4"/>
    <w:rsid w:val="5EF21BDA"/>
    <w:rsid w:val="5EF554CE"/>
    <w:rsid w:val="5F2D0AE0"/>
    <w:rsid w:val="5F4B1F44"/>
    <w:rsid w:val="5F667F53"/>
    <w:rsid w:val="5FB00D50"/>
    <w:rsid w:val="5FBC498F"/>
    <w:rsid w:val="5FC11125"/>
    <w:rsid w:val="5FC34699"/>
    <w:rsid w:val="5FE8409B"/>
    <w:rsid w:val="602676E1"/>
    <w:rsid w:val="602E4F74"/>
    <w:rsid w:val="60366D51"/>
    <w:rsid w:val="60392DA3"/>
    <w:rsid w:val="60675D31"/>
    <w:rsid w:val="60A74497"/>
    <w:rsid w:val="60E95DC9"/>
    <w:rsid w:val="61020C7F"/>
    <w:rsid w:val="612013DB"/>
    <w:rsid w:val="61240F66"/>
    <w:rsid w:val="61420FAC"/>
    <w:rsid w:val="61543299"/>
    <w:rsid w:val="615A5A4D"/>
    <w:rsid w:val="615C7DD6"/>
    <w:rsid w:val="61D70DF9"/>
    <w:rsid w:val="620441CE"/>
    <w:rsid w:val="62276BC8"/>
    <w:rsid w:val="622C555D"/>
    <w:rsid w:val="62430D46"/>
    <w:rsid w:val="626478C2"/>
    <w:rsid w:val="62D16A24"/>
    <w:rsid w:val="62FF03D9"/>
    <w:rsid w:val="633124B1"/>
    <w:rsid w:val="63370EF9"/>
    <w:rsid w:val="633C769A"/>
    <w:rsid w:val="635F224B"/>
    <w:rsid w:val="636362A0"/>
    <w:rsid w:val="638B4907"/>
    <w:rsid w:val="63966FB4"/>
    <w:rsid w:val="63973036"/>
    <w:rsid w:val="63A105E6"/>
    <w:rsid w:val="63A3314C"/>
    <w:rsid w:val="63AC7EFE"/>
    <w:rsid w:val="63B51620"/>
    <w:rsid w:val="63E61F5F"/>
    <w:rsid w:val="63F00811"/>
    <w:rsid w:val="63F657AA"/>
    <w:rsid w:val="63F74842"/>
    <w:rsid w:val="64352C0F"/>
    <w:rsid w:val="645C765F"/>
    <w:rsid w:val="64800394"/>
    <w:rsid w:val="648814BB"/>
    <w:rsid w:val="64A66EAD"/>
    <w:rsid w:val="64AD16DB"/>
    <w:rsid w:val="64C549E2"/>
    <w:rsid w:val="652A732F"/>
    <w:rsid w:val="65340E18"/>
    <w:rsid w:val="65566D06"/>
    <w:rsid w:val="657753A5"/>
    <w:rsid w:val="65DD6DBC"/>
    <w:rsid w:val="6609788A"/>
    <w:rsid w:val="660A5F17"/>
    <w:rsid w:val="66312663"/>
    <w:rsid w:val="667245DA"/>
    <w:rsid w:val="667638D8"/>
    <w:rsid w:val="668D3AA7"/>
    <w:rsid w:val="668D6304"/>
    <w:rsid w:val="669F0689"/>
    <w:rsid w:val="66A87A0F"/>
    <w:rsid w:val="67155C7F"/>
    <w:rsid w:val="671706D3"/>
    <w:rsid w:val="67390796"/>
    <w:rsid w:val="67415A8C"/>
    <w:rsid w:val="67801EB9"/>
    <w:rsid w:val="67C76FFD"/>
    <w:rsid w:val="67EE2A60"/>
    <w:rsid w:val="682B186E"/>
    <w:rsid w:val="683E5252"/>
    <w:rsid w:val="685118DE"/>
    <w:rsid w:val="685A12CE"/>
    <w:rsid w:val="686A087D"/>
    <w:rsid w:val="688233FF"/>
    <w:rsid w:val="689C1785"/>
    <w:rsid w:val="68D00426"/>
    <w:rsid w:val="68D56A00"/>
    <w:rsid w:val="68DA0E5D"/>
    <w:rsid w:val="68E745AA"/>
    <w:rsid w:val="69280C5E"/>
    <w:rsid w:val="694D54E1"/>
    <w:rsid w:val="699E6CE3"/>
    <w:rsid w:val="69AC3D56"/>
    <w:rsid w:val="69B50896"/>
    <w:rsid w:val="69C3305D"/>
    <w:rsid w:val="6A012AF6"/>
    <w:rsid w:val="6A240036"/>
    <w:rsid w:val="6A372756"/>
    <w:rsid w:val="6A4B5F33"/>
    <w:rsid w:val="6A5C5A90"/>
    <w:rsid w:val="6A880A74"/>
    <w:rsid w:val="6AD67F71"/>
    <w:rsid w:val="6B311795"/>
    <w:rsid w:val="6B7307CB"/>
    <w:rsid w:val="6BA47678"/>
    <w:rsid w:val="6BB141CE"/>
    <w:rsid w:val="6BB275F1"/>
    <w:rsid w:val="6C102618"/>
    <w:rsid w:val="6C1E35A8"/>
    <w:rsid w:val="6C3664AD"/>
    <w:rsid w:val="6C5B4848"/>
    <w:rsid w:val="6C7B0D4F"/>
    <w:rsid w:val="6C982934"/>
    <w:rsid w:val="6CBD0545"/>
    <w:rsid w:val="6CBE34D7"/>
    <w:rsid w:val="6CC20A7A"/>
    <w:rsid w:val="6CC37BAF"/>
    <w:rsid w:val="6CC73DF6"/>
    <w:rsid w:val="6CE13277"/>
    <w:rsid w:val="6CEB6E10"/>
    <w:rsid w:val="6CF92FDB"/>
    <w:rsid w:val="6D3173EA"/>
    <w:rsid w:val="6D385E21"/>
    <w:rsid w:val="6D737889"/>
    <w:rsid w:val="6D832E39"/>
    <w:rsid w:val="6DB62254"/>
    <w:rsid w:val="6DBB1C19"/>
    <w:rsid w:val="6DEF42D1"/>
    <w:rsid w:val="6DEF4626"/>
    <w:rsid w:val="6E796674"/>
    <w:rsid w:val="6E95214E"/>
    <w:rsid w:val="6EA84CF4"/>
    <w:rsid w:val="6EC83D57"/>
    <w:rsid w:val="6EE61472"/>
    <w:rsid w:val="6F012233"/>
    <w:rsid w:val="6F153111"/>
    <w:rsid w:val="6F297C1C"/>
    <w:rsid w:val="6F3D390E"/>
    <w:rsid w:val="6F5558BD"/>
    <w:rsid w:val="6F8F55BC"/>
    <w:rsid w:val="6F927913"/>
    <w:rsid w:val="6FA13625"/>
    <w:rsid w:val="6FA77FDB"/>
    <w:rsid w:val="6FBB5193"/>
    <w:rsid w:val="6FE77690"/>
    <w:rsid w:val="6FEC1D57"/>
    <w:rsid w:val="6FF6159B"/>
    <w:rsid w:val="6FF8081F"/>
    <w:rsid w:val="70032313"/>
    <w:rsid w:val="70073729"/>
    <w:rsid w:val="700F1F41"/>
    <w:rsid w:val="70195AED"/>
    <w:rsid w:val="701B50A1"/>
    <w:rsid w:val="704C1556"/>
    <w:rsid w:val="706316E7"/>
    <w:rsid w:val="706A5186"/>
    <w:rsid w:val="707E0FD5"/>
    <w:rsid w:val="70867402"/>
    <w:rsid w:val="7092619C"/>
    <w:rsid w:val="70934EC6"/>
    <w:rsid w:val="70CB2022"/>
    <w:rsid w:val="710F3C57"/>
    <w:rsid w:val="71241D10"/>
    <w:rsid w:val="71910D2E"/>
    <w:rsid w:val="71DA38CD"/>
    <w:rsid w:val="71E25B41"/>
    <w:rsid w:val="71FA0188"/>
    <w:rsid w:val="71FB09CF"/>
    <w:rsid w:val="71FD64F5"/>
    <w:rsid w:val="721724BF"/>
    <w:rsid w:val="72651E44"/>
    <w:rsid w:val="72983176"/>
    <w:rsid w:val="72BE2D27"/>
    <w:rsid w:val="72F739A7"/>
    <w:rsid w:val="73484DB3"/>
    <w:rsid w:val="73AF1A71"/>
    <w:rsid w:val="73CF431F"/>
    <w:rsid w:val="73F52103"/>
    <w:rsid w:val="74022067"/>
    <w:rsid w:val="740A7DB8"/>
    <w:rsid w:val="74223CDE"/>
    <w:rsid w:val="74343D24"/>
    <w:rsid w:val="74640EEB"/>
    <w:rsid w:val="74720CB5"/>
    <w:rsid w:val="74A45AF3"/>
    <w:rsid w:val="74A509B1"/>
    <w:rsid w:val="74CA3328"/>
    <w:rsid w:val="74DF4EF4"/>
    <w:rsid w:val="74F6012E"/>
    <w:rsid w:val="74F62CED"/>
    <w:rsid w:val="7518727D"/>
    <w:rsid w:val="752B0F78"/>
    <w:rsid w:val="754422A9"/>
    <w:rsid w:val="755D6FE4"/>
    <w:rsid w:val="75BA4015"/>
    <w:rsid w:val="75BD302F"/>
    <w:rsid w:val="75C35FAE"/>
    <w:rsid w:val="760A1B95"/>
    <w:rsid w:val="7631116A"/>
    <w:rsid w:val="76345B3A"/>
    <w:rsid w:val="76454D95"/>
    <w:rsid w:val="7672309B"/>
    <w:rsid w:val="7686064F"/>
    <w:rsid w:val="76994922"/>
    <w:rsid w:val="76AA6BE2"/>
    <w:rsid w:val="76B858B5"/>
    <w:rsid w:val="76DA4455"/>
    <w:rsid w:val="773D3F97"/>
    <w:rsid w:val="774950AA"/>
    <w:rsid w:val="774C7CB8"/>
    <w:rsid w:val="777B18A4"/>
    <w:rsid w:val="77951A25"/>
    <w:rsid w:val="77C2347E"/>
    <w:rsid w:val="77CB650B"/>
    <w:rsid w:val="77CC2A1C"/>
    <w:rsid w:val="77E77E1D"/>
    <w:rsid w:val="77E833D4"/>
    <w:rsid w:val="78E72828"/>
    <w:rsid w:val="791B263F"/>
    <w:rsid w:val="79257E06"/>
    <w:rsid w:val="79265AB5"/>
    <w:rsid w:val="793A7966"/>
    <w:rsid w:val="7940195F"/>
    <w:rsid w:val="79781620"/>
    <w:rsid w:val="79AB6836"/>
    <w:rsid w:val="79BB215E"/>
    <w:rsid w:val="79CC3EAD"/>
    <w:rsid w:val="79D87646"/>
    <w:rsid w:val="7A1067EC"/>
    <w:rsid w:val="7A3007C8"/>
    <w:rsid w:val="7A3231AD"/>
    <w:rsid w:val="7A426C44"/>
    <w:rsid w:val="7A5A72EE"/>
    <w:rsid w:val="7A5F0D19"/>
    <w:rsid w:val="7A726ECA"/>
    <w:rsid w:val="7A761A22"/>
    <w:rsid w:val="7A971CA5"/>
    <w:rsid w:val="7A9D0240"/>
    <w:rsid w:val="7ACB26BD"/>
    <w:rsid w:val="7ADC02AF"/>
    <w:rsid w:val="7B0C0AA8"/>
    <w:rsid w:val="7B277B17"/>
    <w:rsid w:val="7B2F5349"/>
    <w:rsid w:val="7B5666FB"/>
    <w:rsid w:val="7B5C232E"/>
    <w:rsid w:val="7B637C47"/>
    <w:rsid w:val="7B7A743D"/>
    <w:rsid w:val="7B815E08"/>
    <w:rsid w:val="7B94791B"/>
    <w:rsid w:val="7B9652C4"/>
    <w:rsid w:val="7C0E2B1C"/>
    <w:rsid w:val="7C582C3F"/>
    <w:rsid w:val="7C5B4488"/>
    <w:rsid w:val="7C753C13"/>
    <w:rsid w:val="7C9B286D"/>
    <w:rsid w:val="7C9B7FF0"/>
    <w:rsid w:val="7CF77EA3"/>
    <w:rsid w:val="7D185A54"/>
    <w:rsid w:val="7D3820D1"/>
    <w:rsid w:val="7D3F751B"/>
    <w:rsid w:val="7D4D5E56"/>
    <w:rsid w:val="7D6B7727"/>
    <w:rsid w:val="7D837711"/>
    <w:rsid w:val="7DED4522"/>
    <w:rsid w:val="7DEE5D3D"/>
    <w:rsid w:val="7E1D2CB4"/>
    <w:rsid w:val="7E221287"/>
    <w:rsid w:val="7E794FBB"/>
    <w:rsid w:val="7E806AA4"/>
    <w:rsid w:val="7EA849E7"/>
    <w:rsid w:val="7F0417A2"/>
    <w:rsid w:val="7F360FA8"/>
    <w:rsid w:val="7FA76140"/>
    <w:rsid w:val="7FC859A7"/>
    <w:rsid w:val="7FF0248F"/>
    <w:rsid w:val="7FF970F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1" w:semiHidden="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adjustRightInd w:val="0"/>
      <w:spacing w:line="360" w:lineRule="atLeast"/>
      <w:textAlignment w:val="baseline"/>
      <w:outlineLvl w:val="1"/>
    </w:pPr>
    <w:rPr>
      <w:kern w:val="0"/>
      <w:sz w:val="24"/>
      <w:szCs w:val="20"/>
    </w:rPr>
  </w:style>
  <w:style w:type="paragraph" w:styleId="4">
    <w:name w:val="heading 3"/>
    <w:basedOn w:val="1"/>
    <w:next w:val="1"/>
    <w:qFormat/>
    <w:uiPriority w:val="0"/>
    <w:pPr>
      <w:keepNext/>
      <w:keepLines/>
      <w:spacing w:before="260" w:after="260" w:line="416" w:lineRule="atLeast"/>
      <w:jc w:val="both"/>
      <w:textAlignment w:val="baseline"/>
      <w:outlineLvl w:val="2"/>
    </w:pPr>
    <w:rPr>
      <w:b/>
      <w:bCs/>
      <w:color w:val="000000"/>
      <w:sz w:val="32"/>
      <w:szCs w:val="32"/>
      <w:u w:val="none" w:color="000000"/>
      <w:lang w:val="en-US" w:eastAsia="zh-CN" w:bidi="ar-SA"/>
    </w:rPr>
  </w:style>
  <w:style w:type="paragraph" w:styleId="5">
    <w:name w:val="heading 4"/>
    <w:basedOn w:val="1"/>
    <w:next w:val="1"/>
    <w:link w:val="56"/>
    <w:qFormat/>
    <w:uiPriority w:val="0"/>
    <w:pPr>
      <w:keepNext/>
      <w:keepLines/>
      <w:widowControl/>
      <w:spacing w:before="280" w:after="290" w:line="376" w:lineRule="atLeast"/>
      <w:textAlignment w:val="baseline"/>
      <w:outlineLvl w:val="3"/>
    </w:pPr>
    <w:rPr>
      <w:rFonts w:ascii="Arial" w:hAnsi="Arial" w:eastAsia="黑体"/>
      <w:b/>
      <w:bCs/>
      <w:color w:val="000000"/>
      <w:kern w:val="0"/>
      <w:sz w:val="28"/>
      <w:szCs w:val="28"/>
      <w:u w:val="none" w:color="000000"/>
    </w:rPr>
  </w:style>
  <w:style w:type="paragraph" w:styleId="6">
    <w:name w:val="heading 5"/>
    <w:basedOn w:val="1"/>
    <w:next w:val="1"/>
    <w:link w:val="57"/>
    <w:qFormat/>
    <w:uiPriority w:val="0"/>
    <w:pPr>
      <w:keepNext/>
      <w:keepLines/>
      <w:spacing w:before="280" w:after="290" w:line="376" w:lineRule="auto"/>
      <w:outlineLvl w:val="4"/>
    </w:pPr>
    <w:rPr>
      <w:b/>
      <w:bCs/>
      <w:sz w:val="28"/>
      <w:szCs w:val="28"/>
    </w:rPr>
  </w:style>
  <w:style w:type="paragraph" w:styleId="7">
    <w:name w:val="heading 6"/>
    <w:basedOn w:val="1"/>
    <w:next w:val="1"/>
    <w:link w:val="58"/>
    <w:qFormat/>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59"/>
    <w:qFormat/>
    <w:uiPriority w:val="0"/>
    <w:pPr>
      <w:keepNext/>
      <w:keepLines/>
      <w:spacing w:before="240" w:after="64" w:line="320" w:lineRule="auto"/>
      <w:outlineLvl w:val="6"/>
    </w:pPr>
    <w:rPr>
      <w:b/>
      <w:bCs/>
      <w:sz w:val="24"/>
    </w:rPr>
  </w:style>
  <w:style w:type="paragraph" w:styleId="9">
    <w:name w:val="heading 8"/>
    <w:basedOn w:val="1"/>
    <w:next w:val="1"/>
    <w:qFormat/>
    <w:uiPriority w:val="1"/>
    <w:pPr>
      <w:ind w:left="991"/>
      <w:outlineLvl w:val="7"/>
    </w:pPr>
    <w:rPr>
      <w:rFonts w:ascii="宋体" w:hAnsi="宋体" w:eastAsia="宋体" w:cs="宋体"/>
      <w:b/>
      <w:bCs/>
      <w:sz w:val="21"/>
      <w:szCs w:val="21"/>
      <w:lang w:val="zh-CN" w:eastAsia="zh-CN" w:bidi="zh-CN"/>
    </w:rPr>
  </w:style>
  <w:style w:type="character" w:default="1" w:styleId="38">
    <w:name w:val="Default Paragraph Font"/>
    <w:semiHidden/>
    <w:qFormat/>
    <w:uiPriority w:val="0"/>
  </w:style>
  <w:style w:type="table" w:default="1" w:styleId="36">
    <w:name w:val="Normal Table"/>
    <w:semiHidden/>
    <w:qFormat/>
    <w:uiPriority w:val="0"/>
    <w:tblPr>
      <w:tblCellMar>
        <w:top w:w="0" w:type="dxa"/>
        <w:left w:w="108" w:type="dxa"/>
        <w:bottom w:w="0" w:type="dxa"/>
        <w:right w:w="108" w:type="dxa"/>
      </w:tblCellMar>
    </w:tblPr>
  </w:style>
  <w:style w:type="paragraph" w:styleId="10">
    <w:name w:val="toc 7"/>
    <w:basedOn w:val="1"/>
    <w:next w:val="1"/>
    <w:qFormat/>
    <w:uiPriority w:val="39"/>
    <w:pPr>
      <w:ind w:left="1260"/>
      <w:jc w:val="left"/>
    </w:pPr>
    <w:rPr>
      <w:sz w:val="18"/>
      <w:szCs w:val="18"/>
    </w:rPr>
  </w:style>
  <w:style w:type="paragraph" w:styleId="11">
    <w:name w:val="List Number 2"/>
    <w:basedOn w:val="1"/>
    <w:qFormat/>
    <w:uiPriority w:val="0"/>
    <w:pPr>
      <w:numPr>
        <w:ilvl w:val="0"/>
        <w:numId w:val="2"/>
      </w:numPr>
      <w:tabs>
        <w:tab w:val="left" w:pos="567"/>
      </w:tabs>
      <w:adjustRightInd w:val="0"/>
      <w:spacing w:line="300" w:lineRule="auto"/>
      <w:textAlignment w:val="baseline"/>
    </w:pPr>
    <w:rPr>
      <w:kern w:val="0"/>
      <w:sz w:val="28"/>
      <w:szCs w:val="20"/>
    </w:rPr>
  </w:style>
  <w:style w:type="paragraph" w:styleId="12">
    <w:name w:val="Normal Indent"/>
    <w:basedOn w:val="1"/>
    <w:next w:val="13"/>
    <w:qFormat/>
    <w:uiPriority w:val="0"/>
    <w:pPr>
      <w:adjustRightInd w:val="0"/>
      <w:spacing w:line="360" w:lineRule="atLeast"/>
      <w:ind w:firstLine="482"/>
      <w:textAlignment w:val="baseline"/>
    </w:pPr>
    <w:rPr>
      <w:kern w:val="0"/>
      <w:sz w:val="24"/>
      <w:szCs w:val="20"/>
    </w:rPr>
  </w:style>
  <w:style w:type="paragraph" w:styleId="13">
    <w:name w:val="Body Text First Indent 2"/>
    <w:basedOn w:val="14"/>
    <w:next w:val="1"/>
    <w:link w:val="54"/>
    <w:qFormat/>
    <w:uiPriority w:val="0"/>
    <w:pPr>
      <w:ind w:left="420" w:firstLine="420" w:firstLineChars="200"/>
    </w:pPr>
  </w:style>
  <w:style w:type="paragraph" w:styleId="14">
    <w:name w:val="Body Text Indent"/>
    <w:basedOn w:val="1"/>
    <w:next w:val="15"/>
    <w:link w:val="53"/>
    <w:qFormat/>
    <w:uiPriority w:val="0"/>
    <w:pPr>
      <w:spacing w:after="120"/>
      <w:ind w:left="200" w:leftChars="200"/>
    </w:pPr>
  </w:style>
  <w:style w:type="paragraph" w:styleId="15">
    <w:name w:val="envelope return"/>
    <w:basedOn w:val="1"/>
    <w:next w:val="10"/>
    <w:qFormat/>
    <w:uiPriority w:val="0"/>
    <w:pPr>
      <w:snapToGrid w:val="0"/>
    </w:pPr>
    <w:rPr>
      <w:rFonts w:ascii="Arial" w:hAnsi="Arial"/>
    </w:rPr>
  </w:style>
  <w:style w:type="paragraph" w:styleId="16">
    <w:name w:val="Document Map"/>
    <w:basedOn w:val="1"/>
    <w:next w:val="1"/>
    <w:semiHidden/>
    <w:qFormat/>
    <w:uiPriority w:val="0"/>
    <w:pPr>
      <w:widowControl/>
      <w:shd w:val="clear" w:color="000000" w:fill="000080"/>
      <w:spacing w:line="357" w:lineRule="atLeast"/>
    </w:pPr>
    <w:rPr>
      <w:color w:val="000000"/>
    </w:rPr>
  </w:style>
  <w:style w:type="paragraph" w:styleId="17">
    <w:name w:val="annotation text"/>
    <w:basedOn w:val="1"/>
    <w:link w:val="60"/>
    <w:qFormat/>
    <w:uiPriority w:val="0"/>
    <w:pPr>
      <w:jc w:val="left"/>
    </w:pPr>
  </w:style>
  <w:style w:type="paragraph" w:styleId="18">
    <w:name w:val="Body Text"/>
    <w:basedOn w:val="1"/>
    <w:qFormat/>
    <w:uiPriority w:val="0"/>
    <w:pPr>
      <w:spacing w:after="120"/>
    </w:pPr>
  </w:style>
  <w:style w:type="paragraph" w:styleId="19">
    <w:name w:val="toc 3"/>
    <w:basedOn w:val="1"/>
    <w:next w:val="1"/>
    <w:qFormat/>
    <w:uiPriority w:val="39"/>
    <w:pPr>
      <w:tabs>
        <w:tab w:val="right" w:leader="dot" w:pos="9288"/>
      </w:tabs>
      <w:ind w:left="400" w:leftChars="400"/>
    </w:pPr>
    <w:rPr>
      <w:rFonts w:ascii="宋体"/>
    </w:rPr>
  </w:style>
  <w:style w:type="paragraph" w:styleId="20">
    <w:name w:val="Plain Text"/>
    <w:basedOn w:val="1"/>
    <w:link w:val="61"/>
    <w:qFormat/>
    <w:uiPriority w:val="99"/>
    <w:rPr>
      <w:rFonts w:ascii="宋体"/>
      <w:color w:val="000000"/>
      <w:szCs w:val="20"/>
      <w:u w:val="none" w:color="000000"/>
    </w:rPr>
  </w:style>
  <w:style w:type="paragraph" w:styleId="21">
    <w:name w:val="Date"/>
    <w:basedOn w:val="1"/>
    <w:next w:val="1"/>
    <w:link w:val="62"/>
    <w:qFormat/>
    <w:uiPriority w:val="0"/>
    <w:rPr>
      <w:rFonts w:ascii="Arial" w:hAnsi="Arial" w:eastAsia="仿宋_GB2312"/>
      <w:color w:val="000000"/>
      <w:sz w:val="32"/>
      <w:szCs w:val="20"/>
      <w:u w:val="none" w:color="000000"/>
    </w:rPr>
  </w:style>
  <w:style w:type="paragraph" w:styleId="22">
    <w:name w:val="Body Text Indent 2"/>
    <w:basedOn w:val="1"/>
    <w:link w:val="63"/>
    <w:qFormat/>
    <w:uiPriority w:val="0"/>
    <w:pPr>
      <w:spacing w:after="120" w:line="480" w:lineRule="auto"/>
      <w:ind w:left="420" w:leftChars="200"/>
    </w:pPr>
  </w:style>
  <w:style w:type="paragraph" w:styleId="23">
    <w:name w:val="Balloon Text"/>
    <w:basedOn w:val="1"/>
    <w:link w:val="64"/>
    <w:qFormat/>
    <w:uiPriority w:val="0"/>
    <w:rPr>
      <w:sz w:val="18"/>
      <w:szCs w:val="18"/>
    </w:rPr>
  </w:style>
  <w:style w:type="paragraph" w:styleId="24">
    <w:name w:val="footer"/>
    <w:basedOn w:val="1"/>
    <w:link w:val="65"/>
    <w:qFormat/>
    <w:uiPriority w:val="0"/>
    <w:pPr>
      <w:tabs>
        <w:tab w:val="center" w:pos="4153"/>
        <w:tab w:val="right" w:pos="8306"/>
      </w:tabs>
      <w:snapToGrid w:val="0"/>
      <w:jc w:val="left"/>
    </w:pPr>
    <w:rPr>
      <w:sz w:val="18"/>
      <w:szCs w:val="18"/>
    </w:rPr>
  </w:style>
  <w:style w:type="paragraph" w:styleId="25">
    <w:name w:val="header"/>
    <w:basedOn w:val="1"/>
    <w:link w:val="66"/>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Subtitle"/>
    <w:basedOn w:val="1"/>
    <w:next w:val="1"/>
    <w:qFormat/>
    <w:uiPriority w:val="0"/>
    <w:pPr>
      <w:numPr>
        <w:ilvl w:val="0"/>
        <w:numId w:val="3"/>
      </w:numPr>
      <w:spacing w:line="360" w:lineRule="auto"/>
      <w:jc w:val="left"/>
      <w:outlineLvl w:val="1"/>
    </w:pPr>
    <w:rPr>
      <w:rFonts w:ascii="Calibri Light" w:hAnsi="Calibri Light" w:cs="Times New Roman"/>
      <w:bCs/>
      <w:kern w:val="28"/>
      <w:szCs w:val="32"/>
    </w:rPr>
  </w:style>
  <w:style w:type="paragraph" w:styleId="28">
    <w:name w:val="List"/>
    <w:basedOn w:val="1"/>
    <w:qFormat/>
    <w:uiPriority w:val="0"/>
    <w:pPr>
      <w:widowControl w:val="0"/>
      <w:spacing w:line="240" w:lineRule="auto"/>
      <w:ind w:left="420" w:hanging="420"/>
      <w:textAlignment w:val="auto"/>
    </w:pPr>
    <w:rPr>
      <w:rFonts w:ascii="Arial" w:hAnsi="Arial" w:eastAsia="楷体_GB2312"/>
      <w:color w:val="auto"/>
      <w:kern w:val="2"/>
      <w:sz w:val="28"/>
      <w:u w:val="none" w:color="auto"/>
    </w:rPr>
  </w:style>
  <w:style w:type="paragraph" w:styleId="29">
    <w:name w:val="toc 2"/>
    <w:basedOn w:val="1"/>
    <w:next w:val="1"/>
    <w:qFormat/>
    <w:uiPriority w:val="39"/>
    <w:pPr>
      <w:ind w:left="200" w:leftChars="200"/>
    </w:pPr>
  </w:style>
  <w:style w:type="paragraph" w:styleId="30">
    <w:name w:val="Body Text 2"/>
    <w:basedOn w:val="1"/>
    <w:qFormat/>
    <w:uiPriority w:val="0"/>
    <w:pPr>
      <w:spacing w:after="120" w:line="480" w:lineRule="auto"/>
    </w:pPr>
  </w:style>
  <w:style w:type="paragraph" w:styleId="3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2">
    <w:name w:val="index 1"/>
    <w:basedOn w:val="1"/>
    <w:next w:val="1"/>
    <w:qFormat/>
    <w:uiPriority w:val="0"/>
    <w:pPr>
      <w:overflowPunct w:val="0"/>
      <w:autoSpaceDE w:val="0"/>
      <w:autoSpaceDN w:val="0"/>
    </w:pPr>
    <w:rPr>
      <w:bCs/>
    </w:rPr>
  </w:style>
  <w:style w:type="paragraph" w:styleId="33">
    <w:name w:val="Title"/>
    <w:basedOn w:val="1"/>
    <w:next w:val="1"/>
    <w:qFormat/>
    <w:uiPriority w:val="0"/>
    <w:pPr>
      <w:numPr>
        <w:ilvl w:val="0"/>
        <w:numId w:val="4"/>
      </w:numPr>
      <w:spacing w:line="360" w:lineRule="auto"/>
      <w:jc w:val="left"/>
      <w:outlineLvl w:val="0"/>
    </w:pPr>
    <w:rPr>
      <w:rFonts w:ascii="Cambria" w:hAnsi="Cambria" w:cs="Times New Roman"/>
      <w:b/>
      <w:bCs/>
      <w:sz w:val="28"/>
      <w:szCs w:val="32"/>
    </w:rPr>
  </w:style>
  <w:style w:type="paragraph" w:styleId="34">
    <w:name w:val="annotation subject"/>
    <w:basedOn w:val="17"/>
    <w:next w:val="17"/>
    <w:link w:val="67"/>
    <w:qFormat/>
    <w:uiPriority w:val="0"/>
    <w:rPr>
      <w:b/>
      <w:bCs/>
    </w:rPr>
  </w:style>
  <w:style w:type="paragraph" w:styleId="35">
    <w:name w:val="Body Text First Indent"/>
    <w:basedOn w:val="18"/>
    <w:qFormat/>
    <w:uiPriority w:val="0"/>
    <w:pPr>
      <w:adjustRightInd/>
      <w:spacing w:after="120" w:line="240" w:lineRule="auto"/>
      <w:ind w:firstLine="420" w:firstLineChars="100"/>
      <w:jc w:val="both"/>
    </w:p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b/>
      <w:bCs/>
    </w:rPr>
  </w:style>
  <w:style w:type="character" w:styleId="40">
    <w:name w:val="page number"/>
    <w:basedOn w:val="38"/>
    <w:qFormat/>
    <w:uiPriority w:val="0"/>
  </w:style>
  <w:style w:type="character" w:styleId="41">
    <w:name w:val="FollowedHyperlink"/>
    <w:qFormat/>
    <w:uiPriority w:val="0"/>
    <w:rPr>
      <w:color w:val="333333"/>
      <w:u w:val="none"/>
    </w:rPr>
  </w:style>
  <w:style w:type="character" w:styleId="42">
    <w:name w:val="Emphasis"/>
    <w:qFormat/>
    <w:uiPriority w:val="20"/>
    <w:rPr>
      <w:i/>
      <w:iCs/>
    </w:rPr>
  </w:style>
  <w:style w:type="character" w:styleId="43">
    <w:name w:val="HTML Definition"/>
    <w:qFormat/>
    <w:uiPriority w:val="0"/>
  </w:style>
  <w:style w:type="character" w:styleId="44">
    <w:name w:val="HTML Typewriter"/>
    <w:qFormat/>
    <w:uiPriority w:val="0"/>
    <w:rPr>
      <w:rFonts w:hint="default" w:ascii="monospace" w:hAnsi="monospace" w:eastAsia="monospace" w:cs="monospace"/>
      <w:sz w:val="20"/>
    </w:rPr>
  </w:style>
  <w:style w:type="character" w:styleId="45">
    <w:name w:val="HTML Acronym"/>
    <w:basedOn w:val="38"/>
    <w:qFormat/>
    <w:uiPriority w:val="0"/>
    <w:rPr>
      <w:color w:val="5C5C5C"/>
      <w:sz w:val="18"/>
      <w:szCs w:val="18"/>
      <w:bdr w:val="single" w:color="EBEBEB" w:sz="2" w:space="0"/>
      <w:shd w:val="clear" w:color="auto" w:fill="FFFFFF"/>
    </w:rPr>
  </w:style>
  <w:style w:type="character" w:styleId="46">
    <w:name w:val="HTML Variable"/>
    <w:qFormat/>
    <w:uiPriority w:val="0"/>
  </w:style>
  <w:style w:type="character" w:styleId="47">
    <w:name w:val="Hyperlink"/>
    <w:basedOn w:val="38"/>
    <w:qFormat/>
    <w:uiPriority w:val="99"/>
    <w:rPr>
      <w:color w:val="333333"/>
      <w:u w:val="none"/>
    </w:rPr>
  </w:style>
  <w:style w:type="character" w:styleId="48">
    <w:name w:val="HTML Code"/>
    <w:qFormat/>
    <w:uiPriority w:val="0"/>
    <w:rPr>
      <w:rFonts w:hint="default" w:ascii="monospace" w:hAnsi="monospace" w:eastAsia="monospace" w:cs="monospace"/>
      <w:sz w:val="20"/>
    </w:rPr>
  </w:style>
  <w:style w:type="character" w:styleId="49">
    <w:name w:val="annotation reference"/>
    <w:qFormat/>
    <w:uiPriority w:val="0"/>
    <w:rPr>
      <w:sz w:val="21"/>
      <w:szCs w:val="21"/>
    </w:rPr>
  </w:style>
  <w:style w:type="character" w:styleId="50">
    <w:name w:val="HTML Cite"/>
    <w:qFormat/>
    <w:uiPriority w:val="0"/>
  </w:style>
  <w:style w:type="character" w:styleId="51">
    <w:name w:val="HTML Keyboard"/>
    <w:qFormat/>
    <w:uiPriority w:val="0"/>
    <w:rPr>
      <w:rFonts w:ascii="monospace" w:hAnsi="monospace" w:eastAsia="monospace" w:cs="monospace"/>
      <w:sz w:val="20"/>
    </w:rPr>
  </w:style>
  <w:style w:type="character" w:styleId="52">
    <w:name w:val="HTML Sample"/>
    <w:qFormat/>
    <w:uiPriority w:val="0"/>
    <w:rPr>
      <w:rFonts w:hint="default" w:ascii="monospace" w:hAnsi="monospace" w:eastAsia="monospace" w:cs="monospace"/>
    </w:rPr>
  </w:style>
  <w:style w:type="character" w:customStyle="1" w:styleId="53">
    <w:name w:val="正文文本缩进 字符"/>
    <w:link w:val="14"/>
    <w:qFormat/>
    <w:uiPriority w:val="0"/>
    <w:rPr>
      <w:kern w:val="2"/>
      <w:sz w:val="21"/>
      <w:szCs w:val="24"/>
    </w:rPr>
  </w:style>
  <w:style w:type="character" w:customStyle="1" w:styleId="54">
    <w:name w:val="正文文本首行缩进 2 字符"/>
    <w:link w:val="13"/>
    <w:qFormat/>
    <w:uiPriority w:val="0"/>
  </w:style>
  <w:style w:type="character" w:customStyle="1" w:styleId="55">
    <w:name w:val="标题 1 字符"/>
    <w:link w:val="2"/>
    <w:qFormat/>
    <w:uiPriority w:val="0"/>
    <w:rPr>
      <w:b/>
      <w:bCs/>
      <w:kern w:val="44"/>
      <w:sz w:val="44"/>
      <w:szCs w:val="44"/>
    </w:rPr>
  </w:style>
  <w:style w:type="character" w:customStyle="1" w:styleId="56">
    <w:name w:val="标题 4 字符"/>
    <w:link w:val="5"/>
    <w:qFormat/>
    <w:locked/>
    <w:uiPriority w:val="0"/>
    <w:rPr>
      <w:rFonts w:ascii="Arial" w:hAnsi="Arial" w:eastAsia="黑体"/>
      <w:b/>
      <w:bCs/>
      <w:color w:val="000000"/>
      <w:sz w:val="28"/>
      <w:szCs w:val="28"/>
      <w:u w:val="none" w:color="000000"/>
      <w:lang w:val="en-US" w:eastAsia="zh-CN" w:bidi="ar-SA"/>
    </w:rPr>
  </w:style>
  <w:style w:type="character" w:customStyle="1" w:styleId="57">
    <w:name w:val="标题 5 字符"/>
    <w:link w:val="6"/>
    <w:semiHidden/>
    <w:qFormat/>
    <w:uiPriority w:val="0"/>
    <w:rPr>
      <w:b/>
      <w:bCs/>
      <w:kern w:val="2"/>
      <w:sz w:val="28"/>
      <w:szCs w:val="28"/>
    </w:rPr>
  </w:style>
  <w:style w:type="character" w:customStyle="1" w:styleId="58">
    <w:name w:val="标题 6 字符"/>
    <w:link w:val="7"/>
    <w:semiHidden/>
    <w:qFormat/>
    <w:uiPriority w:val="0"/>
    <w:rPr>
      <w:rFonts w:ascii="Cambria" w:hAnsi="Cambria" w:eastAsia="宋体" w:cs="Times New Roman"/>
      <w:b/>
      <w:bCs/>
      <w:kern w:val="2"/>
      <w:sz w:val="24"/>
      <w:szCs w:val="24"/>
    </w:rPr>
  </w:style>
  <w:style w:type="character" w:customStyle="1" w:styleId="59">
    <w:name w:val="标题 7 字符"/>
    <w:link w:val="8"/>
    <w:semiHidden/>
    <w:qFormat/>
    <w:uiPriority w:val="0"/>
    <w:rPr>
      <w:b/>
      <w:bCs/>
      <w:kern w:val="2"/>
      <w:sz w:val="24"/>
      <w:szCs w:val="24"/>
    </w:rPr>
  </w:style>
  <w:style w:type="character" w:customStyle="1" w:styleId="60">
    <w:name w:val="批注文字 字符"/>
    <w:link w:val="17"/>
    <w:qFormat/>
    <w:uiPriority w:val="0"/>
    <w:rPr>
      <w:kern w:val="2"/>
      <w:sz w:val="21"/>
      <w:szCs w:val="24"/>
    </w:rPr>
  </w:style>
  <w:style w:type="character" w:customStyle="1" w:styleId="61">
    <w:name w:val="纯文本 字符"/>
    <w:link w:val="20"/>
    <w:qFormat/>
    <w:uiPriority w:val="99"/>
    <w:rPr>
      <w:rFonts w:ascii="宋体" w:eastAsia="宋体"/>
      <w:color w:val="000000"/>
      <w:kern w:val="2"/>
      <w:sz w:val="21"/>
      <w:u w:val="none" w:color="000000"/>
      <w:lang w:val="en-US" w:eastAsia="zh-CN" w:bidi="ar-SA"/>
    </w:rPr>
  </w:style>
  <w:style w:type="character" w:customStyle="1" w:styleId="62">
    <w:name w:val="日期 字符"/>
    <w:link w:val="21"/>
    <w:qFormat/>
    <w:uiPriority w:val="0"/>
    <w:rPr>
      <w:rFonts w:ascii="Arial" w:hAnsi="Arial" w:eastAsia="仿宋_GB2312"/>
      <w:color w:val="000000"/>
      <w:kern w:val="2"/>
      <w:sz w:val="32"/>
      <w:u w:val="none" w:color="000000"/>
    </w:rPr>
  </w:style>
  <w:style w:type="character" w:customStyle="1" w:styleId="63">
    <w:name w:val="正文文本缩进 2 字符"/>
    <w:link w:val="22"/>
    <w:qFormat/>
    <w:uiPriority w:val="0"/>
    <w:rPr>
      <w:kern w:val="2"/>
      <w:sz w:val="21"/>
      <w:szCs w:val="24"/>
    </w:rPr>
  </w:style>
  <w:style w:type="character" w:customStyle="1" w:styleId="64">
    <w:name w:val="批注框文本 字符"/>
    <w:link w:val="23"/>
    <w:qFormat/>
    <w:uiPriority w:val="0"/>
    <w:rPr>
      <w:kern w:val="2"/>
      <w:sz w:val="18"/>
      <w:szCs w:val="18"/>
    </w:rPr>
  </w:style>
  <w:style w:type="character" w:customStyle="1" w:styleId="65">
    <w:name w:val="页脚 字符"/>
    <w:link w:val="24"/>
    <w:qFormat/>
    <w:locked/>
    <w:uiPriority w:val="0"/>
    <w:rPr>
      <w:kern w:val="2"/>
      <w:sz w:val="18"/>
      <w:szCs w:val="18"/>
    </w:rPr>
  </w:style>
  <w:style w:type="character" w:customStyle="1" w:styleId="66">
    <w:name w:val="页眉 字符"/>
    <w:link w:val="25"/>
    <w:qFormat/>
    <w:locked/>
    <w:uiPriority w:val="0"/>
    <w:rPr>
      <w:kern w:val="2"/>
      <w:sz w:val="18"/>
      <w:szCs w:val="18"/>
    </w:rPr>
  </w:style>
  <w:style w:type="character" w:customStyle="1" w:styleId="67">
    <w:name w:val="批注主题 字符"/>
    <w:link w:val="34"/>
    <w:qFormat/>
    <w:uiPriority w:val="0"/>
    <w:rPr>
      <w:b/>
      <w:bCs/>
      <w:kern w:val="2"/>
      <w:sz w:val="21"/>
      <w:szCs w:val="24"/>
    </w:rPr>
  </w:style>
  <w:style w:type="paragraph" w:customStyle="1" w:styleId="68">
    <w:name w:val="二级无"/>
    <w:basedOn w:val="69"/>
    <w:qFormat/>
    <w:uiPriority w:val="0"/>
    <w:pPr>
      <w:tabs>
        <w:tab w:val="left" w:pos="1620"/>
        <w:tab w:val="left" w:pos="1680"/>
        <w:tab w:val="left" w:pos="2100"/>
        <w:tab w:val="left" w:pos="2880"/>
      </w:tabs>
      <w:spacing w:before="0" w:after="0"/>
    </w:pPr>
    <w:rPr>
      <w:rFonts w:ascii="宋体" w:eastAsia="宋体"/>
    </w:rPr>
  </w:style>
  <w:style w:type="paragraph" w:customStyle="1" w:styleId="69">
    <w:name w:val="二级条标题"/>
    <w:basedOn w:val="70"/>
    <w:next w:val="72"/>
    <w:qFormat/>
    <w:uiPriority w:val="0"/>
    <w:pPr>
      <w:tabs>
        <w:tab w:val="left" w:pos="1620"/>
        <w:tab w:val="left" w:pos="1680"/>
        <w:tab w:val="left" w:pos="2100"/>
        <w:tab w:val="left" w:pos="2880"/>
      </w:tabs>
      <w:ind w:left="2100"/>
      <w:outlineLvl w:val="3"/>
    </w:pPr>
  </w:style>
  <w:style w:type="paragraph" w:customStyle="1" w:styleId="70">
    <w:name w:val="一级条标题"/>
    <w:basedOn w:val="71"/>
    <w:next w:val="72"/>
    <w:qFormat/>
    <w:uiPriority w:val="0"/>
    <w:pPr>
      <w:tabs>
        <w:tab w:val="left" w:pos="1620"/>
        <w:tab w:val="left" w:pos="1680"/>
      </w:tabs>
      <w:spacing w:beforeLines="0" w:afterLines="0"/>
      <w:ind w:left="1680" w:hanging="420"/>
      <w:outlineLvl w:val="2"/>
    </w:pPr>
  </w:style>
  <w:style w:type="paragraph" w:customStyle="1" w:styleId="71">
    <w:name w:val="章标题"/>
    <w:next w:val="72"/>
    <w:qFormat/>
    <w:uiPriority w:val="0"/>
    <w:pPr>
      <w:spacing w:beforeLines="50" w:afterLines="50"/>
      <w:outlineLvl w:val="1"/>
    </w:pPr>
    <w:rPr>
      <w:rFonts w:ascii="黑体" w:hAnsi="Calibri" w:eastAsia="黑体" w:cs="Times New Roman"/>
      <w:sz w:val="24"/>
      <w:szCs w:val="22"/>
      <w:lang w:val="en-US" w:eastAsia="zh-CN" w:bidi="ar-SA"/>
    </w:rPr>
  </w:style>
  <w:style w:type="paragraph" w:customStyle="1" w:styleId="7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7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74">
    <w:name w:val="List Paragraph"/>
    <w:basedOn w:val="1"/>
    <w:qFormat/>
    <w:uiPriority w:val="0"/>
    <w:pPr>
      <w:spacing w:line="360" w:lineRule="auto"/>
      <w:ind w:firstLine="420" w:firstLineChars="200"/>
    </w:pPr>
    <w:rPr>
      <w:rFonts w:ascii="宋体" w:hAnsi="宋体" w:cs="宋体"/>
      <w:sz w:val="24"/>
    </w:rPr>
  </w:style>
  <w:style w:type="paragraph" w:customStyle="1" w:styleId="75">
    <w:name w:val="正文文字 8"/>
    <w:basedOn w:val="1"/>
    <w:next w:val="1"/>
    <w:qFormat/>
    <w:uiPriority w:val="0"/>
    <w:pPr>
      <w:ind w:left="240"/>
    </w:pPr>
    <w:rPr>
      <w:sz w:val="16"/>
    </w:rPr>
  </w:style>
  <w:style w:type="character" w:customStyle="1" w:styleId="76">
    <w:name w:val="gpa"/>
    <w:qFormat/>
    <w:uiPriority w:val="0"/>
    <w:rPr>
      <w:rFonts w:ascii="Arial" w:hAnsi="Arial" w:cs="Arial"/>
      <w:sz w:val="15"/>
      <w:szCs w:val="15"/>
    </w:rPr>
  </w:style>
  <w:style w:type="character" w:customStyle="1" w:styleId="77">
    <w:name w:val="selected"/>
    <w:qFormat/>
    <w:uiPriority w:val="0"/>
    <w:rPr>
      <w:shd w:val="clear" w:color="auto" w:fill="B00006"/>
    </w:rPr>
  </w:style>
  <w:style w:type="character" w:customStyle="1" w:styleId="78">
    <w:name w:val="图表 Char"/>
    <w:link w:val="79"/>
    <w:qFormat/>
    <w:uiPriority w:val="0"/>
    <w:rPr>
      <w:kern w:val="2"/>
      <w:sz w:val="21"/>
      <w:szCs w:val="21"/>
    </w:rPr>
  </w:style>
  <w:style w:type="paragraph" w:customStyle="1" w:styleId="79">
    <w:name w:val="图表"/>
    <w:basedOn w:val="1"/>
    <w:next w:val="1"/>
    <w:link w:val="78"/>
    <w:qFormat/>
    <w:uiPriority w:val="0"/>
    <w:pPr>
      <w:jc w:val="center"/>
    </w:pPr>
    <w:rPr>
      <w:szCs w:val="21"/>
    </w:rPr>
  </w:style>
  <w:style w:type="character" w:customStyle="1" w:styleId="80">
    <w:name w:val="【正文】 Char"/>
    <w:link w:val="81"/>
    <w:qFormat/>
    <w:uiPriority w:val="0"/>
    <w:rPr>
      <w:rFonts w:cs="DokChampa"/>
      <w:kern w:val="2"/>
      <w:sz w:val="24"/>
      <w:szCs w:val="22"/>
    </w:rPr>
  </w:style>
  <w:style w:type="paragraph" w:customStyle="1" w:styleId="81">
    <w:name w:val="【正文】"/>
    <w:basedOn w:val="1"/>
    <w:link w:val="80"/>
    <w:qFormat/>
    <w:uiPriority w:val="0"/>
    <w:pPr>
      <w:spacing w:line="360" w:lineRule="auto"/>
      <w:ind w:firstLine="480" w:firstLineChars="200"/>
    </w:pPr>
    <w:rPr>
      <w:sz w:val="24"/>
      <w:szCs w:val="22"/>
    </w:rPr>
  </w:style>
  <w:style w:type="character" w:customStyle="1" w:styleId="82">
    <w:name w:val="正文首行缩进 2 Char1"/>
    <w:qFormat/>
    <w:uiPriority w:val="0"/>
  </w:style>
  <w:style w:type="character" w:customStyle="1" w:styleId="83">
    <w:name w:val="displayarti"/>
    <w:qFormat/>
    <w:uiPriority w:val="0"/>
    <w:rPr>
      <w:color w:val="FFFFFF"/>
      <w:shd w:val="clear" w:color="auto" w:fill="A00000"/>
    </w:rPr>
  </w:style>
  <w:style w:type="character" w:customStyle="1" w:styleId="84">
    <w:name w:val="列出段落 Char"/>
    <w:link w:val="85"/>
    <w:qFormat/>
    <w:locked/>
    <w:uiPriority w:val="0"/>
    <w:rPr>
      <w:rFonts w:ascii="Calibri" w:hAnsi="Calibri" w:eastAsia="宋体"/>
      <w:kern w:val="2"/>
      <w:sz w:val="21"/>
      <w:szCs w:val="22"/>
      <w:lang w:val="en-US" w:eastAsia="zh-CN" w:bidi="ar-SA"/>
    </w:rPr>
  </w:style>
  <w:style w:type="paragraph" w:customStyle="1" w:styleId="85">
    <w:name w:val="List Paragraph1"/>
    <w:basedOn w:val="1"/>
    <w:link w:val="84"/>
    <w:qFormat/>
    <w:uiPriority w:val="0"/>
    <w:pPr>
      <w:spacing w:line="312" w:lineRule="auto"/>
      <w:ind w:firstLine="420" w:firstLineChars="200"/>
    </w:pPr>
    <w:rPr>
      <w:rFonts w:ascii="Calibri" w:hAnsi="Calibri"/>
      <w:szCs w:val="22"/>
    </w:rPr>
  </w:style>
  <w:style w:type="character" w:customStyle="1" w:styleId="86">
    <w:name w:val="apple-converted-space"/>
    <w:qFormat/>
    <w:uiPriority w:val="0"/>
  </w:style>
  <w:style w:type="paragraph" w:customStyle="1" w:styleId="87">
    <w:name w:val="（无样式）"/>
    <w:basedOn w:val="1"/>
    <w:qFormat/>
    <w:uiPriority w:val="0"/>
    <w:pPr>
      <w:widowControl/>
      <w:numPr>
        <w:ilvl w:val="0"/>
        <w:numId w:val="5"/>
      </w:numPr>
      <w:spacing w:line="360" w:lineRule="auto"/>
      <w:ind w:firstLine="0"/>
    </w:pPr>
    <w:rPr>
      <w:sz w:val="24"/>
      <w:szCs w:val="20"/>
    </w:rPr>
  </w:style>
  <w:style w:type="paragraph" w:customStyle="1" w:styleId="88">
    <w:name w:val="_Style 2"/>
    <w:basedOn w:val="1"/>
    <w:qFormat/>
    <w:uiPriority w:val="0"/>
  </w:style>
  <w:style w:type="paragraph" w:customStyle="1" w:styleId="89">
    <w:name w:val="标题3-副本"/>
    <w:basedOn w:val="27"/>
    <w:qFormat/>
    <w:uiPriority w:val="0"/>
    <w:pPr>
      <w:numPr>
        <w:ilvl w:val="0"/>
        <w:numId w:val="0"/>
      </w:numPr>
      <w:ind w:left="840"/>
    </w:pPr>
  </w:style>
  <w:style w:type="paragraph" w:customStyle="1" w:styleId="90">
    <w:name w:val="p0"/>
    <w:basedOn w:val="1"/>
    <w:qFormat/>
    <w:uiPriority w:val="0"/>
    <w:pPr>
      <w:widowControl/>
      <w:spacing w:line="365" w:lineRule="atLeast"/>
      <w:ind w:left="1"/>
      <w:textAlignment w:val="bottom"/>
    </w:pPr>
    <w:rPr>
      <w:rFonts w:ascii="Calibri" w:hAnsi="Calibri"/>
      <w:kern w:val="0"/>
      <w:sz w:val="20"/>
      <w:szCs w:val="22"/>
    </w:rPr>
  </w:style>
  <w:style w:type="paragraph" w:customStyle="1" w:styleId="91">
    <w:name w:val="节标题"/>
    <w:basedOn w:val="1"/>
    <w:next w:val="1"/>
    <w:qFormat/>
    <w:uiPriority w:val="0"/>
    <w:pPr>
      <w:widowControl/>
      <w:spacing w:line="289" w:lineRule="atLeast"/>
      <w:jc w:val="center"/>
      <w:textAlignment w:val="baseline"/>
    </w:pPr>
    <w:rPr>
      <w:color w:val="000000"/>
      <w:kern w:val="0"/>
      <w:sz w:val="28"/>
      <w:szCs w:val="20"/>
      <w:u w:val="none" w:color="000000"/>
    </w:rPr>
  </w:style>
  <w:style w:type="paragraph" w:customStyle="1" w:styleId="92">
    <w:name w:val="列出段落2"/>
    <w:basedOn w:val="1"/>
    <w:qFormat/>
    <w:uiPriority w:val="0"/>
    <w:pPr>
      <w:ind w:firstLine="420" w:firstLineChars="200"/>
    </w:pPr>
    <w:rPr>
      <w:rFonts w:ascii="Calibri" w:hAnsi="Calibri"/>
      <w:szCs w:val="22"/>
    </w:rPr>
  </w:style>
  <w:style w:type="paragraph" w:customStyle="1" w:styleId="93">
    <w:name w:val="List Paragraph2"/>
    <w:basedOn w:val="1"/>
    <w:qFormat/>
    <w:uiPriority w:val="0"/>
    <w:pPr>
      <w:spacing w:line="360" w:lineRule="auto"/>
      <w:ind w:firstLine="420"/>
    </w:pPr>
    <w:rPr>
      <w:color w:val="000000"/>
      <w:sz w:val="24"/>
      <w:szCs w:val="21"/>
    </w:rPr>
  </w:style>
  <w:style w:type="paragraph" w:customStyle="1" w:styleId="94">
    <w:name w:val="_Style 4"/>
    <w:basedOn w:val="1"/>
    <w:qFormat/>
    <w:uiPriority w:val="34"/>
    <w:pPr>
      <w:adjustRightInd w:val="0"/>
      <w:ind w:firstLine="420" w:firstLineChars="200"/>
      <w:jc w:val="left"/>
      <w:textAlignment w:val="baseline"/>
    </w:pPr>
    <w:rPr>
      <w:kern w:val="0"/>
      <w:szCs w:val="20"/>
    </w:rPr>
  </w:style>
  <w:style w:type="paragraph" w:customStyle="1" w:styleId="95">
    <w:name w:val="Char"/>
    <w:basedOn w:val="1"/>
    <w:next w:val="1"/>
    <w:qFormat/>
    <w:uiPriority w:val="0"/>
    <w:pPr>
      <w:widowControl/>
      <w:spacing w:line="360" w:lineRule="auto"/>
      <w:jc w:val="left"/>
    </w:pPr>
    <w:rPr>
      <w:kern w:val="0"/>
      <w:szCs w:val="20"/>
      <w:lang w:eastAsia="en-US"/>
    </w:rPr>
  </w:style>
  <w:style w:type="paragraph" w:customStyle="1" w:styleId="96">
    <w:name w:val="第3级宋体小四"/>
    <w:basedOn w:val="1"/>
    <w:next w:val="1"/>
    <w:qFormat/>
    <w:uiPriority w:val="0"/>
    <w:pPr>
      <w:spacing w:line="360" w:lineRule="auto"/>
      <w:outlineLvl w:val="3"/>
    </w:pPr>
    <w:rPr>
      <w:rFonts w:ascii="宋体"/>
      <w:kern w:val="0"/>
      <w:sz w:val="24"/>
      <w:szCs w:val="20"/>
    </w:rPr>
  </w:style>
  <w:style w:type="paragraph" w:customStyle="1" w:styleId="97">
    <w:name w:val="Table Paragraph"/>
    <w:basedOn w:val="1"/>
    <w:qFormat/>
    <w:uiPriority w:val="1"/>
    <w:rPr>
      <w:rFonts w:ascii="宋体" w:hAnsi="宋体" w:eastAsia="宋体" w:cs="宋体"/>
      <w:lang w:val="zh-CN" w:eastAsia="zh-CN" w:bidi="zh-CN"/>
    </w:rPr>
  </w:style>
  <w:style w:type="paragraph" w:customStyle="1" w:styleId="98">
    <w:name w:val="列出段落1"/>
    <w:basedOn w:val="1"/>
    <w:qFormat/>
    <w:uiPriority w:val="34"/>
    <w:pPr>
      <w:ind w:firstLine="420" w:firstLineChars="200"/>
    </w:pPr>
  </w:style>
  <w:style w:type="paragraph" w:customStyle="1" w:styleId="99">
    <w:name w:val="正文 New"/>
    <w:next w:val="100"/>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100">
    <w:name w:val="正文缩进1"/>
    <w:basedOn w:val="1"/>
    <w:next w:val="16"/>
    <w:qFormat/>
    <w:uiPriority w:val="0"/>
    <w:pPr>
      <w:spacing w:line="360" w:lineRule="atLeast"/>
      <w:ind w:firstLine="482"/>
    </w:pPr>
    <w:rPr>
      <w:sz w:val="24"/>
    </w:rPr>
  </w:style>
  <w:style w:type="paragraph" w:customStyle="1" w:styleId="101">
    <w:name w:val="样式 WG标题2 + 行距: 固定值 18 磅"/>
    <w:basedOn w:val="1"/>
    <w:qFormat/>
    <w:uiPriority w:val="0"/>
    <w:pPr>
      <w:autoSpaceDE w:val="0"/>
      <w:autoSpaceDN w:val="0"/>
      <w:adjustRightInd w:val="0"/>
      <w:spacing w:line="360" w:lineRule="exact"/>
      <w:textAlignment w:val="baseline"/>
      <w:outlineLvl w:val="1"/>
    </w:pPr>
    <w:rPr>
      <w:rFonts w:ascii="仿宋_GB2312" w:hAnsi="宋体" w:cs="宋体"/>
      <w:b/>
      <w:bCs/>
      <w:color w:val="000000"/>
      <w:kern w:val="20"/>
      <w:sz w:val="24"/>
      <w:szCs w:val="20"/>
    </w:rPr>
  </w:style>
  <w:style w:type="paragraph" w:customStyle="1" w:styleId="102">
    <w:name w:val="样式1"/>
    <w:basedOn w:val="1"/>
    <w:qFormat/>
    <w:uiPriority w:val="0"/>
    <w:pPr>
      <w:spacing w:line="360" w:lineRule="auto"/>
      <w:jc w:val="center"/>
    </w:pPr>
    <w:rPr>
      <w:rFonts w:ascii="Times New Roman" w:hAnsi="Times New Roman" w:cs="Times New Roman"/>
      <w:b/>
      <w:sz w:val="30"/>
      <w:szCs w:val="30"/>
    </w:rPr>
  </w:style>
  <w:style w:type="paragraph" w:customStyle="1" w:styleId="103">
    <w:name w:val=" Char"/>
    <w:basedOn w:val="1"/>
    <w:qFormat/>
    <w:uiPriority w:val="0"/>
  </w:style>
  <w:style w:type="paragraph" w:customStyle="1" w:styleId="104">
    <w:name w:val="_Style 103"/>
    <w:unhideWhenUsed/>
    <w:qFormat/>
    <w:uiPriority w:val="99"/>
    <w:rPr>
      <w:rFonts w:ascii="Times New Roman" w:hAnsi="Times New Roman" w:eastAsia="宋体" w:cs="Times New Roman"/>
      <w:kern w:val="2"/>
      <w:sz w:val="21"/>
      <w:szCs w:val="24"/>
      <w:lang w:val="en-US" w:eastAsia="zh-CN" w:bidi="ar-SA"/>
    </w:rPr>
  </w:style>
  <w:style w:type="paragraph" w:customStyle="1" w:styleId="105">
    <w:name w:val="列出段落11"/>
    <w:basedOn w:val="1"/>
    <w:qFormat/>
    <w:uiPriority w:val="0"/>
    <w:pPr>
      <w:spacing w:after="120" w:line="360" w:lineRule="auto"/>
      <w:ind w:firstLine="420" w:firstLineChars="200"/>
    </w:pPr>
    <w:rPr>
      <w:rFonts w:ascii="Calibri" w:hAnsi="Calibri"/>
      <w:szCs w:val="22"/>
    </w:rPr>
  </w:style>
  <w:style w:type="paragraph" w:customStyle="1" w:styleId="106">
    <w:name w:val="P1"/>
    <w:basedOn w:val="1"/>
    <w:qFormat/>
    <w:uiPriority w:val="0"/>
    <w:pPr>
      <w:widowControl/>
      <w:spacing w:before="120" w:after="120" w:line="360" w:lineRule="auto"/>
      <w:ind w:left="1080"/>
    </w:pPr>
    <w:rPr>
      <w:kern w:val="0"/>
      <w:sz w:val="24"/>
    </w:rPr>
  </w:style>
  <w:style w:type="paragraph" w:customStyle="1" w:styleId="107">
    <w:name w:val="列表2"/>
    <w:basedOn w:val="1"/>
    <w:next w:val="1"/>
    <w:qFormat/>
    <w:uiPriority w:val="0"/>
    <w:pPr>
      <w:numPr>
        <w:ilvl w:val="0"/>
        <w:numId w:val="6"/>
      </w:numPr>
      <w:spacing w:line="200" w:lineRule="atLeast"/>
    </w:pPr>
    <w:rPr>
      <w:rFonts w:eastAsia="仿宋"/>
      <w:sz w:val="28"/>
    </w:rPr>
  </w:style>
  <w:style w:type="paragraph" w:customStyle="1" w:styleId="108">
    <w:name w:val="Char Char Char Char Char Char Char1 Char"/>
    <w:basedOn w:val="1"/>
    <w:qFormat/>
    <w:uiPriority w:val="0"/>
    <w:rPr>
      <w:rFonts w:ascii="Tahoma" w:hAnsi="Tahoma"/>
      <w:sz w:val="24"/>
      <w:szCs w:val="20"/>
    </w:rPr>
  </w:style>
  <w:style w:type="paragraph" w:customStyle="1" w:styleId="109">
    <w:name w:val=" Char Char Char Char"/>
    <w:basedOn w:val="1"/>
    <w:qFormat/>
    <w:uiPriority w:val="0"/>
    <w:rPr>
      <w:rFonts w:ascii="Tahoma" w:hAnsi="Tahoma"/>
      <w:sz w:val="24"/>
      <w:szCs w:val="20"/>
    </w:rPr>
  </w:style>
  <w:style w:type="paragraph" w:customStyle="1" w:styleId="110">
    <w:name w:val="标题4"/>
    <w:basedOn w:val="1"/>
    <w:qFormat/>
    <w:uiPriority w:val="0"/>
    <w:pPr>
      <w:numPr>
        <w:ilvl w:val="0"/>
        <w:numId w:val="7"/>
      </w:numPr>
      <w:spacing w:line="360" w:lineRule="auto"/>
      <w:ind w:left="720" w:leftChars="300"/>
      <w:jc w:val="left"/>
    </w:pPr>
    <w:rPr>
      <w:rFonts w:ascii="宋体" w:hAnsi="宋体" w:cs="Times New Roman"/>
      <w:sz w:val="18"/>
      <w:szCs w:val="18"/>
    </w:rPr>
  </w:style>
  <w:style w:type="paragraph" w:customStyle="1" w:styleId="111">
    <w:name w:val="样式 WG标题3 + 行距: 固定值 18 磅"/>
    <w:basedOn w:val="1"/>
    <w:qFormat/>
    <w:uiPriority w:val="0"/>
    <w:pPr>
      <w:autoSpaceDE w:val="0"/>
      <w:autoSpaceDN w:val="0"/>
      <w:adjustRightInd w:val="0"/>
      <w:spacing w:line="360" w:lineRule="exact"/>
      <w:ind w:firstLine="200" w:firstLineChars="200"/>
      <w:textAlignment w:val="baseline"/>
      <w:outlineLvl w:val="2"/>
    </w:pPr>
    <w:rPr>
      <w:rFonts w:cs="宋体"/>
      <w:b/>
      <w:bCs/>
      <w:color w:val="000000"/>
      <w:kern w:val="20"/>
      <w:sz w:val="24"/>
      <w:szCs w:val="20"/>
    </w:rPr>
  </w:style>
  <w:style w:type="paragraph" w:customStyle="1" w:styleId="112">
    <w:name w:val="样式 标题 3列表编号31.1.1 + 四号 加粗 行距: 1.5 倍行距"/>
    <w:basedOn w:val="4"/>
    <w:qFormat/>
    <w:uiPriority w:val="0"/>
    <w:pPr>
      <w:spacing w:line="360" w:lineRule="auto"/>
    </w:pPr>
    <w:rPr>
      <w:rFonts w:cs="宋体"/>
      <w:sz w:val="28"/>
    </w:rPr>
  </w:style>
  <w:style w:type="character" w:customStyle="1" w:styleId="113">
    <w:name w:val="first-child"/>
    <w:qFormat/>
    <w:uiPriority w:val="0"/>
  </w:style>
  <w:style w:type="character" w:customStyle="1" w:styleId="114">
    <w:name w:val="layui-this"/>
    <w:qFormat/>
    <w:uiPriority w:val="0"/>
    <w:rPr>
      <w:bdr w:val="single" w:color="EEEEEE" w:sz="6" w:space="0"/>
      <w:shd w:val="clear" w:color="auto" w:fill="FFFFFF"/>
    </w:rPr>
  </w:style>
  <w:style w:type="table" w:customStyle="1" w:styleId="115">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116">
    <w:name w:val="xl25"/>
    <w:basedOn w:val="1"/>
    <w:qFormat/>
    <w:uiPriority w:val="0"/>
    <w:pPr>
      <w:widowControl/>
      <w:spacing w:before="100" w:beforeAutospacing="1" w:after="100" w:afterAutospacing="1"/>
      <w:jc w:val="right"/>
    </w:pPr>
    <w:rPr>
      <w:rFonts w:ascii="Arial Unicode MS" w:hAnsi="Arial Unicode MS" w:eastAsia="宋体" w:cs="Arial Unicode MS"/>
      <w:color w:val="000000"/>
      <w:kern w:val="0"/>
      <w:sz w:val="18"/>
      <w:szCs w:val="18"/>
    </w:rPr>
  </w:style>
  <w:style w:type="paragraph" w:customStyle="1" w:styleId="117">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118">
    <w:name w:val="font01"/>
    <w:qFormat/>
    <w:uiPriority w:val="0"/>
    <w:rPr>
      <w:rFonts w:hint="eastAsia" w:ascii="宋体" w:hAnsi="宋体" w:eastAsia="宋体" w:cs="宋体"/>
      <w:color w:val="000000"/>
      <w:sz w:val="21"/>
      <w:szCs w:val="21"/>
      <w:u w:val="none"/>
    </w:rPr>
  </w:style>
  <w:style w:type="character" w:customStyle="1" w:styleId="119">
    <w:name w:val="font21"/>
    <w:basedOn w:val="38"/>
    <w:qFormat/>
    <w:uiPriority w:val="0"/>
    <w:rPr>
      <w:rFonts w:ascii="Calibri" w:hAnsi="Calibri" w:cs="Calibri"/>
      <w:color w:val="000000"/>
      <w:sz w:val="21"/>
      <w:szCs w:val="21"/>
      <w:u w:val="none"/>
    </w:rPr>
  </w:style>
  <w:style w:type="character" w:customStyle="1" w:styleId="120">
    <w:name w:val="font81"/>
    <w:qFormat/>
    <w:uiPriority w:val="0"/>
    <w:rPr>
      <w:rFonts w:hint="default" w:ascii="Calibri" w:hAnsi="Calibri" w:cs="Calibri"/>
      <w:color w:val="000000"/>
      <w:sz w:val="22"/>
      <w:szCs w:val="22"/>
      <w:u w:val="none"/>
    </w:rPr>
  </w:style>
  <w:style w:type="character" w:customStyle="1" w:styleId="121">
    <w:name w:val="font91"/>
    <w:qFormat/>
    <w:uiPriority w:val="0"/>
    <w:rPr>
      <w:rFonts w:ascii="微软雅黑" w:hAnsi="微软雅黑" w:eastAsia="微软雅黑" w:cs="微软雅黑"/>
      <w:color w:val="000000"/>
      <w:sz w:val="22"/>
      <w:szCs w:val="22"/>
      <w:u w:val="none"/>
    </w:rPr>
  </w:style>
  <w:style w:type="character" w:customStyle="1" w:styleId="122">
    <w:name w:val="font31"/>
    <w:qFormat/>
    <w:uiPriority w:val="0"/>
    <w:rPr>
      <w:rFonts w:ascii="微软雅黑" w:hAnsi="微软雅黑" w:eastAsia="微软雅黑" w:cs="微软雅黑"/>
      <w:color w:val="000000"/>
      <w:sz w:val="22"/>
      <w:szCs w:val="22"/>
      <w:u w:val="none"/>
    </w:rPr>
  </w:style>
  <w:style w:type="character" w:customStyle="1" w:styleId="123">
    <w:name w:val="font61"/>
    <w:qFormat/>
    <w:uiPriority w:val="0"/>
    <w:rPr>
      <w:rFonts w:hint="default" w:ascii="Times New Roman" w:hAnsi="Times New Roman" w:cs="Times New Roman"/>
      <w:color w:val="000000"/>
      <w:sz w:val="20"/>
      <w:szCs w:val="20"/>
      <w:u w:val="none"/>
    </w:rPr>
  </w:style>
  <w:style w:type="character" w:customStyle="1" w:styleId="124">
    <w:name w:val="font71"/>
    <w:qFormat/>
    <w:uiPriority w:val="0"/>
    <w:rPr>
      <w:rFonts w:hint="eastAsia" w:ascii="宋体" w:hAnsi="宋体" w:eastAsia="宋体" w:cs="宋体"/>
      <w:color w:val="000000"/>
      <w:sz w:val="20"/>
      <w:szCs w:val="20"/>
      <w:u w:val="none"/>
    </w:rPr>
  </w:style>
  <w:style w:type="character" w:customStyle="1" w:styleId="125">
    <w:name w:val="font131"/>
    <w:qFormat/>
    <w:uiPriority w:val="0"/>
    <w:rPr>
      <w:rFonts w:hint="default" w:ascii="Times New Roman" w:hAnsi="Times New Roman" w:cs="Times New Roman"/>
      <w:color w:val="000000"/>
      <w:sz w:val="22"/>
      <w:szCs w:val="22"/>
      <w:u w:val="none"/>
    </w:rPr>
  </w:style>
  <w:style w:type="paragraph" w:customStyle="1" w:styleId="126">
    <w:name w:val="普通(网站) Char"/>
    <w:basedOn w:val="1"/>
    <w:qFormat/>
    <w:uiPriority w:val="0"/>
    <w:pPr>
      <w:widowControl/>
      <w:spacing w:before="100" w:beforeAutospacing="1" w:after="100" w:afterAutospacing="1"/>
      <w:jc w:val="left"/>
    </w:pPr>
    <w:rPr>
      <w:kern w:val="0"/>
      <w:sz w:val="24"/>
    </w:rPr>
  </w:style>
  <w:style w:type="character" w:customStyle="1" w:styleId="127">
    <w:name w:val="hover"/>
    <w:qFormat/>
    <w:uiPriority w:val="0"/>
    <w:rPr>
      <w:color w:val="2590EB"/>
    </w:rPr>
  </w:style>
  <w:style w:type="character" w:customStyle="1" w:styleId="128">
    <w:name w:val="hover1"/>
    <w:qFormat/>
    <w:uiPriority w:val="0"/>
    <w:rPr>
      <w:color w:val="2590EB"/>
    </w:rPr>
  </w:style>
  <w:style w:type="character" w:customStyle="1" w:styleId="129">
    <w:name w:val="hover2"/>
    <w:qFormat/>
    <w:uiPriority w:val="0"/>
  </w:style>
  <w:style w:type="character" w:customStyle="1" w:styleId="130">
    <w:name w:val="hover3"/>
    <w:qFormat/>
    <w:uiPriority w:val="0"/>
    <w:rPr>
      <w:color w:val="2590EB"/>
      <w:shd w:val="clear" w:color="auto" w:fill="E9F4FD"/>
    </w:rPr>
  </w:style>
  <w:style w:type="character" w:customStyle="1" w:styleId="131">
    <w:name w:val="mini-outputtext1"/>
    <w:qFormat/>
    <w:uiPriority w:val="0"/>
  </w:style>
  <w:style w:type="character" w:customStyle="1" w:styleId="132">
    <w:name w:val="hover4"/>
    <w:qFormat/>
    <w:uiPriority w:val="0"/>
    <w:rPr>
      <w:color w:val="2590EB"/>
      <w:shd w:val="clear" w:color="auto" w:fill="E9F4FD"/>
    </w:rPr>
  </w:style>
  <w:style w:type="paragraph" w:customStyle="1" w:styleId="133">
    <w:name w:val="Table Text"/>
    <w:basedOn w:val="1"/>
    <w:semiHidden/>
    <w:qFormat/>
    <w:uiPriority w:val="0"/>
    <w:rPr>
      <w:rFonts w:ascii="宋体" w:hAnsi="宋体" w:eastAsia="宋体" w:cs="宋体"/>
      <w:sz w:val="24"/>
      <w:szCs w:val="24"/>
      <w:lang w:val="en-US" w:eastAsia="en-US" w:bidi="ar-SA"/>
    </w:rPr>
  </w:style>
  <w:style w:type="character" w:customStyle="1" w:styleId="134">
    <w:name w:val="font11"/>
    <w:basedOn w:val="38"/>
    <w:qFormat/>
    <w:uiPriority w:val="0"/>
    <w:rPr>
      <w:rFonts w:hint="eastAsia" w:ascii="仿宋" w:hAnsi="仿宋" w:eastAsia="仿宋" w:cs="仿宋"/>
      <w:b/>
      <w:bCs/>
      <w:color w:val="000000"/>
      <w:sz w:val="22"/>
      <w:szCs w:val="22"/>
      <w:u w:val="none"/>
    </w:rPr>
  </w:style>
  <w:style w:type="paragraph" w:customStyle="1" w:styleId="135">
    <w:name w:val="样式 小四"/>
    <w:qFormat/>
    <w:uiPriority w:val="0"/>
    <w:pPr>
      <w:widowControl w:val="0"/>
      <w:adjustRightInd w:val="0"/>
      <w:spacing w:line="360" w:lineRule="atLeast"/>
      <w:textAlignment w:val="baseline"/>
    </w:pPr>
    <w:rPr>
      <w:rFonts w:ascii="Calibri" w:hAnsi="Calibri" w:eastAsia="宋体" w:cs="Arial"/>
      <w:sz w:val="24"/>
      <w:szCs w:val="22"/>
      <w:lang w:val="en-US" w:eastAsia="zh-CN" w:bidi="ar-SA"/>
    </w:rPr>
  </w:style>
  <w:style w:type="character" w:customStyle="1" w:styleId="136">
    <w:name w:val="font51"/>
    <w:basedOn w:val="38"/>
    <w:qFormat/>
    <w:uiPriority w:val="0"/>
    <w:rPr>
      <w:rFonts w:ascii="Calibri" w:hAnsi="Calibri" w:cs="Calibri"/>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25244</Words>
  <Characters>27740</Characters>
  <Lines>364</Lines>
  <Paragraphs>102</Paragraphs>
  <TotalTime>1</TotalTime>
  <ScaleCrop>false</ScaleCrop>
  <LinksUpToDate>false</LinksUpToDate>
  <CharactersWithSpaces>28407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2020-12-29T09:31:00Z</dcterms:created>
  <dc:creator>陈倩倩</dc:creator>
  <cp:lastModifiedBy>傻傻一辈子</cp:lastModifiedBy>
  <cp:lastPrinted>2025-03-26T13:40:00Z</cp:lastPrinted>
  <dcterms:modified xsi:type="dcterms:W3CDTF">2025-06-27T07:08:32Z</dcterms:modified>
  <dc:title>滁州市人力资源和社会保障信息中心信息网络设备采购及安装项目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A70E632E37C3416E885C33FF6F6B2869_13</vt:lpwstr>
  </property>
  <property fmtid="{D5CDD505-2E9C-101B-9397-08002B2CF9AE}" pid="4" name="commondata">
    <vt:lpwstr>eyJoZGlkIjoiMTljMDcwYWJmYjExZWQzNTVmZDAzZTYwM2JlMzJmZDYifQ==</vt:lpwstr>
  </property>
  <property fmtid="{D5CDD505-2E9C-101B-9397-08002B2CF9AE}" pid="5" name="KSOTemplateDocerSaveRecord">
    <vt:lpwstr>eyJoZGlkIjoiMTljMDcwYWJmYjExZWQzNTVmZDAzZTYwM2JlMzJmZDYiLCJ1c2VySWQiOiIzODU2Mzk2OTQifQ==</vt:lpwstr>
  </property>
</Properties>
</file>