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148CC9">
      <w:pPr>
        <w:jc w:val="center"/>
        <w:rPr>
          <w:rFonts w:ascii="宋体" w:hAnsi="宋体" w:cs="宋体"/>
          <w:b/>
          <w:kern w:val="0"/>
          <w:sz w:val="44"/>
          <w:szCs w:val="44"/>
          <w:highlight w:val="none"/>
        </w:rPr>
      </w:pPr>
      <w:bookmarkStart w:id="0" w:name="_Toc506107265"/>
      <w:bookmarkStart w:id="1" w:name="_Toc247085669"/>
      <w:bookmarkStart w:id="2" w:name="_Toc15058843"/>
      <w:bookmarkStart w:id="3" w:name="_Toc296602400"/>
      <w:bookmarkStart w:id="4" w:name="_Toc324404811"/>
      <w:bookmarkStart w:id="5" w:name="_Toc246996898"/>
      <w:bookmarkStart w:id="6" w:name="_Toc461631222"/>
      <w:bookmarkStart w:id="7" w:name="OLE_LINK4"/>
      <w:bookmarkStart w:id="8" w:name="OLE_LINK1"/>
      <w:bookmarkStart w:id="9" w:name="OLE_LINK5"/>
      <w:bookmarkStart w:id="10" w:name="OLE_LINK3"/>
      <w:bookmarkStart w:id="11" w:name="OLE_LINK2"/>
    </w:p>
    <w:p w14:paraId="779E00EC">
      <w:pPr>
        <w:jc w:val="center"/>
        <w:rPr>
          <w:rFonts w:hint="eastAsia" w:hAnsi="宋体" w:cs="宋体"/>
          <w:b/>
          <w:color w:val="auto"/>
          <w:kern w:val="0"/>
          <w:sz w:val="56"/>
          <w:szCs w:val="56"/>
          <w:highlight w:val="none"/>
          <w:lang w:eastAsia="zh-CN"/>
        </w:rPr>
      </w:pPr>
      <w:r>
        <w:rPr>
          <w:rFonts w:hint="eastAsia" w:hAnsi="宋体" w:cs="宋体"/>
          <w:b/>
          <w:color w:val="auto"/>
          <w:kern w:val="0"/>
          <w:sz w:val="56"/>
          <w:szCs w:val="56"/>
          <w:highlight w:val="none"/>
          <w:lang w:eastAsia="zh-CN"/>
        </w:rPr>
        <w:t>滁州市人力资源产业园分布式光伏及充电桩项目</w:t>
      </w:r>
    </w:p>
    <w:p w14:paraId="4D87E2F7">
      <w:pPr>
        <w:jc w:val="center"/>
        <w:rPr>
          <w:rFonts w:hint="eastAsia" w:hAnsi="宋体" w:cs="宋体"/>
          <w:b/>
          <w:color w:val="auto"/>
          <w:kern w:val="0"/>
          <w:sz w:val="56"/>
          <w:szCs w:val="56"/>
          <w:highlight w:val="none"/>
          <w:lang w:eastAsia="zh-CN"/>
        </w:rPr>
      </w:pPr>
    </w:p>
    <w:p w14:paraId="4BB8E937">
      <w:pPr>
        <w:jc w:val="center"/>
        <w:rPr>
          <w:color w:val="auto"/>
          <w:sz w:val="28"/>
          <w:szCs w:val="28"/>
          <w:highlight w:val="none"/>
        </w:rPr>
      </w:pPr>
      <w:r>
        <w:rPr>
          <w:rFonts w:hint="eastAsia" w:ascii="宋体" w:hAnsi="宋体"/>
          <w:b/>
          <w:bCs/>
          <w:color w:val="auto"/>
          <w:sz w:val="96"/>
          <w:szCs w:val="96"/>
          <w:highlight w:val="none"/>
        </w:rPr>
        <w:t>招</w:t>
      </w:r>
      <w:r>
        <w:rPr>
          <w:rFonts w:hint="eastAsia" w:ascii="宋体" w:hAnsi="宋体"/>
          <w:b/>
          <w:bCs/>
          <w:color w:val="auto"/>
          <w:sz w:val="96"/>
          <w:szCs w:val="96"/>
          <w:highlight w:val="none"/>
          <w:lang w:val="en-US" w:eastAsia="zh-CN"/>
        </w:rPr>
        <w:t xml:space="preserve"> </w:t>
      </w:r>
      <w:r>
        <w:rPr>
          <w:rFonts w:hint="eastAsia" w:ascii="宋体"/>
          <w:b/>
          <w:bCs/>
          <w:color w:val="auto"/>
          <w:sz w:val="96"/>
          <w:szCs w:val="96"/>
          <w:highlight w:val="none"/>
        </w:rPr>
        <w:t>标</w:t>
      </w:r>
      <w:r>
        <w:rPr>
          <w:rFonts w:hint="eastAsia" w:ascii="宋体"/>
          <w:b/>
          <w:bCs/>
          <w:color w:val="auto"/>
          <w:sz w:val="96"/>
          <w:szCs w:val="96"/>
          <w:highlight w:val="none"/>
          <w:lang w:val="en-US" w:eastAsia="zh-CN"/>
        </w:rPr>
        <w:t xml:space="preserve"> </w:t>
      </w:r>
      <w:r>
        <w:rPr>
          <w:rFonts w:hint="eastAsia" w:ascii="宋体" w:hAnsi="宋体"/>
          <w:b/>
          <w:bCs/>
          <w:color w:val="auto"/>
          <w:sz w:val="96"/>
          <w:szCs w:val="96"/>
          <w:highlight w:val="none"/>
        </w:rPr>
        <w:t>文</w:t>
      </w:r>
      <w:r>
        <w:rPr>
          <w:rFonts w:hint="eastAsia" w:ascii="宋体" w:hAnsi="宋体"/>
          <w:b/>
          <w:bCs/>
          <w:color w:val="auto"/>
          <w:sz w:val="96"/>
          <w:szCs w:val="96"/>
          <w:highlight w:val="none"/>
          <w:lang w:val="en-US" w:eastAsia="zh-CN"/>
        </w:rPr>
        <w:t xml:space="preserve"> </w:t>
      </w:r>
      <w:r>
        <w:rPr>
          <w:rFonts w:hint="eastAsia" w:ascii="宋体" w:hAnsi="宋体"/>
          <w:b/>
          <w:bCs/>
          <w:color w:val="auto"/>
          <w:sz w:val="96"/>
          <w:szCs w:val="96"/>
          <w:highlight w:val="none"/>
        </w:rPr>
        <w:t>件</w:t>
      </w:r>
    </w:p>
    <w:p w14:paraId="201544BF">
      <w:pPr>
        <w:spacing w:line="400" w:lineRule="exact"/>
        <w:jc w:val="center"/>
        <w:rPr>
          <w:rFonts w:ascii="宋体" w:hAnsi="宋体"/>
          <w:b/>
          <w:color w:val="auto"/>
          <w:sz w:val="39"/>
          <w:highlight w:val="none"/>
        </w:rPr>
      </w:pPr>
    </w:p>
    <w:p w14:paraId="3187D452">
      <w:pPr>
        <w:spacing w:line="400" w:lineRule="exact"/>
        <w:rPr>
          <w:color w:val="auto"/>
          <w:highlight w:val="none"/>
        </w:rPr>
      </w:pPr>
    </w:p>
    <w:p w14:paraId="320CA8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textAlignment w:val="top"/>
        <w:rPr>
          <w:rFonts w:hint="eastAsia"/>
          <w:color w:val="auto"/>
          <w:sz w:val="22"/>
          <w:szCs w:val="21"/>
          <w:highlight w:val="none"/>
          <w:lang w:val="en-US" w:eastAsia="zh-CN"/>
        </w:rPr>
      </w:pPr>
      <w:r>
        <w:rPr>
          <w:rFonts w:hint="eastAsia"/>
          <w:color w:val="auto"/>
          <w:sz w:val="22"/>
          <w:szCs w:val="21"/>
          <w:highlight w:val="none"/>
          <w:lang w:val="en-US" w:eastAsia="zh-CN"/>
        </w:rPr>
        <w:t>项目编号：HXJY1110001052297001</w:t>
      </w:r>
    </w:p>
    <w:p w14:paraId="307F53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textAlignment w:val="top"/>
        <w:rPr>
          <w:rFonts w:hint="default"/>
          <w:color w:val="auto"/>
          <w:sz w:val="22"/>
          <w:szCs w:val="21"/>
          <w:highlight w:val="none"/>
          <w:lang w:val="en-US" w:eastAsia="zh-CN"/>
        </w:rPr>
      </w:pPr>
    </w:p>
    <w:p w14:paraId="691FE4D6">
      <w:pPr>
        <w:rPr>
          <w:color w:val="auto"/>
          <w:highlight w:val="none"/>
        </w:rPr>
      </w:pPr>
    </w:p>
    <w:p w14:paraId="7E411827">
      <w:pPr>
        <w:pStyle w:val="14"/>
        <w:rPr>
          <w:color w:val="auto"/>
          <w:highlight w:val="none"/>
        </w:rPr>
      </w:pPr>
    </w:p>
    <w:p w14:paraId="6CF62471">
      <w:pPr>
        <w:rPr>
          <w:color w:val="auto"/>
          <w:highlight w:val="none"/>
        </w:rPr>
      </w:pPr>
    </w:p>
    <w:p w14:paraId="276FE2C2">
      <w:pPr>
        <w:pStyle w:val="14"/>
        <w:rPr>
          <w:color w:val="auto"/>
          <w:highlight w:val="none"/>
        </w:rPr>
      </w:pPr>
    </w:p>
    <w:p w14:paraId="57C971B3">
      <w:pPr>
        <w:pStyle w:val="14"/>
        <w:ind w:left="0" w:leftChars="0" w:firstLine="0" w:firstLineChars="0"/>
      </w:pPr>
    </w:p>
    <w:p w14:paraId="00CEC72B"/>
    <w:p w14:paraId="0FB3EFCA">
      <w:pPr>
        <w:pStyle w:val="14"/>
      </w:pPr>
    </w:p>
    <w:p w14:paraId="34E1CE7D">
      <w:pPr>
        <w:spacing w:line="720" w:lineRule="exact"/>
        <w:rPr>
          <w:b/>
          <w:bCs/>
          <w:color w:val="auto"/>
          <w:sz w:val="28"/>
          <w:szCs w:val="28"/>
          <w:highlight w:val="none"/>
        </w:rPr>
      </w:pPr>
    </w:p>
    <w:p w14:paraId="600C11DF">
      <w:pPr>
        <w:spacing w:line="800" w:lineRule="exact"/>
        <w:ind w:firstLine="600" w:firstLineChars="200"/>
        <w:rPr>
          <w:rFonts w:hint="default" w:ascii="宋体" w:hAnsi="Times New Roman" w:eastAsia="宋体" w:cs="Times New Roman"/>
          <w:sz w:val="30"/>
          <w:szCs w:val="30"/>
          <w:highlight w:val="none"/>
          <w:u w:val="single"/>
          <w:lang w:val="en-US" w:eastAsia="zh-CN"/>
        </w:rPr>
      </w:pPr>
      <w:r>
        <w:rPr>
          <w:rFonts w:hint="eastAsia"/>
          <w:bCs/>
          <w:color w:val="auto"/>
          <w:sz w:val="30"/>
          <w:szCs w:val="30"/>
          <w:highlight w:val="none"/>
        </w:rPr>
        <w:t>招</w:t>
      </w:r>
      <w:r>
        <w:rPr>
          <w:rFonts w:hint="eastAsia"/>
          <w:bCs/>
          <w:color w:val="auto"/>
          <w:sz w:val="30"/>
          <w:szCs w:val="30"/>
          <w:highlight w:val="none"/>
          <w:lang w:val="en-US" w:eastAsia="zh-CN"/>
        </w:rPr>
        <w:t xml:space="preserve">  </w:t>
      </w:r>
      <w:r>
        <w:rPr>
          <w:rFonts w:hint="eastAsia"/>
          <w:bCs/>
          <w:color w:val="auto"/>
          <w:sz w:val="30"/>
          <w:szCs w:val="30"/>
          <w:highlight w:val="none"/>
        </w:rPr>
        <w:t>标</w:t>
      </w:r>
      <w:r>
        <w:rPr>
          <w:rFonts w:hint="eastAsia"/>
          <w:bCs/>
          <w:color w:val="auto"/>
          <w:sz w:val="30"/>
          <w:szCs w:val="30"/>
          <w:highlight w:val="none"/>
          <w:lang w:val="en-US" w:eastAsia="zh-CN"/>
        </w:rPr>
        <w:t xml:space="preserve">  人</w:t>
      </w:r>
      <w:r>
        <w:rPr>
          <w:rFonts w:hint="eastAsia"/>
          <w:bCs/>
          <w:color w:val="auto"/>
          <w:sz w:val="30"/>
          <w:szCs w:val="30"/>
          <w:highlight w:val="none"/>
        </w:rPr>
        <w:t>：</w:t>
      </w:r>
      <w:r>
        <w:rPr>
          <w:rFonts w:hint="eastAsia"/>
          <w:bCs/>
          <w:color w:val="auto"/>
          <w:sz w:val="30"/>
          <w:szCs w:val="30"/>
          <w:highlight w:val="none"/>
          <w:u w:val="single"/>
          <w:lang w:val="en-US" w:eastAsia="zh-CN"/>
        </w:rPr>
        <w:t xml:space="preserve">   </w:t>
      </w:r>
      <w:r>
        <w:rPr>
          <w:rFonts w:hint="eastAsia" w:ascii="宋体" w:cs="Times New Roman"/>
          <w:sz w:val="30"/>
          <w:szCs w:val="30"/>
          <w:highlight w:val="none"/>
          <w:u w:val="single"/>
          <w:lang w:eastAsia="zh-CN"/>
        </w:rPr>
        <w:t>滁州市翼然新能源开发有限公司</w:t>
      </w:r>
      <w:r>
        <w:rPr>
          <w:rFonts w:hint="eastAsia" w:ascii="宋体" w:cs="Times New Roman"/>
          <w:sz w:val="30"/>
          <w:szCs w:val="30"/>
          <w:highlight w:val="none"/>
          <w:u w:val="single"/>
          <w:lang w:val="en-US" w:eastAsia="zh-CN"/>
        </w:rPr>
        <w:t xml:space="preserve">  </w:t>
      </w:r>
    </w:p>
    <w:p w14:paraId="2C39D907">
      <w:pPr>
        <w:spacing w:line="800" w:lineRule="exact"/>
        <w:ind w:firstLine="600" w:firstLineChars="200"/>
        <w:rPr>
          <w:bCs/>
          <w:spacing w:val="-20"/>
          <w:sz w:val="30"/>
          <w:szCs w:val="30"/>
          <w:highlight w:val="none"/>
          <w:u w:val="thick"/>
        </w:rPr>
      </w:pPr>
      <w:r>
        <w:rPr>
          <w:rFonts w:hint="eastAsia"/>
          <w:bCs/>
          <w:sz w:val="30"/>
          <w:szCs w:val="30"/>
          <w:highlight w:val="none"/>
        </w:rPr>
        <w:t>招标代理机构：</w:t>
      </w:r>
      <w:r>
        <w:rPr>
          <w:rFonts w:hint="eastAsia" w:ascii="宋体"/>
          <w:sz w:val="30"/>
          <w:szCs w:val="30"/>
          <w:highlight w:val="none"/>
          <w:u w:val="single"/>
        </w:rPr>
        <w:t>滁州市城投工程咨询管理有限公司</w:t>
      </w:r>
    </w:p>
    <w:p w14:paraId="096ECC50">
      <w:pPr>
        <w:spacing w:before="156" w:beforeLines="50" w:after="156" w:afterLines="50" w:line="700" w:lineRule="exact"/>
        <w:jc w:val="center"/>
        <w:rPr>
          <w:rFonts w:ascii="宋体"/>
          <w:b w:val="0"/>
          <w:bCs/>
          <w:color w:val="auto"/>
          <w:sz w:val="32"/>
          <w:szCs w:val="32"/>
          <w:highlight w:val="none"/>
        </w:rPr>
      </w:pPr>
      <w:r>
        <w:rPr>
          <w:rFonts w:hint="eastAsia" w:ascii="宋体"/>
          <w:b w:val="0"/>
          <w:bCs/>
          <w:color w:val="auto"/>
          <w:sz w:val="32"/>
          <w:szCs w:val="32"/>
          <w:highlight w:val="none"/>
          <w:u w:val="single"/>
          <w:lang w:eastAsia="zh-CN"/>
        </w:rPr>
        <w:t>202</w:t>
      </w:r>
      <w:r>
        <w:rPr>
          <w:rFonts w:hint="eastAsia" w:ascii="宋体"/>
          <w:b w:val="0"/>
          <w:bCs/>
          <w:color w:val="auto"/>
          <w:sz w:val="32"/>
          <w:szCs w:val="32"/>
          <w:highlight w:val="none"/>
          <w:u w:val="single"/>
          <w:lang w:val="en-US" w:eastAsia="zh-CN"/>
        </w:rPr>
        <w:t>6</w:t>
      </w:r>
      <w:r>
        <w:rPr>
          <w:rFonts w:hint="eastAsia" w:ascii="宋体"/>
          <w:b w:val="0"/>
          <w:bCs/>
          <w:color w:val="auto"/>
          <w:sz w:val="32"/>
          <w:szCs w:val="32"/>
          <w:highlight w:val="none"/>
          <w:u w:val="none"/>
          <w:lang w:eastAsia="zh-CN"/>
        </w:rPr>
        <w:t>年</w:t>
      </w:r>
      <w:r>
        <w:rPr>
          <w:rFonts w:hint="eastAsia" w:ascii="宋体"/>
          <w:b w:val="0"/>
          <w:bCs/>
          <w:color w:val="auto"/>
          <w:sz w:val="32"/>
          <w:szCs w:val="32"/>
          <w:highlight w:val="none"/>
          <w:u w:val="single"/>
          <w:lang w:val="en-US" w:eastAsia="zh-CN"/>
        </w:rPr>
        <w:t xml:space="preserve"> 3 </w:t>
      </w:r>
      <w:r>
        <w:rPr>
          <w:rFonts w:hint="eastAsia" w:ascii="宋体"/>
          <w:b w:val="0"/>
          <w:bCs/>
          <w:color w:val="auto"/>
          <w:sz w:val="32"/>
          <w:szCs w:val="32"/>
          <w:highlight w:val="none"/>
        </w:rPr>
        <w:t>月</w:t>
      </w:r>
      <w:r>
        <w:rPr>
          <w:rFonts w:hint="eastAsia" w:ascii="宋体"/>
          <w:b w:val="0"/>
          <w:bCs/>
          <w:color w:val="auto"/>
          <w:sz w:val="32"/>
          <w:szCs w:val="32"/>
          <w:highlight w:val="none"/>
          <w:u w:val="single"/>
          <w:lang w:val="en-US" w:eastAsia="zh-CN"/>
        </w:rPr>
        <w:t xml:space="preserve"> 5 </w:t>
      </w:r>
      <w:r>
        <w:rPr>
          <w:rFonts w:hint="eastAsia" w:ascii="宋体"/>
          <w:b w:val="0"/>
          <w:bCs/>
          <w:color w:val="auto"/>
          <w:sz w:val="32"/>
          <w:szCs w:val="32"/>
          <w:highlight w:val="none"/>
        </w:rPr>
        <w:t>日</w:t>
      </w:r>
    </w:p>
    <w:p w14:paraId="0D5E6D18">
      <w:pPr>
        <w:jc w:val="center"/>
        <w:rPr>
          <w:sz w:val="44"/>
          <w:szCs w:val="44"/>
          <w:highlight w:val="none"/>
        </w:rPr>
        <w:sectPr>
          <w:headerReference r:id="rId3" w:type="default"/>
          <w:footerReference r:id="rId4" w:type="default"/>
          <w:pgSz w:w="11906" w:h="16838"/>
          <w:pgMar w:top="1134" w:right="1417" w:bottom="1134" w:left="1417" w:header="851" w:footer="992" w:gutter="0"/>
          <w:cols w:space="720" w:num="1"/>
          <w:docGrid w:type="lines" w:linePitch="312" w:charSpace="0"/>
        </w:sectPr>
      </w:pPr>
    </w:p>
    <w:p w14:paraId="738D69FE">
      <w:pPr>
        <w:spacing w:line="700" w:lineRule="exact"/>
        <w:jc w:val="center"/>
        <w:rPr>
          <w:rFonts w:hint="eastAsia"/>
          <w:sz w:val="44"/>
          <w:szCs w:val="44"/>
          <w:highlight w:val="none"/>
        </w:rPr>
      </w:pPr>
    </w:p>
    <w:p w14:paraId="09796EC2">
      <w:pPr>
        <w:spacing w:line="700" w:lineRule="exact"/>
        <w:jc w:val="center"/>
        <w:rPr>
          <w:sz w:val="44"/>
          <w:szCs w:val="44"/>
          <w:highlight w:val="none"/>
        </w:rPr>
      </w:pPr>
      <w:r>
        <w:rPr>
          <w:rFonts w:hint="eastAsia"/>
          <w:sz w:val="44"/>
          <w:szCs w:val="44"/>
          <w:highlight w:val="none"/>
        </w:rPr>
        <w:t>目   录</w:t>
      </w:r>
      <w:bookmarkEnd w:id="0"/>
      <w:bookmarkEnd w:id="1"/>
      <w:bookmarkEnd w:id="2"/>
      <w:bookmarkEnd w:id="3"/>
      <w:bookmarkEnd w:id="4"/>
      <w:bookmarkEnd w:id="5"/>
      <w:bookmarkEnd w:id="6"/>
      <w:bookmarkStart w:id="12" w:name="_Toc152042287"/>
      <w:bookmarkStart w:id="13" w:name="_Toc152045511"/>
      <w:bookmarkStart w:id="14" w:name="_Toc144974479"/>
      <w:bookmarkStart w:id="15" w:name="_Toc179632527"/>
    </w:p>
    <w:p w14:paraId="3C53E9AE">
      <w:pPr>
        <w:pStyle w:val="31"/>
        <w:tabs>
          <w:tab w:val="right" w:leader="dot" w:pos="9460"/>
        </w:tabs>
        <w:rPr>
          <w:rFonts w:ascii="Calibri" w:hAnsi="Calibri"/>
          <w:b w:val="0"/>
          <w:bCs w:val="0"/>
          <w:caps w:val="0"/>
          <w:color w:val="000000"/>
          <w:sz w:val="32"/>
          <w:szCs w:val="22"/>
        </w:rPr>
      </w:pPr>
      <w:r>
        <w:rPr>
          <w:rStyle w:val="58"/>
          <w:color w:val="000000"/>
          <w:sz w:val="28"/>
        </w:rPr>
        <w:fldChar w:fldCharType="begin"/>
      </w:r>
      <w:r>
        <w:rPr>
          <w:rStyle w:val="58"/>
          <w:color w:val="000000"/>
          <w:sz w:val="28"/>
        </w:rPr>
        <w:instrText xml:space="preserve"> </w:instrText>
      </w:r>
      <w:r>
        <w:rPr>
          <w:color w:val="000000"/>
          <w:sz w:val="28"/>
        </w:rPr>
        <w:instrText xml:space="preserve">HYPERLINK \l "_Toc95223332"</w:instrText>
      </w:r>
      <w:r>
        <w:rPr>
          <w:rStyle w:val="58"/>
          <w:color w:val="000000"/>
          <w:sz w:val="28"/>
        </w:rPr>
        <w:instrText xml:space="preserve"> </w:instrText>
      </w:r>
      <w:r>
        <w:rPr>
          <w:rStyle w:val="58"/>
          <w:color w:val="000000"/>
          <w:sz w:val="28"/>
        </w:rPr>
        <w:fldChar w:fldCharType="separate"/>
      </w:r>
      <w:r>
        <w:rPr>
          <w:rStyle w:val="58"/>
          <w:rFonts w:hint="eastAsia"/>
          <w:color w:val="000000"/>
          <w:sz w:val="28"/>
        </w:rPr>
        <w:t>第一章</w:t>
      </w:r>
      <w:r>
        <w:rPr>
          <w:rStyle w:val="58"/>
          <w:color w:val="000000"/>
          <w:sz w:val="28"/>
        </w:rPr>
        <w:t xml:space="preserve"> </w:t>
      </w:r>
      <w:r>
        <w:rPr>
          <w:rStyle w:val="58"/>
          <w:rFonts w:hint="eastAsia"/>
          <w:color w:val="000000"/>
          <w:sz w:val="28"/>
        </w:rPr>
        <w:t>招标公告</w:t>
      </w:r>
      <w:r>
        <w:rPr>
          <w:color w:val="000000"/>
          <w:sz w:val="28"/>
        </w:rPr>
        <w:tab/>
      </w:r>
      <w:r>
        <w:rPr>
          <w:rFonts w:hint="eastAsia"/>
          <w:color w:val="000000"/>
          <w:sz w:val="28"/>
          <w:lang w:val="en-US" w:eastAsia="zh-CN"/>
        </w:rPr>
        <w:t>1</w:t>
      </w:r>
      <w:r>
        <w:rPr>
          <w:rStyle w:val="58"/>
          <w:color w:val="000000"/>
          <w:sz w:val="28"/>
        </w:rPr>
        <w:fldChar w:fldCharType="end"/>
      </w:r>
    </w:p>
    <w:p w14:paraId="0460FC51">
      <w:pPr>
        <w:pStyle w:val="31"/>
        <w:tabs>
          <w:tab w:val="right" w:leader="dot" w:pos="9460"/>
        </w:tabs>
        <w:rPr>
          <w:rFonts w:ascii="Calibri" w:hAnsi="Calibri"/>
          <w:b w:val="0"/>
          <w:bCs w:val="0"/>
          <w:caps w:val="0"/>
          <w:color w:val="000000"/>
          <w:sz w:val="32"/>
          <w:szCs w:val="22"/>
        </w:rPr>
      </w:pPr>
      <w:r>
        <w:rPr>
          <w:rStyle w:val="58"/>
          <w:color w:val="000000"/>
          <w:sz w:val="28"/>
        </w:rPr>
        <w:fldChar w:fldCharType="begin"/>
      </w:r>
      <w:r>
        <w:rPr>
          <w:rStyle w:val="58"/>
          <w:color w:val="000000"/>
          <w:sz w:val="28"/>
        </w:rPr>
        <w:instrText xml:space="preserve"> </w:instrText>
      </w:r>
      <w:r>
        <w:rPr>
          <w:color w:val="000000"/>
          <w:sz w:val="28"/>
        </w:rPr>
        <w:instrText xml:space="preserve">HYPERLINK \l "_Toc95223333"</w:instrText>
      </w:r>
      <w:r>
        <w:rPr>
          <w:rStyle w:val="58"/>
          <w:color w:val="000000"/>
          <w:sz w:val="28"/>
        </w:rPr>
        <w:instrText xml:space="preserve"> </w:instrText>
      </w:r>
      <w:r>
        <w:rPr>
          <w:rStyle w:val="58"/>
          <w:color w:val="000000"/>
          <w:sz w:val="28"/>
        </w:rPr>
        <w:fldChar w:fldCharType="separate"/>
      </w:r>
      <w:r>
        <w:rPr>
          <w:rStyle w:val="58"/>
          <w:rFonts w:hint="eastAsia"/>
          <w:color w:val="000000"/>
          <w:sz w:val="28"/>
        </w:rPr>
        <w:t>第二章</w:t>
      </w:r>
      <w:r>
        <w:rPr>
          <w:rStyle w:val="58"/>
          <w:color w:val="000000"/>
          <w:sz w:val="28"/>
        </w:rPr>
        <w:t xml:space="preserve"> </w:t>
      </w:r>
      <w:r>
        <w:rPr>
          <w:rStyle w:val="58"/>
          <w:rFonts w:hint="eastAsia"/>
          <w:color w:val="000000"/>
          <w:sz w:val="28"/>
        </w:rPr>
        <w:t>投标人须知</w:t>
      </w:r>
      <w:r>
        <w:rPr>
          <w:color w:val="000000"/>
          <w:sz w:val="28"/>
        </w:rPr>
        <w:tab/>
      </w:r>
      <w:r>
        <w:rPr>
          <w:rFonts w:hint="eastAsia"/>
          <w:color w:val="000000"/>
          <w:sz w:val="28"/>
          <w:lang w:val="en-US" w:eastAsia="zh-CN"/>
        </w:rPr>
        <w:t>4</w:t>
      </w:r>
      <w:r>
        <w:rPr>
          <w:rStyle w:val="58"/>
          <w:color w:val="000000"/>
          <w:sz w:val="28"/>
        </w:rPr>
        <w:fldChar w:fldCharType="end"/>
      </w:r>
    </w:p>
    <w:p w14:paraId="01B484B7">
      <w:pPr>
        <w:pStyle w:val="31"/>
        <w:tabs>
          <w:tab w:val="right" w:leader="dot" w:pos="9460"/>
        </w:tabs>
        <w:rPr>
          <w:rStyle w:val="58"/>
          <w:rFonts w:hint="default"/>
          <w:color w:val="000000"/>
          <w:sz w:val="28"/>
          <w:lang w:val="en-US" w:eastAsia="zh-CN"/>
        </w:rPr>
      </w:pPr>
      <w:r>
        <w:rPr>
          <w:rStyle w:val="58"/>
          <w:color w:val="000000"/>
          <w:sz w:val="28"/>
        </w:rPr>
        <w:fldChar w:fldCharType="begin"/>
      </w:r>
      <w:r>
        <w:rPr>
          <w:rStyle w:val="58"/>
          <w:color w:val="000000"/>
          <w:sz w:val="28"/>
        </w:rPr>
        <w:instrText xml:space="preserve"> </w:instrText>
      </w:r>
      <w:r>
        <w:rPr>
          <w:color w:val="000000"/>
          <w:sz w:val="28"/>
        </w:rPr>
        <w:instrText xml:space="preserve">HYPERLINK \l "_Toc95223391"</w:instrText>
      </w:r>
      <w:r>
        <w:rPr>
          <w:rStyle w:val="58"/>
          <w:color w:val="000000"/>
          <w:sz w:val="28"/>
        </w:rPr>
        <w:instrText xml:space="preserve"> </w:instrText>
      </w:r>
      <w:r>
        <w:rPr>
          <w:rStyle w:val="58"/>
          <w:color w:val="000000"/>
          <w:sz w:val="28"/>
        </w:rPr>
        <w:fldChar w:fldCharType="separate"/>
      </w:r>
      <w:r>
        <w:rPr>
          <w:rStyle w:val="58"/>
          <w:rFonts w:hint="eastAsia"/>
          <w:color w:val="000000"/>
          <w:sz w:val="28"/>
        </w:rPr>
        <w:t>第三章</w:t>
      </w:r>
      <w:r>
        <w:rPr>
          <w:rStyle w:val="58"/>
          <w:color w:val="000000"/>
          <w:sz w:val="28"/>
        </w:rPr>
        <w:t xml:space="preserve"> </w:t>
      </w:r>
      <w:r>
        <w:rPr>
          <w:rStyle w:val="58"/>
          <w:rFonts w:hint="eastAsia"/>
          <w:color w:val="000000"/>
          <w:sz w:val="28"/>
        </w:rPr>
        <w:t>资格审查办法</w:t>
      </w:r>
      <w:r>
        <w:rPr>
          <w:color w:val="000000"/>
          <w:sz w:val="28"/>
        </w:rPr>
        <w:tab/>
      </w:r>
      <w:r>
        <w:rPr>
          <w:rStyle w:val="58"/>
          <w:color w:val="000000"/>
          <w:sz w:val="28"/>
        </w:rPr>
        <w:fldChar w:fldCharType="end"/>
      </w:r>
      <w:r>
        <w:rPr>
          <w:rStyle w:val="58"/>
          <w:rFonts w:hint="eastAsia"/>
          <w:color w:val="000000"/>
          <w:sz w:val="28"/>
          <w:lang w:val="en-US" w:eastAsia="zh-CN"/>
        </w:rPr>
        <w:t>20</w:t>
      </w:r>
    </w:p>
    <w:p w14:paraId="278F67BB">
      <w:pPr>
        <w:pStyle w:val="31"/>
        <w:tabs>
          <w:tab w:val="right" w:leader="dot" w:pos="9460"/>
        </w:tabs>
        <w:rPr>
          <w:rFonts w:hint="eastAsia" w:ascii="Calibri" w:hAnsi="Calibri" w:eastAsia="宋体"/>
          <w:b w:val="0"/>
          <w:bCs w:val="0"/>
          <w:caps w:val="0"/>
          <w:color w:val="000000"/>
          <w:sz w:val="32"/>
          <w:szCs w:val="22"/>
          <w:lang w:val="en-US" w:eastAsia="zh-CN"/>
        </w:rPr>
      </w:pPr>
      <w:r>
        <w:rPr>
          <w:rStyle w:val="58"/>
          <w:color w:val="000000"/>
          <w:sz w:val="28"/>
        </w:rPr>
        <w:fldChar w:fldCharType="begin"/>
      </w:r>
      <w:r>
        <w:rPr>
          <w:rStyle w:val="58"/>
          <w:color w:val="000000"/>
          <w:sz w:val="28"/>
        </w:rPr>
        <w:instrText xml:space="preserve"> </w:instrText>
      </w:r>
      <w:r>
        <w:rPr>
          <w:color w:val="000000"/>
          <w:sz w:val="28"/>
        </w:rPr>
        <w:instrText xml:space="preserve">HYPERLINK \l "_Toc95223398"</w:instrText>
      </w:r>
      <w:r>
        <w:rPr>
          <w:rStyle w:val="58"/>
          <w:color w:val="000000"/>
          <w:sz w:val="28"/>
        </w:rPr>
        <w:instrText xml:space="preserve"> </w:instrText>
      </w:r>
      <w:r>
        <w:rPr>
          <w:rStyle w:val="58"/>
          <w:color w:val="000000"/>
          <w:sz w:val="28"/>
        </w:rPr>
        <w:fldChar w:fldCharType="separate"/>
      </w:r>
      <w:r>
        <w:rPr>
          <w:rStyle w:val="58"/>
          <w:rFonts w:hint="eastAsia"/>
          <w:color w:val="000000"/>
          <w:sz w:val="28"/>
        </w:rPr>
        <w:t>第四章</w:t>
      </w:r>
      <w:r>
        <w:rPr>
          <w:rStyle w:val="58"/>
          <w:color w:val="000000"/>
          <w:sz w:val="28"/>
        </w:rPr>
        <w:t xml:space="preserve"> </w:t>
      </w:r>
      <w:r>
        <w:rPr>
          <w:rStyle w:val="58"/>
          <w:rFonts w:hint="eastAsia"/>
          <w:color w:val="000000"/>
          <w:sz w:val="28"/>
        </w:rPr>
        <w:t>评标办法</w:t>
      </w:r>
      <w:bookmarkStart w:id="16" w:name="_Hlt95225442"/>
      <w:r>
        <w:rPr>
          <w:color w:val="000000"/>
          <w:sz w:val="28"/>
        </w:rPr>
        <w:tab/>
      </w:r>
      <w:bookmarkEnd w:id="16"/>
      <w:r>
        <w:rPr>
          <w:rFonts w:hint="eastAsia"/>
          <w:color w:val="000000"/>
          <w:sz w:val="28"/>
          <w:lang w:val="en-US" w:eastAsia="zh-CN"/>
        </w:rPr>
        <w:t>2</w:t>
      </w:r>
      <w:r>
        <w:rPr>
          <w:rStyle w:val="58"/>
          <w:color w:val="000000"/>
          <w:sz w:val="28"/>
        </w:rPr>
        <w:fldChar w:fldCharType="end"/>
      </w:r>
      <w:r>
        <w:rPr>
          <w:rStyle w:val="58"/>
          <w:rFonts w:hint="eastAsia"/>
          <w:color w:val="000000"/>
          <w:sz w:val="28"/>
          <w:lang w:val="en-US" w:eastAsia="zh-CN"/>
        </w:rPr>
        <w:t>2</w:t>
      </w:r>
    </w:p>
    <w:p w14:paraId="72BC3D8C">
      <w:pPr>
        <w:pStyle w:val="31"/>
        <w:tabs>
          <w:tab w:val="right" w:leader="dot" w:pos="9460"/>
        </w:tabs>
        <w:rPr>
          <w:rStyle w:val="58"/>
          <w:rFonts w:hint="eastAsia"/>
          <w:color w:val="000000"/>
          <w:sz w:val="28"/>
          <w:lang w:val="en-US" w:eastAsia="zh-CN"/>
        </w:rPr>
      </w:pPr>
      <w:r>
        <w:rPr>
          <w:rStyle w:val="58"/>
          <w:color w:val="000000"/>
          <w:sz w:val="28"/>
        </w:rPr>
        <w:fldChar w:fldCharType="begin"/>
      </w:r>
      <w:r>
        <w:rPr>
          <w:rStyle w:val="58"/>
          <w:color w:val="000000"/>
          <w:sz w:val="28"/>
        </w:rPr>
        <w:instrText xml:space="preserve"> </w:instrText>
      </w:r>
      <w:r>
        <w:rPr>
          <w:color w:val="000000"/>
          <w:sz w:val="28"/>
        </w:rPr>
        <w:instrText xml:space="preserve">HYPERLINK \l "_Toc95223458"</w:instrText>
      </w:r>
      <w:r>
        <w:rPr>
          <w:rStyle w:val="58"/>
          <w:color w:val="000000"/>
          <w:sz w:val="28"/>
        </w:rPr>
        <w:instrText xml:space="preserve"> </w:instrText>
      </w:r>
      <w:r>
        <w:rPr>
          <w:rStyle w:val="58"/>
          <w:color w:val="000000"/>
          <w:sz w:val="28"/>
        </w:rPr>
        <w:fldChar w:fldCharType="separate"/>
      </w:r>
      <w:r>
        <w:rPr>
          <w:rStyle w:val="58"/>
          <w:rFonts w:hint="eastAsia"/>
          <w:color w:val="000000"/>
          <w:sz w:val="28"/>
        </w:rPr>
        <w:t>第五章</w:t>
      </w:r>
      <w:r>
        <w:rPr>
          <w:rStyle w:val="58"/>
          <w:color w:val="000000"/>
          <w:sz w:val="28"/>
        </w:rPr>
        <w:t xml:space="preserve"> </w:t>
      </w:r>
      <w:r>
        <w:rPr>
          <w:rStyle w:val="58"/>
          <w:rFonts w:hint="eastAsia"/>
          <w:color w:val="000000"/>
          <w:sz w:val="28"/>
        </w:rPr>
        <w:t>合同条款及格式</w:t>
      </w:r>
      <w:r>
        <w:rPr>
          <w:color w:val="000000"/>
          <w:sz w:val="28"/>
        </w:rPr>
        <w:tab/>
      </w:r>
      <w:r>
        <w:rPr>
          <w:rFonts w:hint="eastAsia"/>
          <w:color w:val="000000"/>
          <w:sz w:val="28"/>
          <w:lang w:val="en-US" w:eastAsia="zh-CN"/>
        </w:rPr>
        <w:t>3</w:t>
      </w:r>
      <w:r>
        <w:rPr>
          <w:rStyle w:val="58"/>
          <w:color w:val="000000"/>
          <w:sz w:val="28"/>
        </w:rPr>
        <w:fldChar w:fldCharType="end"/>
      </w:r>
      <w:r>
        <w:rPr>
          <w:rStyle w:val="58"/>
          <w:rFonts w:hint="eastAsia"/>
          <w:color w:val="000000"/>
          <w:sz w:val="28"/>
          <w:lang w:val="en-US" w:eastAsia="zh-CN"/>
        </w:rPr>
        <w:t>1</w:t>
      </w:r>
    </w:p>
    <w:p w14:paraId="2E624EDC">
      <w:pPr>
        <w:pStyle w:val="31"/>
        <w:tabs>
          <w:tab w:val="right" w:leader="dot" w:pos="9460"/>
        </w:tabs>
        <w:rPr>
          <w:rFonts w:hint="eastAsia" w:ascii="Calibri" w:hAnsi="Calibri" w:eastAsia="宋体"/>
          <w:b w:val="0"/>
          <w:bCs w:val="0"/>
          <w:caps w:val="0"/>
          <w:color w:val="000000"/>
          <w:sz w:val="32"/>
          <w:szCs w:val="22"/>
          <w:lang w:val="en-US" w:eastAsia="zh-CN"/>
        </w:rPr>
      </w:pPr>
      <w:r>
        <w:rPr>
          <w:rStyle w:val="58"/>
          <w:color w:val="000000"/>
          <w:sz w:val="28"/>
        </w:rPr>
        <w:fldChar w:fldCharType="begin"/>
      </w:r>
      <w:r>
        <w:rPr>
          <w:rStyle w:val="58"/>
          <w:color w:val="000000"/>
          <w:sz w:val="28"/>
        </w:rPr>
        <w:instrText xml:space="preserve"> </w:instrText>
      </w:r>
      <w:r>
        <w:rPr>
          <w:color w:val="000000"/>
          <w:sz w:val="28"/>
        </w:rPr>
        <w:instrText xml:space="preserve">HYPERLINK \l "_Toc95223515"</w:instrText>
      </w:r>
      <w:r>
        <w:rPr>
          <w:rStyle w:val="58"/>
          <w:color w:val="000000"/>
          <w:sz w:val="28"/>
        </w:rPr>
        <w:instrText xml:space="preserve"> </w:instrText>
      </w:r>
      <w:r>
        <w:rPr>
          <w:rStyle w:val="58"/>
          <w:color w:val="000000"/>
          <w:sz w:val="28"/>
        </w:rPr>
        <w:fldChar w:fldCharType="separate"/>
      </w:r>
      <w:r>
        <w:rPr>
          <w:rStyle w:val="58"/>
          <w:rFonts w:hint="eastAsia" w:ascii="宋体" w:hAnsi="宋体" w:cs="宋体"/>
          <w:color w:val="000000"/>
          <w:kern w:val="44"/>
          <w:sz w:val="28"/>
        </w:rPr>
        <w:t>第六章 工程量清单</w:t>
      </w:r>
      <w:r>
        <w:rPr>
          <w:color w:val="000000"/>
          <w:sz w:val="28"/>
        </w:rPr>
        <w:tab/>
      </w:r>
      <w:r>
        <w:rPr>
          <w:rFonts w:hint="eastAsia"/>
          <w:color w:val="000000"/>
          <w:sz w:val="28"/>
          <w:lang w:val="en-US" w:eastAsia="zh-CN"/>
        </w:rPr>
        <w:t>7</w:t>
      </w:r>
      <w:r>
        <w:rPr>
          <w:rStyle w:val="58"/>
          <w:color w:val="000000"/>
          <w:sz w:val="28"/>
        </w:rPr>
        <w:fldChar w:fldCharType="end"/>
      </w:r>
      <w:r>
        <w:rPr>
          <w:rStyle w:val="58"/>
          <w:rFonts w:hint="eastAsia"/>
          <w:color w:val="000000"/>
          <w:sz w:val="28"/>
          <w:lang w:val="en-US" w:eastAsia="zh-CN"/>
        </w:rPr>
        <w:t>4</w:t>
      </w:r>
    </w:p>
    <w:p w14:paraId="3DCF61C3">
      <w:pPr>
        <w:pStyle w:val="31"/>
        <w:tabs>
          <w:tab w:val="right" w:leader="dot" w:pos="9460"/>
        </w:tabs>
        <w:rPr>
          <w:rFonts w:hint="eastAsia" w:ascii="Calibri" w:hAnsi="Calibri" w:eastAsia="宋体"/>
          <w:b w:val="0"/>
          <w:bCs w:val="0"/>
          <w:caps w:val="0"/>
          <w:color w:val="000000"/>
          <w:sz w:val="32"/>
          <w:szCs w:val="22"/>
          <w:lang w:val="en-US" w:eastAsia="zh-CN"/>
        </w:rPr>
      </w:pPr>
      <w:r>
        <w:rPr>
          <w:rStyle w:val="58"/>
          <w:color w:val="000000"/>
          <w:sz w:val="28"/>
        </w:rPr>
        <w:fldChar w:fldCharType="begin"/>
      </w:r>
      <w:r>
        <w:rPr>
          <w:rStyle w:val="58"/>
          <w:color w:val="000000"/>
          <w:sz w:val="28"/>
        </w:rPr>
        <w:instrText xml:space="preserve"> </w:instrText>
      </w:r>
      <w:r>
        <w:rPr>
          <w:color w:val="000000"/>
          <w:sz w:val="28"/>
        </w:rPr>
        <w:instrText xml:space="preserve">HYPERLINK \l "_Toc95223522"</w:instrText>
      </w:r>
      <w:r>
        <w:rPr>
          <w:rStyle w:val="58"/>
          <w:color w:val="000000"/>
          <w:sz w:val="28"/>
        </w:rPr>
        <w:instrText xml:space="preserve"> </w:instrText>
      </w:r>
      <w:r>
        <w:rPr>
          <w:rStyle w:val="58"/>
          <w:color w:val="000000"/>
          <w:sz w:val="28"/>
        </w:rPr>
        <w:fldChar w:fldCharType="separate"/>
      </w:r>
      <w:r>
        <w:rPr>
          <w:rStyle w:val="58"/>
          <w:rFonts w:hint="eastAsia" w:ascii="宋体" w:hAnsi="宋体" w:cs="宋体"/>
          <w:color w:val="000000"/>
          <w:kern w:val="44"/>
          <w:sz w:val="28"/>
        </w:rPr>
        <w:t>第七章</w:t>
      </w:r>
      <w:r>
        <w:rPr>
          <w:rStyle w:val="58"/>
          <w:rFonts w:ascii="宋体" w:hAnsi="宋体" w:cs="宋体"/>
          <w:color w:val="000000"/>
          <w:kern w:val="44"/>
          <w:sz w:val="28"/>
        </w:rPr>
        <w:t xml:space="preserve"> </w:t>
      </w:r>
      <w:r>
        <w:rPr>
          <w:rStyle w:val="58"/>
          <w:rFonts w:hint="eastAsia" w:ascii="宋体" w:hAnsi="宋体" w:cs="宋体"/>
          <w:color w:val="000000"/>
          <w:kern w:val="44"/>
          <w:sz w:val="28"/>
        </w:rPr>
        <w:t>图纸</w:t>
      </w:r>
      <w:r>
        <w:rPr>
          <w:color w:val="000000"/>
          <w:sz w:val="28"/>
        </w:rPr>
        <w:tab/>
      </w:r>
      <w:r>
        <w:rPr>
          <w:rFonts w:hint="eastAsia"/>
          <w:color w:val="000000"/>
          <w:sz w:val="28"/>
          <w:lang w:val="en-US" w:eastAsia="zh-CN"/>
        </w:rPr>
        <w:t>7</w:t>
      </w:r>
      <w:r>
        <w:rPr>
          <w:rStyle w:val="58"/>
          <w:color w:val="000000"/>
          <w:sz w:val="28"/>
        </w:rPr>
        <w:fldChar w:fldCharType="end"/>
      </w:r>
      <w:r>
        <w:rPr>
          <w:rStyle w:val="58"/>
          <w:rFonts w:hint="eastAsia"/>
          <w:color w:val="000000"/>
          <w:sz w:val="28"/>
          <w:lang w:val="en-US" w:eastAsia="zh-CN"/>
        </w:rPr>
        <w:t>4</w:t>
      </w:r>
    </w:p>
    <w:p w14:paraId="3AB8456F">
      <w:pPr>
        <w:pStyle w:val="31"/>
        <w:tabs>
          <w:tab w:val="right" w:leader="dot" w:pos="9460"/>
        </w:tabs>
        <w:rPr>
          <w:rFonts w:hint="eastAsia" w:ascii="Calibri" w:hAnsi="Calibri" w:eastAsia="宋体"/>
          <w:b w:val="0"/>
          <w:bCs w:val="0"/>
          <w:caps w:val="0"/>
          <w:color w:val="000000"/>
          <w:sz w:val="32"/>
          <w:szCs w:val="22"/>
          <w:lang w:val="en-US" w:eastAsia="zh-CN"/>
        </w:rPr>
      </w:pPr>
      <w:r>
        <w:rPr>
          <w:rStyle w:val="58"/>
          <w:color w:val="000000"/>
          <w:sz w:val="28"/>
        </w:rPr>
        <w:fldChar w:fldCharType="begin"/>
      </w:r>
      <w:r>
        <w:rPr>
          <w:rStyle w:val="58"/>
          <w:color w:val="000000"/>
          <w:sz w:val="28"/>
        </w:rPr>
        <w:instrText xml:space="preserve"> </w:instrText>
      </w:r>
      <w:r>
        <w:rPr>
          <w:color w:val="000000"/>
          <w:sz w:val="28"/>
        </w:rPr>
        <w:instrText xml:space="preserve">HYPERLINK \l "_Toc95223525"</w:instrText>
      </w:r>
      <w:r>
        <w:rPr>
          <w:rStyle w:val="58"/>
          <w:color w:val="000000"/>
          <w:sz w:val="28"/>
        </w:rPr>
        <w:instrText xml:space="preserve"> </w:instrText>
      </w:r>
      <w:r>
        <w:rPr>
          <w:rStyle w:val="58"/>
          <w:color w:val="000000"/>
          <w:sz w:val="28"/>
        </w:rPr>
        <w:fldChar w:fldCharType="separate"/>
      </w:r>
      <w:r>
        <w:rPr>
          <w:rStyle w:val="58"/>
          <w:rFonts w:hint="eastAsia" w:ascii="宋体" w:hAnsi="宋体" w:cs="宋体"/>
          <w:color w:val="000000"/>
          <w:kern w:val="44"/>
          <w:sz w:val="28"/>
        </w:rPr>
        <w:t>第八章 技术标准和要求</w:t>
      </w:r>
      <w:r>
        <w:rPr>
          <w:color w:val="000000"/>
          <w:sz w:val="28"/>
        </w:rPr>
        <w:tab/>
      </w:r>
      <w:r>
        <w:rPr>
          <w:rFonts w:hint="eastAsia"/>
          <w:color w:val="000000"/>
          <w:sz w:val="28"/>
          <w:lang w:val="en-US" w:eastAsia="zh-CN"/>
        </w:rPr>
        <w:t>7</w:t>
      </w:r>
      <w:r>
        <w:rPr>
          <w:rStyle w:val="58"/>
          <w:color w:val="000000"/>
          <w:sz w:val="28"/>
        </w:rPr>
        <w:fldChar w:fldCharType="end"/>
      </w:r>
      <w:r>
        <w:rPr>
          <w:rStyle w:val="58"/>
          <w:rFonts w:hint="eastAsia"/>
          <w:color w:val="000000"/>
          <w:sz w:val="28"/>
          <w:lang w:val="en-US" w:eastAsia="zh-CN"/>
        </w:rPr>
        <w:t>5</w:t>
      </w:r>
    </w:p>
    <w:p w14:paraId="7B73DFB9">
      <w:pPr>
        <w:pStyle w:val="31"/>
        <w:tabs>
          <w:tab w:val="right" w:leader="dot" w:pos="9460"/>
        </w:tabs>
        <w:rPr>
          <w:rFonts w:hint="eastAsia" w:ascii="Calibri" w:hAnsi="Calibri" w:eastAsia="宋体"/>
          <w:b w:val="0"/>
          <w:bCs w:val="0"/>
          <w:caps w:val="0"/>
          <w:color w:val="000000"/>
          <w:sz w:val="32"/>
          <w:szCs w:val="22"/>
          <w:lang w:val="en-US" w:eastAsia="zh-CN"/>
        </w:rPr>
      </w:pPr>
      <w:r>
        <w:rPr>
          <w:rStyle w:val="58"/>
          <w:color w:val="000000"/>
          <w:sz w:val="28"/>
        </w:rPr>
        <w:fldChar w:fldCharType="begin"/>
      </w:r>
      <w:r>
        <w:rPr>
          <w:rStyle w:val="58"/>
          <w:color w:val="000000"/>
          <w:sz w:val="28"/>
        </w:rPr>
        <w:instrText xml:space="preserve"> </w:instrText>
      </w:r>
      <w:r>
        <w:rPr>
          <w:color w:val="000000"/>
          <w:sz w:val="28"/>
        </w:rPr>
        <w:instrText xml:space="preserve">HYPERLINK \l "_Toc95223531"</w:instrText>
      </w:r>
      <w:r>
        <w:rPr>
          <w:rStyle w:val="58"/>
          <w:color w:val="000000"/>
          <w:sz w:val="28"/>
        </w:rPr>
        <w:instrText xml:space="preserve"> </w:instrText>
      </w:r>
      <w:r>
        <w:rPr>
          <w:rStyle w:val="58"/>
          <w:color w:val="000000"/>
          <w:sz w:val="28"/>
        </w:rPr>
        <w:fldChar w:fldCharType="separate"/>
      </w:r>
      <w:r>
        <w:rPr>
          <w:rStyle w:val="58"/>
          <w:rFonts w:hint="eastAsia"/>
          <w:color w:val="000000"/>
          <w:sz w:val="28"/>
        </w:rPr>
        <w:t>第九章 投标文件格式</w:t>
      </w:r>
      <w:r>
        <w:rPr>
          <w:color w:val="000000"/>
          <w:sz w:val="28"/>
        </w:rPr>
        <w:tab/>
      </w:r>
      <w:r>
        <w:rPr>
          <w:rStyle w:val="58"/>
          <w:color w:val="000000"/>
          <w:sz w:val="28"/>
        </w:rPr>
        <w:fldChar w:fldCharType="end"/>
      </w:r>
      <w:r>
        <w:rPr>
          <w:rStyle w:val="58"/>
          <w:rFonts w:hint="eastAsia"/>
          <w:color w:val="000000"/>
          <w:sz w:val="28"/>
          <w:lang w:val="en-US" w:eastAsia="zh-CN"/>
        </w:rPr>
        <w:t>76</w:t>
      </w:r>
    </w:p>
    <w:p w14:paraId="63D8DA84">
      <w:pPr>
        <w:pStyle w:val="31"/>
        <w:tabs>
          <w:tab w:val="right" w:leader="dot" w:pos="9460"/>
        </w:tabs>
        <w:rPr>
          <w:rFonts w:hint="eastAsia" w:ascii="Calibri" w:hAnsi="Calibri" w:eastAsia="宋体"/>
          <w:b w:val="0"/>
          <w:bCs w:val="0"/>
          <w:caps w:val="0"/>
          <w:color w:val="000000"/>
          <w:sz w:val="32"/>
          <w:szCs w:val="22"/>
          <w:lang w:val="en-US" w:eastAsia="zh-CN"/>
        </w:rPr>
      </w:pPr>
      <w:r>
        <w:rPr>
          <w:rStyle w:val="58"/>
          <w:color w:val="000000"/>
          <w:sz w:val="28"/>
        </w:rPr>
        <w:fldChar w:fldCharType="begin"/>
      </w:r>
      <w:r>
        <w:rPr>
          <w:rStyle w:val="58"/>
          <w:color w:val="000000"/>
          <w:sz w:val="28"/>
        </w:rPr>
        <w:instrText xml:space="preserve"> </w:instrText>
      </w:r>
      <w:r>
        <w:rPr>
          <w:color w:val="000000"/>
          <w:sz w:val="28"/>
        </w:rPr>
        <w:instrText xml:space="preserve">HYPERLINK \l "_Toc95223547"</w:instrText>
      </w:r>
      <w:r>
        <w:rPr>
          <w:rStyle w:val="58"/>
          <w:color w:val="000000"/>
          <w:sz w:val="28"/>
        </w:rPr>
        <w:instrText xml:space="preserve"> </w:instrText>
      </w:r>
      <w:r>
        <w:rPr>
          <w:rStyle w:val="58"/>
          <w:color w:val="000000"/>
          <w:sz w:val="28"/>
        </w:rPr>
        <w:fldChar w:fldCharType="separate"/>
      </w:r>
      <w:r>
        <w:rPr>
          <w:rStyle w:val="58"/>
          <w:rFonts w:hint="eastAsia" w:eastAsia="黑体"/>
          <w:color w:val="000000"/>
          <w:sz w:val="28"/>
        </w:rPr>
        <w:t>第十章</w:t>
      </w:r>
      <w:r>
        <w:rPr>
          <w:rStyle w:val="58"/>
          <w:rFonts w:eastAsia="黑体"/>
          <w:color w:val="000000"/>
          <w:sz w:val="28"/>
        </w:rPr>
        <w:t xml:space="preserve"> </w:t>
      </w:r>
      <w:r>
        <w:rPr>
          <w:rStyle w:val="58"/>
          <w:rFonts w:hint="eastAsia" w:eastAsia="黑体"/>
          <w:color w:val="000000"/>
          <w:sz w:val="28"/>
        </w:rPr>
        <w:t>招标人、招标代理机构对本招标文件的确认</w:t>
      </w:r>
      <w:bookmarkStart w:id="17" w:name="_Hlt95223550"/>
      <w:bookmarkStart w:id="18" w:name="_Hlt95223551"/>
      <w:r>
        <w:rPr>
          <w:color w:val="000000"/>
          <w:sz w:val="28"/>
        </w:rPr>
        <w:tab/>
      </w:r>
      <w:bookmarkEnd w:id="17"/>
      <w:bookmarkEnd w:id="18"/>
      <w:r>
        <w:rPr>
          <w:rFonts w:hint="eastAsia"/>
          <w:color w:val="000000"/>
          <w:sz w:val="28"/>
          <w:lang w:val="en-US" w:eastAsia="zh-CN"/>
        </w:rPr>
        <w:t>8</w:t>
      </w:r>
      <w:r>
        <w:rPr>
          <w:rStyle w:val="58"/>
          <w:color w:val="000000"/>
          <w:sz w:val="28"/>
        </w:rPr>
        <w:fldChar w:fldCharType="end"/>
      </w:r>
      <w:r>
        <w:rPr>
          <w:rStyle w:val="58"/>
          <w:rFonts w:hint="eastAsia"/>
          <w:color w:val="000000"/>
          <w:sz w:val="28"/>
          <w:lang w:val="en-US" w:eastAsia="zh-CN"/>
        </w:rPr>
        <w:t>9</w:t>
      </w:r>
    </w:p>
    <w:p w14:paraId="328C7EE3">
      <w:pPr>
        <w:pStyle w:val="31"/>
        <w:tabs>
          <w:tab w:val="right" w:leader="dot" w:pos="9460"/>
        </w:tabs>
        <w:rPr>
          <w:rFonts w:hint="eastAsia" w:ascii="Calibri" w:hAnsi="Calibri" w:eastAsia="宋体"/>
          <w:b w:val="0"/>
          <w:bCs w:val="0"/>
          <w:caps w:val="0"/>
          <w:color w:val="000000"/>
          <w:sz w:val="32"/>
          <w:szCs w:val="22"/>
          <w:lang w:val="en-US" w:eastAsia="zh-CN"/>
        </w:rPr>
      </w:pPr>
      <w:r>
        <w:rPr>
          <w:rStyle w:val="58"/>
          <w:color w:val="000000"/>
          <w:sz w:val="28"/>
        </w:rPr>
        <w:fldChar w:fldCharType="begin"/>
      </w:r>
      <w:r>
        <w:rPr>
          <w:rStyle w:val="58"/>
          <w:color w:val="000000"/>
          <w:sz w:val="28"/>
        </w:rPr>
        <w:instrText xml:space="preserve"> </w:instrText>
      </w:r>
      <w:r>
        <w:rPr>
          <w:color w:val="000000"/>
          <w:sz w:val="28"/>
        </w:rPr>
        <w:instrText xml:space="preserve">HYPERLINK \l "_Toc95223548"</w:instrText>
      </w:r>
      <w:r>
        <w:rPr>
          <w:rStyle w:val="58"/>
          <w:color w:val="000000"/>
          <w:sz w:val="28"/>
        </w:rPr>
        <w:instrText xml:space="preserve"> </w:instrText>
      </w:r>
      <w:r>
        <w:rPr>
          <w:rStyle w:val="58"/>
          <w:color w:val="000000"/>
          <w:sz w:val="28"/>
        </w:rPr>
        <w:fldChar w:fldCharType="separate"/>
      </w:r>
      <w:r>
        <w:rPr>
          <w:rStyle w:val="58"/>
          <w:rFonts w:hint="eastAsia" w:ascii="黑体" w:hAnsi="黑体" w:eastAsia="黑体"/>
          <w:color w:val="000000"/>
          <w:sz w:val="28"/>
        </w:rPr>
        <w:t>附件</w:t>
      </w:r>
      <w:r>
        <w:rPr>
          <w:rStyle w:val="58"/>
          <w:rFonts w:ascii="黑体" w:hAnsi="黑体" w:eastAsia="黑体"/>
          <w:color w:val="000000"/>
          <w:sz w:val="28"/>
        </w:rPr>
        <w:t xml:space="preserve">1 </w:t>
      </w:r>
      <w:r>
        <w:rPr>
          <w:rStyle w:val="58"/>
          <w:rFonts w:hint="eastAsia" w:ascii="黑体" w:hAnsi="黑体" w:eastAsia="黑体"/>
          <w:color w:val="000000"/>
          <w:sz w:val="28"/>
        </w:rPr>
        <w:t>关于联合惩戒失信行为加强信用查询管理的通知</w:t>
      </w:r>
      <w:r>
        <w:rPr>
          <w:color w:val="000000"/>
          <w:sz w:val="28"/>
        </w:rPr>
        <w:tab/>
      </w:r>
      <w:r>
        <w:rPr>
          <w:rFonts w:hint="eastAsia"/>
          <w:color w:val="000000"/>
          <w:sz w:val="28"/>
          <w:lang w:val="en-US" w:eastAsia="zh-CN"/>
        </w:rPr>
        <w:t>9</w:t>
      </w:r>
      <w:r>
        <w:rPr>
          <w:rStyle w:val="58"/>
          <w:color w:val="000000"/>
          <w:sz w:val="28"/>
        </w:rPr>
        <w:fldChar w:fldCharType="end"/>
      </w:r>
      <w:r>
        <w:rPr>
          <w:rStyle w:val="58"/>
          <w:rFonts w:hint="eastAsia"/>
          <w:color w:val="000000"/>
          <w:sz w:val="28"/>
          <w:lang w:val="en-US" w:eastAsia="zh-CN"/>
        </w:rPr>
        <w:t>0</w:t>
      </w:r>
    </w:p>
    <w:p w14:paraId="13C7F18B">
      <w:pPr>
        <w:pStyle w:val="31"/>
        <w:tabs>
          <w:tab w:val="right" w:leader="dot" w:pos="9460"/>
        </w:tabs>
        <w:rPr>
          <w:rStyle w:val="58"/>
          <w:rFonts w:hint="eastAsia" w:eastAsia="宋体"/>
          <w:color w:val="000000"/>
          <w:sz w:val="28"/>
          <w:lang w:val="en-US" w:eastAsia="zh-CN"/>
        </w:rPr>
      </w:pPr>
      <w:r>
        <w:rPr>
          <w:rStyle w:val="58"/>
          <w:color w:val="000000"/>
          <w:sz w:val="28"/>
        </w:rPr>
        <w:fldChar w:fldCharType="begin"/>
      </w:r>
      <w:r>
        <w:rPr>
          <w:rStyle w:val="58"/>
          <w:color w:val="000000"/>
          <w:sz w:val="28"/>
        </w:rPr>
        <w:instrText xml:space="preserve"> </w:instrText>
      </w:r>
      <w:r>
        <w:rPr>
          <w:color w:val="000000"/>
          <w:sz w:val="28"/>
        </w:rPr>
        <w:instrText xml:space="preserve">HYPERLINK \l "_Toc95223549"</w:instrText>
      </w:r>
      <w:r>
        <w:rPr>
          <w:rStyle w:val="58"/>
          <w:color w:val="000000"/>
          <w:sz w:val="28"/>
        </w:rPr>
        <w:instrText xml:space="preserve"> </w:instrText>
      </w:r>
      <w:r>
        <w:rPr>
          <w:rStyle w:val="58"/>
          <w:color w:val="000000"/>
          <w:sz w:val="28"/>
        </w:rPr>
        <w:fldChar w:fldCharType="separate"/>
      </w:r>
      <w:r>
        <w:rPr>
          <w:rStyle w:val="58"/>
          <w:rFonts w:hint="eastAsia" w:ascii="黑体" w:hAnsi="黑体" w:eastAsia="黑体"/>
          <w:color w:val="000000"/>
          <w:sz w:val="28"/>
        </w:rPr>
        <w:t>附件</w:t>
      </w:r>
      <w:r>
        <w:rPr>
          <w:rStyle w:val="58"/>
          <w:rFonts w:ascii="黑体" w:hAnsi="黑体" w:eastAsia="黑体"/>
          <w:color w:val="000000"/>
          <w:sz w:val="28"/>
        </w:rPr>
        <w:t xml:space="preserve">2 </w:t>
      </w:r>
      <w:r>
        <w:rPr>
          <w:rStyle w:val="58"/>
          <w:rFonts w:hint="eastAsia" w:ascii="黑体" w:hAnsi="黑体" w:eastAsia="黑体"/>
          <w:color w:val="000000"/>
          <w:sz w:val="28"/>
        </w:rPr>
        <w:t>“信用中国”查询的严重失信行为类别及判定依据</w:t>
      </w:r>
      <w:r>
        <w:rPr>
          <w:color w:val="000000"/>
          <w:sz w:val="28"/>
        </w:rPr>
        <w:tab/>
      </w:r>
      <w:r>
        <w:rPr>
          <w:rFonts w:hint="eastAsia"/>
          <w:color w:val="000000"/>
          <w:sz w:val="28"/>
          <w:lang w:val="en-US" w:eastAsia="zh-CN"/>
        </w:rPr>
        <w:t>9</w:t>
      </w:r>
      <w:r>
        <w:rPr>
          <w:rStyle w:val="58"/>
          <w:color w:val="000000"/>
          <w:sz w:val="28"/>
        </w:rPr>
        <w:fldChar w:fldCharType="end"/>
      </w:r>
      <w:r>
        <w:rPr>
          <w:rStyle w:val="58"/>
          <w:rFonts w:hint="eastAsia"/>
          <w:color w:val="000000"/>
          <w:sz w:val="28"/>
          <w:lang w:val="en-US" w:eastAsia="zh-CN"/>
        </w:rPr>
        <w:t>4</w:t>
      </w:r>
    </w:p>
    <w:p w14:paraId="5052B2D4">
      <w:pPr>
        <w:pStyle w:val="14"/>
        <w:spacing w:line="700" w:lineRule="exact"/>
        <w:ind w:left="0" w:leftChars="0" w:firstLine="480"/>
        <w:jc w:val="left"/>
        <w:rPr>
          <w:sz w:val="24"/>
          <w:szCs w:val="24"/>
          <w:highlight w:val="none"/>
        </w:rPr>
      </w:pPr>
    </w:p>
    <w:p w14:paraId="3004C8EC">
      <w:pPr>
        <w:pStyle w:val="44"/>
        <w:spacing w:line="700" w:lineRule="exact"/>
        <w:jc w:val="left"/>
        <w:rPr>
          <w:sz w:val="24"/>
          <w:szCs w:val="24"/>
          <w:highlight w:val="none"/>
        </w:rPr>
        <w:sectPr>
          <w:footerReference r:id="rId5" w:type="default"/>
          <w:pgSz w:w="11906" w:h="16838"/>
          <w:pgMar w:top="1134" w:right="1417" w:bottom="1134" w:left="1417" w:header="851" w:footer="992" w:gutter="0"/>
          <w:pgNumType w:start="1"/>
          <w:cols w:space="720" w:num="1"/>
          <w:docGrid w:type="lines" w:linePitch="312" w:charSpace="0"/>
        </w:sectPr>
      </w:pPr>
    </w:p>
    <w:bookmarkEnd w:id="12"/>
    <w:bookmarkEnd w:id="13"/>
    <w:bookmarkEnd w:id="14"/>
    <w:bookmarkEnd w:id="15"/>
    <w:p w14:paraId="2EC261B3">
      <w:pPr>
        <w:pStyle w:val="44"/>
        <w:spacing w:beforeLines="50" w:afterLines="50" w:line="440" w:lineRule="exact"/>
        <w:rPr>
          <w:rFonts w:hint="eastAsia" w:eastAsia="宋体" w:cs="Times New Roman"/>
          <w:bCs/>
          <w:szCs w:val="32"/>
          <w:highlight w:val="none"/>
        </w:rPr>
      </w:pPr>
      <w:bookmarkStart w:id="19" w:name="_Toc78803320"/>
      <w:bookmarkStart w:id="20" w:name="_Toc506107267"/>
      <w:bookmarkStart w:id="21" w:name="_Toc324404813"/>
      <w:bookmarkStart w:id="22" w:name="_Toc152045527"/>
      <w:bookmarkStart w:id="23" w:name="_Toc246996916"/>
      <w:bookmarkStart w:id="24" w:name="_Toc15058844"/>
      <w:bookmarkStart w:id="25" w:name="_Toc247085687"/>
      <w:bookmarkStart w:id="26" w:name="_Toc144974495"/>
      <w:bookmarkStart w:id="27" w:name="_Toc152042303"/>
      <w:bookmarkStart w:id="28" w:name="_Toc35424883"/>
      <w:bookmarkStart w:id="29" w:name="_Toc35425050"/>
      <w:bookmarkStart w:id="30" w:name="_Toc246996173"/>
      <w:bookmarkStart w:id="31" w:name="_Toc179632544"/>
      <w:r>
        <w:rPr>
          <w:rFonts w:hint="eastAsia" w:eastAsia="宋体" w:cs="Times New Roman"/>
          <w:bCs/>
          <w:szCs w:val="32"/>
          <w:highlight w:val="none"/>
          <w:lang w:val="en-US" w:eastAsia="zh-CN"/>
        </w:rPr>
        <w:t xml:space="preserve">第一章 </w:t>
      </w:r>
      <w:r>
        <w:rPr>
          <w:rFonts w:hint="eastAsia" w:eastAsia="宋体" w:cs="Times New Roman"/>
          <w:bCs/>
          <w:szCs w:val="32"/>
          <w:highlight w:val="none"/>
        </w:rPr>
        <w:t>招标公告</w:t>
      </w:r>
      <w:bookmarkEnd w:id="19"/>
    </w:p>
    <w:tbl>
      <w:tblPr>
        <w:tblStyle w:val="47"/>
        <w:tblW w:w="9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7997"/>
      </w:tblGrid>
      <w:tr w14:paraId="48A33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4E31D11C">
            <w:pPr>
              <w:keepNext w:val="0"/>
              <w:keepLines w:val="0"/>
              <w:pageBreakBefore w:val="0"/>
              <w:kinsoku/>
              <w:wordWrap w:val="0"/>
              <w:overflowPunct/>
              <w:topLinePunct w:val="0"/>
              <w:autoSpaceDE/>
              <w:autoSpaceDN/>
              <w:bidi w:val="0"/>
              <w:adjustRightInd/>
              <w:snapToGrid/>
              <w:spacing w:line="380" w:lineRule="exact"/>
              <w:jc w:val="center"/>
              <w:textAlignment w:val="auto"/>
              <w:rPr>
                <w:rFonts w:hint="eastAsia" w:ascii="宋体" w:hAnsi="宋体" w:eastAsia="宋体" w:cs="宋体"/>
                <w:bCs/>
                <w:color w:val="auto"/>
                <w:kern w:val="1"/>
                <w:sz w:val="21"/>
                <w:szCs w:val="21"/>
                <w:highlight w:val="none"/>
              </w:rPr>
            </w:pPr>
            <w:r>
              <w:rPr>
                <w:rFonts w:hint="eastAsia" w:ascii="宋体" w:hAnsi="宋体" w:eastAsia="宋体" w:cs="宋体"/>
                <w:b/>
                <w:bCs/>
                <w:color w:val="auto"/>
                <w:sz w:val="21"/>
                <w:szCs w:val="21"/>
                <w:highlight w:val="none"/>
              </w:rPr>
              <w:t>招标条件</w:t>
            </w:r>
          </w:p>
        </w:tc>
      </w:tr>
      <w:tr w14:paraId="07E82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933" w:type="dxa"/>
            <w:noWrap w:val="0"/>
            <w:vAlign w:val="center"/>
          </w:tcPr>
          <w:p w14:paraId="2E39E459">
            <w:pPr>
              <w:keepNext w:val="0"/>
              <w:keepLines w:val="0"/>
              <w:pageBreakBefore w:val="0"/>
              <w:kinsoku/>
              <w:wordWrap w:val="0"/>
              <w:overflowPunct/>
              <w:topLinePunct w:val="0"/>
              <w:autoSpaceDE/>
              <w:autoSpaceDN/>
              <w:bidi w:val="0"/>
              <w:adjustRightInd/>
              <w:snapToGrid/>
              <w:spacing w:line="380" w:lineRule="exact"/>
              <w:jc w:val="center"/>
              <w:textAlignment w:val="auto"/>
              <w:rPr>
                <w:rFonts w:hint="eastAsia" w:ascii="宋体" w:hAnsi="宋体" w:eastAsia="宋体" w:cs="宋体"/>
                <w:bCs/>
                <w:color w:val="auto"/>
                <w:kern w:val="1"/>
                <w:sz w:val="21"/>
                <w:szCs w:val="21"/>
                <w:highlight w:val="none"/>
              </w:rPr>
            </w:pPr>
            <w:r>
              <w:rPr>
                <w:rFonts w:hint="eastAsia" w:ascii="宋体" w:hAnsi="宋体" w:eastAsia="宋体" w:cs="宋体"/>
                <w:bCs/>
                <w:color w:val="auto"/>
                <w:kern w:val="1"/>
                <w:sz w:val="21"/>
                <w:szCs w:val="21"/>
                <w:highlight w:val="none"/>
              </w:rPr>
              <w:t>项目</w:t>
            </w:r>
            <w:r>
              <w:rPr>
                <w:rFonts w:hint="eastAsia" w:ascii="宋体" w:hAnsi="宋体" w:eastAsia="宋体" w:cs="宋体"/>
                <w:color w:val="auto"/>
                <w:kern w:val="0"/>
                <w:sz w:val="21"/>
                <w:szCs w:val="21"/>
                <w:highlight w:val="none"/>
              </w:rPr>
              <w:t>名称</w:t>
            </w:r>
          </w:p>
        </w:tc>
        <w:tc>
          <w:tcPr>
            <w:tcW w:w="7997" w:type="dxa"/>
            <w:noWrap w:val="0"/>
            <w:vAlign w:val="top"/>
          </w:tcPr>
          <w:p w14:paraId="223FE30B">
            <w:pPr>
              <w:keepNext w:val="0"/>
              <w:keepLines w:val="0"/>
              <w:pageBreakBefore w:val="0"/>
              <w:kinsoku/>
              <w:wordWrap w:val="0"/>
              <w:overflowPunct/>
              <w:topLinePunct w:val="0"/>
              <w:autoSpaceDE/>
              <w:autoSpaceDN/>
              <w:bidi w:val="0"/>
              <w:adjustRightInd/>
              <w:snapToGrid/>
              <w:spacing w:line="380" w:lineRule="exact"/>
              <w:jc w:val="left"/>
              <w:textAlignment w:val="auto"/>
              <w:rPr>
                <w:rFonts w:hint="eastAsia" w:ascii="宋体" w:hAnsi="宋体" w:eastAsia="宋体" w:cs="宋体"/>
                <w:bCs/>
                <w:color w:val="auto"/>
                <w:kern w:val="1"/>
                <w:sz w:val="21"/>
                <w:szCs w:val="21"/>
                <w:highlight w:val="none"/>
              </w:rPr>
            </w:pPr>
            <w:r>
              <w:rPr>
                <w:rFonts w:hint="eastAsia" w:ascii="宋体" w:hAnsi="宋体" w:cs="宋体"/>
                <w:bCs/>
                <w:color w:val="auto"/>
                <w:kern w:val="1"/>
                <w:sz w:val="21"/>
                <w:szCs w:val="21"/>
                <w:highlight w:val="none"/>
                <w:lang w:eastAsia="zh-CN"/>
              </w:rPr>
              <w:t>滁州市人力资源产业园分布式光伏及充电桩项目</w:t>
            </w:r>
          </w:p>
        </w:tc>
      </w:tr>
      <w:tr w14:paraId="3EF6D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832571D">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snapToGrid w:val="0"/>
                <w:color w:val="auto"/>
                <w:kern w:val="0"/>
                <w:sz w:val="21"/>
                <w:szCs w:val="21"/>
                <w:highlight w:val="none"/>
              </w:rPr>
              <w:t>招标人</w:t>
            </w:r>
          </w:p>
        </w:tc>
        <w:tc>
          <w:tcPr>
            <w:tcW w:w="7997" w:type="dxa"/>
            <w:noWrap w:val="0"/>
            <w:vAlign w:val="center"/>
          </w:tcPr>
          <w:p w14:paraId="41AA07EF">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bCs/>
                <w:color w:val="auto"/>
                <w:kern w:val="1"/>
                <w:sz w:val="21"/>
                <w:szCs w:val="21"/>
                <w:highlight w:val="none"/>
                <w:lang w:eastAsia="zh-CN"/>
              </w:rPr>
              <w:t>滁州市翼然新能源开发有限公司</w:t>
            </w:r>
          </w:p>
        </w:tc>
      </w:tr>
      <w:tr w14:paraId="2A24F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2638D1C">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项目业主</w:t>
            </w:r>
          </w:p>
        </w:tc>
        <w:tc>
          <w:tcPr>
            <w:tcW w:w="7997" w:type="dxa"/>
            <w:noWrap w:val="0"/>
            <w:vAlign w:val="center"/>
          </w:tcPr>
          <w:p w14:paraId="3EF79F1D">
            <w:pPr>
              <w:keepNext w:val="0"/>
              <w:keepLines w:val="0"/>
              <w:pageBreakBefore w:val="0"/>
              <w:widowControl/>
              <w:shd w:val="clear" w:color="auto" w:fill="auto"/>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滁州市翼然新能源开发有限公司</w:t>
            </w:r>
          </w:p>
        </w:tc>
      </w:tr>
      <w:tr w14:paraId="515C1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ECD1AE3">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资金来源</w:t>
            </w:r>
          </w:p>
        </w:tc>
        <w:tc>
          <w:tcPr>
            <w:tcW w:w="7997" w:type="dxa"/>
            <w:noWrap w:val="0"/>
            <w:vAlign w:val="center"/>
          </w:tcPr>
          <w:p w14:paraId="13E4CD21">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自筹资金</w:t>
            </w:r>
          </w:p>
        </w:tc>
      </w:tr>
      <w:tr w14:paraId="1CA8B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F489FD2">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项目出资比例</w:t>
            </w:r>
          </w:p>
        </w:tc>
        <w:tc>
          <w:tcPr>
            <w:tcW w:w="7997" w:type="dxa"/>
            <w:noWrap w:val="0"/>
            <w:vAlign w:val="center"/>
          </w:tcPr>
          <w:p w14:paraId="612A619C">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w:t>
            </w:r>
          </w:p>
        </w:tc>
      </w:tr>
      <w:tr w14:paraId="2F993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DEFCFF6">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招标方式</w:t>
            </w:r>
          </w:p>
        </w:tc>
        <w:tc>
          <w:tcPr>
            <w:tcW w:w="7997" w:type="dxa"/>
            <w:noWrap w:val="0"/>
            <w:vAlign w:val="center"/>
          </w:tcPr>
          <w:p w14:paraId="53A0BB3B">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公开招标</w:t>
            </w:r>
          </w:p>
        </w:tc>
      </w:tr>
      <w:tr w14:paraId="62884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0C4438E">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评标办法</w:t>
            </w:r>
          </w:p>
        </w:tc>
        <w:tc>
          <w:tcPr>
            <w:tcW w:w="7997" w:type="dxa"/>
            <w:noWrap w:val="0"/>
            <w:vAlign w:val="center"/>
          </w:tcPr>
          <w:p w14:paraId="64728417">
            <w:pPr>
              <w:keepNext w:val="0"/>
              <w:keepLines w:val="0"/>
              <w:pageBreakBefore w:val="0"/>
              <w:widowControl/>
              <w:kinsoku/>
              <w:overflowPunct/>
              <w:topLinePunct w:val="0"/>
              <w:autoSpaceDE/>
              <w:autoSpaceDN/>
              <w:bidi w:val="0"/>
              <w:adjustRightInd/>
              <w:snapToGrid/>
              <w:spacing w:line="38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综合评估法</w:t>
            </w:r>
          </w:p>
        </w:tc>
      </w:tr>
      <w:tr w14:paraId="3CB3E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1EBFED8D">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项目概况与招标范围</w:t>
            </w:r>
          </w:p>
        </w:tc>
      </w:tr>
      <w:tr w14:paraId="1B542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A1F1B52">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招标项目名称</w:t>
            </w:r>
          </w:p>
        </w:tc>
        <w:tc>
          <w:tcPr>
            <w:tcW w:w="7997" w:type="dxa"/>
            <w:noWrap w:val="0"/>
            <w:vAlign w:val="center"/>
          </w:tcPr>
          <w:p w14:paraId="3BB4B767">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滁州市人力资源产业园分布式光伏及充电桩项目</w:t>
            </w:r>
          </w:p>
        </w:tc>
      </w:tr>
      <w:tr w14:paraId="488A5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3" w:type="dxa"/>
            <w:noWrap w:val="0"/>
            <w:vAlign w:val="center"/>
          </w:tcPr>
          <w:p w14:paraId="40B1C46C">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标段划分</w:t>
            </w:r>
          </w:p>
        </w:tc>
        <w:tc>
          <w:tcPr>
            <w:tcW w:w="7997" w:type="dxa"/>
            <w:noWrap w:val="0"/>
            <w:vAlign w:val="center"/>
          </w:tcPr>
          <w:p w14:paraId="062D55A9">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szCs w:val="21"/>
                <w:highlight w:val="none"/>
                <w:lang w:val="en-US" w:eastAsia="zh-CN"/>
              </w:rPr>
              <w:t>一个标段</w:t>
            </w:r>
          </w:p>
        </w:tc>
      </w:tr>
      <w:tr w14:paraId="4073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4A4EA69">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建设地点</w:t>
            </w:r>
          </w:p>
        </w:tc>
        <w:tc>
          <w:tcPr>
            <w:tcW w:w="7997" w:type="dxa"/>
            <w:noWrap w:val="0"/>
            <w:vAlign w:val="center"/>
          </w:tcPr>
          <w:p w14:paraId="2C527A97">
            <w:pPr>
              <w:pStyle w:val="14"/>
              <w:keepNext w:val="0"/>
              <w:keepLines w:val="0"/>
              <w:pageBreakBefore w:val="0"/>
              <w:kinsoku/>
              <w:wordWrap w:val="0"/>
              <w:overflowPunct/>
              <w:topLinePunct w:val="0"/>
              <w:autoSpaceDE/>
              <w:autoSpaceDN/>
              <w:bidi w:val="0"/>
              <w:adjustRightInd/>
              <w:snapToGrid/>
              <w:spacing w:after="0" w:afterLines="0" w:line="380" w:lineRule="exact"/>
              <w:ind w:left="0" w:leftChars="0" w:firstLine="0" w:firstLineChars="0"/>
              <w:textAlignment w:val="auto"/>
              <w:rPr>
                <w:rFonts w:hint="eastAsia" w:ascii="宋体" w:hAnsi="宋体" w:eastAsia="宋体" w:cs="宋体"/>
                <w:szCs w:val="21"/>
              </w:rPr>
            </w:pPr>
            <w:r>
              <w:rPr>
                <w:rFonts w:hint="eastAsia" w:ascii="宋体" w:hAnsi="宋体" w:eastAsia="宋体" w:cs="宋体"/>
                <w:szCs w:val="21"/>
                <w:lang w:val="en-US" w:eastAsia="zh-CN"/>
              </w:rPr>
              <w:t>招标人指定地点</w:t>
            </w:r>
          </w:p>
        </w:tc>
      </w:tr>
      <w:tr w14:paraId="3A6ED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BBF1A7D">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建设规模</w:t>
            </w:r>
          </w:p>
        </w:tc>
        <w:tc>
          <w:tcPr>
            <w:tcW w:w="7997" w:type="dxa"/>
            <w:noWrap w:val="0"/>
            <w:vAlign w:val="center"/>
          </w:tcPr>
          <w:p w14:paraId="5A3AA68A">
            <w:pPr>
              <w:keepNext w:val="0"/>
              <w:keepLines w:val="0"/>
              <w:widowControl/>
              <w:suppressLineNumbers w:val="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滁州市人力资源产业园分布式光伏工程：</w:t>
            </w:r>
            <w:r>
              <w:rPr>
                <w:rFonts w:hint="default" w:ascii="宋体" w:hAnsi="宋体" w:cs="宋体"/>
                <w:color w:val="auto"/>
                <w:sz w:val="21"/>
                <w:szCs w:val="21"/>
                <w:highlight w:val="none"/>
                <w:lang w:val="en-US" w:eastAsia="zh-CN"/>
              </w:rPr>
              <w:t>总装机容量约为909.32kWp,采用380V侧用单母线接入变压器低压侧本项目共分为3低压并网点，采用1</w:t>
            </w:r>
            <w:r>
              <w:rPr>
                <w:rFonts w:hint="eastAsia" w:ascii="宋体" w:hAnsi="宋体" w:cs="宋体"/>
                <w:color w:val="auto"/>
                <w:sz w:val="21"/>
                <w:szCs w:val="21"/>
                <w:highlight w:val="none"/>
                <w:lang w:val="en-US" w:eastAsia="zh-CN"/>
              </w:rPr>
              <w:t>432</w:t>
            </w:r>
            <w:r>
              <w:rPr>
                <w:rFonts w:hint="default" w:ascii="宋体" w:hAnsi="宋体" w:cs="宋体"/>
                <w:color w:val="auto"/>
                <w:sz w:val="21"/>
                <w:szCs w:val="21"/>
                <w:highlight w:val="none"/>
                <w:lang w:val="en-US" w:eastAsia="zh-CN"/>
              </w:rPr>
              <w:t>块635wp光伏组件、</w:t>
            </w:r>
            <w:r>
              <w:rPr>
                <w:rFonts w:hint="eastAsia" w:ascii="宋体" w:hAnsi="宋体" w:cs="宋体"/>
                <w:color w:val="auto"/>
                <w:sz w:val="21"/>
                <w:szCs w:val="21"/>
                <w:highlight w:val="none"/>
                <w:lang w:val="en-US" w:eastAsia="zh-CN"/>
              </w:rPr>
              <w:t>6台</w:t>
            </w:r>
            <w:r>
              <w:rPr>
                <w:rFonts w:hint="default" w:ascii="宋体" w:hAnsi="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1</w:t>
            </w:r>
            <w:r>
              <w:rPr>
                <w:rFonts w:hint="default" w:ascii="宋体" w:hAnsi="宋体" w:cs="宋体"/>
                <w:color w:val="auto"/>
                <w:sz w:val="21"/>
                <w:szCs w:val="21"/>
                <w:highlight w:val="none"/>
                <w:lang w:val="en-US" w:eastAsia="zh-CN"/>
              </w:rPr>
              <w:t>0KW</w:t>
            </w:r>
            <w:r>
              <w:rPr>
                <w:rFonts w:hint="eastAsia" w:ascii="宋体" w:hAnsi="宋体" w:cs="宋体"/>
                <w:color w:val="auto"/>
                <w:sz w:val="21"/>
                <w:szCs w:val="21"/>
                <w:highlight w:val="none"/>
                <w:lang w:val="en-US" w:eastAsia="zh-CN"/>
              </w:rPr>
              <w:t>+4</w:t>
            </w:r>
            <w:r>
              <w:rPr>
                <w:rFonts w:hint="default" w:ascii="宋体" w:hAnsi="宋体" w:cs="宋体"/>
                <w:color w:val="auto"/>
                <w:sz w:val="21"/>
                <w:szCs w:val="21"/>
                <w:highlight w:val="none"/>
                <w:lang w:val="en-US" w:eastAsia="zh-CN"/>
              </w:rPr>
              <w:t>台100KW+</w:t>
            </w:r>
            <w:r>
              <w:rPr>
                <w:rFonts w:hint="eastAsia" w:ascii="宋体" w:hAnsi="宋体" w:cs="宋体"/>
                <w:color w:val="auto"/>
                <w:sz w:val="21"/>
                <w:szCs w:val="21"/>
                <w:highlight w:val="none"/>
                <w:lang w:val="en-US" w:eastAsia="zh-CN"/>
              </w:rPr>
              <w:t>10</w:t>
            </w:r>
            <w:r>
              <w:rPr>
                <w:rFonts w:hint="default" w:ascii="宋体" w:hAnsi="宋体" w:cs="宋体"/>
                <w:color w:val="auto"/>
                <w:sz w:val="21"/>
                <w:szCs w:val="21"/>
                <w:highlight w:val="none"/>
                <w:lang w:val="en-US" w:eastAsia="zh-CN"/>
              </w:rPr>
              <w:t>台60KW逆变器、光伏并网配电箱、光伏支架、电缆等</w:t>
            </w:r>
            <w:r>
              <w:rPr>
                <w:rFonts w:hint="eastAsia" w:ascii="宋体" w:hAnsi="宋体" w:cs="宋体"/>
                <w:color w:val="auto"/>
                <w:sz w:val="21"/>
                <w:szCs w:val="21"/>
                <w:highlight w:val="none"/>
                <w:lang w:val="en-US" w:eastAsia="zh-CN"/>
              </w:rPr>
              <w:t>；</w:t>
            </w:r>
            <w:r>
              <w:rPr>
                <w:rFonts w:hint="default" w:ascii="宋体" w:hAnsi="宋体" w:cs="宋体"/>
                <w:color w:val="auto"/>
                <w:sz w:val="21"/>
                <w:szCs w:val="21"/>
                <w:highlight w:val="none"/>
                <w:lang w:val="en-US" w:eastAsia="zh-CN"/>
              </w:rPr>
              <w:t>上网模式“自发自用，余电上网”</w:t>
            </w:r>
            <w:r>
              <w:rPr>
                <w:rFonts w:hint="eastAsia" w:ascii="宋体" w:hAnsi="宋体" w:cs="宋体"/>
                <w:color w:val="auto"/>
                <w:sz w:val="21"/>
                <w:szCs w:val="21"/>
                <w:highlight w:val="none"/>
                <w:lang w:val="en-US" w:eastAsia="zh-CN"/>
              </w:rPr>
              <w:t>。</w:t>
            </w:r>
          </w:p>
          <w:p w14:paraId="338C586B">
            <w:pPr>
              <w:keepNext w:val="0"/>
              <w:keepLines w:val="0"/>
              <w:widowControl/>
              <w:suppressLineNumbers w:val="0"/>
              <w:jc w:val="left"/>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滁州市人力资源产业园充电桩工程：</w:t>
            </w:r>
            <w:r>
              <w:rPr>
                <w:rFonts w:hint="default" w:ascii="宋体" w:hAnsi="宋体" w:cs="宋体"/>
                <w:color w:val="auto"/>
                <w:sz w:val="21"/>
                <w:szCs w:val="21"/>
                <w:highlight w:val="none"/>
                <w:lang w:val="en-US" w:eastAsia="zh-CN"/>
              </w:rPr>
              <w:t>停车场新建地面2台12OKW双枪充电桩十5台7kW单枪充电桩</w:t>
            </w:r>
            <w:r>
              <w:rPr>
                <w:rFonts w:hint="eastAsia" w:ascii="宋体" w:hAnsi="宋体" w:cs="宋体"/>
                <w:color w:val="auto"/>
                <w:sz w:val="21"/>
                <w:szCs w:val="21"/>
                <w:highlight w:val="none"/>
                <w:lang w:val="en-US" w:eastAsia="zh-CN"/>
              </w:rPr>
              <w:t>；</w:t>
            </w:r>
            <w:r>
              <w:rPr>
                <w:rFonts w:hint="default" w:ascii="宋体" w:hAnsi="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非</w:t>
            </w:r>
            <w:r>
              <w:rPr>
                <w:rFonts w:hint="default" w:ascii="宋体" w:hAnsi="宋体" w:cs="宋体"/>
                <w:color w:val="auto"/>
                <w:sz w:val="21"/>
                <w:szCs w:val="21"/>
                <w:highlight w:val="none"/>
                <w:lang w:val="en-US" w:eastAsia="zh-CN"/>
              </w:rPr>
              <w:t>机动车停车场旁新建2 台12OkW双枪充电</w:t>
            </w:r>
            <w:r>
              <w:rPr>
                <w:rFonts w:hint="eastAsia" w:ascii="宋体" w:hAnsi="宋体" w:cs="宋体"/>
                <w:color w:val="auto"/>
                <w:sz w:val="21"/>
                <w:szCs w:val="21"/>
                <w:highlight w:val="none"/>
                <w:lang w:val="en-US" w:eastAsia="zh-CN"/>
              </w:rPr>
              <w:t>桩</w:t>
            </w:r>
            <w:r>
              <w:rPr>
                <w:rFonts w:hint="default" w:ascii="宋体" w:hAnsi="宋体" w:cs="宋体"/>
                <w:color w:val="auto"/>
                <w:sz w:val="21"/>
                <w:szCs w:val="21"/>
                <w:highlight w:val="none"/>
                <w:lang w:val="en-US" w:eastAsia="zh-CN"/>
              </w:rPr>
              <w:t>+ 4台7kW单枪充电</w:t>
            </w:r>
            <w:r>
              <w:rPr>
                <w:rFonts w:hint="eastAsia" w:ascii="宋体" w:hAnsi="宋体" w:cs="宋体"/>
                <w:color w:val="auto"/>
                <w:sz w:val="21"/>
                <w:szCs w:val="21"/>
                <w:highlight w:val="none"/>
                <w:lang w:val="en-US" w:eastAsia="zh-CN"/>
              </w:rPr>
              <w:t>桩；</w:t>
            </w:r>
            <w:r>
              <w:rPr>
                <w:rFonts w:hint="default" w:ascii="宋体" w:hAnsi="宋体" w:cs="宋体"/>
                <w:color w:val="auto"/>
                <w:sz w:val="21"/>
                <w:szCs w:val="21"/>
                <w:highlight w:val="none"/>
                <w:lang w:val="en-US" w:eastAsia="zh-CN"/>
              </w:rPr>
              <w:t>含充电模块、枪头枪线，电缆</w:t>
            </w:r>
            <w:r>
              <w:rPr>
                <w:rFonts w:hint="eastAsia" w:ascii="宋体" w:hAnsi="宋体" w:cs="宋体"/>
                <w:color w:val="auto"/>
                <w:sz w:val="21"/>
                <w:szCs w:val="21"/>
                <w:highlight w:val="none"/>
                <w:lang w:val="en-US" w:eastAsia="zh-CN"/>
              </w:rPr>
              <w:t>等</w:t>
            </w:r>
            <w:r>
              <w:rPr>
                <w:rFonts w:hint="default" w:ascii="宋体" w:hAnsi="宋体" w:cs="宋体"/>
                <w:color w:val="auto"/>
                <w:sz w:val="21"/>
                <w:szCs w:val="21"/>
                <w:highlight w:val="none"/>
                <w:lang w:val="en-US" w:eastAsia="zh-CN"/>
              </w:rPr>
              <w:t>。</w:t>
            </w:r>
          </w:p>
        </w:tc>
      </w:tr>
      <w:tr w14:paraId="5DC77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3230461">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合同估算价</w:t>
            </w:r>
          </w:p>
        </w:tc>
        <w:tc>
          <w:tcPr>
            <w:tcW w:w="7997" w:type="dxa"/>
            <w:noWrap w:val="0"/>
            <w:vAlign w:val="center"/>
          </w:tcPr>
          <w:p w14:paraId="2618AED0">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约366万元</w:t>
            </w:r>
          </w:p>
        </w:tc>
      </w:tr>
      <w:tr w14:paraId="6BEC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6F6947A">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计划工期</w:t>
            </w:r>
          </w:p>
        </w:tc>
        <w:tc>
          <w:tcPr>
            <w:tcW w:w="7997" w:type="dxa"/>
            <w:noWrap w:val="0"/>
            <w:vAlign w:val="center"/>
          </w:tcPr>
          <w:p w14:paraId="241300BA">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不高于120</w:t>
            </w:r>
            <w:r>
              <w:rPr>
                <w:rFonts w:hint="eastAsia" w:ascii="宋体" w:hAnsi="宋体" w:eastAsia="宋体" w:cs="宋体"/>
                <w:color w:val="auto"/>
                <w:sz w:val="21"/>
                <w:szCs w:val="21"/>
                <w:highlight w:val="none"/>
                <w:lang w:val="en-US" w:eastAsia="zh-CN"/>
              </w:rPr>
              <w:t>个日历天</w:t>
            </w:r>
          </w:p>
        </w:tc>
      </w:tr>
      <w:tr w14:paraId="42C90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3CAB737">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招标范围</w:t>
            </w:r>
          </w:p>
        </w:tc>
        <w:tc>
          <w:tcPr>
            <w:tcW w:w="7997" w:type="dxa"/>
            <w:noWrap w:val="0"/>
            <w:vAlign w:val="center"/>
          </w:tcPr>
          <w:p w14:paraId="2450FD06">
            <w:pPr>
              <w:pStyle w:val="14"/>
              <w:keepNext w:val="0"/>
              <w:keepLines w:val="0"/>
              <w:pageBreakBefore w:val="0"/>
              <w:kinsoku/>
              <w:wordWrap/>
              <w:overflowPunct/>
              <w:topLinePunct w:val="0"/>
              <w:autoSpaceDE/>
              <w:autoSpaceDN/>
              <w:bidi w:val="0"/>
              <w:adjustRightInd/>
              <w:snapToGrid/>
              <w:spacing w:after="0" w:afterLines="0" w:line="38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cs="宋体"/>
                <w:color w:val="auto"/>
                <w:szCs w:val="21"/>
                <w:highlight w:val="none"/>
                <w:lang w:val="en-US" w:eastAsia="zh-CN"/>
              </w:rPr>
              <w:t>本工程施工图纸和工程量清单中的所有内容</w:t>
            </w:r>
          </w:p>
        </w:tc>
      </w:tr>
      <w:tr w14:paraId="39737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3" w:type="dxa"/>
            <w:noWrap w:val="0"/>
            <w:vAlign w:val="center"/>
          </w:tcPr>
          <w:p w14:paraId="6B3C45EE">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项目类别</w:t>
            </w:r>
          </w:p>
        </w:tc>
        <w:tc>
          <w:tcPr>
            <w:tcW w:w="7997" w:type="dxa"/>
            <w:noWrap w:val="0"/>
            <w:vAlign w:val="center"/>
          </w:tcPr>
          <w:p w14:paraId="6D56053B">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工程施工</w:t>
            </w:r>
          </w:p>
        </w:tc>
      </w:tr>
      <w:tr w14:paraId="48969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211EA0D">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w:t>
            </w:r>
          </w:p>
        </w:tc>
        <w:tc>
          <w:tcPr>
            <w:tcW w:w="7997" w:type="dxa"/>
            <w:noWrap w:val="0"/>
            <w:vAlign w:val="center"/>
          </w:tcPr>
          <w:p w14:paraId="27D131B1">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w:t>
            </w:r>
          </w:p>
        </w:tc>
      </w:tr>
      <w:tr w14:paraId="4400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24CBF6E1">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投标人资格要求</w:t>
            </w:r>
          </w:p>
        </w:tc>
      </w:tr>
      <w:tr w14:paraId="54BAD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D8EAA9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投标人资质要求</w:t>
            </w:r>
          </w:p>
        </w:tc>
        <w:tc>
          <w:tcPr>
            <w:tcW w:w="7997" w:type="dxa"/>
            <w:noWrap w:val="0"/>
            <w:vAlign w:val="center"/>
          </w:tcPr>
          <w:p w14:paraId="479CD32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投标人同时满足下列要求：</w:t>
            </w:r>
          </w:p>
          <w:p w14:paraId="563115C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①具备电力工程施工总承包叁级（或以上）资质，并具有有效的安全生产许可证；</w:t>
            </w:r>
          </w:p>
          <w:p w14:paraId="400B534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②具备有效的《承装（修、试）电力设施许可证》，且承装类、承修类、承试类许可等级均须达到三级及以上（按照现行有效的《承装（修、试）电力设施许可证》等级标准认定）</w:t>
            </w:r>
            <w:r>
              <w:rPr>
                <w:rFonts w:hint="eastAsia" w:ascii="宋体" w:hAnsi="宋体" w:cs="宋体"/>
                <w:color w:val="auto"/>
                <w:sz w:val="21"/>
                <w:szCs w:val="21"/>
                <w:highlight w:val="none"/>
                <w:lang w:val="en-US" w:eastAsia="zh-CN"/>
              </w:rPr>
              <w:t>。</w:t>
            </w:r>
          </w:p>
          <w:p w14:paraId="15FBBAC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sz w:val="21"/>
                <w:szCs w:val="21"/>
                <w:highlight w:val="none"/>
                <w:lang w:val="en-US" w:eastAsia="zh-CN"/>
              </w:rPr>
              <w:t>对于持有尚未换发新证、且仍在有效期内的旧版《承装（修、试）电力设施许可证》的投标人，承装类、承修类、承试类许可等级均须达到五级及以上。</w:t>
            </w:r>
          </w:p>
        </w:tc>
      </w:tr>
      <w:tr w14:paraId="07C28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5414018">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snapToGrid w:val="0"/>
                <w:color w:val="auto"/>
                <w:kern w:val="0"/>
                <w:sz w:val="21"/>
                <w:szCs w:val="21"/>
                <w:highlight w:val="none"/>
              </w:rPr>
              <w:t>项目</w:t>
            </w:r>
            <w:r>
              <w:rPr>
                <w:rFonts w:hint="eastAsia" w:ascii="宋体" w:hAnsi="宋体" w:cs="宋体"/>
                <w:bCs/>
                <w:snapToGrid w:val="0"/>
                <w:color w:val="auto"/>
                <w:kern w:val="0"/>
                <w:sz w:val="21"/>
                <w:szCs w:val="21"/>
                <w:highlight w:val="none"/>
                <w:lang w:val="en-US" w:eastAsia="zh-CN"/>
              </w:rPr>
              <w:t>经理</w:t>
            </w:r>
            <w:r>
              <w:rPr>
                <w:rFonts w:hint="eastAsia" w:ascii="宋体" w:hAnsi="宋体" w:eastAsia="宋体" w:cs="宋体"/>
                <w:bCs/>
                <w:snapToGrid w:val="0"/>
                <w:color w:val="auto"/>
                <w:kern w:val="0"/>
                <w:sz w:val="21"/>
                <w:szCs w:val="21"/>
                <w:highlight w:val="none"/>
              </w:rPr>
              <w:t>资格要求</w:t>
            </w:r>
          </w:p>
        </w:tc>
        <w:tc>
          <w:tcPr>
            <w:tcW w:w="7997" w:type="dxa"/>
            <w:noWrap w:val="0"/>
            <w:vAlign w:val="center"/>
          </w:tcPr>
          <w:p w14:paraId="4E70B304">
            <w:pPr>
              <w:keepNext w:val="0"/>
              <w:keepLines w:val="0"/>
              <w:pageBreakBefore w:val="0"/>
              <w:numPr>
                <w:ilvl w:val="0"/>
                <w:numId w:val="0"/>
              </w:numPr>
              <w:kinsoku/>
              <w:wordWrap/>
              <w:overflowPunct/>
              <w:topLinePunct w:val="0"/>
              <w:autoSpaceDE/>
              <w:autoSpaceDN/>
              <w:bidi w:val="0"/>
              <w:adjustRightInd/>
              <w:snapToGrid/>
              <w:spacing w:line="38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Times New Roman"/>
                <w:color w:val="auto"/>
                <w:szCs w:val="21"/>
                <w:highlight w:val="none"/>
                <w:lang w:val="en-US" w:eastAsia="zh-CN"/>
              </w:rPr>
              <w:t>拟派的项目经理具备注册在投标单位的</w:t>
            </w:r>
            <w:r>
              <w:rPr>
                <w:rFonts w:hint="eastAsia" w:ascii="宋体" w:hAnsi="宋体" w:eastAsia="宋体" w:cs="宋体"/>
                <w:color w:val="auto"/>
                <w:sz w:val="21"/>
                <w:szCs w:val="21"/>
                <w:highlight w:val="none"/>
                <w:lang w:val="en-US" w:eastAsia="zh-CN"/>
              </w:rPr>
              <w:t>机电工程</w:t>
            </w:r>
            <w:r>
              <w:rPr>
                <w:rFonts w:hint="eastAsia" w:ascii="宋体" w:hAnsi="宋体" w:eastAsia="宋体" w:cs="Times New Roman"/>
                <w:color w:val="auto"/>
                <w:szCs w:val="21"/>
                <w:highlight w:val="none"/>
                <w:lang w:val="en-US" w:eastAsia="zh-CN"/>
              </w:rPr>
              <w:t>专业二级（或以上）注册建造师资格。</w:t>
            </w:r>
            <w:r>
              <w:rPr>
                <w:rFonts w:hint="eastAsia" w:ascii="宋体" w:hAnsi="宋体" w:eastAsia="宋体" w:cs="宋体"/>
                <w:color w:val="auto"/>
                <w:sz w:val="21"/>
                <w:szCs w:val="21"/>
                <w:highlight w:val="none"/>
                <w:lang w:val="en-US" w:eastAsia="zh-CN"/>
              </w:rPr>
              <w:t>本项目不接受投标截止时间前六个月内在滁州市区域内办理过项目经理（建造师）变更备案手续的原项目经理（建造师）作为拟任项目经理（建造师）参加投标。</w:t>
            </w:r>
          </w:p>
        </w:tc>
      </w:tr>
      <w:tr w14:paraId="5D76E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1FF232E">
            <w:pPr>
              <w:keepNext w:val="0"/>
              <w:keepLines w:val="0"/>
              <w:pageBreakBefore w:val="0"/>
              <w:widowControl/>
              <w:kinsoku/>
              <w:overflowPunct/>
              <w:topLinePunct w:val="0"/>
              <w:autoSpaceDN/>
              <w:bidi w:val="0"/>
              <w:adjustRightInd/>
              <w:snapToGrid/>
              <w:spacing w:line="380" w:lineRule="exact"/>
              <w:jc w:val="center"/>
              <w:textAlignment w:val="auto"/>
              <w:rPr>
                <w:rFonts w:hint="eastAsia" w:ascii="宋体" w:hAnsi="宋体" w:eastAsia="宋体" w:cs="宋体"/>
                <w:bCs/>
                <w:snapToGrid w:val="0"/>
                <w:color w:val="auto"/>
                <w:kern w:val="0"/>
                <w:sz w:val="21"/>
                <w:szCs w:val="21"/>
                <w:highlight w:val="none"/>
              </w:rPr>
            </w:pPr>
            <w:r>
              <w:rPr>
                <w:rFonts w:hint="eastAsia" w:ascii="宋体" w:hAnsi="宋体" w:cs="宋体"/>
                <w:color w:val="000000"/>
                <w:kern w:val="0"/>
                <w:szCs w:val="21"/>
              </w:rPr>
              <w:t>信誉要求</w:t>
            </w:r>
          </w:p>
        </w:tc>
        <w:tc>
          <w:tcPr>
            <w:tcW w:w="7997" w:type="dxa"/>
            <w:noWrap w:val="0"/>
            <w:vAlign w:val="center"/>
          </w:tcPr>
          <w:p w14:paraId="6A542D3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1、投标人存在以下情形之一的，不得被确定为中标人：</w:t>
            </w:r>
          </w:p>
          <w:p w14:paraId="07F72D8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①被列入“信用中国”网站“失信被执行人”的</w:t>
            </w:r>
            <w:r>
              <w:rPr>
                <w:rFonts w:hint="eastAsia" w:ascii="宋体" w:hAnsi="宋体" w:cs="宋体"/>
                <w:color w:val="auto"/>
                <w:sz w:val="21"/>
                <w:szCs w:val="21"/>
                <w:highlight w:val="none"/>
                <w:lang w:val="en-US" w:eastAsia="zh-CN"/>
              </w:rPr>
              <w:t>；</w:t>
            </w:r>
          </w:p>
          <w:p w14:paraId="489F12F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②被列入“信用中国”网站“重大税收违法失信主体”的；</w:t>
            </w:r>
          </w:p>
          <w:p w14:paraId="11D76A4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③被列入“信用中国”网站“拖欠农民工工资失信联合惩戒对象名单”的；</w:t>
            </w:r>
          </w:p>
          <w:p w14:paraId="54EE342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④被列入“信用中国”网站 “严重失信主体名单”的；</w:t>
            </w:r>
          </w:p>
          <w:p w14:paraId="3EA235C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⑤在“信用中国”网站上披露的仍在公示期的严重失信行为(具体行为类别及判定依据见附件2)的。</w:t>
            </w:r>
          </w:p>
          <w:p w14:paraId="0B56C8F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⑥被列入国家企业信用信息公示系统网站“经营异常名录”或者“严重违法失信名单”的。</w:t>
            </w:r>
          </w:p>
          <w:p w14:paraId="2BE720B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⑦前三年有行贿犯罪行为的单位和个人；</w:t>
            </w:r>
          </w:p>
          <w:p w14:paraId="3F71D61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⑧被滁州市县两级公管部门及各行业主管部门取消在一定期限内的投标资格且在取消期限内的；</w:t>
            </w:r>
          </w:p>
          <w:p w14:paraId="4F252C3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⑨因拖欠农民工工资被县级及以上有关行政主管部门限制投标资格且在限制期限内的；</w:t>
            </w:r>
          </w:p>
          <w:p w14:paraId="3DA0832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584915F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2、投标人所属分公司、办事处等分支机构存在第1条信誉要求①-⑩项情形之一的，    接受其被确定为中标人。</w:t>
            </w:r>
          </w:p>
          <w:p w14:paraId="6DEFFC4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color w:val="auto"/>
                <w:szCs w:val="21"/>
                <w:highlight w:val="none"/>
                <w:lang w:val="en-US" w:eastAsia="zh-CN"/>
              </w:rPr>
            </w:pPr>
            <w:r>
              <w:rPr>
                <w:rFonts w:hint="eastAsia" w:ascii="宋体" w:hAnsi="宋体" w:eastAsia="宋体" w:cs="宋体"/>
                <w:color w:val="auto"/>
                <w:sz w:val="21"/>
                <w:szCs w:val="21"/>
                <w:highlight w:val="none"/>
                <w:lang w:val="en-US" w:eastAsia="zh-CN"/>
              </w:rPr>
              <w:t>备注：第1、2条按照附件1“关于联合惩戒失信行为加强信用查询管理的通知”查询或承诺。</w:t>
            </w:r>
          </w:p>
        </w:tc>
      </w:tr>
      <w:tr w14:paraId="4DC6C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199D4CC">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联合体投标</w:t>
            </w:r>
          </w:p>
        </w:tc>
        <w:tc>
          <w:tcPr>
            <w:tcW w:w="7997" w:type="dxa"/>
            <w:noWrap w:val="0"/>
            <w:vAlign w:val="center"/>
          </w:tcPr>
          <w:p w14:paraId="74209755">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本次招标不接受联合体投标。</w:t>
            </w:r>
          </w:p>
        </w:tc>
      </w:tr>
      <w:tr w14:paraId="7DAEB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44733C9">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多标段投标</w:t>
            </w:r>
          </w:p>
        </w:tc>
        <w:tc>
          <w:tcPr>
            <w:tcW w:w="7997" w:type="dxa"/>
            <w:noWrap w:val="0"/>
            <w:vAlign w:val="center"/>
          </w:tcPr>
          <w:p w14:paraId="42579C26">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w:t>
            </w:r>
          </w:p>
        </w:tc>
      </w:tr>
      <w:tr w14:paraId="23297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2E77D0C0">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招标文件的获取</w:t>
            </w:r>
          </w:p>
        </w:tc>
      </w:tr>
      <w:tr w14:paraId="1729B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933" w:type="dxa"/>
            <w:noWrap w:val="0"/>
            <w:vAlign w:val="center"/>
          </w:tcPr>
          <w:p w14:paraId="00B9B13C">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获取时间</w:t>
            </w:r>
          </w:p>
        </w:tc>
        <w:tc>
          <w:tcPr>
            <w:tcW w:w="7997" w:type="dxa"/>
            <w:noWrap w:val="0"/>
            <w:vAlign w:val="center"/>
          </w:tcPr>
          <w:p w14:paraId="257A5F9C">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202</w:t>
            </w:r>
            <w:r>
              <w:rPr>
                <w:rFonts w:hint="eastAsia" w:ascii="宋体" w:hAnsi="宋体" w:cs="宋体"/>
                <w:bCs/>
                <w:snapToGrid w:val="0"/>
                <w:color w:val="000000"/>
                <w:kern w:val="0"/>
                <w:szCs w:val="21"/>
                <w:highlight w:val="none"/>
                <w:u w:val="single"/>
                <w:lang w:val="en-US" w:eastAsia="zh-CN"/>
              </w:rPr>
              <w:t>6</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年</w:t>
            </w:r>
            <w:r>
              <w:rPr>
                <w:rFonts w:hint="eastAsia" w:ascii="宋体" w:hAnsi="宋体" w:cs="宋体"/>
                <w:bCs/>
                <w:snapToGrid w:val="0"/>
                <w:color w:val="000000"/>
                <w:kern w:val="0"/>
                <w:szCs w:val="21"/>
                <w:highlight w:val="none"/>
                <w:u w:val="single"/>
                <w:lang w:val="en-US" w:eastAsia="zh-CN"/>
              </w:rPr>
              <w:t xml:space="preserve"> 3 </w:t>
            </w:r>
            <w:r>
              <w:rPr>
                <w:rFonts w:hint="eastAsia" w:ascii="宋体" w:hAnsi="宋体" w:eastAsia="宋体" w:cs="宋体"/>
                <w:bCs/>
                <w:snapToGrid w:val="0"/>
                <w:color w:val="000000"/>
                <w:kern w:val="0"/>
                <w:szCs w:val="21"/>
                <w:highlight w:val="none"/>
              </w:rPr>
              <w:t>月</w:t>
            </w:r>
            <w:r>
              <w:rPr>
                <w:rFonts w:hint="eastAsia" w:ascii="宋体" w:hAnsi="宋体" w:cs="宋体"/>
                <w:bCs/>
                <w:snapToGrid w:val="0"/>
                <w:color w:val="000000"/>
                <w:kern w:val="0"/>
                <w:szCs w:val="21"/>
                <w:highlight w:val="none"/>
                <w:u w:val="single"/>
                <w:lang w:val="en-US" w:eastAsia="zh-CN"/>
              </w:rPr>
              <w:t xml:space="preserve"> 5 </w:t>
            </w:r>
            <w:r>
              <w:rPr>
                <w:rFonts w:hint="eastAsia" w:ascii="宋体" w:hAnsi="宋体" w:eastAsia="宋体" w:cs="宋体"/>
                <w:bCs/>
                <w:snapToGrid w:val="0"/>
                <w:color w:val="000000"/>
                <w:kern w:val="0"/>
                <w:szCs w:val="21"/>
                <w:highlight w:val="none"/>
              </w:rPr>
              <w:t>日</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17</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时</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00</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分至</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202</w:t>
            </w:r>
            <w:r>
              <w:rPr>
                <w:rFonts w:hint="eastAsia" w:ascii="宋体" w:hAnsi="宋体" w:cs="宋体"/>
                <w:bCs/>
                <w:snapToGrid w:val="0"/>
                <w:color w:val="000000"/>
                <w:kern w:val="0"/>
                <w:szCs w:val="21"/>
                <w:highlight w:val="none"/>
                <w:u w:val="single"/>
                <w:lang w:val="en-US" w:eastAsia="zh-CN"/>
              </w:rPr>
              <w:t>6</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年</w:t>
            </w:r>
            <w:r>
              <w:rPr>
                <w:rFonts w:hint="eastAsia" w:ascii="宋体" w:hAnsi="宋体" w:cs="宋体"/>
                <w:bCs/>
                <w:snapToGrid w:val="0"/>
                <w:color w:val="000000"/>
                <w:kern w:val="0"/>
                <w:szCs w:val="21"/>
                <w:highlight w:val="none"/>
                <w:u w:val="single"/>
                <w:lang w:val="en-US" w:eastAsia="zh-CN"/>
              </w:rPr>
              <w:t xml:space="preserve"> 3 </w:t>
            </w:r>
            <w:r>
              <w:rPr>
                <w:rFonts w:hint="eastAsia" w:ascii="宋体" w:hAnsi="宋体" w:eastAsia="宋体" w:cs="宋体"/>
                <w:bCs/>
                <w:snapToGrid w:val="0"/>
                <w:color w:val="000000"/>
                <w:kern w:val="0"/>
                <w:szCs w:val="21"/>
                <w:highlight w:val="none"/>
              </w:rPr>
              <w:t>月</w:t>
            </w:r>
            <w:r>
              <w:rPr>
                <w:rFonts w:hint="eastAsia" w:ascii="宋体" w:hAnsi="宋体" w:cs="宋体"/>
                <w:bCs/>
                <w:snapToGrid w:val="0"/>
                <w:color w:val="000000"/>
                <w:kern w:val="0"/>
                <w:szCs w:val="21"/>
                <w:highlight w:val="none"/>
                <w:u w:val="single"/>
                <w:lang w:val="en-US" w:eastAsia="zh-CN"/>
              </w:rPr>
              <w:t xml:space="preserve"> 13 </w:t>
            </w:r>
            <w:r>
              <w:rPr>
                <w:rFonts w:hint="eastAsia" w:ascii="宋体" w:hAnsi="宋体" w:eastAsia="宋体" w:cs="宋体"/>
                <w:bCs/>
                <w:snapToGrid w:val="0"/>
                <w:color w:val="000000"/>
                <w:kern w:val="0"/>
                <w:szCs w:val="21"/>
                <w:highlight w:val="none"/>
              </w:rPr>
              <w:t>日</w:t>
            </w:r>
            <w:r>
              <w:rPr>
                <w:rFonts w:hint="eastAsia" w:ascii="宋体" w:hAnsi="宋体" w:eastAsia="宋体" w:cs="宋体"/>
                <w:bCs/>
                <w:snapToGrid w:val="0"/>
                <w:color w:val="000000"/>
                <w:kern w:val="0"/>
                <w:szCs w:val="21"/>
                <w:highlight w:val="none"/>
                <w:u w:val="single"/>
              </w:rPr>
              <w:t xml:space="preserve"> </w:t>
            </w:r>
            <w:r>
              <w:rPr>
                <w:rFonts w:hint="eastAsia" w:ascii="宋体" w:hAnsi="宋体" w:cs="宋体"/>
                <w:bCs/>
                <w:snapToGrid w:val="0"/>
                <w:color w:val="000000"/>
                <w:kern w:val="0"/>
                <w:szCs w:val="21"/>
                <w:highlight w:val="none"/>
                <w:u w:val="single"/>
                <w:lang w:val="en-US" w:eastAsia="zh-CN"/>
              </w:rPr>
              <w:t>15</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时</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00</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分。</w:t>
            </w:r>
          </w:p>
        </w:tc>
      </w:tr>
      <w:tr w14:paraId="1AFD9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0724589">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rPr>
            </w:pPr>
            <w:r>
              <w:rPr>
                <w:rFonts w:hint="eastAsia" w:ascii="宋体" w:hAnsi="宋体" w:cs="宋体"/>
                <w:color w:val="000000"/>
                <w:kern w:val="0"/>
                <w:szCs w:val="21"/>
              </w:rPr>
              <w:t>获取方式</w:t>
            </w:r>
          </w:p>
        </w:tc>
        <w:tc>
          <w:tcPr>
            <w:tcW w:w="7997" w:type="dxa"/>
            <w:noWrap w:val="0"/>
            <w:vAlign w:val="center"/>
          </w:tcPr>
          <w:p w14:paraId="5AC4F371">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请于公告发布之日起从滁州市城投工程咨询管理有限公司</w:t>
            </w:r>
            <w:r>
              <w:rPr>
                <w:rFonts w:hint="eastAsia" w:cs="Times New Roman"/>
                <w:lang w:val="en-US" w:eastAsia="zh-CN"/>
              </w:rPr>
              <w:t>网站</w:t>
            </w:r>
            <w:r>
              <w:rPr>
                <w:rFonts w:hint="eastAsia" w:ascii="Times New Roman" w:hAnsi="Times New Roman" w:eastAsia="宋体" w:cs="Times New Roman"/>
                <w:lang w:val="en-US" w:eastAsia="zh-CN"/>
              </w:rPr>
              <w:t>（https://www.czctgczx.com/）下载</w:t>
            </w:r>
            <w:r>
              <w:rPr>
                <w:rFonts w:hint="eastAsia" w:cs="Times New Roman"/>
                <w:lang w:val="en-US" w:eastAsia="zh-CN"/>
              </w:rPr>
              <w:t>。</w:t>
            </w:r>
          </w:p>
          <w:p w14:paraId="06D33B50">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Times New Roman" w:hAnsi="Times New Roman" w:eastAsia="宋体" w:cs="Times New Roman"/>
              </w:rPr>
            </w:pPr>
            <w:r>
              <w:rPr>
                <w:rFonts w:hint="eastAsia" w:ascii="Times New Roman" w:hAnsi="Times New Roman" w:eastAsia="宋体" w:cs="Times New Roman"/>
                <w:lang w:val="en-US" w:eastAsia="zh-CN"/>
              </w:rPr>
              <w:t>方式：（1）投标人须登录新点电子交易平台【滁州专区】查询、获取</w:t>
            </w:r>
            <w:r>
              <w:rPr>
                <w:rFonts w:hint="eastAsia" w:cs="Times New Roman"/>
                <w:lang w:val="en-US" w:eastAsia="zh-CN"/>
              </w:rPr>
              <w:t>招标</w:t>
            </w:r>
            <w:r>
              <w:rPr>
                <w:rFonts w:hint="eastAsia" w:ascii="Times New Roman" w:hAnsi="Times New Roman" w:eastAsia="宋体" w:cs="Times New Roman"/>
                <w:lang w:val="en-US" w:eastAsia="zh-CN"/>
              </w:rPr>
              <w:t>文件。首次登录办理入库手续，办理入库不收取任何费用。新点电子招投标统一认证平台使用相关问题（如系统登录、信息登记、录入及提交、数字证书关联等）请拨打服务电话：4009280095-5（工作日）。  </w:t>
            </w:r>
          </w:p>
          <w:p w14:paraId="1CA3EC44">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宋体" w:hAnsi="宋体" w:eastAsia="宋体" w:cs="宋体"/>
                <w:color w:val="auto"/>
                <w:sz w:val="21"/>
                <w:szCs w:val="21"/>
                <w:highlight w:val="none"/>
              </w:rPr>
            </w:pPr>
            <w:r>
              <w:rPr>
                <w:rFonts w:hint="eastAsia" w:ascii="Times New Roman" w:hAnsi="Times New Roman" w:eastAsia="宋体" w:cs="Times New Roman"/>
                <w:lang w:val="en-US" w:eastAsia="zh-CN"/>
              </w:rPr>
              <w:t>（2）投标人登录新点电子交易平台【滁州专区】获取招标文件及其它资料（含澄清和补充说明等）。如在招标文件获取过程中遇到系统问题，请拨打技术支持服务热线 4009280095或者网站首页在线客服。</w:t>
            </w:r>
          </w:p>
        </w:tc>
      </w:tr>
      <w:tr w14:paraId="552DC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33" w:type="dxa"/>
            <w:noWrap w:val="0"/>
            <w:vAlign w:val="center"/>
          </w:tcPr>
          <w:p w14:paraId="77C699FD">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招标公告发布时间</w:t>
            </w:r>
          </w:p>
        </w:tc>
        <w:tc>
          <w:tcPr>
            <w:tcW w:w="7997" w:type="dxa"/>
            <w:noWrap w:val="0"/>
            <w:vAlign w:val="center"/>
          </w:tcPr>
          <w:p w14:paraId="0CB3AD82">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日</w:t>
            </w:r>
          </w:p>
        </w:tc>
      </w:tr>
      <w:tr w14:paraId="2E377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B970DA1">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投标文件递交的截止时间</w:t>
            </w:r>
          </w:p>
        </w:tc>
        <w:tc>
          <w:tcPr>
            <w:tcW w:w="7997" w:type="dxa"/>
            <w:noWrap w:val="0"/>
            <w:vAlign w:val="center"/>
          </w:tcPr>
          <w:p w14:paraId="78350ADB">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年</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月</w:t>
            </w:r>
            <w:r>
              <w:rPr>
                <w:rFonts w:hint="eastAsia" w:ascii="宋体" w:hAnsi="宋体" w:cs="宋体"/>
                <w:color w:val="auto"/>
                <w:szCs w:val="21"/>
                <w:highlight w:val="none"/>
                <w:lang w:val="en-US" w:eastAsia="zh-CN"/>
              </w:rPr>
              <w:t>13</w:t>
            </w:r>
            <w:r>
              <w:rPr>
                <w:rFonts w:hint="eastAsia" w:ascii="宋体" w:hAnsi="宋体" w:eastAsia="宋体" w:cs="宋体"/>
                <w:color w:val="auto"/>
                <w:szCs w:val="21"/>
                <w:highlight w:val="none"/>
                <w:lang w:val="en-US" w:eastAsia="zh-CN"/>
              </w:rPr>
              <w:t>日</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lang w:val="en-US" w:eastAsia="zh-CN"/>
              </w:rPr>
              <w:t>时00分</w:t>
            </w:r>
          </w:p>
        </w:tc>
      </w:tr>
      <w:tr w14:paraId="1D302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CC335A0">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投标文件递交的方式</w:t>
            </w:r>
          </w:p>
        </w:tc>
        <w:tc>
          <w:tcPr>
            <w:tcW w:w="7997" w:type="dxa"/>
            <w:noWrap w:val="0"/>
            <w:vAlign w:val="center"/>
          </w:tcPr>
          <w:p w14:paraId="46F556DE">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本项目仅接受投标人在投标截止时间前登录新点电子交易平台【滁州专区】（https://www.etrading.cn/BREpointSSO/login/oauth2login?regioncode=DQ_ChuZhou）交易系统递交的加密电子投标文件。</w:t>
            </w:r>
          </w:p>
        </w:tc>
      </w:tr>
      <w:tr w14:paraId="7CED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933" w:type="dxa"/>
            <w:noWrap w:val="0"/>
            <w:vAlign w:val="center"/>
          </w:tcPr>
          <w:p w14:paraId="746D341E">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开标时间</w:t>
            </w:r>
          </w:p>
        </w:tc>
        <w:tc>
          <w:tcPr>
            <w:tcW w:w="7997" w:type="dxa"/>
            <w:noWrap w:val="0"/>
            <w:vAlign w:val="center"/>
          </w:tcPr>
          <w:p w14:paraId="1DA66740">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lang w:val="en-US"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年</w:t>
            </w:r>
            <w:bookmarkStart w:id="1055" w:name="_GoBack"/>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月</w:t>
            </w:r>
            <w:bookmarkEnd w:id="1055"/>
            <w:r>
              <w:rPr>
                <w:rFonts w:hint="eastAsia" w:ascii="宋体" w:hAnsi="宋体" w:cs="宋体"/>
                <w:color w:val="auto"/>
                <w:szCs w:val="21"/>
                <w:highlight w:val="none"/>
                <w:lang w:val="en-US" w:eastAsia="zh-CN"/>
              </w:rPr>
              <w:t>13</w:t>
            </w:r>
            <w:r>
              <w:rPr>
                <w:rFonts w:hint="eastAsia" w:ascii="宋体" w:hAnsi="宋体" w:eastAsia="宋体" w:cs="宋体"/>
                <w:color w:val="auto"/>
                <w:szCs w:val="21"/>
                <w:highlight w:val="none"/>
                <w:lang w:val="en-US" w:eastAsia="zh-CN"/>
              </w:rPr>
              <w:t>日</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lang w:val="en-US" w:eastAsia="zh-CN"/>
              </w:rPr>
              <w:t>时00分</w:t>
            </w:r>
          </w:p>
        </w:tc>
      </w:tr>
      <w:tr w14:paraId="5C7D4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933" w:type="dxa"/>
            <w:noWrap w:val="0"/>
            <w:vAlign w:val="center"/>
          </w:tcPr>
          <w:p w14:paraId="77B6227A">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开标地点</w:t>
            </w:r>
          </w:p>
        </w:tc>
        <w:tc>
          <w:tcPr>
            <w:tcW w:w="7997" w:type="dxa"/>
            <w:noWrap w:val="0"/>
            <w:vAlign w:val="center"/>
          </w:tcPr>
          <w:p w14:paraId="3D3F20FE">
            <w:pPr>
              <w:keepNext w:val="0"/>
              <w:keepLines w:val="0"/>
              <w:pageBreakBefore w:val="0"/>
              <w:widowControl/>
              <w:kinsoku/>
              <w:wordWrap w:val="0"/>
              <w:overflowPunct/>
              <w:topLinePunct w:val="0"/>
              <w:autoSpaceDE w:val="0"/>
              <w:autoSpaceDN/>
              <w:bidi w:val="0"/>
              <w:adjustRightInd/>
              <w:snapToGrid/>
              <w:spacing w:line="380" w:lineRule="exact"/>
              <w:textAlignment w:val="auto"/>
              <w:rPr>
                <w:rFonts w:hint="eastAsia" w:ascii="宋体" w:hAnsi="宋体" w:eastAsia="宋体" w:cs="宋体"/>
                <w:color w:val="auto"/>
                <w:szCs w:val="21"/>
                <w:highlight w:val="none"/>
                <w:lang w:val="en-US" w:eastAsia="zh-CN"/>
              </w:rPr>
            </w:pPr>
            <w:r>
              <w:rPr>
                <w:rFonts w:hint="eastAsia" w:ascii="Times New Roman" w:hAnsi="Times New Roman" w:eastAsia="宋体" w:cs="Times New Roman"/>
                <w:highlight w:val="none"/>
                <w:lang w:val="en-US" w:eastAsia="zh-CN"/>
              </w:rPr>
              <w:t>采用不见面开标，投标人登录滁州市城投工程咨询有限公司不见面开标系统参与网上开标（网址：http://js.etrading.cn/EpointBidOpening/bidopeninghallaction/hall/login）。</w:t>
            </w:r>
          </w:p>
        </w:tc>
      </w:tr>
      <w:tr w14:paraId="4E312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9163777">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招标文件</w:t>
            </w:r>
            <w:r>
              <w:rPr>
                <w:rFonts w:hint="eastAsia" w:ascii="宋体" w:hAnsi="宋体" w:cs="宋体"/>
                <w:color w:val="auto"/>
                <w:sz w:val="21"/>
                <w:szCs w:val="21"/>
                <w:highlight w:val="none"/>
                <w:lang w:val="en-US" w:eastAsia="zh-CN"/>
              </w:rPr>
              <w:t>售价</w:t>
            </w:r>
          </w:p>
        </w:tc>
        <w:tc>
          <w:tcPr>
            <w:tcW w:w="7997" w:type="dxa"/>
            <w:noWrap w:val="0"/>
            <w:vAlign w:val="center"/>
          </w:tcPr>
          <w:p w14:paraId="0FF1405C">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0元</w:t>
            </w:r>
          </w:p>
        </w:tc>
      </w:tr>
      <w:tr w14:paraId="7177A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7C4373F">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发布公告的媒介</w:t>
            </w:r>
          </w:p>
        </w:tc>
        <w:tc>
          <w:tcPr>
            <w:tcW w:w="7997" w:type="dxa"/>
            <w:noWrap w:val="0"/>
            <w:vAlign w:val="center"/>
          </w:tcPr>
          <w:p w14:paraId="4E624FFB">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中国招标公共服务平台（http://www.cebpubservice.com/）</w:t>
            </w:r>
          </w:p>
          <w:p w14:paraId="41625809">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安徽省招标投标信息网（www.ahtba.org.cn）</w:t>
            </w:r>
          </w:p>
          <w:p w14:paraId="50C6D68C">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宋体" w:hAnsi="宋体" w:eastAsia="宋体" w:cs="宋体"/>
                <w:color w:val="auto"/>
                <w:szCs w:val="21"/>
                <w:highlight w:val="none"/>
                <w:lang w:val="en-US" w:eastAsia="zh-CN"/>
              </w:rPr>
            </w:pPr>
            <w:r>
              <w:rPr>
                <w:rFonts w:hint="eastAsia" w:ascii="Times New Roman" w:hAnsi="Times New Roman" w:eastAsia="宋体" w:cs="Times New Roman"/>
                <w:highlight w:val="none"/>
                <w:lang w:val="en-US" w:eastAsia="zh-CN"/>
              </w:rPr>
              <w:t>滁州市城投工程咨询管理有限公司（https://www.czctgczx.com/）</w:t>
            </w:r>
          </w:p>
        </w:tc>
      </w:tr>
      <w:tr w14:paraId="0857C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1930D497">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rPr>
              <w:t>投标保证金收取</w:t>
            </w:r>
          </w:p>
        </w:tc>
      </w:tr>
      <w:tr w14:paraId="453B2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FC7C453">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保证金收取</w:t>
            </w:r>
          </w:p>
        </w:tc>
        <w:tc>
          <w:tcPr>
            <w:tcW w:w="7997" w:type="dxa"/>
            <w:noWrap w:val="0"/>
            <w:vAlign w:val="center"/>
          </w:tcPr>
          <w:p w14:paraId="0FEC0F17">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Times New Roman" w:hAnsi="Times New Roman" w:eastAsia="宋体" w:cs="Times New Roman"/>
                <w:highlight w:val="yellow"/>
                <w:lang w:val="en-US" w:eastAsia="zh-CN"/>
              </w:rPr>
            </w:pPr>
            <w:r>
              <w:rPr>
                <w:rFonts w:hint="eastAsia" w:ascii="Times New Roman" w:hAnsi="Times New Roman" w:eastAsia="宋体" w:cs="Times New Roman"/>
                <w:highlight w:val="none"/>
                <w:lang w:val="en-US" w:eastAsia="zh-CN"/>
              </w:rPr>
              <w:t>是否要求提交投标保证金：要求，投标保证金的金额：7万元。</w:t>
            </w:r>
          </w:p>
          <w:p w14:paraId="76E08EA9">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 xml:space="preserve">投标保证金的形式：☑银行转账 </w:t>
            </w:r>
          </w:p>
          <w:p w14:paraId="3F88C837">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投标保证金须投标截止时间前交纳完毕；投标保证金须从投标人基本账户转入以下账户，投标保证金付款人的账户名称必须与投标人名称一致，不接受汇票和结算卡汇入，以资金到账时间为确认保证金交纳完毕时间。</w:t>
            </w:r>
          </w:p>
          <w:p w14:paraId="09F319CD">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 xml:space="preserve">户  名：滁州市城投工程咨询管理有限公司 </w:t>
            </w:r>
          </w:p>
          <w:p w14:paraId="42B4FC66">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 xml:space="preserve">开户行：中国银行滁州分行营业部 </w:t>
            </w:r>
          </w:p>
          <w:p w14:paraId="30DB3AAE">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账  号：</w:t>
            </w:r>
            <w:r>
              <w:rPr>
                <w:rFonts w:hint="default" w:ascii="Times New Roman" w:hAnsi="Times New Roman" w:eastAsia="宋体" w:cs="Times New Roman"/>
                <w:highlight w:val="none"/>
                <w:lang w:val="en-US" w:eastAsia="zh-CN"/>
              </w:rPr>
              <w:t xml:space="preserve">184256514737 </w:t>
            </w:r>
          </w:p>
          <w:p w14:paraId="757005AB">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保证金到账截止时间同投标文件递交截止时间，交纳保证金时须在交易附言中注明：“</w:t>
            </w:r>
            <w:r>
              <w:rPr>
                <w:rFonts w:hint="eastAsia" w:cs="Times New Roman"/>
                <w:highlight w:val="none"/>
                <w:lang w:val="en-US" w:eastAsia="zh-CN"/>
              </w:rPr>
              <w:t>滁州市人力资源产业园分布式光伏及充电桩项目</w:t>
            </w:r>
            <w:r>
              <w:rPr>
                <w:rFonts w:hint="eastAsia" w:ascii="Times New Roman" w:hAnsi="Times New Roman" w:eastAsia="宋体" w:cs="Times New Roman"/>
                <w:highlight w:val="none"/>
                <w:lang w:val="en-US" w:eastAsia="zh-CN"/>
              </w:rPr>
              <w:t xml:space="preserve">”投标保证金。 </w:t>
            </w:r>
          </w:p>
          <w:p w14:paraId="4162EA8F">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注：各投标人请严格按照招标公告和招标文件载明的银行、账户汇入投标保证金，否则在开标时将无法查询保证金是否到账，导致评标委员会否决其投标！</w:t>
            </w:r>
          </w:p>
          <w:p w14:paraId="14C6C619">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宋体" w:hAnsi="宋体" w:eastAsia="宋体" w:cs="宋体"/>
                <w:color w:val="auto"/>
                <w:sz w:val="21"/>
                <w:szCs w:val="21"/>
                <w:highlight w:val="none"/>
                <w:lang w:val="en-US" w:eastAsia="zh-CN"/>
              </w:rPr>
            </w:pPr>
            <w:r>
              <w:rPr>
                <w:rFonts w:hint="eastAsia" w:ascii="Times New Roman" w:hAnsi="Times New Roman" w:eastAsia="宋体" w:cs="Times New Roman"/>
                <w:highlight w:val="none"/>
                <w:lang w:val="en-US" w:eastAsia="zh-CN"/>
              </w:rPr>
              <w:t>投标保证金退还期限：中标通知书发放后五个工作日内退还未中标单位的投标保证金，签订合同后五个工作日内退还中标单位的投标保证金。</w:t>
            </w:r>
          </w:p>
        </w:tc>
      </w:tr>
      <w:tr w14:paraId="711C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05DB97D6">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联系方式</w:t>
            </w:r>
          </w:p>
        </w:tc>
      </w:tr>
      <w:tr w14:paraId="6F247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2E16C3F">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招标人名称</w:t>
            </w:r>
          </w:p>
        </w:tc>
        <w:tc>
          <w:tcPr>
            <w:tcW w:w="7997" w:type="dxa"/>
            <w:noWrap w:val="0"/>
            <w:vAlign w:val="center"/>
          </w:tcPr>
          <w:p w14:paraId="2D2A6C29">
            <w:pPr>
              <w:keepNext w:val="0"/>
              <w:keepLines w:val="0"/>
              <w:pageBreakBefore w:val="0"/>
              <w:widowControl/>
              <w:shd w:val="clear" w:color="auto" w:fill="auto"/>
              <w:kinsoku/>
              <w:wordWrap w:val="0"/>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滁州市翼然新能源开发有限公司</w:t>
            </w:r>
            <w:r>
              <w:rPr>
                <w:rFonts w:hint="eastAsia" w:ascii="宋体" w:hAnsi="宋体" w:eastAsia="宋体" w:cs="宋体"/>
                <w:color w:val="auto"/>
                <w:kern w:val="0"/>
                <w:sz w:val="21"/>
                <w:szCs w:val="21"/>
                <w:highlight w:val="none"/>
                <w:lang w:eastAsia="zh-CN"/>
              </w:rPr>
              <w:t xml:space="preserve"> </w:t>
            </w:r>
          </w:p>
        </w:tc>
      </w:tr>
      <w:tr w14:paraId="5C15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8A63B0F">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招标人地址</w:t>
            </w:r>
          </w:p>
        </w:tc>
        <w:tc>
          <w:tcPr>
            <w:tcW w:w="7997" w:type="dxa"/>
            <w:noWrap w:val="0"/>
            <w:vAlign w:val="center"/>
          </w:tcPr>
          <w:p w14:paraId="721F56AB">
            <w:pPr>
              <w:keepNext w:val="0"/>
              <w:keepLines w:val="0"/>
              <w:pageBreakBefore w:val="0"/>
              <w:widowControl/>
              <w:shd w:val="clear" w:color="auto" w:fill="auto"/>
              <w:kinsoku/>
              <w:wordWrap w:val="0"/>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安徽省滁州市南谯区中都大道1598号15层</w:t>
            </w:r>
          </w:p>
        </w:tc>
      </w:tr>
      <w:tr w14:paraId="53D1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C32FFCA">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招标人联系人</w:t>
            </w:r>
          </w:p>
        </w:tc>
        <w:tc>
          <w:tcPr>
            <w:tcW w:w="7997" w:type="dxa"/>
            <w:noWrap w:val="0"/>
            <w:vAlign w:val="center"/>
          </w:tcPr>
          <w:p w14:paraId="0CA615D4">
            <w:pPr>
              <w:keepNext w:val="0"/>
              <w:keepLines w:val="0"/>
              <w:pageBreakBefore w:val="0"/>
              <w:widowControl/>
              <w:shd w:val="clear" w:color="auto" w:fill="auto"/>
              <w:kinsoku/>
              <w:wordWrap w:val="0"/>
              <w:overflowPunct/>
              <w:topLinePunct w:val="0"/>
              <w:autoSpaceDE/>
              <w:autoSpaceDN/>
              <w:bidi w:val="0"/>
              <w:adjustRightInd/>
              <w:snapToGrid/>
              <w:spacing w:line="38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王以伟</w:t>
            </w:r>
          </w:p>
        </w:tc>
      </w:tr>
      <w:tr w14:paraId="79E3C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C0D56E8">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招标人电话</w:t>
            </w:r>
          </w:p>
        </w:tc>
        <w:tc>
          <w:tcPr>
            <w:tcW w:w="7997" w:type="dxa"/>
            <w:noWrap w:val="0"/>
            <w:vAlign w:val="center"/>
          </w:tcPr>
          <w:p w14:paraId="0786EC85">
            <w:pPr>
              <w:keepNext w:val="0"/>
              <w:keepLines w:val="0"/>
              <w:pageBreakBefore w:val="0"/>
              <w:widowControl/>
              <w:shd w:val="clear" w:color="auto" w:fill="auto"/>
              <w:kinsoku/>
              <w:wordWrap w:val="0"/>
              <w:overflowPunct/>
              <w:topLinePunct w:val="0"/>
              <w:autoSpaceDE/>
              <w:autoSpaceDN/>
              <w:bidi w:val="0"/>
              <w:adjustRightInd/>
              <w:snapToGrid/>
              <w:spacing w:line="38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0550-2350288</w:t>
            </w:r>
          </w:p>
        </w:tc>
      </w:tr>
      <w:tr w14:paraId="555FA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D32F697">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招标代理机构名称</w:t>
            </w:r>
          </w:p>
        </w:tc>
        <w:tc>
          <w:tcPr>
            <w:tcW w:w="7997" w:type="dxa"/>
            <w:noWrap w:val="0"/>
            <w:vAlign w:val="center"/>
          </w:tcPr>
          <w:p w14:paraId="6FF9C0EE">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滁州市城投工程咨询管理有限公司</w:t>
            </w:r>
          </w:p>
        </w:tc>
      </w:tr>
      <w:tr w14:paraId="2D8B7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C1F41F8">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招标代理机构地址</w:t>
            </w:r>
          </w:p>
        </w:tc>
        <w:tc>
          <w:tcPr>
            <w:tcW w:w="7997" w:type="dxa"/>
            <w:noWrap w:val="0"/>
            <w:vAlign w:val="center"/>
          </w:tcPr>
          <w:p w14:paraId="6D12C6BB">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滁州市龙蟠大道109号房产大厦6楼</w:t>
            </w:r>
            <w:r>
              <w:rPr>
                <w:rFonts w:hint="eastAsia" w:ascii="宋体" w:hAnsi="宋体" w:eastAsia="宋体" w:cs="宋体"/>
                <w:color w:val="auto"/>
                <w:sz w:val="21"/>
                <w:szCs w:val="21"/>
                <w:highlight w:val="none"/>
                <w:lang w:val="en-US" w:eastAsia="zh-CN"/>
              </w:rPr>
              <w:t>605室</w:t>
            </w:r>
          </w:p>
        </w:tc>
      </w:tr>
      <w:tr w14:paraId="5ECC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9B20423">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招标代理机构联系人</w:t>
            </w:r>
          </w:p>
        </w:tc>
        <w:tc>
          <w:tcPr>
            <w:tcW w:w="7997" w:type="dxa"/>
            <w:noWrap w:val="0"/>
            <w:vAlign w:val="center"/>
          </w:tcPr>
          <w:p w14:paraId="508420A3">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周蓓蕾</w:t>
            </w:r>
          </w:p>
        </w:tc>
      </w:tr>
      <w:tr w14:paraId="2DBA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D7E1BD9">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代理机构电话</w:t>
            </w:r>
          </w:p>
        </w:tc>
        <w:tc>
          <w:tcPr>
            <w:tcW w:w="7997" w:type="dxa"/>
            <w:noWrap w:val="0"/>
            <w:vAlign w:val="center"/>
          </w:tcPr>
          <w:p w14:paraId="57DEDBE8">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0550-3519519</w:t>
            </w:r>
            <w:r>
              <w:rPr>
                <w:rFonts w:hint="eastAsia" w:ascii="宋体" w:hAnsi="宋体" w:eastAsia="宋体" w:cs="宋体"/>
                <w:color w:val="auto"/>
                <w:sz w:val="21"/>
                <w:szCs w:val="21"/>
                <w:highlight w:val="none"/>
                <w:lang w:val="en-US" w:eastAsia="zh-CN"/>
              </w:rPr>
              <w:t>、18005505728</w:t>
            </w:r>
          </w:p>
        </w:tc>
      </w:tr>
    </w:tbl>
    <w:p w14:paraId="32A53F0D">
      <w:pPr>
        <w:pStyle w:val="44"/>
        <w:spacing w:beforeLines="50" w:afterLines="50" w:line="440" w:lineRule="exact"/>
        <w:jc w:val="center"/>
        <w:rPr>
          <w:bCs/>
          <w:szCs w:val="32"/>
          <w:highlight w:val="none"/>
        </w:rPr>
      </w:pPr>
      <w:bookmarkStart w:id="32" w:name="_Toc78803321"/>
      <w:r>
        <w:rPr>
          <w:rFonts w:hint="eastAsia"/>
          <w:bCs/>
          <w:szCs w:val="32"/>
          <w:highlight w:val="none"/>
        </w:rPr>
        <w:br w:type="page"/>
      </w:r>
      <w:r>
        <w:rPr>
          <w:rFonts w:hint="eastAsia"/>
          <w:bCs/>
          <w:szCs w:val="32"/>
          <w:highlight w:val="none"/>
        </w:rPr>
        <w:t>第</w:t>
      </w:r>
      <w:r>
        <w:rPr>
          <w:rFonts w:hint="eastAsia"/>
          <w:bCs/>
          <w:szCs w:val="32"/>
          <w:highlight w:val="none"/>
          <w:lang w:val="en-US" w:eastAsia="zh-CN"/>
        </w:rPr>
        <w:t>二</w:t>
      </w:r>
      <w:r>
        <w:rPr>
          <w:rFonts w:hint="eastAsia"/>
          <w:bCs/>
          <w:szCs w:val="32"/>
          <w:highlight w:val="none"/>
        </w:rPr>
        <w:t>章  投标人须知</w:t>
      </w:r>
      <w:bookmarkEnd w:id="20"/>
      <w:bookmarkEnd w:id="21"/>
      <w:bookmarkEnd w:id="22"/>
      <w:bookmarkEnd w:id="23"/>
      <w:bookmarkEnd w:id="24"/>
      <w:bookmarkEnd w:id="25"/>
      <w:bookmarkEnd w:id="26"/>
      <w:bookmarkEnd w:id="27"/>
      <w:bookmarkEnd w:id="28"/>
      <w:bookmarkEnd w:id="29"/>
      <w:bookmarkEnd w:id="30"/>
      <w:bookmarkEnd w:id="31"/>
      <w:bookmarkEnd w:id="32"/>
    </w:p>
    <w:p w14:paraId="594BBBF6">
      <w:pPr>
        <w:spacing w:beforeLines="50" w:afterLines="50" w:line="440" w:lineRule="exact"/>
        <w:jc w:val="center"/>
        <w:rPr>
          <w:b/>
          <w:bCs/>
          <w:sz w:val="28"/>
          <w:szCs w:val="28"/>
          <w:highlight w:val="none"/>
        </w:rPr>
      </w:pPr>
      <w:bookmarkStart w:id="33" w:name="_Toc246996174"/>
      <w:bookmarkStart w:id="34" w:name="_Toc247085688"/>
      <w:bookmarkStart w:id="35" w:name="_Toc152042304"/>
      <w:bookmarkStart w:id="36" w:name="_Toc506107268"/>
      <w:bookmarkStart w:id="37" w:name="_Toc144974496"/>
      <w:bookmarkStart w:id="38" w:name="_Toc15058845"/>
      <w:bookmarkStart w:id="39" w:name="_Toc152045528"/>
      <w:bookmarkStart w:id="40" w:name="_Toc35424884"/>
      <w:bookmarkStart w:id="41" w:name="_Toc246996917"/>
      <w:bookmarkStart w:id="42" w:name="_Toc179632545"/>
      <w:bookmarkStart w:id="43" w:name="_Toc35425051"/>
      <w:bookmarkStart w:id="44" w:name="_Toc324404814"/>
      <w:r>
        <w:rPr>
          <w:rFonts w:hint="eastAsia"/>
          <w:b/>
          <w:bCs/>
          <w:sz w:val="28"/>
          <w:szCs w:val="28"/>
          <w:highlight w:val="none"/>
        </w:rPr>
        <w:t>投标人须知前附表</w:t>
      </w:r>
      <w:bookmarkEnd w:id="33"/>
      <w:bookmarkEnd w:id="34"/>
      <w:bookmarkEnd w:id="35"/>
      <w:bookmarkEnd w:id="36"/>
      <w:bookmarkEnd w:id="37"/>
      <w:bookmarkEnd w:id="38"/>
      <w:bookmarkEnd w:id="39"/>
      <w:bookmarkEnd w:id="40"/>
      <w:bookmarkEnd w:id="41"/>
      <w:bookmarkEnd w:id="42"/>
      <w:bookmarkEnd w:id="43"/>
      <w:bookmarkEnd w:id="44"/>
    </w:p>
    <w:tbl>
      <w:tblPr>
        <w:tblStyle w:val="47"/>
        <w:tblW w:w="10328" w:type="dxa"/>
        <w:jc w:val="center"/>
        <w:tblLayout w:type="fixed"/>
        <w:tblCellMar>
          <w:top w:w="0" w:type="dxa"/>
          <w:left w:w="108" w:type="dxa"/>
          <w:bottom w:w="0" w:type="dxa"/>
          <w:right w:w="108" w:type="dxa"/>
        </w:tblCellMar>
      </w:tblPr>
      <w:tblGrid>
        <w:gridCol w:w="868"/>
        <w:gridCol w:w="910"/>
        <w:gridCol w:w="1299"/>
        <w:gridCol w:w="7251"/>
      </w:tblGrid>
      <w:tr w14:paraId="37A3BBD6">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319F0F">
            <w:pPr>
              <w:keepNext w:val="0"/>
              <w:keepLines w:val="0"/>
              <w:pageBreakBefore w:val="0"/>
              <w:kinsoku/>
              <w:wordWrap/>
              <w:overflowPunct/>
              <w:autoSpaceDN/>
              <w:bidi w:val="0"/>
              <w:spacing w:line="400" w:lineRule="exact"/>
              <w:jc w:val="center"/>
              <w:textAlignment w:val="auto"/>
              <w:rPr>
                <w:rFonts w:ascii="宋体" w:hAnsi="宋体" w:cs="宋体"/>
                <w:b/>
                <w:szCs w:val="21"/>
                <w:highlight w:val="none"/>
              </w:rPr>
            </w:pPr>
            <w:bookmarkStart w:id="45" w:name="_Toc506107269"/>
            <w:bookmarkStart w:id="46" w:name="_Toc247085689"/>
            <w:bookmarkStart w:id="47" w:name="_Toc144974497"/>
            <w:bookmarkStart w:id="48" w:name="_Toc152042305"/>
            <w:bookmarkStart w:id="49" w:name="_Toc246996175"/>
            <w:bookmarkStart w:id="50" w:name="_Toc179632546"/>
            <w:bookmarkStart w:id="51" w:name="_Toc246996918"/>
            <w:bookmarkStart w:id="52" w:name="_Toc152045529"/>
            <w:bookmarkStart w:id="53" w:name="_Toc324404815"/>
            <w:r>
              <w:rPr>
                <w:rFonts w:hint="eastAsia" w:ascii="宋体" w:hAnsi="宋体" w:cs="宋体"/>
                <w:b/>
                <w:szCs w:val="21"/>
                <w:highlight w:val="none"/>
              </w:rPr>
              <w:t>序号</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109513C">
            <w:pPr>
              <w:keepNext w:val="0"/>
              <w:keepLines w:val="0"/>
              <w:pageBreakBefore w:val="0"/>
              <w:kinsoku/>
              <w:wordWrap/>
              <w:overflowPunct/>
              <w:autoSpaceDN/>
              <w:bidi w:val="0"/>
              <w:spacing w:line="400" w:lineRule="exact"/>
              <w:jc w:val="center"/>
              <w:textAlignment w:val="auto"/>
              <w:rPr>
                <w:rFonts w:ascii="宋体" w:hAnsi="宋体" w:cs="宋体"/>
                <w:b/>
                <w:szCs w:val="21"/>
                <w:highlight w:val="none"/>
              </w:rPr>
            </w:pPr>
            <w:r>
              <w:rPr>
                <w:rFonts w:hint="eastAsia" w:ascii="宋体" w:hAnsi="宋体" w:cs="宋体"/>
                <w:b/>
                <w:szCs w:val="21"/>
                <w:highlight w:val="none"/>
              </w:rPr>
              <w:t>条  款  名  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175926BC">
            <w:pPr>
              <w:keepNext w:val="0"/>
              <w:keepLines w:val="0"/>
              <w:pageBreakBefore w:val="0"/>
              <w:kinsoku/>
              <w:wordWrap/>
              <w:overflowPunct/>
              <w:autoSpaceDN/>
              <w:bidi w:val="0"/>
              <w:spacing w:line="400" w:lineRule="exact"/>
              <w:jc w:val="center"/>
              <w:textAlignment w:val="auto"/>
              <w:rPr>
                <w:rFonts w:ascii="宋体" w:hAnsi="宋体" w:cs="宋体"/>
                <w:b/>
                <w:szCs w:val="21"/>
                <w:highlight w:val="none"/>
              </w:rPr>
            </w:pPr>
            <w:r>
              <w:rPr>
                <w:rFonts w:hint="eastAsia" w:ascii="宋体" w:hAnsi="宋体" w:cs="宋体"/>
                <w:b/>
                <w:szCs w:val="21"/>
                <w:highlight w:val="none"/>
              </w:rPr>
              <w:t>编  列  内  容</w:t>
            </w:r>
          </w:p>
        </w:tc>
      </w:tr>
      <w:tr w14:paraId="399B882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EA00D87">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4588F4B">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招标人</w:t>
            </w:r>
          </w:p>
        </w:tc>
        <w:tc>
          <w:tcPr>
            <w:tcW w:w="7251" w:type="dxa"/>
            <w:tcBorders>
              <w:top w:val="single" w:color="auto" w:sz="4" w:space="0"/>
              <w:left w:val="single" w:color="auto" w:sz="4" w:space="0"/>
              <w:bottom w:val="single" w:color="auto" w:sz="4" w:space="0"/>
              <w:right w:val="single" w:color="auto" w:sz="4" w:space="0"/>
            </w:tcBorders>
            <w:noWrap/>
            <w:vAlign w:val="center"/>
          </w:tcPr>
          <w:p w14:paraId="10407BB1">
            <w:pPr>
              <w:pStyle w:val="93"/>
              <w:keepNext w:val="0"/>
              <w:keepLines w:val="0"/>
              <w:pageBreakBefore w:val="0"/>
              <w:kinsoku/>
              <w:wordWrap/>
              <w:overflowPunct/>
              <w:autoSpaceDN/>
              <w:bidi w:val="0"/>
              <w:adjustRightInd w:val="0"/>
              <w:snapToGrid w:val="0"/>
              <w:spacing w:line="400" w:lineRule="exact"/>
              <w:jc w:val="left"/>
              <w:textAlignment w:val="auto"/>
              <w:rPr>
                <w:rFonts w:hint="eastAsia" w:eastAsia="宋体"/>
                <w:kern w:val="2"/>
                <w:sz w:val="21"/>
                <w:szCs w:val="21"/>
                <w:highlight w:val="none"/>
                <w:lang w:eastAsia="zh-CN"/>
              </w:rPr>
            </w:pPr>
            <w:r>
              <w:rPr>
                <w:rFonts w:hint="eastAsia" w:ascii="宋体" w:hAnsi="宋体" w:cs="宋体"/>
                <w:color w:val="auto"/>
                <w:sz w:val="21"/>
                <w:szCs w:val="21"/>
                <w:highlight w:val="none"/>
              </w:rPr>
              <w:t>见招标公告</w:t>
            </w:r>
          </w:p>
        </w:tc>
      </w:tr>
      <w:tr w14:paraId="2BB50941">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7F2ABC2">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88F0F1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招标代理机构</w:t>
            </w:r>
          </w:p>
        </w:tc>
        <w:tc>
          <w:tcPr>
            <w:tcW w:w="7251" w:type="dxa"/>
            <w:tcBorders>
              <w:top w:val="single" w:color="auto" w:sz="4" w:space="0"/>
              <w:left w:val="single" w:color="auto" w:sz="4" w:space="0"/>
              <w:bottom w:val="single" w:color="auto" w:sz="4" w:space="0"/>
              <w:right w:val="single" w:color="auto" w:sz="4" w:space="0"/>
            </w:tcBorders>
            <w:noWrap/>
            <w:vAlign w:val="center"/>
          </w:tcPr>
          <w:p w14:paraId="10F9436F">
            <w:pPr>
              <w:keepNext w:val="0"/>
              <w:keepLines w:val="0"/>
              <w:pageBreakBefore w:val="0"/>
              <w:kinsoku/>
              <w:wordWrap/>
              <w:overflowPunct/>
              <w:autoSpaceDN/>
              <w:bidi w:val="0"/>
              <w:adjustRightInd w:val="0"/>
              <w:snapToGrid w:val="0"/>
              <w:spacing w:line="400" w:lineRule="exact"/>
              <w:textAlignment w:val="auto"/>
              <w:rPr>
                <w:rFonts w:hint="default" w:ascii="宋体" w:hAnsi="宋体" w:eastAsia="宋体" w:cs="宋体"/>
                <w:szCs w:val="21"/>
                <w:highlight w:val="none"/>
                <w:lang w:val="en-US" w:eastAsia="zh-CN"/>
              </w:rPr>
            </w:pPr>
            <w:r>
              <w:rPr>
                <w:rFonts w:hint="eastAsia" w:ascii="宋体" w:hAnsi="宋体" w:cs="宋体"/>
                <w:color w:val="auto"/>
                <w:sz w:val="21"/>
                <w:szCs w:val="21"/>
                <w:highlight w:val="none"/>
              </w:rPr>
              <w:t>见招标公告</w:t>
            </w:r>
          </w:p>
        </w:tc>
      </w:tr>
      <w:tr w14:paraId="6E88FEC4">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21D750">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C1999A0">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项目名称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3CF94C9C">
            <w:pPr>
              <w:keepNext w:val="0"/>
              <w:keepLines w:val="0"/>
              <w:pageBreakBefore w:val="0"/>
              <w:kinsoku/>
              <w:wordWrap/>
              <w:overflowPunct/>
              <w:autoSpaceDN/>
              <w:bidi w:val="0"/>
              <w:adjustRightInd w:val="0"/>
              <w:snapToGrid w:val="0"/>
              <w:spacing w:line="400" w:lineRule="exact"/>
              <w:textAlignment w:val="auto"/>
              <w:rPr>
                <w:rFonts w:hint="eastAsia" w:ascii="宋体" w:hAnsi="宋体" w:eastAsia="宋体" w:cs="宋体"/>
                <w:szCs w:val="21"/>
                <w:highlight w:val="none"/>
                <w:lang w:eastAsia="zh-CN"/>
              </w:rPr>
            </w:pPr>
            <w:r>
              <w:rPr>
                <w:rFonts w:hint="eastAsia" w:ascii="宋体" w:hAnsi="宋体" w:cs="宋体"/>
                <w:color w:val="auto"/>
                <w:sz w:val="21"/>
                <w:szCs w:val="21"/>
                <w:highlight w:val="none"/>
              </w:rPr>
              <w:t>见招标公告</w:t>
            </w:r>
          </w:p>
        </w:tc>
      </w:tr>
      <w:tr w14:paraId="0D5FE2EA">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C8FAF44">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0A58F76">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建设地点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7B346AFB">
            <w:pPr>
              <w:keepNext w:val="0"/>
              <w:keepLines w:val="0"/>
              <w:pageBreakBefore w:val="0"/>
              <w:kinsoku/>
              <w:wordWrap/>
              <w:overflowPunct/>
              <w:autoSpaceDN/>
              <w:bidi w:val="0"/>
              <w:adjustRightInd w:val="0"/>
              <w:snapToGrid w:val="0"/>
              <w:spacing w:line="400" w:lineRule="exact"/>
              <w:textAlignment w:val="auto"/>
              <w:rPr>
                <w:rFonts w:ascii="宋体" w:hAnsi="宋体" w:cs="宋体"/>
                <w:szCs w:val="21"/>
                <w:highlight w:val="none"/>
              </w:rPr>
            </w:pPr>
            <w:r>
              <w:rPr>
                <w:rFonts w:hint="eastAsia" w:ascii="宋体" w:hAnsi="宋体" w:cs="宋体"/>
                <w:color w:val="auto"/>
                <w:sz w:val="21"/>
                <w:szCs w:val="21"/>
                <w:highlight w:val="none"/>
              </w:rPr>
              <w:t>见招标公告</w:t>
            </w:r>
          </w:p>
        </w:tc>
      </w:tr>
      <w:tr w14:paraId="27E33739">
        <w:tblPrEx>
          <w:tblCellMar>
            <w:top w:w="0" w:type="dxa"/>
            <w:left w:w="108" w:type="dxa"/>
            <w:bottom w:w="0" w:type="dxa"/>
            <w:right w:w="108" w:type="dxa"/>
          </w:tblCellMar>
        </w:tblPrEx>
        <w:trPr>
          <w:trHeight w:val="555"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6EAEC26">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CEC5559">
            <w:pPr>
              <w:keepNext w:val="0"/>
              <w:keepLines w:val="0"/>
              <w:pageBreakBefore w:val="0"/>
              <w:kinsoku/>
              <w:wordWrap/>
              <w:overflowPunct/>
              <w:autoSpaceDN/>
              <w:bidi w:val="0"/>
              <w:adjustRightInd w:val="0"/>
              <w:snapToGrid w:val="0"/>
              <w:spacing w:line="400" w:lineRule="exact"/>
              <w:jc w:val="center"/>
              <w:textAlignment w:val="auto"/>
              <w:rPr>
                <w:rFonts w:ascii="宋体" w:hAnsi="宋体" w:cs="宋体"/>
                <w:szCs w:val="21"/>
                <w:highlight w:val="none"/>
              </w:rPr>
            </w:pPr>
            <w:r>
              <w:rPr>
                <w:rFonts w:hint="eastAsia" w:ascii="宋体" w:hAnsi="宋体" w:cs="宋体"/>
                <w:color w:val="auto"/>
                <w:sz w:val="21"/>
                <w:szCs w:val="21"/>
                <w:highlight w:val="none"/>
              </w:rPr>
              <w:t>资金落实情况</w:t>
            </w:r>
          </w:p>
        </w:tc>
        <w:tc>
          <w:tcPr>
            <w:tcW w:w="7251" w:type="dxa"/>
            <w:tcBorders>
              <w:top w:val="single" w:color="auto" w:sz="4" w:space="0"/>
              <w:left w:val="single" w:color="auto" w:sz="4" w:space="0"/>
              <w:bottom w:val="single" w:color="auto" w:sz="4" w:space="0"/>
              <w:right w:val="single" w:color="auto" w:sz="4" w:space="0"/>
            </w:tcBorders>
            <w:noWrap/>
            <w:vAlign w:val="center"/>
          </w:tcPr>
          <w:p w14:paraId="60460FF1">
            <w:pPr>
              <w:keepNext w:val="0"/>
              <w:keepLines w:val="0"/>
              <w:pageBreakBefore w:val="0"/>
              <w:kinsoku/>
              <w:wordWrap/>
              <w:overflowPunct/>
              <w:autoSpaceDN/>
              <w:bidi w:val="0"/>
              <w:adjustRightInd w:val="0"/>
              <w:snapToGrid w:val="0"/>
              <w:spacing w:line="400" w:lineRule="exact"/>
              <w:textAlignment w:val="auto"/>
              <w:rPr>
                <w:rFonts w:ascii="宋体" w:hAnsi="宋体" w:cs="宋体"/>
                <w:szCs w:val="21"/>
                <w:highlight w:val="none"/>
              </w:rPr>
            </w:pPr>
            <w:r>
              <w:rPr>
                <w:rFonts w:hint="eastAsia" w:ascii="宋体" w:hAnsi="宋体" w:cs="宋体"/>
                <w:color w:val="auto"/>
                <w:sz w:val="21"/>
                <w:szCs w:val="21"/>
                <w:highlight w:val="none"/>
                <w:lang w:val="en-US" w:eastAsia="zh-CN"/>
              </w:rPr>
              <w:t>已落实</w:t>
            </w:r>
          </w:p>
        </w:tc>
      </w:tr>
      <w:tr w14:paraId="64D296C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0EC8E8">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516917A">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招标范围</w:t>
            </w:r>
          </w:p>
        </w:tc>
        <w:tc>
          <w:tcPr>
            <w:tcW w:w="7251" w:type="dxa"/>
            <w:tcBorders>
              <w:top w:val="single" w:color="auto" w:sz="4" w:space="0"/>
              <w:left w:val="single" w:color="auto" w:sz="4" w:space="0"/>
              <w:bottom w:val="single" w:color="auto" w:sz="4" w:space="0"/>
              <w:right w:val="single" w:color="auto" w:sz="4" w:space="0"/>
            </w:tcBorders>
            <w:noWrap/>
            <w:vAlign w:val="center"/>
          </w:tcPr>
          <w:p w14:paraId="6B3CA562">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color w:val="000000"/>
                <w:szCs w:val="21"/>
                <w:highlight w:val="none"/>
              </w:rPr>
              <w:t>见招标公告</w:t>
            </w:r>
          </w:p>
        </w:tc>
      </w:tr>
      <w:tr w14:paraId="4195E0D5">
        <w:tblPrEx>
          <w:tblCellMar>
            <w:top w:w="0" w:type="dxa"/>
            <w:left w:w="108" w:type="dxa"/>
            <w:bottom w:w="0" w:type="dxa"/>
            <w:right w:w="108" w:type="dxa"/>
          </w:tblCellMar>
        </w:tblPrEx>
        <w:trPr>
          <w:trHeight w:val="496"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2ABF706">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22F7482">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评标办法</w:t>
            </w:r>
          </w:p>
        </w:tc>
        <w:tc>
          <w:tcPr>
            <w:tcW w:w="7251" w:type="dxa"/>
            <w:tcBorders>
              <w:top w:val="single" w:color="auto" w:sz="4" w:space="0"/>
              <w:left w:val="single" w:color="auto" w:sz="4" w:space="0"/>
              <w:bottom w:val="single" w:color="auto" w:sz="4" w:space="0"/>
              <w:right w:val="single" w:color="auto" w:sz="4" w:space="0"/>
            </w:tcBorders>
            <w:noWrap/>
            <w:vAlign w:val="center"/>
          </w:tcPr>
          <w:p w14:paraId="340D66FF">
            <w:pPr>
              <w:pStyle w:val="93"/>
              <w:keepNext w:val="0"/>
              <w:keepLines w:val="0"/>
              <w:pageBreakBefore w:val="0"/>
              <w:kinsoku/>
              <w:wordWrap/>
              <w:overflowPunct/>
              <w:autoSpaceDN/>
              <w:bidi w:val="0"/>
              <w:spacing w:line="400" w:lineRule="exact"/>
              <w:textAlignment w:val="auto"/>
              <w:rPr>
                <w:rFonts w:ascii="宋体" w:hAnsi="宋体" w:cs="宋体"/>
                <w:highlight w:val="none"/>
              </w:rPr>
            </w:pPr>
            <w:r>
              <w:rPr>
                <w:rFonts w:hint="eastAsia" w:ascii="宋体" w:hAnsi="宋体" w:cs="宋体"/>
                <w:color w:val="auto"/>
                <w:sz w:val="21"/>
                <w:szCs w:val="21"/>
                <w:highlight w:val="none"/>
              </w:rPr>
              <w:t>见招标公告</w:t>
            </w:r>
          </w:p>
        </w:tc>
      </w:tr>
      <w:tr w14:paraId="6E44BA5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B12E6DA">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9F9D96F">
            <w:pPr>
              <w:pageBreakBefore w:val="0"/>
              <w:kinsoku/>
              <w:wordWrap/>
              <w:overflowPunct/>
              <w:autoSpaceDE/>
              <w:autoSpaceDN/>
              <w:bidi w:val="0"/>
              <w:adjustRightInd w:val="0"/>
              <w:snapToGrid w:val="0"/>
              <w:spacing w:line="440" w:lineRule="exact"/>
              <w:jc w:val="center"/>
              <w:textAlignment w:val="auto"/>
              <w:rPr>
                <w:rFonts w:ascii="宋体" w:hAnsi="宋体" w:cs="宋体"/>
                <w:color w:val="auto"/>
                <w:szCs w:val="21"/>
                <w:highlight w:val="none"/>
              </w:rPr>
            </w:pPr>
            <w:r>
              <w:rPr>
                <w:rFonts w:hint="eastAsia" w:ascii="宋体" w:hAnsi="宋体" w:eastAsia="宋体" w:cs="宋体"/>
                <w:color w:val="auto"/>
                <w:sz w:val="21"/>
                <w:szCs w:val="21"/>
                <w:highlight w:val="none"/>
              </w:rPr>
              <w:t>计划工期</w:t>
            </w:r>
          </w:p>
        </w:tc>
        <w:tc>
          <w:tcPr>
            <w:tcW w:w="7251" w:type="dxa"/>
            <w:tcBorders>
              <w:top w:val="single" w:color="auto" w:sz="4" w:space="0"/>
              <w:left w:val="single" w:color="auto" w:sz="4" w:space="0"/>
              <w:bottom w:val="single" w:color="auto" w:sz="4" w:space="0"/>
              <w:right w:val="single" w:color="auto" w:sz="4" w:space="0"/>
            </w:tcBorders>
            <w:noWrap/>
            <w:vAlign w:val="center"/>
          </w:tcPr>
          <w:p w14:paraId="12C09492">
            <w:pPr>
              <w:pageBreakBefore w:val="0"/>
              <w:kinsoku/>
              <w:wordWrap/>
              <w:overflowPunct/>
              <w:autoSpaceDE/>
              <w:autoSpaceDN/>
              <w:bidi w:val="0"/>
              <w:adjustRightInd w:val="0"/>
              <w:snapToGrid w:val="0"/>
              <w:spacing w:line="44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计划工</w:t>
            </w:r>
            <w:r>
              <w:rPr>
                <w:rFonts w:hint="eastAsia" w:ascii="宋体" w:hAnsi="宋体" w:eastAsia="宋体" w:cs="宋体"/>
                <w:b/>
                <w:color w:val="auto"/>
                <w:sz w:val="21"/>
                <w:szCs w:val="21"/>
                <w:highlight w:val="none"/>
                <w:lang w:eastAsia="zh-CN"/>
              </w:rPr>
              <w:t>期：</w:t>
            </w:r>
            <w:r>
              <w:rPr>
                <w:rFonts w:hint="eastAsia" w:ascii="宋体" w:hAnsi="宋体" w:eastAsia="宋体" w:cs="宋体"/>
                <w:b/>
                <w:color w:val="auto"/>
                <w:sz w:val="21"/>
                <w:szCs w:val="21"/>
                <w:highlight w:val="none"/>
                <w:lang w:val="en-US" w:eastAsia="zh-CN"/>
              </w:rPr>
              <w:t>不高于</w:t>
            </w:r>
            <w:r>
              <w:rPr>
                <w:rFonts w:hint="eastAsia" w:ascii="宋体" w:hAnsi="宋体" w:cs="宋体"/>
                <w:b/>
                <w:color w:val="auto"/>
                <w:sz w:val="21"/>
                <w:szCs w:val="21"/>
                <w:highlight w:val="none"/>
                <w:u w:val="single"/>
                <w:lang w:val="en-US" w:eastAsia="zh-CN"/>
              </w:rPr>
              <w:t>120</w:t>
            </w:r>
            <w:r>
              <w:rPr>
                <w:rFonts w:hint="eastAsia" w:ascii="宋体" w:hAnsi="宋体" w:eastAsia="宋体" w:cs="宋体"/>
                <w:b/>
                <w:color w:val="auto"/>
                <w:sz w:val="21"/>
                <w:szCs w:val="21"/>
                <w:highlight w:val="none"/>
                <w:lang w:val="en-US" w:eastAsia="zh-CN"/>
              </w:rPr>
              <w:t>个日历天</w:t>
            </w:r>
            <w:r>
              <w:rPr>
                <w:rFonts w:hint="eastAsia" w:ascii="宋体" w:hAnsi="宋体" w:eastAsia="宋体" w:cs="宋体"/>
                <w:b/>
                <w:color w:val="auto"/>
                <w:sz w:val="21"/>
                <w:szCs w:val="21"/>
                <w:highlight w:val="none"/>
                <w:lang w:eastAsia="zh-CN"/>
              </w:rPr>
              <w:t>。</w:t>
            </w:r>
          </w:p>
          <w:p w14:paraId="385FC43D">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计划开工日期：双方签订合同时明确</w:t>
            </w:r>
            <w:r>
              <w:rPr>
                <w:rFonts w:hint="eastAsia" w:ascii="宋体" w:hAnsi="宋体" w:cs="宋体"/>
                <w:color w:val="auto"/>
                <w:sz w:val="21"/>
                <w:szCs w:val="21"/>
                <w:highlight w:val="none"/>
                <w:lang w:val="en-US" w:eastAsia="zh-CN"/>
              </w:rPr>
              <w:t xml:space="preserve"> </w:t>
            </w:r>
          </w:p>
          <w:p w14:paraId="7365FC3B">
            <w:pPr>
              <w:keepNext w:val="0"/>
              <w:keepLines w:val="0"/>
              <w:pageBreakBefore w:val="0"/>
              <w:kinsoku/>
              <w:wordWrap/>
              <w:overflowPunct/>
              <w:topLinePunct w:val="0"/>
              <w:autoSpaceDE/>
              <w:autoSpaceDN/>
              <w:bidi w:val="0"/>
              <w:adjustRightInd w:val="0"/>
              <w:snapToGrid w:val="0"/>
              <w:spacing w:line="440" w:lineRule="exact"/>
              <w:textAlignment w:val="auto"/>
              <w:rPr>
                <w:rFonts w:ascii="宋体" w:hAnsi="宋体" w:cs="宋体"/>
                <w:color w:val="auto"/>
                <w:szCs w:val="21"/>
                <w:highlight w:val="none"/>
              </w:rPr>
            </w:pPr>
            <w:r>
              <w:rPr>
                <w:rFonts w:hint="eastAsia" w:ascii="宋体" w:hAnsi="宋体" w:cs="宋体"/>
                <w:color w:val="auto"/>
                <w:sz w:val="21"/>
                <w:szCs w:val="21"/>
                <w:highlight w:val="none"/>
              </w:rPr>
              <w:t xml:space="preserve">计划竣工日期：双方签订合同时明确 </w:t>
            </w:r>
            <w:r>
              <w:rPr>
                <w:rFonts w:hint="eastAsia" w:ascii="Times New Roman" w:hAnsi="Times New Roman" w:eastAsia="宋体" w:cs="Times New Roman"/>
                <w:color w:val="auto"/>
                <w:highlight w:val="none"/>
                <w:lang w:val="en-US" w:eastAsia="zh-CN"/>
              </w:rPr>
              <w:t xml:space="preserve">  </w:t>
            </w:r>
            <w:r>
              <w:rPr>
                <w:rFonts w:hint="eastAsia" w:ascii="宋体" w:hAnsi="宋体" w:eastAsia="宋体" w:cs="宋体"/>
                <w:color w:val="auto"/>
                <w:sz w:val="21"/>
                <w:szCs w:val="21"/>
                <w:highlight w:val="none"/>
              </w:rPr>
              <w:t xml:space="preserve">       </w:t>
            </w:r>
          </w:p>
        </w:tc>
      </w:tr>
      <w:tr w14:paraId="4024D16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52B29A18">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0FB8891">
            <w:pPr>
              <w:keepNext w:val="0"/>
              <w:keepLines w:val="0"/>
              <w:pageBreakBefore w:val="0"/>
              <w:kinsoku/>
              <w:wordWrap/>
              <w:overflowPunct/>
              <w:autoSpaceDN/>
              <w:bidi w:val="0"/>
              <w:spacing w:line="400" w:lineRule="exact"/>
              <w:jc w:val="center"/>
              <w:textAlignment w:val="auto"/>
              <w:rPr>
                <w:rFonts w:ascii="宋体" w:hAnsi="宋体" w:cs="宋体"/>
                <w:color w:val="FF0000"/>
                <w:szCs w:val="21"/>
                <w:highlight w:val="none"/>
              </w:rPr>
            </w:pPr>
            <w:r>
              <w:rPr>
                <w:rFonts w:hint="eastAsia" w:ascii="宋体" w:hAnsi="宋体" w:cs="宋体"/>
                <w:szCs w:val="21"/>
                <w:highlight w:val="none"/>
              </w:rPr>
              <w:t>质量要求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222B8DA3">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cs="宋体"/>
                <w:kern w:val="0"/>
                <w:szCs w:val="21"/>
                <w:highlight w:val="none"/>
              </w:rPr>
              <w:t>必须达到国家工程施工质量验收</w:t>
            </w:r>
            <w:r>
              <w:rPr>
                <w:rFonts w:hint="eastAsia" w:ascii="宋体" w:hAnsi="宋体" w:cs="宋体"/>
                <w:kern w:val="0"/>
                <w:szCs w:val="21"/>
                <w:highlight w:val="none"/>
                <w:u w:val="single"/>
              </w:rPr>
              <w:t xml:space="preserve"> 合格 </w:t>
            </w:r>
            <w:r>
              <w:rPr>
                <w:rFonts w:hint="eastAsia" w:ascii="宋体" w:hAnsi="宋体" w:cs="宋体"/>
                <w:kern w:val="0"/>
                <w:szCs w:val="21"/>
                <w:highlight w:val="none"/>
              </w:rPr>
              <w:t>标准</w:t>
            </w:r>
            <w:r>
              <w:rPr>
                <w:rFonts w:hint="eastAsia" w:ascii="宋体" w:hAnsi="宋体" w:cs="宋体"/>
                <w:szCs w:val="21"/>
                <w:highlight w:val="none"/>
              </w:rPr>
              <w:t xml:space="preserve">。 </w:t>
            </w:r>
          </w:p>
        </w:tc>
      </w:tr>
      <w:tr w14:paraId="0610F1B6">
        <w:tblPrEx>
          <w:tblCellMar>
            <w:top w:w="0" w:type="dxa"/>
            <w:left w:w="108" w:type="dxa"/>
            <w:bottom w:w="0" w:type="dxa"/>
            <w:right w:w="108" w:type="dxa"/>
          </w:tblCellMar>
        </w:tblPrEx>
        <w:trPr>
          <w:trHeight w:val="90" w:hRule="atLeast"/>
          <w:jc w:val="center"/>
        </w:trPr>
        <w:tc>
          <w:tcPr>
            <w:tcW w:w="868" w:type="dxa"/>
            <w:vMerge w:val="restart"/>
            <w:tcBorders>
              <w:top w:val="single" w:color="auto" w:sz="4" w:space="0"/>
              <w:left w:val="single" w:color="auto" w:sz="4" w:space="0"/>
              <w:bottom w:val="single" w:color="auto" w:sz="4" w:space="0"/>
              <w:right w:val="single" w:color="auto" w:sz="4" w:space="0"/>
            </w:tcBorders>
            <w:noWrap/>
            <w:vAlign w:val="center"/>
          </w:tcPr>
          <w:p w14:paraId="6499B10A">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7F75B5F">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投标人资质条件、能力和信誉</w:t>
            </w:r>
          </w:p>
        </w:tc>
        <w:tc>
          <w:tcPr>
            <w:tcW w:w="7251" w:type="dxa"/>
            <w:tcBorders>
              <w:top w:val="single" w:color="auto" w:sz="4" w:space="0"/>
              <w:left w:val="single" w:color="auto" w:sz="4" w:space="0"/>
              <w:bottom w:val="single" w:color="auto" w:sz="4" w:space="0"/>
              <w:right w:val="single" w:color="auto" w:sz="4" w:space="0"/>
            </w:tcBorders>
            <w:noWrap/>
            <w:vAlign w:val="center"/>
          </w:tcPr>
          <w:p w14:paraId="79A1E5A2">
            <w:pPr>
              <w:pStyle w:val="14"/>
              <w:keepNext w:val="0"/>
              <w:keepLines w:val="0"/>
              <w:pageBreakBefore w:val="0"/>
              <w:kinsoku/>
              <w:wordWrap/>
              <w:overflowPunct/>
              <w:autoSpaceDN/>
              <w:bidi w:val="0"/>
              <w:spacing w:line="400" w:lineRule="exact"/>
              <w:ind w:left="0" w:leftChars="0" w:firstLine="0" w:firstLineChars="0"/>
              <w:jc w:val="left"/>
              <w:textAlignment w:val="auto"/>
              <w:rPr>
                <w:rFonts w:hAnsi="宋体" w:cs="宋体"/>
                <w:szCs w:val="21"/>
                <w:highlight w:val="none"/>
                <w:u w:val="single"/>
              </w:rPr>
            </w:pPr>
            <w:r>
              <w:rPr>
                <w:rFonts w:hint="eastAsia" w:hAnsi="宋体" w:cs="宋体"/>
                <w:szCs w:val="21"/>
                <w:highlight w:val="none"/>
                <w:u w:val="single"/>
              </w:rPr>
              <w:t>见招标公告信息</w:t>
            </w:r>
          </w:p>
        </w:tc>
      </w:tr>
      <w:tr w14:paraId="34CDA60C">
        <w:tblPrEx>
          <w:tblCellMar>
            <w:top w:w="0" w:type="dxa"/>
            <w:left w:w="108" w:type="dxa"/>
            <w:bottom w:w="0" w:type="dxa"/>
            <w:right w:w="108" w:type="dxa"/>
          </w:tblCellMar>
        </w:tblPrEx>
        <w:trPr>
          <w:trHeight w:val="575" w:hRule="atLeast"/>
          <w:jc w:val="center"/>
        </w:trPr>
        <w:tc>
          <w:tcPr>
            <w:tcW w:w="868" w:type="dxa"/>
            <w:vMerge w:val="continue"/>
            <w:tcBorders>
              <w:top w:val="single" w:color="auto" w:sz="4" w:space="0"/>
              <w:left w:val="single" w:color="auto" w:sz="4" w:space="0"/>
              <w:bottom w:val="single" w:color="auto" w:sz="4" w:space="0"/>
              <w:right w:val="single" w:color="auto" w:sz="4" w:space="0"/>
            </w:tcBorders>
            <w:noWrap/>
            <w:vAlign w:val="center"/>
          </w:tcPr>
          <w:p w14:paraId="193EBDFC">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BC1C102">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招标文件发布时间：</w:t>
            </w:r>
          </w:p>
        </w:tc>
        <w:tc>
          <w:tcPr>
            <w:tcW w:w="7251" w:type="dxa"/>
            <w:tcBorders>
              <w:top w:val="single" w:color="auto" w:sz="4" w:space="0"/>
              <w:left w:val="single" w:color="auto" w:sz="4" w:space="0"/>
              <w:bottom w:val="single" w:color="auto" w:sz="4" w:space="0"/>
              <w:right w:val="single" w:color="auto" w:sz="4" w:space="0"/>
            </w:tcBorders>
            <w:noWrap/>
            <w:vAlign w:val="center"/>
          </w:tcPr>
          <w:p w14:paraId="00E3B91B">
            <w:pPr>
              <w:keepNext w:val="0"/>
              <w:keepLines w:val="0"/>
              <w:pageBreakBefore w:val="0"/>
              <w:kinsoku/>
              <w:wordWrap/>
              <w:overflowPunct/>
              <w:autoSpaceDN/>
              <w:bidi w:val="0"/>
              <w:spacing w:line="400" w:lineRule="exact"/>
              <w:textAlignment w:val="auto"/>
              <w:rPr>
                <w:rFonts w:ascii="宋体" w:hAnsi="宋体" w:cs="宋体"/>
                <w:kern w:val="0"/>
                <w:szCs w:val="21"/>
                <w:highlight w:val="none"/>
              </w:rPr>
            </w:pPr>
            <w:r>
              <w:rPr>
                <w:rFonts w:hint="eastAsia" w:ascii="宋体" w:hAnsi="宋体" w:cs="宋体"/>
                <w:kern w:val="0"/>
                <w:szCs w:val="21"/>
                <w:highlight w:val="none"/>
              </w:rPr>
              <w:t>见招标公告信息</w:t>
            </w:r>
          </w:p>
        </w:tc>
      </w:tr>
      <w:tr w14:paraId="52E33D5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2885CC7">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4E7DF90">
            <w:pPr>
              <w:keepNext w:val="0"/>
              <w:keepLines w:val="0"/>
              <w:pageBreakBefore w:val="0"/>
              <w:kinsoku/>
              <w:wordWrap/>
              <w:overflowPunct/>
              <w:autoSpaceDN/>
              <w:bidi w:val="0"/>
              <w:spacing w:line="400" w:lineRule="exact"/>
              <w:jc w:val="center"/>
              <w:textAlignment w:val="auto"/>
              <w:rPr>
                <w:rFonts w:ascii="宋体" w:hAnsi="宋体" w:cs="宋体"/>
                <w:spacing w:val="-4"/>
                <w:kern w:val="0"/>
                <w:szCs w:val="21"/>
                <w:highlight w:val="none"/>
              </w:rPr>
            </w:pPr>
            <w:r>
              <w:rPr>
                <w:rFonts w:hint="eastAsia" w:ascii="宋体" w:hAnsi="宋体" w:cs="宋体"/>
                <w:spacing w:val="-4"/>
                <w:kern w:val="0"/>
                <w:szCs w:val="21"/>
                <w:highlight w:val="none"/>
              </w:rPr>
              <w:t>踏勘现场</w:t>
            </w:r>
          </w:p>
        </w:tc>
        <w:tc>
          <w:tcPr>
            <w:tcW w:w="7251" w:type="dxa"/>
            <w:tcBorders>
              <w:top w:val="single" w:color="auto" w:sz="4" w:space="0"/>
              <w:left w:val="single" w:color="auto" w:sz="4" w:space="0"/>
              <w:bottom w:val="single" w:color="auto" w:sz="4" w:space="0"/>
              <w:right w:val="single" w:color="auto" w:sz="4" w:space="0"/>
            </w:tcBorders>
            <w:noWrap/>
            <w:vAlign w:val="center"/>
          </w:tcPr>
          <w:p w14:paraId="2EB7922D">
            <w:pPr>
              <w:pStyle w:val="19"/>
              <w:keepNext w:val="0"/>
              <w:keepLines w:val="0"/>
              <w:pageBreakBefore w:val="0"/>
              <w:kinsoku/>
              <w:wordWrap/>
              <w:overflowPunct/>
              <w:topLinePunct/>
              <w:autoSpaceDN/>
              <w:bidi w:val="0"/>
              <w:spacing w:line="400" w:lineRule="exact"/>
              <w:textAlignment w:val="auto"/>
              <w:rPr>
                <w:rFonts w:hAnsi="宋体" w:cs="宋体"/>
                <w:spacing w:val="-4"/>
                <w:kern w:val="0"/>
                <w:sz w:val="21"/>
                <w:szCs w:val="21"/>
                <w:highlight w:val="none"/>
              </w:rPr>
            </w:pPr>
            <w:r>
              <w:rPr>
                <w:rFonts w:hint="eastAsia" w:hAnsi="宋体" w:cs="宋体"/>
                <w:sz w:val="21"/>
                <w:szCs w:val="21"/>
                <w:highlight w:val="none"/>
              </w:rPr>
              <w:t>☑</w:t>
            </w:r>
            <w:r>
              <w:rPr>
                <w:rFonts w:hint="eastAsia" w:hAnsi="宋体" w:cs="宋体"/>
                <w:spacing w:val="-4"/>
                <w:kern w:val="0"/>
                <w:sz w:val="21"/>
                <w:szCs w:val="21"/>
                <w:highlight w:val="none"/>
              </w:rPr>
              <w:t>不组织，投标人自行组织踏勘现场</w:t>
            </w:r>
            <w:r>
              <w:rPr>
                <w:rFonts w:hint="eastAsia" w:hAnsi="宋体" w:cs="宋体"/>
                <w:sz w:val="21"/>
                <w:szCs w:val="21"/>
                <w:highlight w:val="none"/>
              </w:rPr>
              <w:t>；□组织</w:t>
            </w:r>
          </w:p>
        </w:tc>
      </w:tr>
      <w:tr w14:paraId="5938BD5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C77D58C">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9FD36A4">
            <w:pPr>
              <w:keepNext w:val="0"/>
              <w:keepLines w:val="0"/>
              <w:pageBreakBefore w:val="0"/>
              <w:kinsoku/>
              <w:wordWrap/>
              <w:overflowPunct/>
              <w:autoSpaceDN/>
              <w:bidi w:val="0"/>
              <w:spacing w:line="400" w:lineRule="exact"/>
              <w:jc w:val="center"/>
              <w:textAlignment w:val="auto"/>
              <w:rPr>
                <w:rFonts w:ascii="宋体" w:hAnsi="宋体" w:cs="宋体"/>
                <w:spacing w:val="-4"/>
                <w:kern w:val="0"/>
                <w:szCs w:val="21"/>
                <w:highlight w:val="none"/>
              </w:rPr>
            </w:pPr>
            <w:r>
              <w:rPr>
                <w:rFonts w:hint="eastAsia" w:ascii="宋体" w:hAnsi="宋体" w:cs="宋体"/>
                <w:spacing w:val="-4"/>
                <w:kern w:val="0"/>
                <w:szCs w:val="21"/>
                <w:highlight w:val="none"/>
              </w:rPr>
              <w:t>投标预备会</w:t>
            </w:r>
          </w:p>
        </w:tc>
        <w:tc>
          <w:tcPr>
            <w:tcW w:w="7251" w:type="dxa"/>
            <w:tcBorders>
              <w:top w:val="single" w:color="auto" w:sz="4" w:space="0"/>
              <w:left w:val="single" w:color="auto" w:sz="4" w:space="0"/>
              <w:bottom w:val="single" w:color="auto" w:sz="4" w:space="0"/>
              <w:right w:val="single" w:color="auto" w:sz="4" w:space="0"/>
            </w:tcBorders>
            <w:noWrap/>
            <w:vAlign w:val="center"/>
          </w:tcPr>
          <w:p w14:paraId="3343207B">
            <w:pPr>
              <w:pStyle w:val="19"/>
              <w:keepNext w:val="0"/>
              <w:keepLines w:val="0"/>
              <w:pageBreakBefore w:val="0"/>
              <w:kinsoku/>
              <w:wordWrap/>
              <w:overflowPunct/>
              <w:topLinePunct/>
              <w:autoSpaceDN/>
              <w:bidi w:val="0"/>
              <w:spacing w:line="400" w:lineRule="exact"/>
              <w:textAlignment w:val="auto"/>
              <w:rPr>
                <w:rFonts w:hAnsi="宋体" w:cs="宋体"/>
                <w:spacing w:val="-4"/>
                <w:kern w:val="0"/>
                <w:sz w:val="21"/>
                <w:szCs w:val="21"/>
                <w:highlight w:val="none"/>
              </w:rPr>
            </w:pPr>
            <w:r>
              <w:rPr>
                <w:rFonts w:hint="eastAsia" w:hAnsi="宋体" w:cs="宋体"/>
                <w:sz w:val="21"/>
                <w:szCs w:val="21"/>
                <w:highlight w:val="none"/>
              </w:rPr>
              <w:t>☑</w:t>
            </w:r>
            <w:r>
              <w:rPr>
                <w:rFonts w:hint="eastAsia" w:hAnsi="宋体" w:cs="宋体"/>
                <w:spacing w:val="-4"/>
                <w:kern w:val="0"/>
                <w:sz w:val="21"/>
                <w:szCs w:val="21"/>
                <w:highlight w:val="none"/>
              </w:rPr>
              <w:t>不召开</w:t>
            </w:r>
            <w:r>
              <w:rPr>
                <w:rFonts w:hint="eastAsia" w:hAnsi="宋体" w:cs="宋体"/>
                <w:sz w:val="21"/>
                <w:szCs w:val="21"/>
                <w:highlight w:val="none"/>
              </w:rPr>
              <w:t>；□召开</w:t>
            </w:r>
          </w:p>
        </w:tc>
      </w:tr>
      <w:tr w14:paraId="1A706311">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2418457">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11C62BE">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投标人提出问题的截止时间及方式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0FB0E6F2">
            <w:pPr>
              <w:pStyle w:val="24"/>
              <w:keepNext w:val="0"/>
              <w:keepLines w:val="0"/>
              <w:pageBreakBefore w:val="0"/>
              <w:kinsoku/>
              <w:wordWrap/>
              <w:overflowPunct/>
              <w:autoSpaceDN/>
              <w:bidi w:val="0"/>
              <w:spacing w:line="400" w:lineRule="exact"/>
              <w:textAlignment w:val="auto"/>
              <w:rPr>
                <w:rFonts w:hAnsi="宋体" w:cs="宋体"/>
                <w:szCs w:val="21"/>
                <w:highlight w:val="none"/>
              </w:rPr>
            </w:pPr>
            <w:r>
              <w:rPr>
                <w:rFonts w:hint="eastAsia" w:ascii="宋体" w:hAnsi="宋体" w:cs="宋体"/>
                <w:kern w:val="0"/>
                <w:szCs w:val="21"/>
                <w:highlight w:val="none"/>
              </w:rPr>
              <w:t>如投标人对招标文件有疑问，</w:t>
            </w:r>
            <w:r>
              <w:rPr>
                <w:rFonts w:hint="eastAsia" w:ascii="宋体" w:hAnsi="宋体" w:eastAsia="宋体" w:cs="宋体"/>
                <w:kern w:val="0"/>
                <w:szCs w:val="21"/>
                <w:highlight w:val="none"/>
              </w:rPr>
              <w:t>请于202</w:t>
            </w:r>
            <w:r>
              <w:rPr>
                <w:rFonts w:hint="eastAsia" w:ascii="宋体" w:hAnsi="宋体" w:cs="宋体"/>
                <w:kern w:val="0"/>
                <w:szCs w:val="21"/>
                <w:highlight w:val="none"/>
                <w:lang w:val="en-US" w:eastAsia="zh-CN"/>
              </w:rPr>
              <w:t>6</w:t>
            </w:r>
            <w:r>
              <w:rPr>
                <w:rFonts w:hint="eastAsia" w:ascii="宋体" w:hAnsi="宋体" w:eastAsia="宋体" w:cs="宋体"/>
                <w:kern w:val="0"/>
                <w:szCs w:val="21"/>
                <w:highlight w:val="none"/>
              </w:rPr>
              <w:t>年</w:t>
            </w:r>
            <w:r>
              <w:rPr>
                <w:rFonts w:hint="eastAsia" w:ascii="宋体" w:hAnsi="宋体" w:cs="宋体"/>
                <w:kern w:val="0"/>
                <w:szCs w:val="21"/>
                <w:highlight w:val="none"/>
                <w:lang w:val="en-US" w:eastAsia="zh-CN"/>
              </w:rPr>
              <w:t>3</w:t>
            </w:r>
            <w:r>
              <w:rPr>
                <w:rFonts w:hint="eastAsia" w:ascii="宋体" w:hAnsi="宋体" w:eastAsia="宋体" w:cs="宋体"/>
                <w:kern w:val="0"/>
                <w:szCs w:val="21"/>
                <w:highlight w:val="none"/>
              </w:rPr>
              <w:t>月</w:t>
            </w:r>
            <w:r>
              <w:rPr>
                <w:rFonts w:hint="eastAsia" w:ascii="宋体" w:hAnsi="宋体" w:cs="宋体"/>
                <w:kern w:val="0"/>
                <w:szCs w:val="21"/>
                <w:highlight w:val="none"/>
                <w:lang w:val="en-US" w:eastAsia="zh-CN"/>
              </w:rPr>
              <w:t>9</w:t>
            </w:r>
            <w:r>
              <w:rPr>
                <w:rFonts w:hint="eastAsia" w:ascii="宋体" w:hAnsi="宋体" w:eastAsia="宋体" w:cs="宋体"/>
                <w:kern w:val="0"/>
                <w:szCs w:val="21"/>
                <w:highlight w:val="none"/>
              </w:rPr>
              <w:t>日</w:t>
            </w:r>
            <w:r>
              <w:rPr>
                <w:rFonts w:hint="eastAsia" w:ascii="宋体" w:hAnsi="宋体" w:cs="宋体"/>
                <w:kern w:val="0"/>
                <w:szCs w:val="21"/>
                <w:highlight w:val="none"/>
                <w:lang w:val="en-US" w:eastAsia="zh-CN"/>
              </w:rPr>
              <w:t>17</w:t>
            </w:r>
            <w:r>
              <w:rPr>
                <w:rFonts w:hint="eastAsia" w:ascii="宋体" w:hAnsi="宋体" w:eastAsia="宋体" w:cs="宋体"/>
                <w:kern w:val="0"/>
                <w:szCs w:val="21"/>
                <w:highlight w:val="none"/>
              </w:rPr>
              <w:t>时前</w:t>
            </w:r>
            <w:r>
              <w:rPr>
                <w:rFonts w:hint="eastAsia" w:ascii="宋体" w:hAnsi="宋体" w:eastAsia="宋体" w:cs="宋体"/>
                <w:color w:val="auto"/>
                <w:szCs w:val="21"/>
                <w:highlight w:val="none"/>
                <w:lang w:val="en-US" w:eastAsia="zh-CN"/>
              </w:rPr>
              <w:t>登录新点电子交易平台【滁州专区】线上提出</w:t>
            </w:r>
            <w:r>
              <w:rPr>
                <w:rFonts w:ascii="宋体" w:hAnsi="宋体" w:eastAsia="宋体" w:cs="宋体"/>
                <w:color w:val="auto"/>
                <w:highlight w:val="none"/>
              </w:rPr>
              <w:t>。</w:t>
            </w:r>
          </w:p>
        </w:tc>
      </w:tr>
      <w:tr w14:paraId="2634A73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D7940DC">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F9A4559">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招标人澄清的时间及方式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3EA44CCA">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eastAsia="宋体" w:cs="宋体"/>
                <w:b w:val="0"/>
                <w:bCs w:val="0"/>
                <w:color w:val="000000"/>
                <w:kern w:val="2"/>
                <w:sz w:val="21"/>
                <w:szCs w:val="21"/>
                <w:highlight w:val="none"/>
                <w:u w:color="000000"/>
                <w:lang w:val="en-US" w:eastAsia="zh-CN" w:bidi="ar"/>
              </w:rPr>
              <w:t>招标人将在202</w:t>
            </w:r>
            <w:r>
              <w:rPr>
                <w:rFonts w:hint="eastAsia" w:ascii="宋体" w:hAnsi="宋体" w:cs="宋体"/>
                <w:b w:val="0"/>
                <w:bCs w:val="0"/>
                <w:color w:val="000000"/>
                <w:kern w:val="2"/>
                <w:sz w:val="21"/>
                <w:szCs w:val="21"/>
                <w:highlight w:val="none"/>
                <w:u w:color="000000"/>
                <w:lang w:val="en-US" w:eastAsia="zh-CN" w:bidi="ar"/>
              </w:rPr>
              <w:t>6</w:t>
            </w:r>
            <w:r>
              <w:rPr>
                <w:rFonts w:hint="eastAsia" w:ascii="宋体" w:hAnsi="宋体" w:eastAsia="宋体" w:cs="宋体"/>
                <w:b w:val="0"/>
                <w:bCs w:val="0"/>
                <w:color w:val="000000"/>
                <w:kern w:val="2"/>
                <w:sz w:val="21"/>
                <w:szCs w:val="21"/>
                <w:highlight w:val="none"/>
                <w:u w:color="000000"/>
                <w:lang w:val="en-US" w:eastAsia="zh-CN" w:bidi="ar"/>
              </w:rPr>
              <w:t>年</w:t>
            </w:r>
            <w:r>
              <w:rPr>
                <w:rFonts w:hint="eastAsia" w:ascii="宋体" w:hAnsi="宋体" w:cs="宋体"/>
                <w:b w:val="0"/>
                <w:bCs w:val="0"/>
                <w:color w:val="000000"/>
                <w:kern w:val="2"/>
                <w:sz w:val="21"/>
                <w:szCs w:val="21"/>
                <w:highlight w:val="none"/>
                <w:u w:color="000000"/>
                <w:lang w:val="en-US" w:eastAsia="zh-CN" w:bidi="ar"/>
              </w:rPr>
              <w:t>3</w:t>
            </w:r>
            <w:r>
              <w:rPr>
                <w:rFonts w:hint="eastAsia" w:ascii="宋体" w:hAnsi="宋体" w:eastAsia="宋体" w:cs="宋体"/>
                <w:b w:val="0"/>
                <w:bCs w:val="0"/>
                <w:color w:val="000000"/>
                <w:kern w:val="2"/>
                <w:sz w:val="21"/>
                <w:szCs w:val="21"/>
                <w:highlight w:val="none"/>
                <w:u w:color="000000"/>
                <w:lang w:val="en-US" w:eastAsia="zh-CN" w:bidi="ar"/>
              </w:rPr>
              <w:t>月</w:t>
            </w:r>
            <w:r>
              <w:rPr>
                <w:rFonts w:hint="eastAsia" w:ascii="宋体" w:hAnsi="宋体" w:cs="宋体"/>
                <w:b w:val="0"/>
                <w:bCs w:val="0"/>
                <w:color w:val="000000"/>
                <w:kern w:val="2"/>
                <w:sz w:val="21"/>
                <w:szCs w:val="21"/>
                <w:highlight w:val="none"/>
                <w:u w:color="000000"/>
                <w:lang w:val="en-US" w:eastAsia="zh-CN" w:bidi="ar"/>
              </w:rPr>
              <w:t>10</w:t>
            </w:r>
            <w:r>
              <w:rPr>
                <w:rFonts w:hint="eastAsia" w:ascii="宋体" w:hAnsi="宋体" w:eastAsia="宋体" w:cs="宋体"/>
                <w:b w:val="0"/>
                <w:bCs w:val="0"/>
                <w:color w:val="000000"/>
                <w:kern w:val="2"/>
                <w:sz w:val="21"/>
                <w:szCs w:val="21"/>
                <w:highlight w:val="none"/>
                <w:u w:color="000000"/>
                <w:lang w:val="en-US" w:eastAsia="zh-CN" w:bidi="ar"/>
              </w:rPr>
              <w:t>日17时后以澄清公告形式在滁州市城投工程咨询管理有限公司网站（</w:t>
            </w:r>
            <w:r>
              <w:rPr>
                <w:rFonts w:hint="eastAsia" w:ascii="宋体" w:hAnsi="宋体" w:cs="宋体"/>
                <w:b w:val="0"/>
                <w:bCs w:val="0"/>
                <w:color w:val="000000"/>
                <w:kern w:val="2"/>
                <w:sz w:val="21"/>
                <w:szCs w:val="21"/>
                <w:highlight w:val="none"/>
                <w:u w:color="000000"/>
                <w:lang w:val="en-US" w:eastAsia="zh-CN" w:bidi="ar"/>
              </w:rPr>
              <w:t>https://www.czctgczx.com/</w:t>
            </w:r>
            <w:r>
              <w:rPr>
                <w:rFonts w:hint="eastAsia" w:ascii="宋体" w:hAnsi="宋体" w:eastAsia="宋体" w:cs="宋体"/>
                <w:b w:val="0"/>
                <w:bCs w:val="0"/>
                <w:color w:val="000000"/>
                <w:kern w:val="2"/>
                <w:sz w:val="21"/>
                <w:szCs w:val="21"/>
                <w:highlight w:val="none"/>
                <w:u w:color="000000"/>
                <w:lang w:val="en-US" w:eastAsia="zh-CN" w:bidi="ar"/>
              </w:rPr>
              <w:t>）发布，但不指明澄清问题的来源。如果澄清内容影响投标文件编制的，将相应延长投标截止时间。</w:t>
            </w:r>
          </w:p>
        </w:tc>
      </w:tr>
      <w:tr w14:paraId="5AD9938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ACCAE5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671273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偏离</w:t>
            </w:r>
          </w:p>
        </w:tc>
        <w:tc>
          <w:tcPr>
            <w:tcW w:w="7251" w:type="dxa"/>
            <w:tcBorders>
              <w:top w:val="single" w:color="auto" w:sz="4" w:space="0"/>
              <w:left w:val="single" w:color="auto" w:sz="4" w:space="0"/>
              <w:bottom w:val="single" w:color="auto" w:sz="4" w:space="0"/>
              <w:right w:val="single" w:color="auto" w:sz="4" w:space="0"/>
            </w:tcBorders>
            <w:noWrap/>
            <w:vAlign w:val="center"/>
          </w:tcPr>
          <w:p w14:paraId="6F323E2E">
            <w:pPr>
              <w:pStyle w:val="19"/>
              <w:keepNext w:val="0"/>
              <w:keepLines w:val="0"/>
              <w:pageBreakBefore w:val="0"/>
              <w:kinsoku/>
              <w:wordWrap/>
              <w:overflowPunct/>
              <w:topLinePunct/>
              <w:autoSpaceDN/>
              <w:bidi w:val="0"/>
              <w:spacing w:line="400" w:lineRule="exact"/>
              <w:textAlignment w:val="auto"/>
              <w:rPr>
                <w:rFonts w:hAnsi="宋体" w:cs="宋体"/>
                <w:sz w:val="21"/>
                <w:szCs w:val="21"/>
                <w:highlight w:val="none"/>
              </w:rPr>
            </w:pPr>
            <w:r>
              <w:rPr>
                <w:rFonts w:hint="eastAsia"/>
                <w:highlight w:val="none"/>
              </w:rPr>
              <w:t>☑</w:t>
            </w:r>
            <w:r>
              <w:rPr>
                <w:rFonts w:hint="eastAsia" w:hAnsi="宋体" w:cs="宋体"/>
                <w:sz w:val="21"/>
                <w:szCs w:val="21"/>
                <w:highlight w:val="none"/>
              </w:rPr>
              <w:t>不允许；□允许</w:t>
            </w:r>
          </w:p>
        </w:tc>
      </w:tr>
      <w:tr w14:paraId="462F3D5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61C053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7653BA3">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构成招标文件的其他材料</w:t>
            </w:r>
          </w:p>
        </w:tc>
        <w:tc>
          <w:tcPr>
            <w:tcW w:w="7251" w:type="dxa"/>
            <w:tcBorders>
              <w:top w:val="single" w:color="auto" w:sz="4" w:space="0"/>
              <w:left w:val="single" w:color="auto" w:sz="4" w:space="0"/>
              <w:bottom w:val="single" w:color="auto" w:sz="4" w:space="0"/>
              <w:right w:val="single" w:color="auto" w:sz="4" w:space="0"/>
            </w:tcBorders>
            <w:noWrap/>
            <w:vAlign w:val="center"/>
          </w:tcPr>
          <w:p w14:paraId="07A7DB3C">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cs="宋体"/>
                <w:szCs w:val="21"/>
                <w:highlight w:val="none"/>
              </w:rPr>
              <w:t>招标澄清答疑文件等。</w:t>
            </w:r>
          </w:p>
        </w:tc>
      </w:tr>
      <w:tr w14:paraId="132ABAE6">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9A34F72">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C04F206">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投标人要求澄清招标文件的截止时间及方式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11154714">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cs="宋体"/>
                <w:szCs w:val="21"/>
                <w:highlight w:val="none"/>
              </w:rPr>
              <w:t>同本表第13条</w:t>
            </w:r>
          </w:p>
        </w:tc>
      </w:tr>
      <w:tr w14:paraId="2A3378D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49441D8">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0782B1E">
            <w:pPr>
              <w:pageBreakBefore w:val="0"/>
              <w:kinsoku/>
              <w:wordWrap/>
              <w:overflowPunct/>
              <w:autoSpaceDE/>
              <w:autoSpaceDN/>
              <w:bidi w:val="0"/>
              <w:adjustRightInd w:val="0"/>
              <w:snapToGrid w:val="0"/>
              <w:spacing w:line="440" w:lineRule="exact"/>
              <w:jc w:val="center"/>
              <w:textAlignment w:val="auto"/>
              <w:rPr>
                <w:rFonts w:ascii="宋体" w:hAnsi="宋体" w:cs="宋体"/>
                <w:color w:val="auto"/>
                <w:szCs w:val="21"/>
                <w:highlight w:val="none"/>
              </w:rPr>
            </w:pPr>
            <w:r>
              <w:rPr>
                <w:rFonts w:hint="eastAsia" w:ascii="宋体" w:hAnsi="宋体" w:eastAsia="宋体" w:cs="宋体"/>
                <w:b/>
                <w:bCs/>
                <w:color w:val="auto"/>
                <w:sz w:val="21"/>
                <w:szCs w:val="21"/>
                <w:highlight w:val="none"/>
              </w:rPr>
              <w:t>最高投标限价</w:t>
            </w:r>
          </w:p>
        </w:tc>
        <w:tc>
          <w:tcPr>
            <w:tcW w:w="7251" w:type="dxa"/>
            <w:tcBorders>
              <w:top w:val="single" w:color="auto" w:sz="4" w:space="0"/>
              <w:left w:val="single" w:color="auto" w:sz="4" w:space="0"/>
              <w:bottom w:val="single" w:color="auto" w:sz="4" w:space="0"/>
              <w:right w:val="single" w:color="auto" w:sz="4" w:space="0"/>
            </w:tcBorders>
            <w:noWrap/>
            <w:vAlign w:val="center"/>
          </w:tcPr>
          <w:p w14:paraId="7FFE1B90">
            <w:pPr>
              <w:pageBreakBefore w:val="0"/>
              <w:kinsoku/>
              <w:wordWrap/>
              <w:overflowPunct/>
              <w:autoSpaceDE/>
              <w:autoSpaceDN/>
              <w:bidi w:val="0"/>
              <w:adjustRightInd w:val="0"/>
              <w:snapToGrid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有，公布的最高投标限价：</w:t>
            </w:r>
            <w:r>
              <w:rPr>
                <w:rFonts w:hint="eastAsia" w:ascii="宋体" w:hAnsi="宋体" w:cs="宋体"/>
                <w:color w:val="auto"/>
                <w:sz w:val="21"/>
                <w:szCs w:val="21"/>
                <w:highlight w:val="none"/>
                <w:u w:val="single"/>
                <w:lang w:val="en-US" w:eastAsia="zh-CN"/>
              </w:rPr>
              <w:t>3656626.83</w:t>
            </w:r>
            <w:r>
              <w:rPr>
                <w:rFonts w:hint="eastAsia" w:ascii="宋体" w:hAnsi="宋体" w:eastAsia="宋体" w:cs="宋体"/>
                <w:color w:val="auto"/>
                <w:sz w:val="21"/>
                <w:szCs w:val="21"/>
                <w:highlight w:val="none"/>
                <w:lang w:val="en-US" w:eastAsia="zh-CN"/>
              </w:rPr>
              <w:t>元。</w:t>
            </w:r>
          </w:p>
          <w:p w14:paraId="62B51156">
            <w:pPr>
              <w:pageBreakBefore w:val="0"/>
              <w:kinsoku/>
              <w:wordWrap/>
              <w:overflowPunct/>
              <w:autoSpaceDE/>
              <w:autoSpaceDN/>
              <w:bidi w:val="0"/>
              <w:adjustRightInd w:val="0"/>
              <w:snapToGrid w:val="0"/>
              <w:spacing w:line="440" w:lineRule="exact"/>
              <w:textAlignment w:val="auto"/>
              <w:rPr>
                <w:rFonts w:hint="default" w:ascii="宋体" w:hAnsi="宋体" w:eastAsia="宋体" w:cs="宋体"/>
                <w:b/>
                <w:color w:val="auto"/>
                <w:szCs w:val="21"/>
                <w:highlight w:val="none"/>
                <w:u w:val="single"/>
                <w:lang w:val="en-US" w:eastAsia="zh-CN"/>
              </w:rPr>
            </w:pPr>
            <w:r>
              <w:rPr>
                <w:rFonts w:hint="eastAsia" w:ascii="宋体" w:hAnsi="宋体" w:eastAsia="宋体" w:cs="宋体"/>
                <w:color w:val="auto"/>
                <w:sz w:val="21"/>
                <w:szCs w:val="21"/>
                <w:highlight w:val="none"/>
                <w:lang w:val="en-US" w:eastAsia="zh-CN"/>
              </w:rPr>
              <w:t>注：投标报价小数点后最多保留两位小数，如填报多位小数的，按小数点后第3位四舍五入修正投标报价。</w:t>
            </w:r>
          </w:p>
        </w:tc>
      </w:tr>
      <w:tr w14:paraId="6F126AF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A3375F5">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836684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投标有效期</w:t>
            </w:r>
          </w:p>
        </w:tc>
        <w:tc>
          <w:tcPr>
            <w:tcW w:w="7251" w:type="dxa"/>
            <w:tcBorders>
              <w:top w:val="single" w:color="auto" w:sz="4" w:space="0"/>
              <w:left w:val="single" w:color="auto" w:sz="4" w:space="0"/>
              <w:bottom w:val="single" w:color="auto" w:sz="4" w:space="0"/>
              <w:right w:val="single" w:color="auto" w:sz="4" w:space="0"/>
            </w:tcBorders>
            <w:noWrap/>
            <w:vAlign w:val="center"/>
          </w:tcPr>
          <w:p w14:paraId="3E143A0C">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cs="宋体"/>
                <w:szCs w:val="21"/>
                <w:highlight w:val="none"/>
              </w:rPr>
              <w:t>投标有效期为</w:t>
            </w:r>
            <w:r>
              <w:rPr>
                <w:rFonts w:hint="eastAsia" w:ascii="宋体" w:hAnsi="宋体" w:cs="宋体"/>
                <w:szCs w:val="21"/>
                <w:highlight w:val="none"/>
                <w:u w:val="single"/>
              </w:rPr>
              <w:t>90</w:t>
            </w:r>
            <w:r>
              <w:rPr>
                <w:rFonts w:hint="eastAsia" w:ascii="宋体" w:hAnsi="宋体" w:cs="宋体"/>
                <w:szCs w:val="21"/>
                <w:highlight w:val="none"/>
              </w:rPr>
              <w:t>日历天（从投标截止之日算起）。在此期限内，凡符合本招标文件要求的投标文件均保持有效。</w:t>
            </w:r>
          </w:p>
        </w:tc>
      </w:tr>
      <w:tr w14:paraId="45AEDE17">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EB6B29F">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20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0129E9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投标保证金</w:t>
            </w:r>
          </w:p>
        </w:tc>
        <w:tc>
          <w:tcPr>
            <w:tcW w:w="7251" w:type="dxa"/>
            <w:tcBorders>
              <w:top w:val="single" w:color="auto" w:sz="4" w:space="0"/>
              <w:left w:val="single" w:color="auto" w:sz="4" w:space="0"/>
              <w:bottom w:val="single" w:color="auto" w:sz="4" w:space="0"/>
              <w:right w:val="single" w:color="auto" w:sz="4" w:space="0"/>
            </w:tcBorders>
            <w:noWrap/>
            <w:vAlign w:val="center"/>
          </w:tcPr>
          <w:p w14:paraId="28186690">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cs="宋体"/>
                <w:szCs w:val="21"/>
                <w:highlight w:val="none"/>
              </w:rPr>
              <w:t>详见招标公告信息</w:t>
            </w:r>
          </w:p>
        </w:tc>
      </w:tr>
      <w:tr w14:paraId="6E11FCA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739992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21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50DF28D">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签字或盖章要求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5AFD1E77">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cs="宋体"/>
                <w:szCs w:val="21"/>
                <w:highlight w:val="none"/>
              </w:rPr>
              <w:t>投标文件须按格式文件要求签字或盖章。否则经评委会一致认定后，按照无效投标处理。</w:t>
            </w:r>
          </w:p>
        </w:tc>
      </w:tr>
      <w:tr w14:paraId="2A0476EF">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596DF02">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22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CA3299E">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投标文件份数</w:t>
            </w:r>
          </w:p>
        </w:tc>
        <w:tc>
          <w:tcPr>
            <w:tcW w:w="7251" w:type="dxa"/>
            <w:tcBorders>
              <w:top w:val="single" w:color="auto" w:sz="4" w:space="0"/>
              <w:left w:val="single" w:color="auto" w:sz="4" w:space="0"/>
              <w:bottom w:val="single" w:color="auto" w:sz="4" w:space="0"/>
              <w:right w:val="single" w:color="auto" w:sz="4" w:space="0"/>
            </w:tcBorders>
            <w:noWrap/>
            <w:vAlign w:val="center"/>
          </w:tcPr>
          <w:p w14:paraId="1762AE54">
            <w:pPr>
              <w:pStyle w:val="14"/>
              <w:keepNext w:val="0"/>
              <w:keepLines w:val="0"/>
              <w:pageBreakBefore w:val="0"/>
              <w:kinsoku/>
              <w:wordWrap/>
              <w:overflowPunct/>
              <w:autoSpaceDN/>
              <w:bidi w:val="0"/>
              <w:spacing w:line="400" w:lineRule="exact"/>
              <w:ind w:left="0" w:leftChars="0" w:firstLine="0" w:firstLineChars="0"/>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本项目仅接受投标人在投标截止时间前登录新点电子交易平台【滁州专区】（https://www.etrading.cn/BREpointSSO/login/oauth2login?regioncode=DQ_ChuZhou）交易系统递交的加密电子投标文件。</w:t>
            </w:r>
          </w:p>
          <w:p w14:paraId="59E67BFB">
            <w:pPr>
              <w:pStyle w:val="14"/>
              <w:keepNext w:val="0"/>
              <w:keepLines w:val="0"/>
              <w:pageBreakBefore w:val="0"/>
              <w:kinsoku/>
              <w:wordWrap/>
              <w:overflowPunct/>
              <w:autoSpaceDN/>
              <w:bidi w:val="0"/>
              <w:spacing w:line="400" w:lineRule="exact"/>
              <w:ind w:left="0" w:leftChars="0" w:firstLine="0" w:firstLineChars="0"/>
              <w:textAlignment w:val="auto"/>
              <w:rPr>
                <w:highlight w:val="none"/>
              </w:rPr>
            </w:pPr>
            <w:r>
              <w:rPr>
                <w:rFonts w:hint="eastAsia" w:ascii="宋体" w:hAnsi="宋体" w:eastAsia="宋体" w:cs="宋体"/>
                <w:b/>
                <w:bCs/>
                <w:i w:val="0"/>
                <w:iCs w:val="0"/>
                <w:color w:val="auto"/>
                <w:kern w:val="0"/>
                <w:sz w:val="21"/>
                <w:szCs w:val="21"/>
                <w:highlight w:val="none"/>
                <w:u w:val="single"/>
              </w:rPr>
              <w:t>（投标人中标后须递交与网上电子投标文件完全一致的纸质版投标文件，并按要求加盖单位章；</w:t>
            </w:r>
            <w:r>
              <w:rPr>
                <w:rFonts w:hint="eastAsia" w:ascii="宋体" w:hAnsi="宋体" w:cs="宋体"/>
                <w:b/>
                <w:bCs/>
                <w:i w:val="0"/>
                <w:iCs w:val="0"/>
                <w:color w:val="auto"/>
                <w:kern w:val="0"/>
                <w:sz w:val="21"/>
                <w:szCs w:val="21"/>
                <w:highlight w:val="none"/>
                <w:u w:val="single"/>
              </w:rPr>
              <w:t>份数：正本1份，副本</w:t>
            </w:r>
            <w:r>
              <w:rPr>
                <w:rFonts w:hint="eastAsia" w:ascii="宋体" w:hAnsi="宋体" w:cs="宋体"/>
                <w:b/>
                <w:bCs/>
                <w:i w:val="0"/>
                <w:iCs w:val="0"/>
                <w:color w:val="auto"/>
                <w:kern w:val="0"/>
                <w:sz w:val="21"/>
                <w:szCs w:val="21"/>
                <w:highlight w:val="none"/>
                <w:u w:val="single"/>
                <w:lang w:val="en-US" w:eastAsia="zh-CN"/>
              </w:rPr>
              <w:t>2</w:t>
            </w:r>
            <w:r>
              <w:rPr>
                <w:rFonts w:hint="eastAsia" w:ascii="宋体" w:hAnsi="宋体" w:cs="宋体"/>
                <w:b/>
                <w:bCs/>
                <w:i w:val="0"/>
                <w:iCs w:val="0"/>
                <w:color w:val="auto"/>
                <w:kern w:val="0"/>
                <w:sz w:val="21"/>
                <w:szCs w:val="21"/>
                <w:highlight w:val="none"/>
                <w:u w:val="single"/>
              </w:rPr>
              <w:t>份；中标单位领取中标通知书时，一并递交给代理机构）</w:t>
            </w:r>
          </w:p>
        </w:tc>
      </w:tr>
      <w:tr w14:paraId="0DE33C57">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0C592D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kern w:val="2"/>
                <w:highlight w:val="none"/>
                <w:lang w:val="en-US" w:eastAsia="zh-CN"/>
              </w:rPr>
              <w:t>23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954E8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color w:val="auto"/>
                <w:sz w:val="21"/>
                <w:szCs w:val="21"/>
                <w:highlight w:val="none"/>
              </w:rPr>
              <w:t>投标文件提交截止时间</w:t>
            </w:r>
          </w:p>
        </w:tc>
        <w:tc>
          <w:tcPr>
            <w:tcW w:w="7251" w:type="dxa"/>
            <w:tcBorders>
              <w:top w:val="single" w:color="auto" w:sz="4" w:space="0"/>
              <w:left w:val="single" w:color="auto" w:sz="4" w:space="0"/>
              <w:bottom w:val="single" w:color="auto" w:sz="4" w:space="0"/>
              <w:right w:val="single" w:color="auto" w:sz="4" w:space="0"/>
            </w:tcBorders>
            <w:noWrap/>
            <w:vAlign w:val="center"/>
          </w:tcPr>
          <w:p w14:paraId="49C7DBFE">
            <w:pPr>
              <w:keepNext w:val="0"/>
              <w:keepLines w:val="0"/>
              <w:pageBreakBefore w:val="0"/>
              <w:kinsoku/>
              <w:wordWrap/>
              <w:overflowPunct/>
              <w:autoSpaceDN/>
              <w:bidi w:val="0"/>
              <w:spacing w:line="400" w:lineRule="exac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rPr>
              <w:t>在 202</w:t>
            </w:r>
            <w:r>
              <w:rPr>
                <w:rFonts w:hint="eastAsia" w:ascii="宋体" w:hAnsi="宋体" w:cs="宋体"/>
                <w:szCs w:val="21"/>
                <w:highlight w:val="none"/>
                <w:lang w:val="en-US" w:eastAsia="zh-CN"/>
              </w:rPr>
              <w:t>6</w:t>
            </w:r>
            <w:r>
              <w:rPr>
                <w:rFonts w:hint="eastAsia" w:ascii="宋体" w:hAnsi="宋体" w:eastAsia="宋体" w:cs="宋体"/>
                <w:szCs w:val="21"/>
                <w:highlight w:val="none"/>
              </w:rPr>
              <w:t>年</w:t>
            </w:r>
            <w:r>
              <w:rPr>
                <w:rFonts w:hint="eastAsia" w:ascii="宋体" w:hAnsi="宋体" w:cs="宋体"/>
                <w:szCs w:val="21"/>
                <w:highlight w:val="none"/>
                <w:lang w:val="en-US" w:eastAsia="zh-CN"/>
              </w:rPr>
              <w:t>3</w:t>
            </w:r>
            <w:r>
              <w:rPr>
                <w:rFonts w:hint="eastAsia" w:ascii="宋体" w:hAnsi="宋体" w:eastAsia="宋体" w:cs="宋体"/>
                <w:szCs w:val="21"/>
                <w:highlight w:val="none"/>
              </w:rPr>
              <w:t>月</w:t>
            </w:r>
            <w:r>
              <w:rPr>
                <w:rFonts w:hint="eastAsia" w:ascii="宋体" w:hAnsi="宋体" w:cs="宋体"/>
                <w:szCs w:val="21"/>
                <w:highlight w:val="none"/>
                <w:lang w:val="en-US" w:eastAsia="zh-CN"/>
              </w:rPr>
              <w:t>13</w:t>
            </w:r>
            <w:r>
              <w:rPr>
                <w:rFonts w:hint="eastAsia" w:ascii="宋体" w:hAnsi="宋体" w:eastAsia="宋体" w:cs="宋体"/>
                <w:szCs w:val="21"/>
                <w:highlight w:val="none"/>
              </w:rPr>
              <w:t>日</w:t>
            </w:r>
            <w:r>
              <w:rPr>
                <w:rFonts w:hint="eastAsia" w:ascii="宋体" w:hAnsi="宋体" w:eastAsia="宋体" w:cs="宋体"/>
                <w:szCs w:val="21"/>
                <w:highlight w:val="none"/>
                <w:lang w:val="en-US" w:eastAsia="zh-CN"/>
              </w:rPr>
              <w:t>15</w:t>
            </w:r>
            <w:r>
              <w:rPr>
                <w:rFonts w:hint="eastAsia" w:ascii="宋体" w:hAnsi="宋体" w:eastAsia="宋体" w:cs="宋体"/>
                <w:szCs w:val="21"/>
                <w:highlight w:val="none"/>
              </w:rPr>
              <w:t>时00分（北京时间）</w:t>
            </w:r>
          </w:p>
        </w:tc>
      </w:tr>
      <w:tr w14:paraId="13689E49">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12D8F6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kern w:val="2"/>
                <w:highlight w:val="none"/>
                <w:lang w:val="en-US" w:eastAsia="zh-CN"/>
              </w:rPr>
              <w:t>24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C2F970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是否退还投标文件</w:t>
            </w:r>
          </w:p>
        </w:tc>
        <w:tc>
          <w:tcPr>
            <w:tcW w:w="7251" w:type="dxa"/>
            <w:tcBorders>
              <w:top w:val="single" w:color="auto" w:sz="4" w:space="0"/>
              <w:left w:val="single" w:color="auto" w:sz="4" w:space="0"/>
              <w:bottom w:val="single" w:color="auto" w:sz="4" w:space="0"/>
              <w:right w:val="single" w:color="auto" w:sz="4" w:space="0"/>
            </w:tcBorders>
            <w:noWrap/>
            <w:vAlign w:val="center"/>
          </w:tcPr>
          <w:p w14:paraId="49837F3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2"/>
                <w:sz w:val="21"/>
                <w:szCs w:val="21"/>
                <w:highlight w:val="none"/>
                <w:u w:color="000000"/>
                <w:lang w:val="en-US" w:eastAsia="zh-CN" w:bidi="ar"/>
              </w:rPr>
              <w:t>否</w:t>
            </w:r>
          </w:p>
        </w:tc>
      </w:tr>
      <w:tr w14:paraId="3E085A99">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993016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kern w:val="2"/>
                <w:highlight w:val="none"/>
                <w:lang w:val="en-US" w:eastAsia="zh-CN"/>
              </w:rPr>
              <w:t>25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7A3327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开标时间及地点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55159CA4">
            <w:pPr>
              <w:adjustRightInd w:val="0"/>
              <w:snapToGrid w:val="0"/>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开标时间：同投标截止时间</w:t>
            </w:r>
          </w:p>
          <w:p w14:paraId="7D5F050E">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Times New Roman" w:hAnsi="Times New Roman" w:eastAsia="宋体" w:cs="Times New Roman"/>
                <w:highlight w:val="none"/>
                <w:lang w:val="en-US" w:eastAsia="zh-CN"/>
              </w:rPr>
            </w:pPr>
            <w:r>
              <w:rPr>
                <w:rFonts w:hint="eastAsia" w:ascii="宋体" w:hAnsi="宋体" w:eastAsia="宋体" w:cs="宋体"/>
                <w:color w:val="auto"/>
                <w:szCs w:val="21"/>
                <w:highlight w:val="none"/>
                <w:lang w:val="en-US" w:eastAsia="zh-CN"/>
              </w:rPr>
              <w:t>方式：</w:t>
            </w:r>
            <w:r>
              <w:rPr>
                <w:rFonts w:hint="eastAsia" w:ascii="Times New Roman" w:hAnsi="Times New Roman" w:eastAsia="宋体" w:cs="Times New Roman"/>
                <w:highlight w:val="none"/>
                <w:lang w:val="en-US" w:eastAsia="zh-CN"/>
              </w:rPr>
              <w:t>采用不见面开标，投标人登录滁州市城投工程咨询有限公司不见面开标系统参与网上开标（网址：</w:t>
            </w:r>
            <w:r>
              <w:rPr>
                <w:rFonts w:hint="eastAsia" w:ascii="Times New Roman" w:hAnsi="Times New Roman" w:eastAsia="宋体" w:cs="Times New Roman"/>
                <w:highlight w:val="none"/>
                <w:lang w:val="en-US" w:eastAsia="zh-CN"/>
              </w:rPr>
              <w:fldChar w:fldCharType="begin"/>
            </w:r>
            <w:r>
              <w:rPr>
                <w:rFonts w:hint="eastAsia" w:ascii="Times New Roman" w:hAnsi="Times New Roman" w:eastAsia="宋体" w:cs="Times New Roman"/>
                <w:highlight w:val="none"/>
                <w:lang w:val="en-US" w:eastAsia="zh-CN"/>
              </w:rPr>
              <w:instrText xml:space="preserve"> HYPERLINK "http://js.etrading.cn/EpointBidOpening/bidopeninghallaction/hall/login）。" </w:instrText>
            </w:r>
            <w:r>
              <w:rPr>
                <w:rFonts w:hint="eastAsia" w:ascii="Times New Roman" w:hAnsi="Times New Roman" w:eastAsia="宋体" w:cs="Times New Roman"/>
                <w:highlight w:val="none"/>
                <w:lang w:val="en-US" w:eastAsia="zh-CN"/>
              </w:rPr>
              <w:fldChar w:fldCharType="separate"/>
            </w:r>
            <w:r>
              <w:rPr>
                <w:rStyle w:val="58"/>
                <w:rFonts w:hint="eastAsia" w:ascii="Times New Roman" w:hAnsi="Times New Roman" w:eastAsia="宋体" w:cs="Times New Roman"/>
                <w:highlight w:val="none"/>
                <w:lang w:val="en-US" w:eastAsia="zh-CN"/>
              </w:rPr>
              <w:t>http://js.etrading.cn/EpointBidOpening/bidopeninghallaction/hall/login）。</w:t>
            </w:r>
            <w:r>
              <w:rPr>
                <w:rFonts w:hint="eastAsia" w:ascii="Times New Roman" w:hAnsi="Times New Roman" w:eastAsia="宋体" w:cs="Times New Roman"/>
                <w:highlight w:val="none"/>
                <w:lang w:val="en-US" w:eastAsia="zh-CN"/>
              </w:rPr>
              <w:fldChar w:fldCharType="end"/>
            </w:r>
          </w:p>
          <w:p w14:paraId="58E2D2E2">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解密时间：投标人须</w:t>
            </w: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u w:val="single"/>
              </w:rPr>
              <w:t xml:space="preserve"> 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3</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13</w:t>
            </w:r>
            <w:r>
              <w:rPr>
                <w:rFonts w:hint="eastAsia" w:ascii="宋体" w:hAnsi="宋体" w:eastAsia="宋体" w:cs="宋体"/>
                <w:color w:val="auto"/>
                <w:szCs w:val="21"/>
                <w:highlight w:val="none"/>
                <w:u w:val="single"/>
              </w:rPr>
              <w:t>日</w:t>
            </w:r>
            <w:r>
              <w:rPr>
                <w:rFonts w:hint="eastAsia" w:ascii="宋体" w:hAnsi="宋体" w:eastAsia="宋体" w:cs="宋体"/>
                <w:color w:val="auto"/>
                <w:szCs w:val="21"/>
                <w:highlight w:val="none"/>
                <w:u w:val="single"/>
                <w:lang w:val="en-US" w:eastAsia="zh-CN"/>
              </w:rPr>
              <w:t>15</w:t>
            </w:r>
            <w:r>
              <w:rPr>
                <w:rFonts w:hint="eastAsia" w:ascii="宋体" w:hAnsi="宋体" w:eastAsia="宋体" w:cs="宋体"/>
                <w:color w:val="auto"/>
                <w:szCs w:val="21"/>
                <w:highlight w:val="none"/>
                <w:u w:val="single"/>
                <w:lang w:eastAsia="zh-CN"/>
              </w:rPr>
              <w:t>时</w:t>
            </w:r>
            <w:r>
              <w:rPr>
                <w:rFonts w:hint="eastAsia" w:ascii="宋体" w:hAnsi="宋体" w:cs="宋体"/>
                <w:color w:val="auto"/>
                <w:szCs w:val="21"/>
                <w:highlight w:val="none"/>
                <w:u w:val="single"/>
                <w:lang w:val="en-US" w:eastAsia="zh-CN"/>
              </w:rPr>
              <w:t>00</w:t>
            </w:r>
            <w:r>
              <w:rPr>
                <w:rFonts w:hint="eastAsia" w:ascii="宋体" w:hAnsi="宋体" w:eastAsia="宋体" w:cs="宋体"/>
                <w:color w:val="auto"/>
                <w:szCs w:val="21"/>
                <w:highlight w:val="none"/>
                <w:u w:val="single"/>
                <w:lang w:eastAsia="zh-CN"/>
              </w:rPr>
              <w:t>分</w:t>
            </w:r>
            <w:r>
              <w:rPr>
                <w:rFonts w:hint="eastAsia" w:ascii="宋体" w:hAnsi="宋体" w:eastAsia="宋体" w:cs="宋体"/>
                <w:color w:val="auto"/>
                <w:szCs w:val="21"/>
                <w:highlight w:val="none"/>
                <w:u w:val="single"/>
                <w:lang w:val="en-US" w:eastAsia="zh-CN"/>
              </w:rPr>
              <w:t>至</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3</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13</w:t>
            </w:r>
            <w:r>
              <w:rPr>
                <w:rFonts w:hint="eastAsia" w:ascii="宋体" w:hAnsi="宋体" w:eastAsia="宋体" w:cs="宋体"/>
                <w:color w:val="auto"/>
                <w:szCs w:val="21"/>
                <w:highlight w:val="none"/>
                <w:u w:val="single"/>
              </w:rPr>
              <w:t>日1</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时</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0分</w:t>
            </w:r>
            <w:r>
              <w:rPr>
                <w:rFonts w:hint="eastAsia" w:ascii="宋体" w:hAnsi="宋体" w:eastAsia="宋体" w:cs="宋体"/>
                <w:color w:val="auto"/>
                <w:szCs w:val="21"/>
                <w:highlight w:val="none"/>
                <w:u w:val="single"/>
                <w:lang w:val="en-US" w:eastAsia="zh-CN"/>
              </w:rPr>
              <w:t>解密；未在规定时间内完成解密的，退回其投标文件；如有因系统因系统原因造成的故障，代理机构可申请延迟解密时间。</w:t>
            </w:r>
          </w:p>
        </w:tc>
      </w:tr>
      <w:tr w14:paraId="1992B37A">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95919A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kern w:val="2"/>
                <w:highlight w:val="none"/>
                <w:lang w:val="en-US" w:eastAsia="zh-CN"/>
              </w:rPr>
              <w:t>26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C8E870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开标程序</w:t>
            </w:r>
          </w:p>
        </w:tc>
        <w:tc>
          <w:tcPr>
            <w:tcW w:w="7251" w:type="dxa"/>
            <w:tcBorders>
              <w:top w:val="single" w:color="auto" w:sz="4" w:space="0"/>
              <w:left w:val="single" w:color="auto" w:sz="4" w:space="0"/>
              <w:bottom w:val="single" w:color="auto" w:sz="4" w:space="0"/>
              <w:right w:val="single" w:color="auto" w:sz="4" w:space="0"/>
            </w:tcBorders>
            <w:noWrap/>
            <w:vAlign w:val="center"/>
          </w:tcPr>
          <w:p w14:paraId="4FB8EA5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由代理机构开启电子投标文件，报评标委员会评审。</w:t>
            </w:r>
          </w:p>
        </w:tc>
      </w:tr>
      <w:tr w14:paraId="5625472C">
        <w:tblPrEx>
          <w:tblCellMar>
            <w:top w:w="0" w:type="dxa"/>
            <w:left w:w="108" w:type="dxa"/>
            <w:bottom w:w="0" w:type="dxa"/>
            <w:right w:w="108" w:type="dxa"/>
          </w:tblCellMar>
        </w:tblPrEx>
        <w:trPr>
          <w:trHeight w:val="488"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F3A70F5">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27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68336EA">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评标委员会的组建</w:t>
            </w:r>
          </w:p>
        </w:tc>
        <w:tc>
          <w:tcPr>
            <w:tcW w:w="7251" w:type="dxa"/>
            <w:tcBorders>
              <w:top w:val="single" w:color="auto" w:sz="4" w:space="0"/>
              <w:left w:val="single" w:color="auto" w:sz="4" w:space="0"/>
              <w:bottom w:val="single" w:color="auto" w:sz="4" w:space="0"/>
              <w:right w:val="single" w:color="auto" w:sz="4" w:space="0"/>
            </w:tcBorders>
            <w:noWrap/>
            <w:vAlign w:val="center"/>
          </w:tcPr>
          <w:p w14:paraId="1846547D">
            <w:pPr>
              <w:keepNext w:val="0"/>
              <w:keepLines w:val="0"/>
              <w:pageBreakBefore w:val="0"/>
              <w:kinsoku/>
              <w:wordWrap/>
              <w:overflowPunct/>
              <w:autoSpaceDE/>
              <w:autoSpaceDN/>
              <w:bidi w:val="0"/>
              <w:spacing w:line="400" w:lineRule="exact"/>
              <w:textAlignment w:val="auto"/>
              <w:rPr>
                <w:rFonts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评标委员会由招标人依法组建。</w:t>
            </w:r>
          </w:p>
        </w:tc>
      </w:tr>
      <w:tr w14:paraId="7BAECC9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3DBFFAA">
            <w:pPr>
              <w:keepNext w:val="0"/>
              <w:keepLines w:val="0"/>
              <w:pageBreakBefore w:val="0"/>
              <w:kinsoku/>
              <w:wordWrap/>
              <w:overflowPunct/>
              <w:autoSpaceDN/>
              <w:bidi w:val="0"/>
              <w:spacing w:line="400" w:lineRule="exact"/>
              <w:jc w:val="center"/>
              <w:textAlignment w:val="auto"/>
              <w:rPr>
                <w:rFonts w:ascii="宋体" w:hAnsi="宋体" w:cs="宋体"/>
                <w:b/>
                <w:bCs/>
                <w:szCs w:val="21"/>
                <w:highlight w:val="none"/>
              </w:rPr>
            </w:pPr>
            <w:r>
              <w:rPr>
                <w:rFonts w:hint="eastAsia" w:ascii="宋体" w:hAnsi="宋体" w:cs="宋体"/>
                <w:szCs w:val="21"/>
                <w:highlight w:val="none"/>
              </w:rPr>
              <w:t>28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BE747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ascii="宋体" w:hAnsi="宋体" w:cs="宋体"/>
                <w:bCs/>
                <w:color w:val="auto"/>
                <w:szCs w:val="21"/>
                <w:highlight w:val="none"/>
              </w:rPr>
            </w:pPr>
            <w:r>
              <w:rPr>
                <w:rFonts w:hint="eastAsia" w:ascii="宋体" w:hAnsi="宋体" w:eastAsia="宋体" w:cs="宋体"/>
                <w:b w:val="0"/>
                <w:bCs w:val="0"/>
                <w:color w:val="auto"/>
                <w:sz w:val="21"/>
                <w:szCs w:val="21"/>
                <w:highlight w:val="none"/>
              </w:rPr>
              <w:t>评标委员会确定中标候选人的人数</w:t>
            </w:r>
          </w:p>
        </w:tc>
        <w:tc>
          <w:tcPr>
            <w:tcW w:w="7251" w:type="dxa"/>
            <w:tcBorders>
              <w:top w:val="single" w:color="auto" w:sz="4" w:space="0"/>
              <w:left w:val="single" w:color="auto" w:sz="4" w:space="0"/>
              <w:bottom w:val="single" w:color="auto" w:sz="4" w:space="0"/>
              <w:right w:val="single" w:color="auto" w:sz="4" w:space="0"/>
            </w:tcBorders>
            <w:noWrap/>
            <w:vAlign w:val="center"/>
          </w:tcPr>
          <w:p w14:paraId="3FF3BC1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ascii="宋体" w:hAnsi="宋体" w:cs="宋体"/>
                <w:bCs/>
                <w:color w:val="auto"/>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名，并标明排序。</w:t>
            </w:r>
          </w:p>
        </w:tc>
      </w:tr>
      <w:tr w14:paraId="0948E9B2">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6CAD3EA1">
            <w:pPr>
              <w:keepNext w:val="0"/>
              <w:keepLines w:val="0"/>
              <w:pageBreakBefore w:val="0"/>
              <w:kinsoku/>
              <w:wordWrap/>
              <w:overflowPunct/>
              <w:autoSpaceDN/>
              <w:bidi w:val="0"/>
              <w:spacing w:line="400" w:lineRule="exact"/>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29</w:t>
            </w:r>
          </w:p>
        </w:tc>
        <w:tc>
          <w:tcPr>
            <w:tcW w:w="2209" w:type="dxa"/>
            <w:gridSpan w:val="2"/>
            <w:tcBorders>
              <w:top w:val="single" w:color="auto" w:sz="4" w:space="0"/>
              <w:left w:val="single" w:color="auto" w:sz="4" w:space="0"/>
              <w:right w:val="single" w:color="auto" w:sz="4" w:space="0"/>
            </w:tcBorders>
            <w:noWrap/>
            <w:vAlign w:val="center"/>
          </w:tcPr>
          <w:p w14:paraId="397DB27E">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中标候选人公示媒介</w:t>
            </w:r>
          </w:p>
        </w:tc>
        <w:tc>
          <w:tcPr>
            <w:tcW w:w="7251" w:type="dxa"/>
            <w:tcBorders>
              <w:top w:val="single" w:color="auto" w:sz="4" w:space="0"/>
              <w:left w:val="single" w:color="auto" w:sz="4" w:space="0"/>
              <w:right w:val="single" w:color="auto" w:sz="4" w:space="0"/>
            </w:tcBorders>
            <w:noWrap/>
            <w:vAlign w:val="center"/>
          </w:tcPr>
          <w:p w14:paraId="5A01188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62635D2D">
            <w:pPr>
              <w:keepNext w:val="0"/>
              <w:keepLines w:val="0"/>
              <w:pageBreakBefore w:val="0"/>
              <w:kinsoku/>
              <w:wordWrap/>
              <w:overflowPunct/>
              <w:autoSpaceDE/>
              <w:autoSpaceDN/>
              <w:bidi w:val="0"/>
              <w:spacing w:line="400" w:lineRule="exact"/>
              <w:textAlignment w:val="auto"/>
              <w:rPr>
                <w:rFonts w:ascii="宋体" w:hAnsi="宋体" w:cs="宋体"/>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14:paraId="5598C43A">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6AF264B2">
            <w:pPr>
              <w:keepNext w:val="0"/>
              <w:keepLines w:val="0"/>
              <w:pageBreakBefore w:val="0"/>
              <w:kinsoku/>
              <w:wordWrap/>
              <w:overflowPunct/>
              <w:autoSpaceDN/>
              <w:bidi w:val="0"/>
              <w:spacing w:line="400" w:lineRule="exact"/>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30</w:t>
            </w:r>
          </w:p>
        </w:tc>
        <w:tc>
          <w:tcPr>
            <w:tcW w:w="2209" w:type="dxa"/>
            <w:gridSpan w:val="2"/>
            <w:tcBorders>
              <w:top w:val="single" w:color="auto" w:sz="4" w:space="0"/>
              <w:left w:val="single" w:color="auto" w:sz="4" w:space="0"/>
              <w:right w:val="single" w:color="auto" w:sz="4" w:space="0"/>
            </w:tcBorders>
            <w:noWrap/>
            <w:vAlign w:val="center"/>
          </w:tcPr>
          <w:p w14:paraId="46AD0919">
            <w:pPr>
              <w:keepNext w:val="0"/>
              <w:keepLines w:val="0"/>
              <w:pageBreakBefore w:val="0"/>
              <w:kinsoku/>
              <w:wordWrap/>
              <w:overflowPunct/>
              <w:autoSpaceDE/>
              <w:autoSpaceDN/>
              <w:bidi w:val="0"/>
              <w:adjustRightInd w:val="0"/>
              <w:snapToGrid w:val="0"/>
              <w:spacing w:line="400" w:lineRule="exact"/>
              <w:textAlignment w:val="auto"/>
              <w:rPr>
                <w:rFonts w:hint="eastAsia" w:ascii="宋体" w:hAnsi="宋体" w:eastAsia="宋体" w:cs="宋体"/>
                <w:color w:val="000000"/>
                <w:kern w:val="2"/>
                <w:sz w:val="21"/>
                <w:szCs w:val="21"/>
                <w:highlight w:val="none"/>
                <w:lang w:val="en-US" w:eastAsia="zh-CN" w:bidi="ar-SA"/>
              </w:rPr>
            </w:pPr>
            <w:r>
              <w:rPr>
                <w:rFonts w:hint="eastAsia"/>
                <w:sz w:val="21"/>
                <w:szCs w:val="21"/>
                <w:highlight w:val="none"/>
              </w:rPr>
              <w:t>中标通知书发出形式</w:t>
            </w:r>
          </w:p>
        </w:tc>
        <w:tc>
          <w:tcPr>
            <w:tcW w:w="7251" w:type="dxa"/>
            <w:tcBorders>
              <w:top w:val="single" w:color="auto" w:sz="4" w:space="0"/>
              <w:left w:val="single" w:color="auto" w:sz="4" w:space="0"/>
              <w:right w:val="single" w:color="auto" w:sz="4" w:space="0"/>
            </w:tcBorders>
            <w:noWrap/>
            <w:vAlign w:val="center"/>
          </w:tcPr>
          <w:p w14:paraId="6F0D809A">
            <w:pPr>
              <w:keepNext w:val="0"/>
              <w:keepLines w:val="0"/>
              <w:pageBreakBefore w:val="0"/>
              <w:widowControl/>
              <w:kinsoku/>
              <w:wordWrap/>
              <w:overflowPunct/>
              <w:autoSpaceDE/>
              <w:autoSpaceDN/>
              <w:bidi w:val="0"/>
              <w:adjustRightInd w:val="0"/>
              <w:snapToGrid w:val="0"/>
              <w:spacing w:line="400" w:lineRule="exact"/>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u w:color="000000"/>
                <w:lang w:val="en-US" w:eastAsia="zh-CN" w:bidi="ar"/>
              </w:rPr>
              <w:t>中标通知书须加盖招标人、招标代理公司公章后发出。</w:t>
            </w:r>
          </w:p>
        </w:tc>
      </w:tr>
      <w:tr w14:paraId="036C355A">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0D4AB66">
            <w:pPr>
              <w:keepNext w:val="0"/>
              <w:keepLines w:val="0"/>
              <w:pageBreakBefore w:val="0"/>
              <w:kinsoku/>
              <w:wordWrap/>
              <w:overflowPunct/>
              <w:autoSpaceDN/>
              <w:bidi w:val="0"/>
              <w:spacing w:line="400" w:lineRule="exact"/>
              <w:jc w:val="center"/>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BBDAC4D">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履约担保</w:t>
            </w:r>
          </w:p>
        </w:tc>
        <w:tc>
          <w:tcPr>
            <w:tcW w:w="7251" w:type="dxa"/>
            <w:tcBorders>
              <w:top w:val="single" w:color="auto" w:sz="4" w:space="0"/>
              <w:left w:val="single" w:color="auto" w:sz="4" w:space="0"/>
              <w:bottom w:val="single" w:color="auto" w:sz="4" w:space="0"/>
              <w:right w:val="single" w:color="auto" w:sz="4" w:space="0"/>
            </w:tcBorders>
            <w:noWrap/>
            <w:vAlign w:val="center"/>
          </w:tcPr>
          <w:p w14:paraId="57A14FB2">
            <w:pPr>
              <w:keepNext w:val="0"/>
              <w:keepLines w:val="0"/>
              <w:pageBreakBefore w:val="0"/>
              <w:kinsoku/>
              <w:wordWrap/>
              <w:overflowPunct/>
              <w:autoSpaceDE/>
              <w:autoSpaceDN/>
              <w:bidi w:val="0"/>
              <w:spacing w:line="400" w:lineRule="exact"/>
              <w:textAlignment w:val="auto"/>
              <w:rPr>
                <w:rFonts w:ascii="宋体" w:hAnsi="宋体" w:cs="宋体"/>
                <w:bCs/>
                <w:color w:val="auto"/>
                <w:szCs w:val="21"/>
                <w:highlight w:val="none"/>
              </w:rPr>
            </w:pPr>
            <w:r>
              <w:rPr>
                <w:rFonts w:hint="eastAsia" w:ascii="宋体" w:hAnsi="宋体" w:cs="宋体"/>
                <w:bCs/>
                <w:color w:val="auto"/>
                <w:szCs w:val="21"/>
                <w:highlight w:val="none"/>
              </w:rPr>
              <w:t>履约担保的形式：支持银行转账、银行保函（见索即付无条件保函）使用</w:t>
            </w:r>
          </w:p>
          <w:p w14:paraId="64302322">
            <w:pPr>
              <w:keepNext w:val="0"/>
              <w:keepLines w:val="0"/>
              <w:pageBreakBefore w:val="0"/>
              <w:kinsoku/>
              <w:wordWrap/>
              <w:overflowPunct/>
              <w:autoSpaceDE/>
              <w:autoSpaceDN/>
              <w:bidi w:val="0"/>
              <w:spacing w:line="400" w:lineRule="exact"/>
              <w:textAlignment w:val="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履约担保的金额：</w:t>
            </w:r>
            <w:r>
              <w:rPr>
                <w:rFonts w:hint="eastAsia" w:ascii="宋体" w:hAnsi="宋体" w:eastAsia="宋体" w:cs="宋体"/>
                <w:bCs/>
                <w:color w:val="auto"/>
                <w:szCs w:val="21"/>
                <w:highlight w:val="none"/>
              </w:rPr>
              <w:t>中标合同金额×</w:t>
            </w:r>
            <w:r>
              <w:rPr>
                <w:rFonts w:hint="eastAsia" w:ascii="宋体" w:hAnsi="宋体" w:cs="宋体"/>
                <w:bCs/>
                <w:color w:val="auto"/>
                <w:szCs w:val="21"/>
                <w:highlight w:val="none"/>
                <w:lang w:val="en-US" w:eastAsia="zh-CN"/>
              </w:rPr>
              <w:t>10</w:t>
            </w:r>
            <w:r>
              <w:rPr>
                <w:rFonts w:hint="eastAsia" w:ascii="宋体" w:hAnsi="宋体" w:eastAsia="宋体" w:cs="宋体"/>
                <w:bCs/>
                <w:color w:val="auto"/>
                <w:szCs w:val="21"/>
                <w:highlight w:val="none"/>
              </w:rPr>
              <w:t>%</w:t>
            </w:r>
          </w:p>
          <w:p w14:paraId="4F22EBF8">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收款单位：中标后另行通知                 </w:t>
            </w:r>
          </w:p>
          <w:p w14:paraId="420B8239">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开户银行：中标后另行通知                   </w:t>
            </w:r>
          </w:p>
          <w:p w14:paraId="7A8F1231">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银行账号：中标后另行通知                   </w:t>
            </w:r>
          </w:p>
          <w:p w14:paraId="6A6E6589">
            <w:pPr>
              <w:spacing w:line="4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缴纳时限：中标人须在中标通知书发出后30日内完成履约保证金缴纳及合同签订（先缴纳履约保证金后签合同）。中标单位原因造成合同延期签订的，延期签订情节严重的，招标人有权取消其中标资格。并承担给招标人造成的损失，同时依法承担相应法律责任。   </w:t>
            </w:r>
          </w:p>
          <w:p w14:paraId="7AD6BAEA">
            <w:pPr>
              <w:spacing w:line="4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履约保证金退还时限：履约保证金在工程竣工验收合格后一个月内无息退还。</w:t>
            </w:r>
          </w:p>
          <w:p w14:paraId="1944A556">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其他相关要求：</w:t>
            </w:r>
          </w:p>
          <w:p w14:paraId="65A25D8B">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pPr>
            <w:r>
              <w:rPr>
                <w:rFonts w:hint="eastAsia" w:ascii="宋体" w:hAnsi="宋体" w:eastAsia="宋体" w:cs="宋体"/>
                <w:color w:val="auto"/>
                <w:sz w:val="21"/>
                <w:szCs w:val="21"/>
                <w:highlight w:val="none"/>
                <w:lang w:val="en-US" w:eastAsia="zh-CN"/>
              </w:rPr>
              <w:t>采用银行保函的具体要求:按招标人要求提供</w:t>
            </w:r>
            <w:r>
              <w:rPr>
                <w:rFonts w:hint="eastAsia" w:cs="宋体"/>
                <w:color w:val="auto"/>
                <w:sz w:val="21"/>
                <w:szCs w:val="21"/>
                <w:highlight w:val="none"/>
                <w:lang w:val="en-US" w:eastAsia="zh-CN"/>
              </w:rPr>
              <w:t>。</w:t>
            </w:r>
          </w:p>
        </w:tc>
      </w:tr>
      <w:tr w14:paraId="35ED23DA">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0D14238">
            <w:pPr>
              <w:keepNext w:val="0"/>
              <w:keepLines w:val="0"/>
              <w:pageBreakBefore w:val="0"/>
              <w:kinsoku/>
              <w:wordWrap/>
              <w:overflowPunct/>
              <w:autoSpaceDN/>
              <w:bidi w:val="0"/>
              <w:spacing w:line="400" w:lineRule="exact"/>
              <w:jc w:val="center"/>
              <w:textAlignment w:val="auto"/>
              <w:rPr>
                <w:rFonts w:hint="default" w:ascii="宋体" w:hAnsi="宋体" w:cs="宋体"/>
                <w:szCs w:val="21"/>
                <w:highlight w:val="none"/>
                <w:lang w:val="en-US" w:eastAsia="zh-CN"/>
              </w:rPr>
            </w:pPr>
            <w:r>
              <w:rPr>
                <w:rFonts w:hint="eastAsia" w:ascii="宋体" w:hAnsi="宋体" w:cs="宋体"/>
                <w:szCs w:val="21"/>
                <w:highlight w:val="none"/>
                <w:lang w:val="en-US" w:eastAsia="zh-CN"/>
              </w:rPr>
              <w:t>32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E77DE9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Cs w:val="21"/>
                <w:highlight w:val="none"/>
              </w:rPr>
            </w:pPr>
            <w:r>
              <w:rPr>
                <w:rFonts w:hint="eastAsia" w:ascii="宋体" w:hAnsi="宋体" w:eastAsia="宋体" w:cs="宋体"/>
                <w:b w:val="0"/>
                <w:bCs w:val="0"/>
                <w:color w:val="auto"/>
                <w:sz w:val="21"/>
                <w:szCs w:val="21"/>
                <w:highlight w:val="none"/>
              </w:rPr>
              <w:t>签订合同</w:t>
            </w:r>
          </w:p>
        </w:tc>
        <w:tc>
          <w:tcPr>
            <w:tcW w:w="7251" w:type="dxa"/>
            <w:tcBorders>
              <w:top w:val="single" w:color="auto" w:sz="4" w:space="0"/>
              <w:left w:val="single" w:color="auto" w:sz="4" w:space="0"/>
              <w:bottom w:val="single" w:color="auto" w:sz="4" w:space="0"/>
              <w:right w:val="single" w:color="auto" w:sz="4" w:space="0"/>
            </w:tcBorders>
            <w:noWrap/>
            <w:vAlign w:val="top"/>
          </w:tcPr>
          <w:p w14:paraId="3C6915AB">
            <w:pPr>
              <w:keepNext w:val="0"/>
              <w:keepLines w:val="0"/>
              <w:pageBreakBefore w:val="0"/>
              <w:kinsoku/>
              <w:wordWrap/>
              <w:overflowPunct/>
              <w:autoSpaceDE/>
              <w:autoSpaceDN/>
              <w:bidi w:val="0"/>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Cs w:val="21"/>
                <w:highlight w:val="none"/>
              </w:rPr>
              <w:t>中标通知书发出之日起</w:t>
            </w:r>
            <w:r>
              <w:rPr>
                <w:rFonts w:hint="eastAsia" w:ascii="宋体" w:hAnsi="宋体" w:eastAsia="宋体" w:cs="宋体"/>
                <w:bCs/>
                <w:color w:val="auto"/>
                <w:szCs w:val="21"/>
                <w:highlight w:val="none"/>
                <w:u w:val="single"/>
                <w:lang w:val="en-US" w:eastAsia="zh-CN"/>
              </w:rPr>
              <w:t>10</w:t>
            </w:r>
            <w:r>
              <w:rPr>
                <w:rFonts w:hint="eastAsia" w:ascii="宋体" w:hAnsi="宋体" w:eastAsia="宋体" w:cs="宋体"/>
                <w:bCs/>
                <w:color w:val="auto"/>
                <w:szCs w:val="21"/>
                <w:highlight w:val="none"/>
              </w:rPr>
              <w:t>日内，应委派代表与招标人联系并商讨书面合同签订事宜。中标人和招标人应在投标有效期内以及中标通知书发出之日起30日内，根据招标文件和中标人的投标文件订立书面合同。</w:t>
            </w:r>
          </w:p>
        </w:tc>
      </w:tr>
      <w:tr w14:paraId="1717AE69">
        <w:tblPrEx>
          <w:tblCellMar>
            <w:top w:w="0" w:type="dxa"/>
            <w:left w:w="108" w:type="dxa"/>
            <w:bottom w:w="0" w:type="dxa"/>
            <w:right w:w="108" w:type="dxa"/>
          </w:tblCellMar>
        </w:tblPrEx>
        <w:trPr>
          <w:trHeight w:val="9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4FFCA40">
            <w:pPr>
              <w:keepNext w:val="0"/>
              <w:keepLines w:val="0"/>
              <w:pageBreakBefore w:val="0"/>
              <w:kinsoku/>
              <w:wordWrap/>
              <w:overflowPunct/>
              <w:autoSpaceDN/>
              <w:bidi w:val="0"/>
              <w:spacing w:line="400" w:lineRule="exact"/>
              <w:jc w:val="center"/>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9E6E11B">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highlight w:val="none"/>
              </w:rPr>
            </w:pPr>
            <w:r>
              <w:rPr>
                <w:rFonts w:hint="eastAsia" w:ascii="宋体" w:hAnsi="宋体" w:eastAsia="宋体" w:cs="宋体"/>
                <w:b w:val="0"/>
                <w:bCs w:val="0"/>
                <w:color w:val="auto"/>
                <w:sz w:val="21"/>
                <w:szCs w:val="21"/>
                <w:highlight w:val="none"/>
              </w:rPr>
              <w:t>付款方式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7FC60E17">
            <w:pPr>
              <w:spacing w:line="420" w:lineRule="exac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在具备施工条件的前提下，招标人在合同签订后一个月内或不迟于约定的开工日期前7天内预付工程款为</w:t>
            </w:r>
            <w:r>
              <w:rPr>
                <w:rFonts w:hint="eastAsia" w:ascii="宋体" w:hAnsi="宋体" w:cs="宋体"/>
                <w:color w:val="auto"/>
                <w:szCs w:val="21"/>
                <w:highlight w:val="none"/>
                <w:lang w:val="en-US" w:eastAsia="zh-CN"/>
              </w:rPr>
              <w:t>签约</w:t>
            </w:r>
            <w:r>
              <w:rPr>
                <w:rFonts w:hint="eastAsia" w:ascii="宋体" w:hAnsi="宋体" w:eastAsia="宋体" w:cs="宋体"/>
                <w:color w:val="auto"/>
                <w:szCs w:val="21"/>
                <w:highlight w:val="none"/>
                <w:lang w:val="en-US" w:eastAsia="zh-CN"/>
              </w:rPr>
              <w:t>合同总价的30%（预付款支付前，中标人须提供同等金额的见索即付的银行保函）；单项项目完成全容量发电并网验收付至对应单项项目签约合同价的80%（同期扣除预付工程款）；单项项目竣工验收合格后，经工程结算审核完成付至对应单项项目工程审计结算价款的</w:t>
            </w:r>
            <w:r>
              <w:rPr>
                <w:rFonts w:hint="default" w:ascii="宋体" w:hAnsi="宋体" w:eastAsia="宋体" w:cs="宋体"/>
                <w:color w:val="auto"/>
                <w:szCs w:val="21"/>
                <w:highlight w:val="none"/>
                <w:lang w:val="en-US" w:eastAsia="zh-CN"/>
              </w:rPr>
              <w:t>98%</w:t>
            </w:r>
            <w:r>
              <w:rPr>
                <w:rFonts w:hint="eastAsia" w:ascii="宋体" w:hAnsi="宋体" w:eastAsia="宋体" w:cs="宋体"/>
                <w:color w:val="auto"/>
                <w:szCs w:val="21"/>
                <w:highlight w:val="none"/>
                <w:lang w:val="en-US" w:eastAsia="zh-CN"/>
              </w:rPr>
              <w:t>，剩余</w:t>
            </w:r>
            <w:r>
              <w:rPr>
                <w:rFonts w:hint="default"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en-US" w:eastAsia="zh-CN"/>
              </w:rPr>
              <w:t xml:space="preserve">作为质保金，工程缺陷责任期 </w:t>
            </w:r>
            <w:r>
              <w:rPr>
                <w:rFonts w:hint="default"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en-US" w:eastAsia="zh-CN"/>
              </w:rPr>
              <w:t>自竣工验收合格之日起满2年</w:t>
            </w:r>
            <w:r>
              <w:rPr>
                <w:rFonts w:hint="default"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en-US" w:eastAsia="zh-CN"/>
              </w:rPr>
              <w:t>满后付清余款。质量保证金支持银行保函，采用银行保函的不再从工程进度款中扣留质量保证金，保函有效期须与工程缺陷责任期截止时间保持一致。</w:t>
            </w:r>
          </w:p>
        </w:tc>
      </w:tr>
      <w:tr w14:paraId="7129CE18">
        <w:tblPrEx>
          <w:tblCellMar>
            <w:top w:w="0" w:type="dxa"/>
            <w:left w:w="108" w:type="dxa"/>
            <w:bottom w:w="0" w:type="dxa"/>
            <w:right w:w="108" w:type="dxa"/>
          </w:tblCellMar>
        </w:tblPrEx>
        <w:trPr>
          <w:trHeight w:val="90" w:hRule="atLeast"/>
          <w:jc w:val="center"/>
        </w:trPr>
        <w:tc>
          <w:tcPr>
            <w:tcW w:w="10328" w:type="dxa"/>
            <w:gridSpan w:val="4"/>
            <w:tcBorders>
              <w:top w:val="single" w:color="auto" w:sz="4" w:space="0"/>
              <w:left w:val="single" w:color="auto" w:sz="4" w:space="0"/>
              <w:bottom w:val="single" w:color="auto" w:sz="4" w:space="0"/>
              <w:right w:val="single" w:color="auto" w:sz="4" w:space="0"/>
            </w:tcBorders>
            <w:noWrap/>
            <w:vAlign w:val="center"/>
          </w:tcPr>
          <w:p w14:paraId="3E3A6409">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需要补充的其他内容</w:t>
            </w:r>
          </w:p>
        </w:tc>
      </w:tr>
      <w:tr w14:paraId="2AA9094C">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1490EC4">
            <w:pPr>
              <w:keepNext w:val="0"/>
              <w:keepLines w:val="0"/>
              <w:pageBreakBefore w:val="0"/>
              <w:kinsoku/>
              <w:wordWrap/>
              <w:overflowPunct/>
              <w:autoSpaceDN/>
              <w:bidi w:val="0"/>
              <w:adjustRightInd w:val="0"/>
              <w:snapToGrid w:val="0"/>
              <w:spacing w:line="400" w:lineRule="exact"/>
              <w:jc w:val="center"/>
              <w:textAlignment w:val="auto"/>
              <w:rPr>
                <w:rFonts w:ascii="宋体" w:hAnsi="宋体" w:cs="宋体"/>
                <w:szCs w:val="21"/>
                <w:highlight w:val="none"/>
              </w:rPr>
            </w:pPr>
            <w:r>
              <w:rPr>
                <w:rFonts w:hint="eastAsia" w:ascii="宋体" w:hAnsi="宋体" w:cs="宋体"/>
                <w:color w:val="auto"/>
                <w:sz w:val="21"/>
                <w:szCs w:val="21"/>
                <w:highlight w:val="none"/>
              </w:rPr>
              <w:t>招标代理服务费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42B12792">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代理服务具体金额：</w:t>
            </w:r>
            <w:r>
              <w:rPr>
                <w:rFonts w:hint="eastAsia" w:ascii="宋体" w:hAnsi="宋体" w:cs="宋体"/>
                <w:color w:val="auto"/>
                <w:kern w:val="0"/>
                <w:szCs w:val="21"/>
                <w:highlight w:val="none"/>
                <w:lang w:val="en-US" w:eastAsia="zh-CN"/>
              </w:rPr>
              <w:t>14298</w:t>
            </w:r>
            <w:r>
              <w:rPr>
                <w:rFonts w:hint="eastAsia" w:ascii="宋体" w:hAnsi="宋体" w:cs="宋体"/>
                <w:color w:val="auto"/>
                <w:kern w:val="0"/>
                <w:szCs w:val="21"/>
                <w:highlight w:val="none"/>
              </w:rPr>
              <w:t>元。</w:t>
            </w:r>
          </w:p>
          <w:p w14:paraId="7550C2A5">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auto"/>
                <w:szCs w:val="21"/>
                <w:highlight w:val="none"/>
              </w:rPr>
            </w:pPr>
            <w:r>
              <w:rPr>
                <w:rFonts w:hint="eastAsia" w:ascii="宋体" w:hAnsi="宋体" w:cs="宋体"/>
                <w:color w:val="auto"/>
                <w:kern w:val="0"/>
                <w:szCs w:val="21"/>
                <w:highlight w:val="none"/>
              </w:rPr>
              <w:t>代理服务费支付主体</w:t>
            </w:r>
            <w:r>
              <w:rPr>
                <w:rFonts w:hint="eastAsia" w:ascii="宋体" w:hAnsi="宋体" w:cs="宋体"/>
                <w:color w:val="auto"/>
                <w:szCs w:val="21"/>
                <w:highlight w:val="none"/>
              </w:rPr>
              <w:t>：</w:t>
            </w:r>
            <w:r>
              <w:rPr>
                <w:rFonts w:hint="eastAsia" w:ascii="宋体" w:hAnsi="宋体" w:cs="宋体"/>
                <w:color w:val="auto"/>
                <w:kern w:val="0"/>
                <w:szCs w:val="21"/>
                <w:highlight w:val="none"/>
              </w:rPr>
              <w:t>由中标单位在领取中标通知书时，一次性支付给代理机构。</w:t>
            </w:r>
          </w:p>
        </w:tc>
      </w:tr>
      <w:tr w14:paraId="0E8F1554">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B3101E2">
            <w:pPr>
              <w:keepNext w:val="0"/>
              <w:keepLines w:val="0"/>
              <w:pageBreakBefore w:val="0"/>
              <w:kinsoku/>
              <w:wordWrap/>
              <w:overflowPunct/>
              <w:autoSpaceDN/>
              <w:bidi w:val="0"/>
              <w:adjustRightInd w:val="0"/>
              <w:snapToGrid w:val="0"/>
              <w:spacing w:line="400" w:lineRule="exact"/>
              <w:jc w:val="center"/>
              <w:textAlignment w:val="auto"/>
              <w:rPr>
                <w:rFonts w:hint="eastAsia" w:ascii="宋体" w:hAnsi="宋体" w:cs="宋体"/>
                <w:szCs w:val="21"/>
                <w:highlight w:val="none"/>
              </w:rPr>
            </w:pPr>
            <w:r>
              <w:rPr>
                <w:rFonts w:hint="eastAsia" w:ascii="宋体" w:hAnsi="宋体" w:cs="宋体"/>
                <w:color w:val="auto"/>
                <w:sz w:val="21"/>
                <w:szCs w:val="21"/>
                <w:highlight w:val="none"/>
              </w:rPr>
              <w:t>专家评审劳务费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4F5FAE4A">
            <w:pPr>
              <w:keepNext w:val="0"/>
              <w:keepLines w:val="0"/>
              <w:pageBreakBefore w:val="0"/>
              <w:kinsoku/>
              <w:wordWrap/>
              <w:overflowPunct/>
              <w:autoSpaceDN/>
              <w:bidi w:val="0"/>
              <w:adjustRightInd w:val="0"/>
              <w:snapToGrid w:val="0"/>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费用或支付标准：</w:t>
            </w:r>
            <w:r>
              <w:rPr>
                <w:rFonts w:hint="eastAsia" w:ascii="宋体" w:hAnsi="宋体" w:cs="宋体"/>
                <w:color w:val="auto"/>
                <w:sz w:val="21"/>
                <w:szCs w:val="21"/>
                <w:highlight w:val="none"/>
                <w:lang w:val="en-US" w:eastAsia="zh-CN"/>
              </w:rPr>
              <w:t>以实际发生为准。</w:t>
            </w:r>
          </w:p>
          <w:p w14:paraId="0376B137">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cs="宋体"/>
                <w:color w:val="auto"/>
                <w:kern w:val="0"/>
                <w:szCs w:val="21"/>
                <w:highlight w:val="none"/>
                <w:lang w:val="en-US"/>
              </w:rPr>
            </w:pPr>
            <w:r>
              <w:rPr>
                <w:rFonts w:hint="eastAsia"/>
                <w:color w:val="auto"/>
                <w:sz w:val="21"/>
                <w:szCs w:val="21"/>
                <w:highlight w:val="none"/>
              </w:rPr>
              <w:t>支付主体：</w:t>
            </w:r>
            <w:r>
              <w:rPr>
                <w:rFonts w:hint="eastAsia" w:cs="Times New Roman"/>
                <w:color w:val="auto"/>
                <w:sz w:val="21"/>
                <w:szCs w:val="21"/>
                <w:highlight w:val="none"/>
                <w:lang w:val="en-US" w:eastAsia="zh-CN"/>
              </w:rPr>
              <w:t>中标单位。</w:t>
            </w:r>
          </w:p>
        </w:tc>
      </w:tr>
      <w:tr w14:paraId="0533584B">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5C774CFE">
            <w:pPr>
              <w:keepNext w:val="0"/>
              <w:keepLines w:val="0"/>
              <w:pageBreakBefore w:val="0"/>
              <w:kinsoku/>
              <w:wordWrap/>
              <w:overflowPunct/>
              <w:autoSpaceDN/>
              <w:bidi w:val="0"/>
              <w:adjustRightInd w:val="0"/>
              <w:snapToGrid w:val="0"/>
              <w:spacing w:line="400" w:lineRule="exact"/>
              <w:jc w:val="center"/>
              <w:textAlignment w:val="auto"/>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主要材料要求</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5BE80A5B">
            <w:pPr>
              <w:keepNext w:val="0"/>
              <w:keepLines w:val="0"/>
              <w:pageBreakBefore w:val="0"/>
              <w:kinsoku/>
              <w:wordWrap/>
              <w:overflowPunct/>
              <w:autoSpaceDN/>
              <w:bidi w:val="0"/>
              <w:adjustRightInd w:val="0"/>
              <w:snapToGrid w:val="0"/>
              <w:spacing w:line="400" w:lineRule="exact"/>
              <w:textAlignment w:val="auto"/>
              <w:rPr>
                <w:rFonts w:hint="eastAsia"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主要</w:t>
            </w:r>
            <w:r>
              <w:rPr>
                <w:rFonts w:hint="eastAsia" w:ascii="宋体" w:hAnsi="宋体" w:eastAsia="宋体" w:cs="宋体"/>
                <w:color w:val="auto"/>
                <w:sz w:val="21"/>
                <w:szCs w:val="21"/>
                <w:highlight w:val="none"/>
                <w:lang w:val="en-US"/>
              </w:rPr>
              <w:t>材料由中标人自行采购</w:t>
            </w:r>
          </w:p>
          <w:p w14:paraId="0C7E66E0">
            <w:pPr>
              <w:keepNext w:val="0"/>
              <w:keepLines w:val="0"/>
              <w:pageBreakBefore w:val="0"/>
              <w:kinsoku/>
              <w:wordWrap/>
              <w:overflowPunct/>
              <w:autoSpaceDN/>
              <w:bidi w:val="0"/>
              <w:adjustRightInd w:val="0"/>
              <w:snapToGrid w:val="0"/>
              <w:spacing w:line="4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1、本工程采用商品砼。</w:t>
            </w:r>
          </w:p>
          <w:p w14:paraId="4F62A9D2">
            <w:pPr>
              <w:keepNext w:val="0"/>
              <w:keepLines w:val="0"/>
              <w:pageBreakBefore w:val="0"/>
              <w:kinsoku/>
              <w:wordWrap/>
              <w:overflowPunct/>
              <w:autoSpaceDN/>
              <w:bidi w:val="0"/>
              <w:adjustRightInd w:val="0"/>
              <w:snapToGrid w:val="0"/>
              <w:spacing w:line="400" w:lineRule="exact"/>
              <w:textAlignment w:val="auto"/>
              <w:rPr>
                <w:rFonts w:hint="eastAsia"/>
                <w:color w:val="auto"/>
                <w:sz w:val="21"/>
                <w:szCs w:val="21"/>
                <w:highlight w:val="none"/>
              </w:rPr>
            </w:pPr>
            <w:r>
              <w:rPr>
                <w:rFonts w:hint="eastAsia" w:ascii="宋体" w:hAnsi="宋体" w:eastAsia="宋体" w:cs="宋体"/>
                <w:color w:val="auto"/>
                <w:sz w:val="21"/>
                <w:szCs w:val="21"/>
                <w:highlight w:val="none"/>
                <w:lang w:val="en-US"/>
              </w:rPr>
              <w:t>2、本项目采用预拌砂浆。</w:t>
            </w:r>
          </w:p>
        </w:tc>
      </w:tr>
      <w:tr w14:paraId="749E41E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32A0DB8A">
            <w:pPr>
              <w:keepNext w:val="0"/>
              <w:keepLines w:val="0"/>
              <w:pageBreakBefore w:val="0"/>
              <w:kinsoku/>
              <w:wordWrap/>
              <w:overflowPunct/>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相关要求</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403DA450">
            <w:pPr>
              <w:keepNext w:val="0"/>
              <w:keepLines w:val="0"/>
              <w:pageBreakBefore w:val="0"/>
              <w:kinsoku/>
              <w:wordWrap/>
              <w:overflowPunct/>
              <w:autoSpaceDN/>
              <w:bidi w:val="0"/>
              <w:adjustRightInd w:val="0"/>
              <w:snapToGrid w:val="0"/>
              <w:spacing w:line="400" w:lineRule="exact"/>
              <w:textAlignment w:val="auto"/>
              <w:rPr>
                <w:rFonts w:hint="eastAsia"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rPr>
              <w:t>、承包人在工程实施过程中的用工行为，必须严格按照《保障农民工工资支付条例》（国务院令 第724号）、《安徽省人民政府办公厅关于全面治理拖欠农民工工资问题的实施意见》（皖政办〔2016〕22号）以及《贯彻落实&lt;工程建设领域农民工工资专用账户管理暂行办法&gt;的通知》（皖人社发〔2022〕5号）、《安徽省工程建设领域农民工工资保证金实施办法》（皖人社发〔2022〕8号）等文件精神的有关规定，依法与招用的农民工签订劳动合同，并按规定及时足额支付工资。</w:t>
            </w:r>
          </w:p>
          <w:p w14:paraId="7FBF0C07">
            <w:pPr>
              <w:keepNext w:val="0"/>
              <w:keepLines w:val="0"/>
              <w:pageBreakBefore w:val="0"/>
              <w:kinsoku/>
              <w:wordWrap/>
              <w:overflowPunct/>
              <w:autoSpaceDN/>
              <w:bidi w:val="0"/>
              <w:adjustRightInd w:val="0"/>
              <w:snapToGrid w:val="0"/>
              <w:spacing w:line="4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为切实保障建筑行业农民工工资支付、加快培育新时代建筑产业工人队伍、有效破解拖欠工程款问题，承包人应严格落实安徽省住建厅《关于建立长效机制切实保障建筑行业农民工工资支付工作的通知》（建市函〔2022〕490号），《关于加快培育和壮大我省建筑产业工人队伍的意见》（建市规〔2023〕1号）以及《关于印发〈安徽省房屋建筑和市政基础设施工程施工过程结算管理办法〉 的通知》（建市规〔2023〕2号）等文件要求。</w:t>
            </w:r>
          </w:p>
          <w:p w14:paraId="4BAC1587">
            <w:pPr>
              <w:keepNext w:val="0"/>
              <w:keepLines w:val="0"/>
              <w:pageBreakBefore w:val="0"/>
              <w:kinsoku/>
              <w:wordWrap/>
              <w:overflowPunct/>
              <w:autoSpaceDN/>
              <w:bidi w:val="0"/>
              <w:adjustRightInd w:val="0"/>
              <w:snapToGrid w:val="0"/>
              <w:spacing w:line="4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执行《贯彻落实&lt;工程建设领域农民工工资专用账户管理暂行办法&gt;的通知》（皖人社发〔2022〕5号），其中工资保证金和工资专户由工程建设项目的施工总承包企业（包括直接承包建设单位发包工程的专业承包企业）缴存和开设。若为联合体中标，由联合体中牵头人缴存和开设专户。</w:t>
            </w:r>
          </w:p>
          <w:p w14:paraId="15461FFC">
            <w:pPr>
              <w:keepNext w:val="0"/>
              <w:keepLines w:val="0"/>
              <w:pageBreakBefore w:val="0"/>
              <w:kinsoku/>
              <w:wordWrap/>
              <w:overflowPunct/>
              <w:autoSpaceDN/>
              <w:bidi w:val="0"/>
              <w:adjustRightInd w:val="0"/>
              <w:snapToGrid w:val="0"/>
              <w:spacing w:line="400" w:lineRule="exact"/>
              <w:textAlignment w:val="auto"/>
              <w:rPr>
                <w:rFonts w:hint="eastAsia"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rPr>
              <w:t>、保证保险产品应按《中国银保监会办公厅关于进一步加强和改进财产保险公司产品监管有关问题的通知》执行。</w:t>
            </w:r>
          </w:p>
        </w:tc>
      </w:tr>
      <w:tr w14:paraId="48F0B8E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7F2E76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szCs w:val="21"/>
                <w:highlight w:val="none"/>
              </w:rPr>
            </w:pPr>
            <w:r>
              <w:rPr>
                <w:rFonts w:hint="eastAsia" w:ascii="宋体" w:hAnsi="Times New Roman" w:eastAsia="宋体" w:cs="Times New Roman"/>
                <w:color w:val="auto"/>
                <w:sz w:val="21"/>
                <w:szCs w:val="21"/>
                <w:highlight w:val="none"/>
              </w:rPr>
              <w:t>解释权</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51A245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1、构成本招标文件的各个组成文件应互为解释，互为说明；</w:t>
            </w:r>
          </w:p>
          <w:p w14:paraId="5ED4FD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2、同一组成文件中就同一事项的规定或约定不一致的，以编排顺序在后者为准；</w:t>
            </w:r>
          </w:p>
          <w:p w14:paraId="7B0A50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3、如有不明确或不一致，构成合同文件组成内容的，以合同文件约定内容为准，且以专用合同条款约定的合同文件优先顺序解释；</w:t>
            </w:r>
          </w:p>
          <w:p w14:paraId="0D3ADB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cs="宋体"/>
                <w:szCs w:val="21"/>
                <w:highlight w:val="none"/>
                <w:lang w:val="en-US" w:eastAsia="zh-CN"/>
              </w:rPr>
            </w:pPr>
            <w:r>
              <w:rPr>
                <w:rFonts w:hint="eastAsia" w:ascii="宋体" w:hAnsi="Times New Roman" w:eastAsia="宋体" w:cs="Times New Roman"/>
                <w:color w:val="auto"/>
                <w:sz w:val="21"/>
                <w:szCs w:val="21"/>
                <w:highlight w:val="none"/>
                <w:lang w:val="en-US" w:eastAsia="zh-CN"/>
              </w:rPr>
              <w:t>4</w:t>
            </w:r>
            <w:r>
              <w:rPr>
                <w:rFonts w:hint="eastAsia" w:ascii="宋体" w:hAnsi="Times New Roman" w:eastAsia="宋体" w:cs="Times New Roman"/>
                <w:color w:val="auto"/>
                <w:sz w:val="21"/>
                <w:szCs w:val="21"/>
                <w:highlight w:val="none"/>
              </w:rPr>
              <w:t>、按本款前述规定仍不能形成结论的，由招标人负责解释。</w:t>
            </w:r>
          </w:p>
        </w:tc>
      </w:tr>
      <w:tr w14:paraId="2FCA490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65FC73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szCs w:val="21"/>
                <w:highlight w:val="none"/>
              </w:rPr>
            </w:pPr>
            <w:r>
              <w:rPr>
                <w:rFonts w:hint="eastAsia" w:ascii="宋体" w:hAnsi="Times New Roman" w:eastAsia="宋体" w:cs="Times New Roman"/>
                <w:color w:val="auto"/>
                <w:sz w:val="21"/>
                <w:szCs w:val="21"/>
                <w:highlight w:val="none"/>
              </w:rPr>
              <w:t>同义词语</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3E729A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cs="宋体"/>
                <w:szCs w:val="21"/>
                <w:highlight w:val="none"/>
                <w:lang w:val="en-US" w:eastAsia="zh-CN"/>
              </w:rPr>
            </w:pPr>
            <w:r>
              <w:rPr>
                <w:rFonts w:hint="eastAsia" w:ascii="宋体" w:hAnsi="Times New Roman" w:eastAsia="宋体" w:cs="Times New Roman"/>
                <w:color w:val="auto"/>
                <w:sz w:val="21"/>
                <w:szCs w:val="21"/>
                <w:highlight w:val="none"/>
              </w:rPr>
              <w:t>构成招标文件组成部分的“通用合同条款”、“专用合同条款”、“技术标准和要求”等章节中 “发包人”和“承包人”，等同于招标投标阶段的“招标人”和“投标人/中标人”。</w:t>
            </w:r>
          </w:p>
        </w:tc>
      </w:tr>
      <w:tr w14:paraId="1D99C1F2">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2FCF1B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关于招标工程量清单、最高投标限价及投标报价编制特别说明</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08CE8E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cs="Times New Roman"/>
                <w:color w:val="auto"/>
                <w:sz w:val="21"/>
                <w:szCs w:val="21"/>
                <w:highlight w:val="none"/>
                <w:lang w:val="en-US" w:eastAsia="zh-CN"/>
              </w:rPr>
              <w:t>1.</w:t>
            </w:r>
            <w:r>
              <w:rPr>
                <w:rFonts w:hint="eastAsia" w:ascii="宋体" w:hAnsi="Times New Roman" w:eastAsia="宋体" w:cs="Times New Roman"/>
                <w:color w:val="auto"/>
                <w:sz w:val="21"/>
                <w:szCs w:val="21"/>
                <w:highlight w:val="none"/>
              </w:rPr>
              <w:t>本项目最高投标限价材料、设备价格依据造价管理部门发布的市场价格信息并结合市场实际价格综合考虑编制，投标人应根据</w:t>
            </w:r>
            <w:r>
              <w:rPr>
                <w:rFonts w:hint="eastAsia" w:ascii="宋体" w:hAnsi="Times New Roman" w:eastAsia="宋体" w:cs="Times New Roman"/>
                <w:color w:val="auto"/>
                <w:sz w:val="21"/>
                <w:szCs w:val="21"/>
                <w:highlight w:val="none"/>
                <w:lang w:val="en-US"/>
              </w:rPr>
              <w:t>施工</w:t>
            </w:r>
            <w:r>
              <w:rPr>
                <w:rFonts w:hint="eastAsia" w:ascii="宋体" w:hAnsi="Times New Roman" w:eastAsia="宋体" w:cs="Times New Roman"/>
                <w:color w:val="auto"/>
                <w:sz w:val="21"/>
                <w:szCs w:val="21"/>
                <w:highlight w:val="none"/>
              </w:rPr>
              <w:t>图纸、招标工程量清单、补遗，并结合企业自身实力理性报价。</w:t>
            </w:r>
          </w:p>
          <w:p w14:paraId="0658B1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lang w:val="en-US" w:eastAsia="zh-CN"/>
              </w:rPr>
            </w:pPr>
            <w:r>
              <w:rPr>
                <w:rFonts w:hint="eastAsia" w:ascii="宋体" w:hAnsi="Times New Roman" w:cs="Times New Roman"/>
                <w:color w:val="auto"/>
                <w:sz w:val="21"/>
                <w:szCs w:val="21"/>
                <w:highlight w:val="none"/>
                <w:lang w:val="en-US" w:eastAsia="zh-CN"/>
              </w:rPr>
              <w:t>2.</w:t>
            </w:r>
            <w:r>
              <w:rPr>
                <w:rFonts w:hint="eastAsia" w:ascii="宋体" w:hAnsi="Times New Roman" w:eastAsia="宋体" w:cs="Times New Roman"/>
                <w:color w:val="auto"/>
                <w:sz w:val="21"/>
                <w:szCs w:val="21"/>
                <w:highlight w:val="none"/>
                <w:lang w:val="en-US" w:eastAsia="zh-CN"/>
              </w:rPr>
              <w:t>投标人应认真对照施工设计图纸等文件结合自行组织踏勘现场情况，核对招标人提供的工程量清单，发现工程量存在项目划分误差、计量单位误差、数量误差、遗漏项目等，必须在网上询问截止时间前向招标人提出疑问，否则招标人可不予答复。</w:t>
            </w:r>
          </w:p>
          <w:p w14:paraId="779520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lang w:val="en-US" w:eastAsia="zh-CN"/>
              </w:rPr>
            </w:pPr>
            <w:r>
              <w:rPr>
                <w:rFonts w:hint="eastAsia" w:ascii="宋体" w:hAnsi="Times New Roman" w:cs="Times New Roman"/>
                <w:color w:val="auto"/>
                <w:sz w:val="21"/>
                <w:szCs w:val="21"/>
                <w:highlight w:val="none"/>
                <w:lang w:val="en-US" w:eastAsia="zh-CN"/>
              </w:rPr>
              <w:t>3.</w:t>
            </w:r>
            <w:r>
              <w:rPr>
                <w:rFonts w:hint="eastAsia" w:ascii="宋体" w:hAnsi="Times New Roman" w:eastAsia="宋体" w:cs="Times New Roman"/>
                <w:color w:val="auto"/>
                <w:sz w:val="21"/>
                <w:szCs w:val="21"/>
                <w:highlight w:val="none"/>
                <w:lang w:val="en-US" w:eastAsia="zh-CN"/>
              </w:rPr>
              <w:t>招标人对疑问应进行核实，确认工程量单项子目误差在±3%（含±3%）以内的，采购人可不予调整工程量，供应商应将其误差考虑在综合单价内；若有遗漏项目或单项子目工程量误差超过±3%的，招标人应进行修正并重新公布准确的工程量清单。</w:t>
            </w:r>
          </w:p>
          <w:p w14:paraId="1F7C02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default"/>
                <w:highlight w:val="none"/>
                <w:lang w:val="en-US" w:eastAsia="zh-CN"/>
              </w:rPr>
            </w:pPr>
            <w:r>
              <w:rPr>
                <w:rFonts w:hint="eastAsia" w:ascii="宋体" w:hAnsi="Times New Roman" w:eastAsia="宋体" w:cs="Times New Roman"/>
                <w:color w:val="auto"/>
                <w:sz w:val="21"/>
                <w:szCs w:val="21"/>
                <w:highlight w:val="none"/>
                <w:lang w:val="en-US" w:eastAsia="zh-CN"/>
              </w:rPr>
              <w:t>4.投标人在规定时间内未对工程量清单提出疑问的，</w:t>
            </w:r>
            <w:r>
              <w:rPr>
                <w:rFonts w:hint="eastAsia" w:ascii="宋体" w:hAnsi="Times New Roman" w:cs="Times New Roman"/>
                <w:color w:val="auto"/>
                <w:sz w:val="21"/>
                <w:szCs w:val="21"/>
                <w:highlight w:val="none"/>
                <w:lang w:val="en-US" w:eastAsia="zh-CN"/>
              </w:rPr>
              <w:t>中标</w:t>
            </w:r>
            <w:r>
              <w:rPr>
                <w:rFonts w:hint="eastAsia" w:ascii="宋体" w:hAnsi="Times New Roman" w:eastAsia="宋体" w:cs="Times New Roman"/>
                <w:color w:val="auto"/>
                <w:sz w:val="21"/>
                <w:szCs w:val="21"/>
                <w:highlight w:val="none"/>
                <w:lang w:val="en-US" w:eastAsia="zh-CN"/>
              </w:rPr>
              <w:t>后，招标人不再对工程量清单的项目和数量进行校对调整。中标人必须按其报价完成招标文件规定范围内的设计图纸规定的所有工程项目。</w:t>
            </w:r>
          </w:p>
        </w:tc>
      </w:tr>
      <w:tr w14:paraId="28675B8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EF7C88F">
            <w:pPr>
              <w:keepNext w:val="0"/>
              <w:keepLines w:val="0"/>
              <w:pageBreakBefore w:val="0"/>
              <w:kinsoku/>
              <w:wordWrap/>
              <w:overflowPunct/>
              <w:autoSpaceDN/>
              <w:bidi w:val="0"/>
              <w:spacing w:line="400" w:lineRule="exact"/>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其他</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1D5DE8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lang w:val="en-US"/>
              </w:rPr>
            </w:pPr>
            <w:r>
              <w:rPr>
                <w:rFonts w:hint="eastAsia" w:ascii="宋体" w:hAnsi="Times New Roman" w:eastAsia="宋体" w:cs="Times New Roman"/>
                <w:color w:val="auto"/>
                <w:sz w:val="21"/>
                <w:szCs w:val="21"/>
                <w:highlight w:val="none"/>
                <w:lang w:val="en-US"/>
              </w:rPr>
              <w:t>1、</w:t>
            </w:r>
            <w:r>
              <w:rPr>
                <w:rFonts w:hint="eastAsia" w:ascii="宋体" w:hAnsi="Times New Roman" w:eastAsia="宋体" w:cs="Times New Roman"/>
                <w:color w:val="auto"/>
                <w:sz w:val="21"/>
                <w:szCs w:val="21"/>
                <w:highlight w:val="none"/>
              </w:rPr>
              <w:t>如本项目招标文件中出现特定性、唯一性品牌的表述，该品牌仅作为参考，施工过程中不具有限定性。</w:t>
            </w:r>
          </w:p>
          <w:p w14:paraId="0D0958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lang w:val="en-US"/>
              </w:rPr>
              <w:t>2、项目经理必须是投标人本单位工作人员，提供虚假资料谋取中标将被依法处罚。</w:t>
            </w:r>
            <w:r>
              <w:rPr>
                <w:rFonts w:hint="eastAsia" w:ascii="宋体" w:hAnsi="Times New Roman" w:eastAsia="宋体" w:cs="Times New Roman"/>
                <w:color w:val="auto"/>
                <w:sz w:val="21"/>
                <w:szCs w:val="21"/>
                <w:highlight w:val="none"/>
              </w:rPr>
              <w:t>投标人对所提交的投标人或拟派项目经理业绩、投标人资质等证明资料承担缔约过失责任和法律责任。若投诉人或举报人对前述资料或证明资料存在争议，进行有效投诉或举报， 被投诉人、被举报人应当主动配合执法机关调查，并在规定的期限内举证，提供有关证明资料的原件；拒不配合执法机构调查，且未在规定期限内举证、提供证明资料原件的，执法机构依法处理。</w:t>
            </w:r>
          </w:p>
          <w:p w14:paraId="6B0049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lang w:val="en-US"/>
              </w:rPr>
              <w:t>3、</w:t>
            </w:r>
            <w:r>
              <w:rPr>
                <w:rFonts w:hint="eastAsia" w:ascii="宋体" w:hAnsi="Times New Roman" w:eastAsia="宋体" w:cs="Times New Roman"/>
                <w:color w:val="auto"/>
                <w:sz w:val="21"/>
                <w:szCs w:val="21"/>
                <w:highlight w:val="none"/>
              </w:rPr>
              <w:t>中标人未履行下述义务的，将依法对中标人追究相关责任：</w:t>
            </w:r>
          </w:p>
          <w:p w14:paraId="2A80F5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①中标人无正当理由不与招标人订立合同，在签订合同时向招标人提出附加条件，或者不按照招标文件要求提交履约保证金的，招标人有权取消中标人中标资格，并将相关违约行为报送监管部门处理；</w:t>
            </w:r>
          </w:p>
          <w:p w14:paraId="03557B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②合同签订后，中标人存在规定时间内不组织人员进场开工、不履行供货安装义务等情况，招标人有权解除合同，并追究违约责任，同时将相关违约行为报送监管部门处理。</w:t>
            </w:r>
          </w:p>
          <w:p w14:paraId="10AB54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lang w:val="en-US"/>
              </w:rPr>
            </w:pPr>
            <w:r>
              <w:rPr>
                <w:rFonts w:hint="eastAsia" w:ascii="宋体" w:hAnsi="Times New Roman" w:eastAsia="宋体" w:cs="Times New Roman"/>
                <w:color w:val="auto"/>
                <w:sz w:val="21"/>
                <w:szCs w:val="21"/>
                <w:highlight w:val="none"/>
                <w:lang w:val="en-US"/>
              </w:rPr>
              <w:t>4、</w:t>
            </w:r>
            <w:r>
              <w:rPr>
                <w:rFonts w:hint="eastAsia" w:ascii="宋体" w:hAnsi="Times New Roman" w:eastAsia="宋体" w:cs="Times New Roman"/>
                <w:color w:val="auto"/>
                <w:sz w:val="21"/>
                <w:szCs w:val="21"/>
                <w:highlight w:val="none"/>
                <w:lang w:val="en-US" w:eastAsia="zh-CN"/>
              </w:rPr>
              <w:t>项目经理（建造师）、技术负责人变更需经发包人同意</w:t>
            </w:r>
            <w:r>
              <w:rPr>
                <w:rFonts w:hint="eastAsia" w:ascii="宋体" w:hAnsi="Times New Roman" w:eastAsia="宋体" w:cs="Times New Roman"/>
                <w:color w:val="auto"/>
                <w:sz w:val="21"/>
                <w:szCs w:val="21"/>
                <w:highlight w:val="none"/>
                <w:lang w:val="en-US"/>
              </w:rPr>
              <w:t>。</w:t>
            </w:r>
          </w:p>
          <w:p w14:paraId="2BC39E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lang w:val="en-US"/>
              </w:rPr>
            </w:pPr>
            <w:r>
              <w:rPr>
                <w:rFonts w:hint="eastAsia" w:ascii="宋体" w:hAnsi="Times New Roman" w:eastAsia="宋体" w:cs="Times New Roman"/>
                <w:color w:val="auto"/>
                <w:sz w:val="21"/>
                <w:szCs w:val="21"/>
                <w:highlight w:val="none"/>
                <w:lang w:val="en-US"/>
              </w:rPr>
              <w:t>中标人因下列原因变更项目经理（建造师），须缴纳违约金</w:t>
            </w:r>
            <w:r>
              <w:rPr>
                <w:rFonts w:hint="eastAsia" w:ascii="宋体" w:hAnsi="Times New Roman" w:eastAsia="宋体" w:cs="Times New Roman"/>
                <w:color w:val="auto"/>
                <w:sz w:val="21"/>
                <w:szCs w:val="21"/>
                <w:highlight w:val="none"/>
                <w:lang w:val="en-US" w:eastAsia="zh-CN"/>
              </w:rPr>
              <w:t>10万</w:t>
            </w:r>
            <w:r>
              <w:rPr>
                <w:rFonts w:hint="eastAsia" w:ascii="宋体" w:hAnsi="Times New Roman" w:eastAsia="宋体" w:cs="Times New Roman"/>
                <w:color w:val="auto"/>
                <w:sz w:val="21"/>
                <w:szCs w:val="21"/>
                <w:highlight w:val="none"/>
                <w:lang w:val="en-US"/>
              </w:rPr>
              <w:t>元</w:t>
            </w:r>
            <w:r>
              <w:rPr>
                <w:rFonts w:hint="eastAsia" w:ascii="宋体" w:hAnsi="Times New Roman" w:eastAsia="宋体" w:cs="Times New Roman"/>
                <w:color w:val="auto"/>
                <w:sz w:val="21"/>
                <w:szCs w:val="21"/>
                <w:highlight w:val="none"/>
                <w:lang w:val="en-US" w:eastAsia="zh-CN"/>
              </w:rPr>
              <w:t>：</w:t>
            </w:r>
            <w:r>
              <w:rPr>
                <w:rFonts w:hint="eastAsia" w:ascii="宋体" w:hAnsi="Times New Roman" w:eastAsia="宋体" w:cs="Times New Roman"/>
                <w:color w:val="auto"/>
                <w:sz w:val="21"/>
                <w:szCs w:val="21"/>
                <w:highlight w:val="none"/>
                <w:lang w:val="en-US"/>
              </w:rPr>
              <w:t>①患重病、发生意外等身体原因不能在施工现场进行管理的；②离职的；③违法违规行为不能继续从事施工现场管理工作的；④无能力履行合同责任义务被建设行政主管部门或建设单位责令更换的。</w:t>
            </w:r>
          </w:p>
          <w:p w14:paraId="17FDB1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rPr>
              <w:t>中标人因下列原因变更技术负责人，须缴纳违约金</w:t>
            </w:r>
            <w:r>
              <w:rPr>
                <w:rFonts w:hint="eastAsia" w:ascii="宋体" w:hAnsi="Times New Roman" w:eastAsia="宋体" w:cs="Times New Roman"/>
                <w:color w:val="auto"/>
                <w:sz w:val="21"/>
                <w:szCs w:val="21"/>
                <w:highlight w:val="none"/>
                <w:lang w:val="en-US" w:eastAsia="zh-CN"/>
              </w:rPr>
              <w:t>5万</w:t>
            </w:r>
            <w:r>
              <w:rPr>
                <w:rFonts w:hint="eastAsia" w:ascii="宋体" w:hAnsi="Times New Roman" w:eastAsia="宋体" w:cs="Times New Roman"/>
                <w:color w:val="auto"/>
                <w:sz w:val="21"/>
                <w:szCs w:val="21"/>
                <w:highlight w:val="none"/>
                <w:lang w:val="en-US"/>
              </w:rPr>
              <w:t>元</w:t>
            </w:r>
            <w:r>
              <w:rPr>
                <w:rFonts w:hint="eastAsia" w:ascii="宋体" w:hAnsi="Times New Roman" w:eastAsia="宋体" w:cs="Times New Roman"/>
                <w:color w:val="auto"/>
                <w:sz w:val="21"/>
                <w:szCs w:val="21"/>
                <w:highlight w:val="none"/>
                <w:lang w:val="en-US" w:eastAsia="zh-CN"/>
              </w:rPr>
              <w:t>：</w:t>
            </w:r>
            <w:r>
              <w:rPr>
                <w:rFonts w:hint="eastAsia" w:ascii="宋体" w:hAnsi="Times New Roman" w:eastAsia="宋体" w:cs="Times New Roman"/>
                <w:color w:val="auto"/>
                <w:sz w:val="21"/>
                <w:szCs w:val="21"/>
                <w:highlight w:val="none"/>
                <w:lang w:val="en-US"/>
              </w:rPr>
              <w:t>①患重病、发生意外等身体原因不能在施工现场进行管理的；②离职的；③违法违规行为不能继续从事施工现场管理工作的；④无能力履行合同责任义务被建设行政主管部门或建设单位责令更换的。</w:t>
            </w:r>
          </w:p>
          <w:p w14:paraId="123A9A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lang w:val="en-US" w:eastAsia="zh-CN"/>
              </w:rPr>
              <w:t>5、</w:t>
            </w:r>
            <w:r>
              <w:rPr>
                <w:rFonts w:hint="eastAsia" w:ascii="宋体" w:hAnsi="Times New Roman" w:eastAsia="宋体" w:cs="Times New Roman"/>
                <w:color w:val="auto"/>
                <w:sz w:val="21"/>
                <w:szCs w:val="21"/>
                <w:highlight w:val="none"/>
              </w:rPr>
              <w:t>安全生产</w:t>
            </w:r>
          </w:p>
          <w:p w14:paraId="060747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①须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350439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rPr>
              <w:t>②坚持“安全第一、预防为主、综合治理”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合同的各项规定，做到生产与安全工作同时计划、布置、检查、总结和评比。</w:t>
            </w:r>
          </w:p>
          <w:p w14:paraId="18FE7FDC">
            <w:pPr>
              <w:keepNext w:val="0"/>
              <w:keepLines w:val="0"/>
              <w:pageBreakBefore w:val="0"/>
              <w:numPr>
                <w:ilvl w:val="0"/>
                <w:numId w:val="1"/>
              </w:numPr>
              <w:kinsoku/>
              <w:wordWrap/>
              <w:overflowPunct/>
              <w:topLinePunct w:val="0"/>
              <w:autoSpaceDE/>
              <w:autoSpaceDN/>
              <w:bidi w:val="0"/>
              <w:adjustRightInd/>
              <w:snapToGrid/>
              <w:spacing w:line="400" w:lineRule="exact"/>
              <w:textAlignment w:val="auto"/>
              <w:rPr>
                <w:rFonts w:hint="eastAsia" w:ascii="宋体" w:hAnsi="宋体" w:cs="宋体"/>
                <w:szCs w:val="21"/>
                <w:highlight w:val="none"/>
              </w:rPr>
            </w:pPr>
            <w:r>
              <w:rPr>
                <w:rFonts w:hint="eastAsia" w:ascii="宋体" w:hAnsi="宋体" w:cs="宋体"/>
                <w:szCs w:val="21"/>
                <w:highlight w:val="none"/>
              </w:rPr>
              <w:t>本项目严禁非法转包，一经发现，招标人依法处理。</w:t>
            </w:r>
          </w:p>
          <w:p w14:paraId="211FC760">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0" w:firstLineChars="0"/>
              <w:textAlignment w:val="auto"/>
              <w:outlineLvl w:val="1"/>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环控、监控系统应具备可视、可测、可调、可控，且须匹配并接入招标人监控系统服务器平台系统。</w:t>
            </w:r>
          </w:p>
          <w:p w14:paraId="26288D76">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0" w:firstLineChars="0"/>
              <w:textAlignment w:val="auto"/>
              <w:outlineLvl w:val="1"/>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本项目的充电桩</w:t>
            </w:r>
            <w:r>
              <w:rPr>
                <w:rFonts w:hint="default" w:ascii="宋体" w:hAnsi="宋体" w:cs="宋体"/>
                <w:bCs/>
                <w:color w:val="auto"/>
                <w:szCs w:val="21"/>
                <w:highlight w:val="none"/>
                <w:lang w:val="en-US" w:eastAsia="zh-CN"/>
              </w:rPr>
              <w:t>设施设备（包括电动车充电桩设施设备）</w:t>
            </w:r>
            <w:r>
              <w:rPr>
                <w:rFonts w:hint="eastAsia" w:ascii="宋体" w:hAnsi="宋体" w:cs="宋体"/>
                <w:bCs/>
                <w:color w:val="auto"/>
                <w:szCs w:val="21"/>
                <w:highlight w:val="none"/>
                <w:lang w:val="en-US" w:eastAsia="zh-CN"/>
              </w:rPr>
              <w:t>须</w:t>
            </w:r>
            <w:r>
              <w:rPr>
                <w:rFonts w:hint="default" w:ascii="宋体" w:hAnsi="宋体" w:cs="宋体"/>
                <w:bCs/>
                <w:color w:val="auto"/>
                <w:szCs w:val="21"/>
                <w:highlight w:val="none"/>
                <w:lang w:val="en-US" w:eastAsia="zh-CN"/>
              </w:rPr>
              <w:t>提供不少于五年的厂家</w:t>
            </w:r>
            <w:r>
              <w:rPr>
                <w:rFonts w:hint="eastAsia" w:ascii="宋体" w:hAnsi="宋体" w:cs="宋体"/>
                <w:bCs/>
                <w:color w:val="auto"/>
                <w:szCs w:val="21"/>
                <w:highlight w:val="none"/>
                <w:lang w:val="en-US" w:eastAsia="zh-CN"/>
              </w:rPr>
              <w:t>免费</w:t>
            </w:r>
            <w:r>
              <w:rPr>
                <w:rFonts w:hint="default" w:ascii="宋体" w:hAnsi="宋体" w:cs="宋体"/>
                <w:bCs/>
                <w:color w:val="auto"/>
                <w:szCs w:val="21"/>
                <w:highlight w:val="none"/>
                <w:lang w:val="en-US" w:eastAsia="zh-CN"/>
              </w:rPr>
              <w:t>质保服务</w:t>
            </w:r>
            <w:r>
              <w:rPr>
                <w:rFonts w:hint="eastAsia" w:ascii="宋体" w:hAnsi="宋体" w:cs="宋体"/>
                <w:bCs/>
                <w:color w:val="auto"/>
                <w:szCs w:val="21"/>
                <w:highlight w:val="none"/>
                <w:lang w:val="en-US" w:eastAsia="zh-CN"/>
              </w:rPr>
              <w:t>。</w:t>
            </w:r>
          </w:p>
          <w:p w14:paraId="25C32881">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0" w:firstLineChars="0"/>
              <w:textAlignment w:val="auto"/>
              <w:outlineLvl w:val="1"/>
              <w:rPr>
                <w:rFonts w:hint="default" w:ascii="宋体" w:hAnsi="宋体" w:cs="宋体"/>
                <w:bCs/>
                <w:color w:val="auto"/>
                <w:szCs w:val="21"/>
                <w:highlight w:val="none"/>
                <w:lang w:val="en-US" w:eastAsia="zh-CN"/>
              </w:rPr>
            </w:pPr>
            <w:r>
              <w:rPr>
                <w:rFonts w:hint="default" w:ascii="宋体" w:hAnsi="宋体" w:cs="宋体"/>
                <w:bCs/>
                <w:color w:val="auto"/>
                <w:szCs w:val="21"/>
                <w:highlight w:val="none"/>
                <w:lang w:val="en-US" w:eastAsia="zh-CN"/>
              </w:rPr>
              <w:t>在</w:t>
            </w:r>
            <w:r>
              <w:rPr>
                <w:rFonts w:hint="eastAsia" w:ascii="宋体" w:hAnsi="宋体" w:cs="宋体"/>
                <w:bCs/>
                <w:color w:val="auto"/>
                <w:szCs w:val="21"/>
                <w:highlight w:val="none"/>
                <w:lang w:val="en-US" w:eastAsia="zh-CN"/>
              </w:rPr>
              <w:t>工程</w:t>
            </w:r>
            <w:r>
              <w:rPr>
                <w:rFonts w:hint="default" w:ascii="宋体" w:hAnsi="宋体" w:cs="宋体"/>
                <w:bCs/>
                <w:color w:val="auto"/>
                <w:szCs w:val="21"/>
                <w:highlight w:val="none"/>
                <w:lang w:val="en-US" w:eastAsia="zh-CN"/>
              </w:rPr>
              <w:t>缺陷责任期内</w:t>
            </w:r>
            <w:r>
              <w:rPr>
                <w:rFonts w:hint="eastAsia" w:ascii="宋体" w:hAnsi="宋体" w:cs="宋体"/>
                <w:bCs/>
                <w:color w:val="auto"/>
                <w:szCs w:val="21"/>
                <w:highlight w:val="none"/>
                <w:lang w:val="en-US" w:eastAsia="zh-CN"/>
              </w:rPr>
              <w:t xml:space="preserve"> </w:t>
            </w:r>
            <w:r>
              <w:rPr>
                <w:rFonts w:hint="default" w:ascii="宋体" w:hAnsi="宋体" w:cs="宋体"/>
                <w:bCs/>
                <w:color w:val="auto"/>
                <w:szCs w:val="21"/>
                <w:highlight w:val="none"/>
                <w:lang w:val="en-US" w:eastAsia="zh-CN"/>
              </w:rPr>
              <w:t>(</w:t>
            </w:r>
            <w:r>
              <w:rPr>
                <w:rFonts w:hint="eastAsia" w:ascii="宋体" w:hAnsi="宋体" w:cs="宋体"/>
                <w:bCs/>
                <w:color w:val="auto"/>
                <w:szCs w:val="21"/>
                <w:highlight w:val="none"/>
                <w:lang w:val="en-US" w:eastAsia="zh-CN"/>
              </w:rPr>
              <w:t>自竣工验收合格之日起满2年</w:t>
            </w:r>
            <w:r>
              <w:rPr>
                <w:rFonts w:hint="default" w:ascii="宋体" w:hAnsi="宋体" w:cs="宋体"/>
                <w:bCs/>
                <w:color w:val="auto"/>
                <w:szCs w:val="21"/>
                <w:highlight w:val="none"/>
                <w:lang w:val="en-US" w:eastAsia="zh-CN"/>
              </w:rPr>
              <w:t>），</w:t>
            </w:r>
            <w:r>
              <w:rPr>
                <w:rFonts w:hint="eastAsia" w:ascii="宋体" w:hAnsi="宋体" w:cs="宋体"/>
                <w:bCs/>
                <w:color w:val="auto"/>
                <w:szCs w:val="21"/>
                <w:highlight w:val="none"/>
                <w:lang w:val="en-US" w:eastAsia="zh-CN"/>
              </w:rPr>
              <w:t>中标人须免</w:t>
            </w:r>
            <w:r>
              <w:rPr>
                <w:rFonts w:hint="default" w:ascii="宋体" w:hAnsi="宋体" w:cs="宋体"/>
                <w:bCs/>
                <w:color w:val="auto"/>
                <w:szCs w:val="21"/>
                <w:highlight w:val="none"/>
                <w:lang w:val="en-US" w:eastAsia="zh-CN"/>
              </w:rPr>
              <w:t>费提供充电设备收费系统服务，</w:t>
            </w:r>
            <w:r>
              <w:rPr>
                <w:rFonts w:hint="eastAsia" w:ascii="宋体" w:hAnsi="宋体" w:cs="宋体"/>
                <w:bCs/>
                <w:color w:val="auto"/>
                <w:szCs w:val="21"/>
                <w:highlight w:val="none"/>
                <w:lang w:val="en-US" w:eastAsia="zh-CN"/>
              </w:rPr>
              <w:t>其相关费用包含在合同价中，招标人不另行支付其他费用。</w:t>
            </w:r>
          </w:p>
          <w:p w14:paraId="2EFDC837">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szCs w:val="21"/>
                <w:highlight w:val="none"/>
              </w:rPr>
            </w:pPr>
            <w:r>
              <w:rPr>
                <w:rFonts w:hint="eastAsia" w:ascii="宋体" w:hAnsi="宋体" w:cs="宋体"/>
                <w:szCs w:val="21"/>
                <w:highlight w:val="none"/>
                <w:lang w:val="en-US" w:eastAsia="zh-CN"/>
              </w:rPr>
              <w:t>8、项目竣工验收后，中标人须配合招标人完成国网光伏发电项目机制电价竞价工作。</w:t>
            </w:r>
          </w:p>
        </w:tc>
      </w:tr>
      <w:tr w14:paraId="0F24C4E8">
        <w:tblPrEx>
          <w:tblCellMar>
            <w:top w:w="0" w:type="dxa"/>
            <w:left w:w="108" w:type="dxa"/>
            <w:bottom w:w="0" w:type="dxa"/>
            <w:right w:w="108" w:type="dxa"/>
          </w:tblCellMar>
        </w:tblPrEx>
        <w:trPr>
          <w:jc w:val="center"/>
        </w:trPr>
        <w:tc>
          <w:tcPr>
            <w:tcW w:w="0" w:type="auto"/>
            <w:gridSpan w:val="2"/>
            <w:tcBorders>
              <w:top w:val="single" w:color="auto" w:sz="4" w:space="0"/>
              <w:left w:val="single" w:color="auto" w:sz="4" w:space="0"/>
              <w:bottom w:val="single" w:color="auto" w:sz="4" w:space="0"/>
              <w:right w:val="single" w:color="auto" w:sz="4" w:space="0"/>
            </w:tcBorders>
            <w:vAlign w:val="center"/>
          </w:tcPr>
          <w:p w14:paraId="71447103">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1"/>
                <w:szCs w:val="21"/>
                <w:lang w:val="en-US" w:eastAsia="zh-CN"/>
              </w:rPr>
            </w:pPr>
            <w:bookmarkStart w:id="54" w:name="_Toc15058846"/>
            <w:bookmarkStart w:id="55" w:name="_Toc5813"/>
            <w:bookmarkStart w:id="56" w:name="_Toc78803322"/>
            <w:bookmarkStart w:id="57" w:name="_Toc35424887"/>
            <w:bookmarkStart w:id="58" w:name="_Toc35425053"/>
            <w:r>
              <w:rPr>
                <w:rFonts w:hint="eastAsia" w:ascii="宋体" w:hAnsi="宋体" w:cs="宋体"/>
                <w:sz w:val="21"/>
                <w:szCs w:val="21"/>
                <w:lang w:val="en-US" w:eastAsia="zh-CN"/>
              </w:rPr>
              <w:t>重要说明</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3B1753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请于公告发布之日起从滁州市城投工程咨询管理有限公司网站（https://www.czctgczx.com/），点击项目招标公告下方【我要投标】，登录新点电子交易平台后在【滁州专区】（https://www.etrading.cn/BREpointSSO/login/oauth2login?regioncode=DQ_ChuZhou）下载本项目招标文件。投标人自行承担因未按要求获取招标文件导致无法上传电子投标文件的风险。</w:t>
            </w:r>
          </w:p>
          <w:p w14:paraId="2E66151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2.投标人须登录新点电子交易平台【滁州专区】查询、获取招标文件。首次登录办理入库手续，办理入库不收取任何费用。新点电子招投标统一认证平台使用相关问题（如系统登录、信息登记、录入及提交、数字证书关联等）请拨打服务电话：4009280095-5（工作日）。 </w:t>
            </w:r>
          </w:p>
          <w:p w14:paraId="7641EF1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3.投标人登录新点电子交易平台【滁州专区】获取招标文件及其它资料（含澄清和补充说明等）。如在招标文件获取过程中遇到系统问题，请拨打技术支持服务热线4009280095或者网站首页在线客服。</w:t>
            </w:r>
          </w:p>
          <w:p w14:paraId="47DF65D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4.本项目采用不见面开标，投标人登录滁州市城投工程咨询有限公司不见面开标系统参与网上开标（网址：http://js.etrading.cn/EpointBidOpening/bidopeninghallaction/hall/login）。</w:t>
            </w:r>
          </w:p>
          <w:p w14:paraId="030ED2F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5.投标人应在投标截止时间之前，登录新点电子交易平台【滁州专区】上传投标文件。投标人逾期上传投标文件的，电子系统不予受理。</w:t>
            </w:r>
          </w:p>
          <w:p w14:paraId="6118BFC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6.投标人的联系人电话(手机)、电子邮箱等通讯方式在开标过程中必须保持畅通，否则因上述原因造成的后果，责任自负。</w:t>
            </w:r>
          </w:p>
          <w:p w14:paraId="4E97232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7.本项目采用电子招投标方式，请投标人在“新点电子交易平台”常用下载专区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59D69F8D">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default"/>
                <w:lang w:val="en-US" w:eastAsia="zh-CN"/>
              </w:rPr>
            </w:pPr>
            <w:r>
              <w:rPr>
                <w:rFonts w:hint="eastAsia" w:ascii="宋体" w:hAnsi="宋体" w:eastAsia="宋体" w:cs="宋体"/>
                <w:kern w:val="0"/>
                <w:sz w:val="21"/>
                <w:szCs w:val="21"/>
                <w:highlight w:val="none"/>
                <w:lang w:val="en-US" w:eastAsia="zh-CN" w:bidi="ar-SA"/>
              </w:rPr>
              <w:t>8.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tc>
      </w:tr>
    </w:tbl>
    <w:p w14:paraId="735D540F">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6585086A">
      <w:pPr>
        <w:pStyle w:val="3"/>
        <w:spacing w:beforeLines="50" w:afterLines="50"/>
        <w:ind w:firstLine="482" w:firstLineChars="200"/>
        <w:rPr>
          <w:rFonts w:ascii="宋体" w:hAnsi="宋体" w:eastAsia="宋体" w:cs="宋体"/>
          <w:sz w:val="24"/>
          <w:szCs w:val="24"/>
          <w:highlight w:val="none"/>
        </w:rPr>
      </w:pPr>
      <w:r>
        <w:rPr>
          <w:rFonts w:hint="eastAsia" w:ascii="宋体" w:hAnsi="宋体" w:eastAsia="宋体" w:cs="宋体"/>
          <w:sz w:val="24"/>
          <w:szCs w:val="24"/>
          <w:highlight w:val="none"/>
        </w:rPr>
        <w:t>1. 总则</w:t>
      </w:r>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2AE7C8E8">
      <w:pPr>
        <w:pStyle w:val="3"/>
        <w:ind w:firstLine="422" w:firstLineChars="200"/>
        <w:rPr>
          <w:rFonts w:ascii="宋体" w:hAnsi="宋体" w:eastAsia="宋体" w:cs="宋体"/>
          <w:kern w:val="44"/>
          <w:highlight w:val="none"/>
        </w:rPr>
      </w:pPr>
      <w:bookmarkStart w:id="59" w:name="_Toc152045530"/>
      <w:bookmarkStart w:id="60" w:name="_Toc179632547"/>
      <w:bookmarkStart w:id="61" w:name="_Toc4678"/>
      <w:bookmarkStart w:id="62" w:name="_Toc296602421"/>
      <w:bookmarkStart w:id="63" w:name="_Toc15058847"/>
      <w:bookmarkStart w:id="64" w:name="_Toc144974498"/>
      <w:bookmarkStart w:id="65" w:name="_Toc324404816"/>
      <w:bookmarkStart w:id="66" w:name="_Toc35425054"/>
      <w:bookmarkStart w:id="67" w:name="_Toc246996919"/>
      <w:bookmarkStart w:id="68" w:name="_Toc35424888"/>
      <w:bookmarkStart w:id="69" w:name="_Toc246996176"/>
      <w:bookmarkStart w:id="70" w:name="_Toc152042306"/>
      <w:bookmarkStart w:id="71" w:name="_Toc78803323"/>
      <w:bookmarkStart w:id="72" w:name="_Toc506107270"/>
      <w:bookmarkStart w:id="73" w:name="_Toc247085690"/>
      <w:r>
        <w:rPr>
          <w:rFonts w:hint="eastAsia" w:ascii="宋体" w:hAnsi="宋体" w:eastAsia="宋体" w:cs="宋体"/>
          <w:kern w:val="44"/>
          <w:highlight w:val="none"/>
        </w:rPr>
        <w:t>1.1 项目概况</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07780BC3">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1.1.1根据《中华人民共和国招标投标法》《中华人民共和国招标投标法实施条例》等有关法律、法规和规章的规定，本招标项目已具备招标条件，现对本项目施工进行招标。</w:t>
      </w:r>
    </w:p>
    <w:p w14:paraId="5AB354AF">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1.1.2 本招标项目招标人：见投标人须知前附表。</w:t>
      </w:r>
    </w:p>
    <w:p w14:paraId="7E46A021">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1.1.3 本招标项目招标代理机构：见投标人须知前附表。</w:t>
      </w:r>
    </w:p>
    <w:p w14:paraId="77102B8A">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1.1.4 本招标项目名称：见投标人须知前附表。</w:t>
      </w:r>
    </w:p>
    <w:p w14:paraId="6CBC3272">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1.1.5 本招标项目建设地点：见投标人须知前附表。</w:t>
      </w:r>
    </w:p>
    <w:p w14:paraId="036B2C8D">
      <w:pPr>
        <w:pStyle w:val="3"/>
        <w:ind w:firstLine="422" w:firstLineChars="200"/>
        <w:rPr>
          <w:rFonts w:ascii="宋体" w:hAnsi="宋体" w:eastAsia="宋体" w:cs="宋体"/>
          <w:highlight w:val="none"/>
        </w:rPr>
      </w:pPr>
      <w:bookmarkStart w:id="74" w:name="_Toc246996177"/>
      <w:bookmarkStart w:id="75" w:name="_Toc247085691"/>
      <w:bookmarkStart w:id="76" w:name="_Toc324404817"/>
      <w:bookmarkStart w:id="77" w:name="_Toc506107271"/>
      <w:bookmarkStart w:id="78" w:name="_Toc152045531"/>
      <w:bookmarkStart w:id="79" w:name="_Toc15058848"/>
      <w:bookmarkStart w:id="80" w:name="_Toc35424889"/>
      <w:bookmarkStart w:id="81" w:name="_Toc7142"/>
      <w:bookmarkStart w:id="82" w:name="_Toc78803324"/>
      <w:bookmarkStart w:id="83" w:name="_Toc144974499"/>
      <w:bookmarkStart w:id="84" w:name="_Toc35425055"/>
      <w:bookmarkStart w:id="85" w:name="_Toc179632548"/>
      <w:bookmarkStart w:id="86" w:name="_Toc296602422"/>
      <w:bookmarkStart w:id="87" w:name="_Toc246996920"/>
      <w:bookmarkStart w:id="88" w:name="_Toc152042307"/>
      <w:r>
        <w:rPr>
          <w:rFonts w:hint="eastAsia" w:ascii="宋体" w:hAnsi="宋体" w:eastAsia="宋体" w:cs="宋体"/>
          <w:highlight w:val="none"/>
        </w:rPr>
        <w:t>1.2 资金来源和落实情况</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662000A2">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1.2.1 本招标项目的资金来源及出资比例：见投标人须知前附表。</w:t>
      </w:r>
    </w:p>
    <w:p w14:paraId="2086A8CF">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1.2.2 本招标项目的资金落实情况：见投标人须知前附表。</w:t>
      </w:r>
    </w:p>
    <w:p w14:paraId="77419EB9">
      <w:pPr>
        <w:pStyle w:val="3"/>
        <w:ind w:firstLine="422" w:firstLineChars="200"/>
        <w:rPr>
          <w:rFonts w:ascii="宋体" w:hAnsi="宋体" w:eastAsia="宋体" w:cs="宋体"/>
          <w:highlight w:val="none"/>
        </w:rPr>
      </w:pPr>
      <w:bookmarkStart w:id="89" w:name="_Toc324404818"/>
      <w:bookmarkStart w:id="90" w:name="_Toc6330"/>
      <w:bookmarkStart w:id="91" w:name="_Toc246996921"/>
      <w:bookmarkStart w:id="92" w:name="_Toc246996178"/>
      <w:bookmarkStart w:id="93" w:name="_Toc78803325"/>
      <w:bookmarkStart w:id="94" w:name="_Toc179632549"/>
      <w:bookmarkStart w:id="95" w:name="_Toc15058849"/>
      <w:bookmarkStart w:id="96" w:name="_Toc144974500"/>
      <w:bookmarkStart w:id="97" w:name="_Toc296602423"/>
      <w:bookmarkStart w:id="98" w:name="_Toc506107272"/>
      <w:bookmarkStart w:id="99" w:name="_Toc152042308"/>
      <w:bookmarkStart w:id="100" w:name="_Toc35424890"/>
      <w:bookmarkStart w:id="101" w:name="_Toc35425056"/>
      <w:bookmarkStart w:id="102" w:name="_Toc247085692"/>
      <w:bookmarkStart w:id="103" w:name="_Toc152045532"/>
      <w:r>
        <w:rPr>
          <w:rFonts w:hint="eastAsia" w:ascii="宋体" w:hAnsi="宋体" w:eastAsia="宋体" w:cs="宋体"/>
          <w:highlight w:val="none"/>
        </w:rPr>
        <w:t>1.3 招标范围、计划工期、质量要求</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4E6EC99A">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1.3.1 本次招标范围：见投标人须知前附表。</w:t>
      </w:r>
    </w:p>
    <w:p w14:paraId="47384945">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1.3.2 本招标项目的</w:t>
      </w:r>
      <w:r>
        <w:rPr>
          <w:rFonts w:hint="eastAsia" w:ascii="宋体" w:hAnsi="宋体" w:cs="宋体"/>
          <w:szCs w:val="21"/>
          <w:highlight w:val="none"/>
          <w:lang w:val="en-US" w:eastAsia="zh-CN"/>
        </w:rPr>
        <w:t>工期</w:t>
      </w:r>
      <w:r>
        <w:rPr>
          <w:rFonts w:hint="eastAsia" w:ascii="宋体" w:hAnsi="宋体" w:cs="宋体"/>
          <w:szCs w:val="21"/>
          <w:highlight w:val="none"/>
        </w:rPr>
        <w:t>：见投标人须知前附表。</w:t>
      </w:r>
    </w:p>
    <w:p w14:paraId="1CB8FAD6">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1.3.3 本招标项目的质量要求：见投标人须知前附表。</w:t>
      </w:r>
    </w:p>
    <w:p w14:paraId="26E33D0B">
      <w:pPr>
        <w:pStyle w:val="3"/>
        <w:ind w:firstLine="422" w:firstLineChars="200"/>
        <w:rPr>
          <w:rFonts w:ascii="宋体" w:hAnsi="宋体" w:eastAsia="宋体" w:cs="宋体"/>
          <w:highlight w:val="none"/>
        </w:rPr>
      </w:pPr>
      <w:bookmarkStart w:id="104" w:name="_Toc15058850"/>
      <w:bookmarkStart w:id="105" w:name="_Toc78803326"/>
      <w:bookmarkStart w:id="106" w:name="_Toc247085693"/>
      <w:bookmarkStart w:id="107" w:name="_Toc152045534"/>
      <w:bookmarkStart w:id="108" w:name="_Toc179632551"/>
      <w:bookmarkStart w:id="109" w:name="_Toc144974502"/>
      <w:bookmarkStart w:id="110" w:name="_Toc35425057"/>
      <w:bookmarkStart w:id="111" w:name="_Toc35424891"/>
      <w:bookmarkStart w:id="112" w:name="_Toc246996179"/>
      <w:bookmarkStart w:id="113" w:name="_Toc324404819"/>
      <w:bookmarkStart w:id="114" w:name="_Toc152042310"/>
      <w:bookmarkStart w:id="115" w:name="_Toc246996922"/>
      <w:bookmarkStart w:id="116" w:name="_Toc26897"/>
      <w:bookmarkStart w:id="117" w:name="_Toc506107273"/>
      <w:bookmarkStart w:id="118" w:name="_Toc296602424"/>
      <w:r>
        <w:rPr>
          <w:rFonts w:hint="eastAsia" w:ascii="宋体" w:hAnsi="宋体" w:eastAsia="宋体" w:cs="宋体"/>
          <w:highlight w:val="none"/>
        </w:rPr>
        <w:t>1.4 投标人资格要求</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473C4A8A">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1.4.1 投标人应具备承担本项目</w:t>
      </w:r>
      <w:r>
        <w:rPr>
          <w:rFonts w:hint="eastAsia" w:ascii="宋体" w:hAnsi="宋体" w:eastAsia="宋体" w:cs="宋体"/>
          <w:szCs w:val="21"/>
          <w:highlight w:val="none"/>
          <w:lang w:val="en-US" w:eastAsia="zh-CN"/>
        </w:rPr>
        <w:t>施工</w:t>
      </w:r>
      <w:r>
        <w:rPr>
          <w:rFonts w:hint="eastAsia" w:ascii="宋体" w:hAnsi="宋体" w:eastAsia="宋体" w:cs="宋体"/>
          <w:szCs w:val="21"/>
          <w:highlight w:val="none"/>
        </w:rPr>
        <w:t>的资质条件、能力和信誉。</w:t>
      </w:r>
    </w:p>
    <w:p w14:paraId="42CF7408">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（1）资质条件：见投标人须知前附表；</w:t>
      </w:r>
    </w:p>
    <w:p w14:paraId="213F5755">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（2）项目负责人资格：见投标人须知前附表；</w:t>
      </w:r>
    </w:p>
    <w:p w14:paraId="77975E2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（3）信誉要求：见投标人须知前附表；</w:t>
      </w:r>
    </w:p>
    <w:p w14:paraId="1C33B202">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）其他要求：见投标人须知前附表。</w:t>
      </w:r>
    </w:p>
    <w:p w14:paraId="66002C8A">
      <w:pPr>
        <w:spacing w:line="440" w:lineRule="exact"/>
        <w:ind w:firstLine="420" w:firstLineChars="200"/>
        <w:jc w:val="left"/>
        <w:rPr>
          <w:rFonts w:hint="eastAsia" w:ascii="宋体" w:hAnsi="宋体" w:eastAsia="宋体" w:cs="宋体"/>
          <w:szCs w:val="21"/>
          <w:highlight w:val="none"/>
        </w:rPr>
      </w:pPr>
      <w:bookmarkStart w:id="119" w:name="_Toc246996923"/>
      <w:bookmarkStart w:id="120" w:name="_Toc296602425"/>
      <w:bookmarkStart w:id="121" w:name="_Toc179632552"/>
      <w:bookmarkStart w:id="122" w:name="_Toc152045535"/>
      <w:bookmarkStart w:id="123" w:name="_Toc78803327"/>
      <w:bookmarkStart w:id="124" w:name="_Toc247085694"/>
      <w:bookmarkStart w:id="125" w:name="_Toc35425058"/>
      <w:bookmarkStart w:id="126" w:name="_Toc35424892"/>
      <w:bookmarkStart w:id="127" w:name="_Toc506107274"/>
      <w:bookmarkStart w:id="128" w:name="_Toc10179"/>
      <w:bookmarkStart w:id="129" w:name="_Toc152042311"/>
      <w:bookmarkStart w:id="130" w:name="_Toc15058851"/>
      <w:bookmarkStart w:id="131" w:name="_Toc246996180"/>
      <w:bookmarkStart w:id="132" w:name="_Toc324404820"/>
      <w:bookmarkStart w:id="133" w:name="_Toc144974503"/>
      <w:r>
        <w:rPr>
          <w:rFonts w:hint="eastAsia" w:ascii="宋体" w:hAnsi="宋体" w:eastAsia="宋体" w:cs="宋体"/>
          <w:szCs w:val="21"/>
          <w:highlight w:val="none"/>
        </w:rPr>
        <w:t>1.4.3投标人（包括联合体各成员）不得与本标段相关单位存在下列关联关系：</w:t>
      </w:r>
    </w:p>
    <w:p w14:paraId="5DE8D0B6">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（1）为招标人不具有独立法人资格的附属机构（单位）；</w:t>
      </w:r>
    </w:p>
    <w:p w14:paraId="09E6B8F6">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（2）与招标人存在利害关系且可能影响招标公正性；</w:t>
      </w:r>
    </w:p>
    <w:p w14:paraId="0505EF5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（3）与本标段的其他投标人同为一个单位负责人；</w:t>
      </w:r>
    </w:p>
    <w:p w14:paraId="36333F83">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（4）与本标段的其他投标人存在控股、管理关系；</w:t>
      </w:r>
    </w:p>
    <w:p w14:paraId="4D18F6F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（5）为本标段前期准备提供设计或咨询服务的法人或其任何附属机构（单位）(工程总承包项目本目不采用)；</w:t>
      </w:r>
    </w:p>
    <w:p w14:paraId="73E24824">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（6）为本标段的监理人；</w:t>
      </w:r>
    </w:p>
    <w:p w14:paraId="43DEC31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（7）为本标段的代建人；</w:t>
      </w:r>
    </w:p>
    <w:p w14:paraId="56536154">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（8）为本标段的招标代理机构；</w:t>
      </w:r>
    </w:p>
    <w:p w14:paraId="3407078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（9）与本标段的监理人或代建人或招标代理机构同为一个法定代表人；</w:t>
      </w:r>
    </w:p>
    <w:p w14:paraId="5B21E9B6">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（10）与本标段的监理人或代建人或招标代理机构存在控股或参股关系；</w:t>
      </w:r>
    </w:p>
    <w:p w14:paraId="552CFA51">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（11）法律法规或投标人须知前附表规定的其他情形。</w:t>
      </w:r>
    </w:p>
    <w:p w14:paraId="4D283291">
      <w:pPr>
        <w:pStyle w:val="3"/>
        <w:ind w:firstLine="422" w:firstLineChars="200"/>
        <w:rPr>
          <w:rFonts w:ascii="宋体" w:hAnsi="宋体" w:eastAsia="宋体" w:cs="宋体"/>
          <w:highlight w:val="none"/>
        </w:rPr>
      </w:pPr>
      <w:r>
        <w:rPr>
          <w:rFonts w:hint="eastAsia" w:ascii="宋体" w:hAnsi="宋体" w:eastAsia="宋体" w:cs="宋体"/>
          <w:highlight w:val="none"/>
        </w:rPr>
        <w:t>1.5 费用承担</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2CDB29E0">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投标人准备和参加投标活动发生的费用自理。</w:t>
      </w:r>
    </w:p>
    <w:p w14:paraId="6B9E8D17">
      <w:pPr>
        <w:pStyle w:val="3"/>
        <w:ind w:firstLine="422" w:firstLineChars="200"/>
        <w:rPr>
          <w:rFonts w:ascii="宋体" w:hAnsi="宋体" w:eastAsia="宋体" w:cs="宋体"/>
          <w:highlight w:val="none"/>
        </w:rPr>
      </w:pPr>
      <w:bookmarkStart w:id="134" w:name="_Toc35424893"/>
      <w:bookmarkStart w:id="135" w:name="_Toc247085695"/>
      <w:bookmarkStart w:id="136" w:name="_Toc78803328"/>
      <w:bookmarkStart w:id="137" w:name="_Toc296602426"/>
      <w:bookmarkStart w:id="138" w:name="_Toc506107275"/>
      <w:bookmarkStart w:id="139" w:name="_Toc152045536"/>
      <w:bookmarkStart w:id="140" w:name="_Toc179632553"/>
      <w:bookmarkStart w:id="141" w:name="_Toc152042312"/>
      <w:bookmarkStart w:id="142" w:name="_Toc35425059"/>
      <w:bookmarkStart w:id="143" w:name="_Toc15058852"/>
      <w:bookmarkStart w:id="144" w:name="_Toc4092"/>
      <w:bookmarkStart w:id="145" w:name="_Toc246996924"/>
      <w:bookmarkStart w:id="146" w:name="_Toc246996181"/>
      <w:bookmarkStart w:id="147" w:name="_Toc324404821"/>
      <w:bookmarkStart w:id="148" w:name="_Toc144974504"/>
      <w:r>
        <w:rPr>
          <w:rFonts w:hint="eastAsia" w:ascii="宋体" w:hAnsi="宋体" w:eastAsia="宋体" w:cs="宋体"/>
          <w:highlight w:val="none"/>
        </w:rPr>
        <w:t>1.6 保密</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709F25B8">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 xml:space="preserve">参与招标投标活动的各方应对招标文件和投标文件中的商业和技术等秘密保密，违者应对由此造成的后果承担法律责任。 </w:t>
      </w:r>
    </w:p>
    <w:p w14:paraId="17C94B32">
      <w:pPr>
        <w:pStyle w:val="3"/>
        <w:ind w:firstLine="422" w:firstLineChars="200"/>
        <w:rPr>
          <w:rFonts w:ascii="宋体" w:hAnsi="宋体" w:eastAsia="宋体" w:cs="宋体"/>
          <w:highlight w:val="none"/>
        </w:rPr>
      </w:pPr>
      <w:bookmarkStart w:id="149" w:name="_Toc144974505"/>
      <w:bookmarkStart w:id="150" w:name="_Toc35425060"/>
      <w:bookmarkStart w:id="151" w:name="_Toc15058853"/>
      <w:bookmarkStart w:id="152" w:name="_Toc4119"/>
      <w:bookmarkStart w:id="153" w:name="_Toc246996182"/>
      <w:bookmarkStart w:id="154" w:name="_Toc247085696"/>
      <w:bookmarkStart w:id="155" w:name="_Toc179632554"/>
      <w:bookmarkStart w:id="156" w:name="_Toc506107276"/>
      <w:bookmarkStart w:id="157" w:name="_Toc296602427"/>
      <w:bookmarkStart w:id="158" w:name="_Toc152045537"/>
      <w:bookmarkStart w:id="159" w:name="_Toc324404822"/>
      <w:bookmarkStart w:id="160" w:name="_Toc246996925"/>
      <w:bookmarkStart w:id="161" w:name="_Toc35424894"/>
      <w:bookmarkStart w:id="162" w:name="_Toc152042313"/>
      <w:bookmarkStart w:id="163" w:name="_Toc78803329"/>
      <w:r>
        <w:rPr>
          <w:rFonts w:hint="eastAsia" w:ascii="宋体" w:hAnsi="宋体" w:eastAsia="宋体" w:cs="宋体"/>
          <w:highlight w:val="none"/>
        </w:rPr>
        <w:t>1.7 语言</w:t>
      </w:r>
      <w:bookmarkEnd w:id="149"/>
      <w:r>
        <w:rPr>
          <w:rFonts w:hint="eastAsia" w:ascii="宋体" w:hAnsi="宋体" w:eastAsia="宋体" w:cs="宋体"/>
          <w:highlight w:val="none"/>
        </w:rPr>
        <w:t>文字</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13039B6C">
      <w:pPr>
        <w:spacing w:line="440" w:lineRule="exact"/>
        <w:ind w:firstLine="420" w:firstLineChars="200"/>
        <w:jc w:val="left"/>
        <w:rPr>
          <w:rFonts w:ascii="宋体" w:hAnsi="宋体" w:cs="宋体"/>
          <w:szCs w:val="21"/>
          <w:highlight w:val="none"/>
        </w:rPr>
      </w:pPr>
      <w:bookmarkStart w:id="164" w:name="_Toc152045538"/>
      <w:bookmarkStart w:id="165" w:name="_Toc246996183"/>
      <w:bookmarkStart w:id="166" w:name="_Toc152042314"/>
      <w:bookmarkStart w:id="167" w:name="_Toc246996926"/>
      <w:bookmarkStart w:id="168" w:name="_Toc179632555"/>
      <w:bookmarkStart w:id="169" w:name="_Toc144974506"/>
      <w:bookmarkStart w:id="170" w:name="_Toc247085697"/>
      <w:r>
        <w:rPr>
          <w:rFonts w:hint="eastAsia" w:ascii="宋体" w:hAnsi="宋体" w:cs="宋体"/>
          <w:szCs w:val="21"/>
          <w:highlight w:val="none"/>
        </w:rPr>
        <w:t>招标投标文件使用的语言文字为中文。专用术语使用外文的，应附有中文注释。</w:t>
      </w:r>
    </w:p>
    <w:p w14:paraId="07887133">
      <w:pPr>
        <w:pStyle w:val="3"/>
        <w:ind w:firstLine="422" w:firstLineChars="200"/>
        <w:rPr>
          <w:rFonts w:ascii="宋体" w:hAnsi="宋体" w:eastAsia="宋体" w:cs="宋体"/>
          <w:highlight w:val="none"/>
        </w:rPr>
      </w:pPr>
      <w:bookmarkStart w:id="171" w:name="_Toc296602428"/>
      <w:bookmarkStart w:id="172" w:name="_Toc15058854"/>
      <w:bookmarkStart w:id="173" w:name="_Toc35424895"/>
      <w:bookmarkStart w:id="174" w:name="_Toc506107277"/>
      <w:bookmarkStart w:id="175" w:name="_Toc78803330"/>
      <w:bookmarkStart w:id="176" w:name="_Toc35425061"/>
      <w:bookmarkStart w:id="177" w:name="_Toc13408"/>
      <w:bookmarkStart w:id="178" w:name="_Toc324404823"/>
      <w:r>
        <w:rPr>
          <w:rFonts w:hint="eastAsia" w:ascii="宋体" w:hAnsi="宋体" w:eastAsia="宋体" w:cs="宋体"/>
          <w:highlight w:val="none"/>
        </w:rPr>
        <w:t>1.8 计量单位</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3DEA88EB">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所有计量均采用中华人民共和国法定计量单位。</w:t>
      </w:r>
    </w:p>
    <w:p w14:paraId="6E75FA73">
      <w:pPr>
        <w:pStyle w:val="3"/>
        <w:ind w:firstLine="422" w:firstLineChars="200"/>
        <w:rPr>
          <w:rFonts w:ascii="宋体" w:hAnsi="宋体" w:eastAsia="宋体" w:cs="宋体"/>
          <w:highlight w:val="none"/>
        </w:rPr>
      </w:pPr>
      <w:bookmarkStart w:id="179" w:name="_Toc247513962"/>
      <w:bookmarkStart w:id="180" w:name="_Toc144974507"/>
      <w:bookmarkStart w:id="181" w:name="_Toc78803331"/>
      <w:bookmarkStart w:id="182" w:name="_Toc506107278"/>
      <w:bookmarkStart w:id="183" w:name="_Toc152042315"/>
      <w:bookmarkStart w:id="184" w:name="_Toc296602429"/>
      <w:bookmarkStart w:id="185" w:name="_Toc35425062"/>
      <w:bookmarkStart w:id="186" w:name="_Toc11493"/>
      <w:bookmarkStart w:id="187" w:name="_Toc324404824"/>
      <w:bookmarkStart w:id="188" w:name="_Toc35424896"/>
      <w:bookmarkStart w:id="189" w:name="_Toc247527563"/>
      <w:bookmarkStart w:id="190" w:name="_Toc247592876"/>
      <w:bookmarkStart w:id="191" w:name="_Toc152045539"/>
      <w:bookmarkStart w:id="192" w:name="_Toc15058855"/>
      <w:r>
        <w:rPr>
          <w:rFonts w:hint="eastAsia" w:ascii="宋体" w:hAnsi="宋体" w:eastAsia="宋体" w:cs="宋体"/>
          <w:highlight w:val="none"/>
        </w:rPr>
        <w:t>1.9 踏勘现场</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5AA9B494">
      <w:pPr>
        <w:spacing w:line="440" w:lineRule="exact"/>
        <w:ind w:firstLine="420" w:firstLineChars="200"/>
        <w:jc w:val="left"/>
        <w:rPr>
          <w:rFonts w:hint="eastAsia" w:ascii="宋体" w:hAnsi="宋体" w:eastAsia="宋体" w:cs="宋体"/>
          <w:szCs w:val="21"/>
          <w:highlight w:val="none"/>
        </w:rPr>
      </w:pPr>
      <w:bookmarkStart w:id="193" w:name="_Toc247592877"/>
      <w:bookmarkStart w:id="194" w:name="_Toc35424897"/>
      <w:bookmarkStart w:id="195" w:name="_Toc152045540"/>
      <w:bookmarkStart w:id="196" w:name="_Toc35425063"/>
      <w:bookmarkStart w:id="197" w:name="_Toc15058856"/>
      <w:bookmarkStart w:id="198" w:name="_Toc296602430"/>
      <w:bookmarkStart w:id="199" w:name="_Toc22954"/>
      <w:bookmarkStart w:id="200" w:name="_Toc506107279"/>
      <w:bookmarkStart w:id="201" w:name="_Toc152042316"/>
      <w:bookmarkStart w:id="202" w:name="_Toc247527564"/>
      <w:bookmarkStart w:id="203" w:name="_Toc324404825"/>
      <w:bookmarkStart w:id="204" w:name="_Toc78803332"/>
      <w:bookmarkStart w:id="205" w:name="_Toc144974508"/>
      <w:bookmarkStart w:id="206" w:name="_Toc247513963"/>
      <w:r>
        <w:rPr>
          <w:rFonts w:hint="eastAsia" w:ascii="宋体" w:hAnsi="宋体" w:eastAsia="宋体" w:cs="宋体"/>
          <w:szCs w:val="21"/>
          <w:highlight w:val="none"/>
        </w:rPr>
        <w:t xml:space="preserve">1.9.1前附表规定组织踏勘现场的，招标人按投标人须知前附表规定的时间、地点组织投标人踏勘项目现场。部分投标人未按时参加踏勘现场的，不影响踏勘现场的正常进行。招标人不得组织单个或部分投标人踏勘项目现场。 </w:t>
      </w:r>
    </w:p>
    <w:p w14:paraId="1D49473C">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1.9.2 投标人踏勘现场发生的费用自理。</w:t>
      </w:r>
    </w:p>
    <w:p w14:paraId="4EA36043">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1.9.3 除招标人的原因外，投标人自行负责在踏勘现场中所发生的人员伤亡和财产损失。</w:t>
      </w:r>
    </w:p>
    <w:p w14:paraId="50FCC1C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1.9.4 招标人在踏勘现场中介绍的工程场地和相关的周边环境情况，供投标人在编制投标文件时参考，招标人不对投标人据此作出的判断和决策负责。</w:t>
      </w:r>
    </w:p>
    <w:p w14:paraId="024D6A4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1.9.5无论投标人是否到施工现场实地踏勘，中标后签订合同时和履约过程中，投标人不得以不完全了解现场情况或现场情况与招标文件描述不一致等为由，提出任何形式的增加工程造价或索赔的要求。</w:t>
      </w:r>
    </w:p>
    <w:p w14:paraId="179FDA06">
      <w:pPr>
        <w:pStyle w:val="3"/>
        <w:ind w:firstLine="422" w:firstLineChars="200"/>
        <w:rPr>
          <w:rFonts w:ascii="宋体" w:hAnsi="宋体" w:eastAsia="宋体" w:cs="宋体"/>
          <w:highlight w:val="none"/>
        </w:rPr>
      </w:pPr>
      <w:r>
        <w:rPr>
          <w:rFonts w:hint="eastAsia" w:ascii="宋体" w:hAnsi="宋体" w:eastAsia="宋体" w:cs="宋体"/>
          <w:highlight w:val="none"/>
        </w:rPr>
        <w:t>1.10 投标预备会</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59781F3B">
      <w:pPr>
        <w:spacing w:line="440" w:lineRule="exact"/>
        <w:ind w:firstLine="420" w:firstLineChars="200"/>
        <w:jc w:val="left"/>
        <w:rPr>
          <w:rFonts w:hint="eastAsia" w:ascii="宋体" w:hAnsi="宋体" w:eastAsia="宋体" w:cs="宋体"/>
          <w:szCs w:val="21"/>
          <w:highlight w:val="none"/>
        </w:rPr>
      </w:pPr>
      <w:bookmarkStart w:id="207" w:name="_Toc83301699"/>
      <w:bookmarkStart w:id="208" w:name="_Toc95223347"/>
      <w:bookmarkStart w:id="209" w:name="_Toc60061444"/>
      <w:bookmarkStart w:id="210" w:name="_Toc35424898"/>
      <w:bookmarkStart w:id="211" w:name="_Toc324404826"/>
      <w:bookmarkStart w:id="212" w:name="_Toc15058857"/>
      <w:bookmarkStart w:id="213" w:name="_Toc35425064"/>
      <w:bookmarkStart w:id="214" w:name="_Toc32016"/>
      <w:bookmarkStart w:id="215" w:name="_Toc506107280"/>
      <w:bookmarkStart w:id="216" w:name="_Toc296602431"/>
      <w:bookmarkStart w:id="217" w:name="_Toc78803333"/>
      <w:r>
        <w:rPr>
          <w:rFonts w:hint="eastAsia" w:ascii="宋体" w:hAnsi="宋体" w:eastAsia="宋体" w:cs="宋体"/>
          <w:szCs w:val="21"/>
          <w:highlight w:val="none"/>
        </w:rPr>
        <w:t>1.10.1投标人须知前附表规定召开投标预备会的，招标人按投标人须知前附表规定的时间和地点召开投标预备会，澄清投标人提出的问题。</w:t>
      </w:r>
    </w:p>
    <w:p w14:paraId="68E1CBD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1.10.2投标人应在投标人须知前附表规定的时间前，将提出的问题送达招标人，以便招标人澄清。</w:t>
      </w:r>
    </w:p>
    <w:p w14:paraId="77334C7F">
      <w:pPr>
        <w:pStyle w:val="3"/>
        <w:ind w:firstLine="422" w:firstLineChars="200"/>
        <w:rPr>
          <w:rFonts w:hint="eastAsia" w:ascii="宋体" w:hAnsi="宋体" w:eastAsia="宋体" w:cs="宋体"/>
          <w:highlight w:val="none"/>
        </w:rPr>
      </w:pPr>
      <w:r>
        <w:rPr>
          <w:rFonts w:hint="eastAsia" w:ascii="宋体" w:hAnsi="宋体" w:eastAsia="宋体" w:cs="宋体"/>
          <w:highlight w:val="none"/>
        </w:rPr>
        <w:t>1.11 分包</w:t>
      </w:r>
      <w:bookmarkEnd w:id="207"/>
      <w:bookmarkEnd w:id="208"/>
      <w:bookmarkEnd w:id="209"/>
    </w:p>
    <w:p w14:paraId="4C37D79E">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1.11.1投标人拟在中标后将中标项目的部分非主体、非关键性工作进行分包的，应符合以下规定：</w:t>
      </w:r>
    </w:p>
    <w:p w14:paraId="656917F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（1）分包内容要求：招标人允许分包或不允许分包的专业工程（如有）应在投标人须知前附表中载明；</w:t>
      </w:r>
    </w:p>
    <w:p w14:paraId="5CB3AEC0">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（2）接受分包的第三人资格要求：分包人的资格能力应与其分包工程的标准和规模相适应，且具备投标人须知前附表中规定的资格条件；</w:t>
      </w:r>
    </w:p>
    <w:p w14:paraId="4C9BC43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（3）其他要求：投标人如有分包计划，应按第九章“投标文件格式”的要求填写“拟分包项目情况表”，明确拟分包的工程及规模，且投标人中标后的分包应满足合同条款的相关要求。</w:t>
      </w:r>
    </w:p>
    <w:p w14:paraId="25700247">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rPr>
        <w:t>1.11.2中标人不得向他人转让中标项目，接受分包的人不得再次分包。中标人应就分包项目向招标人负责，接受分包的人就分包项目承担连带责任</w:t>
      </w:r>
      <w:r>
        <w:rPr>
          <w:rFonts w:hint="eastAsia" w:ascii="宋体" w:hAnsi="宋体" w:eastAsia="宋体" w:cs="宋体"/>
          <w:szCs w:val="21"/>
          <w:highlight w:val="none"/>
          <w:lang w:eastAsia="zh-CN"/>
        </w:rPr>
        <w:t>。</w:t>
      </w:r>
    </w:p>
    <w:p w14:paraId="01FA1CA0">
      <w:pPr>
        <w:pStyle w:val="3"/>
        <w:ind w:firstLine="422" w:firstLineChars="200"/>
        <w:rPr>
          <w:rFonts w:ascii="宋体" w:hAnsi="宋体" w:eastAsia="宋体" w:cs="宋体"/>
          <w:highlight w:val="none"/>
        </w:rPr>
      </w:pPr>
      <w:r>
        <w:rPr>
          <w:rFonts w:hint="eastAsia" w:ascii="宋体" w:hAnsi="宋体" w:eastAsia="宋体" w:cs="宋体"/>
          <w:highlight w:val="none"/>
        </w:rPr>
        <w:t>1.1</w:t>
      </w:r>
      <w:r>
        <w:rPr>
          <w:rFonts w:hint="eastAsia" w:ascii="宋体" w:hAnsi="宋体" w:eastAsia="宋体" w:cs="宋体"/>
          <w:highlight w:val="none"/>
          <w:lang w:val="en-US" w:eastAsia="zh-CN"/>
        </w:rPr>
        <w:t>2</w:t>
      </w:r>
      <w:r>
        <w:rPr>
          <w:rFonts w:hint="eastAsia" w:ascii="宋体" w:hAnsi="宋体" w:eastAsia="宋体" w:cs="宋体"/>
          <w:highlight w:val="none"/>
        </w:rPr>
        <w:t xml:space="preserve"> 偏离</w:t>
      </w:r>
      <w:bookmarkEnd w:id="210"/>
      <w:bookmarkEnd w:id="211"/>
      <w:bookmarkEnd w:id="212"/>
      <w:bookmarkEnd w:id="213"/>
      <w:bookmarkEnd w:id="214"/>
      <w:bookmarkEnd w:id="215"/>
      <w:bookmarkEnd w:id="216"/>
      <w:bookmarkEnd w:id="217"/>
    </w:p>
    <w:p w14:paraId="6C0210C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1.12.1投标文件偏离招标文件某些要求，视为投标文件存在偏差。偏差包括重大偏差和细微偏差。</w:t>
      </w:r>
    </w:p>
    <w:p w14:paraId="37CEA0B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1.12.2投标文件应对招标文件的实质性要求和条件作出满足性或更有利于招标人的响应，否则，视为投标文件存在重大偏差，投标人的投标将被否决。</w:t>
      </w:r>
    </w:p>
    <w:p w14:paraId="29D3BBD4">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投标文件存在第四章“评标办法”中所列任一无效投标情形的，均属于存在重大偏差。</w:t>
      </w:r>
    </w:p>
    <w:p w14:paraId="5FF54E7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1.12.3投标文件中的下列偏差为细微偏差：</w:t>
      </w:r>
    </w:p>
    <w:p w14:paraId="369FF23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在按照第四章“评标办法”的规定对投标价进行算术性错误修正及其他错误修正后，最终投标报价未超过最高投标限价（如有）或未被否决投标的情况下，出现第四章“评标办法”规定的算术性错误和投标报价的其他错误；</w:t>
      </w:r>
    </w:p>
    <w:p w14:paraId="0E80F0C1">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（2）投标文件个别文字有遗漏错误等不影响投标文件实质性内容的偏差。</w:t>
      </w:r>
    </w:p>
    <w:p w14:paraId="5169B9E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1.12.4评标委员会对投标文件中的细微偏差按如下规定处理：</w:t>
      </w:r>
    </w:p>
    <w:p w14:paraId="291A7C9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对于本章第 1.12.3 项（1）目所述的细微偏差，按照第四章“评标办法”的规定予以修正并要求投标人进行澄清；</w:t>
      </w:r>
    </w:p>
    <w:p w14:paraId="2BAB6D7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对于本章第 1.12.3 项（2）目所述的细微偏差，可要求投标人对细微偏差进行澄清。</w:t>
      </w:r>
    </w:p>
    <w:p w14:paraId="258F395D">
      <w:pPr>
        <w:pStyle w:val="3"/>
        <w:spacing w:beforeLines="50" w:afterLines="50"/>
        <w:ind w:firstLine="482" w:firstLineChars="200"/>
        <w:rPr>
          <w:rFonts w:ascii="宋体" w:hAnsi="宋体" w:eastAsia="宋体" w:cs="宋体"/>
          <w:sz w:val="24"/>
          <w:szCs w:val="24"/>
          <w:highlight w:val="none"/>
        </w:rPr>
      </w:pPr>
      <w:bookmarkStart w:id="218" w:name="_Toc35424899"/>
      <w:bookmarkStart w:id="219" w:name="_Toc152045542"/>
      <w:bookmarkStart w:id="220" w:name="_Toc247085701"/>
      <w:bookmarkStart w:id="221" w:name="_Toc144974510"/>
      <w:bookmarkStart w:id="222" w:name="_Toc15058858"/>
      <w:bookmarkStart w:id="223" w:name="_Toc152042318"/>
      <w:bookmarkStart w:id="224" w:name="_Toc179632560"/>
      <w:bookmarkStart w:id="225" w:name="_Toc246996187"/>
      <w:bookmarkStart w:id="226" w:name="_Toc246996930"/>
      <w:bookmarkStart w:id="227" w:name="_Toc78803334"/>
      <w:bookmarkStart w:id="228" w:name="_Toc35425065"/>
      <w:bookmarkStart w:id="229" w:name="_Toc324404827"/>
      <w:bookmarkStart w:id="230" w:name="_Toc4012"/>
      <w:bookmarkStart w:id="231" w:name="_Toc506107281"/>
      <w:r>
        <w:rPr>
          <w:rFonts w:hint="eastAsia" w:ascii="宋体" w:hAnsi="宋体" w:eastAsia="宋体" w:cs="宋体"/>
          <w:sz w:val="24"/>
          <w:szCs w:val="24"/>
          <w:highlight w:val="none"/>
        </w:rPr>
        <w:t>2. 招标文件</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1E9A892E">
      <w:pPr>
        <w:pStyle w:val="3"/>
        <w:ind w:firstLine="422" w:firstLineChars="200"/>
        <w:rPr>
          <w:rFonts w:ascii="宋体" w:hAnsi="宋体" w:eastAsia="宋体" w:cs="宋体"/>
          <w:highlight w:val="none"/>
        </w:rPr>
      </w:pPr>
      <w:bookmarkStart w:id="232" w:name="_Toc246996188"/>
      <w:bookmarkStart w:id="233" w:name="_Toc13213"/>
      <w:bookmarkStart w:id="234" w:name="_Toc324404828"/>
      <w:bookmarkStart w:id="235" w:name="_Toc506107282"/>
      <w:bookmarkStart w:id="236" w:name="_Toc15058859"/>
      <w:bookmarkStart w:id="237" w:name="_Toc246996931"/>
      <w:bookmarkStart w:id="238" w:name="_Toc35424900"/>
      <w:bookmarkStart w:id="239" w:name="_Toc78803335"/>
      <w:bookmarkStart w:id="240" w:name="_Toc144974511"/>
      <w:bookmarkStart w:id="241" w:name="_Toc179632561"/>
      <w:bookmarkStart w:id="242" w:name="_Toc35425066"/>
      <w:bookmarkStart w:id="243" w:name="_Toc152042319"/>
      <w:bookmarkStart w:id="244" w:name="_Toc247085702"/>
      <w:bookmarkStart w:id="245" w:name="_Toc296602433"/>
      <w:bookmarkStart w:id="246" w:name="_Toc152045543"/>
      <w:r>
        <w:rPr>
          <w:rFonts w:hint="eastAsia" w:ascii="宋体" w:hAnsi="宋体" w:eastAsia="宋体" w:cs="宋体"/>
          <w:highlight w:val="none"/>
        </w:rPr>
        <w:t>2.1 招标文件的组成</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2F335EA0">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2.1.1 本招标文件包括：</w:t>
      </w:r>
    </w:p>
    <w:p w14:paraId="17A25422">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（1）招标公告；</w:t>
      </w:r>
    </w:p>
    <w:p w14:paraId="309C973C">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（2）投标人须知；</w:t>
      </w:r>
    </w:p>
    <w:p w14:paraId="794E1BC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（3）资格审查办法</w:t>
      </w:r>
    </w:p>
    <w:p w14:paraId="0F96BD3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（4）评标办法；</w:t>
      </w:r>
    </w:p>
    <w:p w14:paraId="21E08D67">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rPr>
        <w:t>（5）工程量清单</w:t>
      </w:r>
      <w:r>
        <w:rPr>
          <w:rFonts w:hint="eastAsia" w:ascii="宋体" w:hAnsi="宋体" w:eastAsia="宋体" w:cs="宋体"/>
          <w:szCs w:val="21"/>
          <w:highlight w:val="none"/>
          <w:lang w:eastAsia="zh-CN"/>
        </w:rPr>
        <w:t>；</w:t>
      </w:r>
    </w:p>
    <w:p w14:paraId="66146639">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图纸</w:t>
      </w:r>
    </w:p>
    <w:p w14:paraId="70CE5832">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）合同条款及格式；</w:t>
      </w:r>
    </w:p>
    <w:p w14:paraId="3AB46C6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）投标文件格式；</w:t>
      </w:r>
    </w:p>
    <w:p w14:paraId="58EF797A">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9</w:t>
      </w:r>
      <w:r>
        <w:rPr>
          <w:rFonts w:hint="eastAsia" w:ascii="宋体" w:hAnsi="宋体" w:eastAsia="宋体" w:cs="宋体"/>
          <w:szCs w:val="21"/>
          <w:highlight w:val="none"/>
        </w:rPr>
        <w:t>）投标人须知前附表规定的其他材料。</w:t>
      </w:r>
    </w:p>
    <w:p w14:paraId="4A2A5929">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2.1.2 根据本章第1.10款、第2.2款和第2.3款对招标文件所作的澄清、修改，构成招标文件的组成部分。</w:t>
      </w:r>
    </w:p>
    <w:p w14:paraId="07992AB0">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2.1.3当招标文件、招标文件的澄清或修改等在同一内容的表述上不一致时，以最后发出的文件为准。</w:t>
      </w:r>
    </w:p>
    <w:p w14:paraId="3B513EA0">
      <w:pPr>
        <w:pStyle w:val="3"/>
        <w:ind w:firstLine="422" w:firstLineChars="200"/>
        <w:rPr>
          <w:rFonts w:hint="eastAsia" w:ascii="宋体" w:hAnsi="宋体" w:eastAsia="宋体" w:cs="宋体"/>
          <w:highlight w:val="none"/>
        </w:rPr>
      </w:pPr>
      <w:bookmarkStart w:id="247" w:name="_Toc78803336"/>
      <w:bookmarkStart w:id="248" w:name="_Toc35425067"/>
      <w:bookmarkStart w:id="249" w:name="_Toc144974512"/>
      <w:bookmarkStart w:id="250" w:name="_Toc152045544"/>
      <w:bookmarkStart w:id="251" w:name="_Toc246996932"/>
      <w:bookmarkStart w:id="252" w:name="_Toc15058860"/>
      <w:bookmarkStart w:id="253" w:name="_Toc506107283"/>
      <w:bookmarkStart w:id="254" w:name="_Toc32239"/>
      <w:bookmarkStart w:id="255" w:name="_Toc152042320"/>
      <w:bookmarkStart w:id="256" w:name="_Toc247085703"/>
      <w:bookmarkStart w:id="257" w:name="_Toc246996189"/>
      <w:bookmarkStart w:id="258" w:name="_Toc296602434"/>
      <w:bookmarkStart w:id="259" w:name="_Toc179632562"/>
      <w:bookmarkStart w:id="260" w:name="_Toc35424901"/>
      <w:bookmarkStart w:id="261" w:name="_Toc324404829"/>
      <w:r>
        <w:rPr>
          <w:rFonts w:hint="eastAsia" w:ascii="宋体" w:hAnsi="宋体" w:eastAsia="宋体" w:cs="宋体"/>
          <w:highlight w:val="none"/>
        </w:rPr>
        <w:t xml:space="preserve">2.2 </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Pr>
          <w:rFonts w:hint="eastAsia" w:ascii="宋体" w:hAnsi="宋体" w:eastAsia="宋体" w:cs="宋体"/>
          <w:highlight w:val="none"/>
        </w:rPr>
        <w:t>招标文件的异议</w:t>
      </w:r>
    </w:p>
    <w:p w14:paraId="47165EFB">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投标人应仔细阅读和检查招标文件的全部内容。如有疑问，应在投标人须知前附表规定的时间前</w:t>
      </w:r>
      <w:r>
        <w:rPr>
          <w:rFonts w:hint="eastAsia" w:ascii="宋体" w:hAnsi="宋体" w:eastAsia="宋体" w:cs="宋体"/>
          <w:color w:val="auto"/>
          <w:szCs w:val="21"/>
          <w:highlight w:val="none"/>
          <w:lang w:val="en-US" w:eastAsia="zh-CN"/>
        </w:rPr>
        <w:t>登录新点电子交易平台【滁州专区】线上提出</w:t>
      </w:r>
      <w:r>
        <w:rPr>
          <w:rFonts w:hint="eastAsia" w:ascii="宋体" w:hAnsi="宋体" w:cs="宋体"/>
          <w:szCs w:val="21"/>
          <w:highlight w:val="none"/>
        </w:rPr>
        <w:t>。</w:t>
      </w:r>
    </w:p>
    <w:p w14:paraId="5EC8A5BB">
      <w:pPr>
        <w:pStyle w:val="3"/>
        <w:ind w:firstLine="422" w:firstLineChars="200"/>
        <w:rPr>
          <w:rFonts w:hint="eastAsia" w:ascii="宋体" w:hAnsi="宋体" w:eastAsia="宋体" w:cs="宋体"/>
          <w:highlight w:val="none"/>
          <w:lang w:eastAsia="zh-CN"/>
        </w:rPr>
      </w:pPr>
      <w:bookmarkStart w:id="262" w:name="_Toc152045545"/>
      <w:bookmarkStart w:id="263" w:name="_Toc35424902"/>
      <w:bookmarkStart w:id="264" w:name="_Toc246996190"/>
      <w:bookmarkStart w:id="265" w:name="_Toc144974513"/>
      <w:bookmarkStart w:id="266" w:name="_Toc246996933"/>
      <w:bookmarkStart w:id="267" w:name="_Toc324404830"/>
      <w:bookmarkStart w:id="268" w:name="_Toc296602435"/>
      <w:bookmarkStart w:id="269" w:name="_Toc78803337"/>
      <w:bookmarkStart w:id="270" w:name="_Toc506107284"/>
      <w:bookmarkStart w:id="271" w:name="_Toc152042321"/>
      <w:bookmarkStart w:id="272" w:name="_Toc24633"/>
      <w:bookmarkStart w:id="273" w:name="_Toc35425068"/>
      <w:bookmarkStart w:id="274" w:name="_Toc15058861"/>
      <w:bookmarkStart w:id="275" w:name="_Toc247085704"/>
      <w:bookmarkStart w:id="276" w:name="_Toc179632563"/>
      <w:r>
        <w:rPr>
          <w:rFonts w:hint="eastAsia" w:ascii="宋体" w:hAnsi="宋体" w:eastAsia="宋体" w:cs="宋体"/>
          <w:highlight w:val="none"/>
        </w:rPr>
        <w:t>2.3 招标文件的</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r>
        <w:rPr>
          <w:rFonts w:hint="eastAsia" w:ascii="宋体" w:hAnsi="宋体" w:eastAsia="宋体" w:cs="宋体"/>
          <w:highlight w:val="none"/>
          <w:lang w:val="en-US" w:eastAsia="zh-CN"/>
        </w:rPr>
        <w:t>澄清</w:t>
      </w:r>
    </w:p>
    <w:p w14:paraId="47D94C5D">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Cs w:val="21"/>
          <w:highlight w:val="none"/>
        </w:rPr>
      </w:pPr>
      <w:bookmarkStart w:id="277" w:name="_Toc35424903"/>
      <w:bookmarkStart w:id="278" w:name="_Toc35425069"/>
      <w:bookmarkStart w:id="279" w:name="_Toc324404831"/>
      <w:bookmarkStart w:id="280" w:name="_Toc2696"/>
      <w:bookmarkStart w:id="281" w:name="_Toc15058862"/>
      <w:bookmarkStart w:id="282" w:name="_Toc78803338"/>
      <w:r>
        <w:rPr>
          <w:rFonts w:hint="eastAsia" w:ascii="宋体" w:hAnsi="宋体" w:eastAsia="宋体" w:cs="宋体"/>
          <w:szCs w:val="21"/>
          <w:highlight w:val="none"/>
        </w:rPr>
        <w:t>招标文件的澄清将在</w:t>
      </w:r>
      <w:r>
        <w:rPr>
          <w:rFonts w:hint="eastAsia" w:ascii="宋体" w:hAnsi="宋体" w:eastAsia="宋体" w:cs="宋体"/>
          <w:szCs w:val="21"/>
          <w:highlight w:val="none"/>
          <w:lang w:val="en-US" w:eastAsia="zh-CN"/>
        </w:rPr>
        <w:t>滁州市城投工程咨询管理有限公司网站</w:t>
      </w:r>
      <w:r>
        <w:rPr>
          <w:rFonts w:hint="eastAsia" w:ascii="宋体" w:hAnsi="宋体" w:eastAsia="宋体" w:cs="宋体"/>
          <w:szCs w:val="21"/>
          <w:highlight w:val="none"/>
        </w:rPr>
        <w:t>（https://www.czctgczx.com/）发布，但不指明澄清问题的来源。如果澄清发出的时间距投标人须知前附表规定的投标截止时间不足15天，并且澄清内容影响投标文件编制的，将相应延长投标截止时间。</w:t>
      </w:r>
    </w:p>
    <w:bookmarkEnd w:id="277"/>
    <w:bookmarkEnd w:id="278"/>
    <w:bookmarkEnd w:id="279"/>
    <w:bookmarkEnd w:id="280"/>
    <w:bookmarkEnd w:id="281"/>
    <w:bookmarkEnd w:id="282"/>
    <w:p w14:paraId="5681C7DF">
      <w:pPr>
        <w:pStyle w:val="3"/>
        <w:spacing w:beforeLines="50" w:afterLines="50"/>
        <w:ind w:firstLine="482" w:firstLineChars="200"/>
        <w:rPr>
          <w:rFonts w:ascii="宋体" w:hAnsi="宋体" w:eastAsia="宋体" w:cs="宋体"/>
          <w:sz w:val="24"/>
          <w:szCs w:val="24"/>
          <w:highlight w:val="none"/>
        </w:rPr>
      </w:pPr>
      <w:bookmarkStart w:id="283" w:name="_Toc152045546"/>
      <w:bookmarkStart w:id="284" w:name="_Toc179632564"/>
      <w:bookmarkStart w:id="285" w:name="_Toc35424904"/>
      <w:bookmarkStart w:id="286" w:name="_Toc247085705"/>
      <w:bookmarkStart w:id="287" w:name="_Toc6464"/>
      <w:bookmarkStart w:id="288" w:name="_Toc152042322"/>
      <w:bookmarkStart w:id="289" w:name="_Toc15058863"/>
      <w:bookmarkStart w:id="290" w:name="_Toc78803339"/>
      <w:bookmarkStart w:id="291" w:name="_Toc144974514"/>
      <w:bookmarkStart w:id="292" w:name="_Toc35425070"/>
      <w:bookmarkStart w:id="293" w:name="_Toc324404832"/>
      <w:bookmarkStart w:id="294" w:name="_Toc246996191"/>
      <w:bookmarkStart w:id="295" w:name="_Toc246996934"/>
      <w:bookmarkStart w:id="296" w:name="_Toc506107285"/>
      <w:r>
        <w:rPr>
          <w:rFonts w:hint="eastAsia" w:ascii="宋体" w:hAnsi="宋体" w:eastAsia="宋体" w:cs="宋体"/>
          <w:sz w:val="24"/>
          <w:szCs w:val="24"/>
          <w:highlight w:val="none"/>
        </w:rPr>
        <w:t>3. 投标文件</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218225A2">
      <w:pPr>
        <w:pStyle w:val="3"/>
        <w:ind w:firstLine="422" w:firstLineChars="200"/>
        <w:rPr>
          <w:rFonts w:ascii="宋体" w:hAnsi="宋体" w:eastAsia="宋体" w:cs="宋体"/>
          <w:highlight w:val="none"/>
        </w:rPr>
      </w:pPr>
      <w:bookmarkStart w:id="297" w:name="_Toc506107286"/>
      <w:bookmarkStart w:id="298" w:name="_Toc15058864"/>
      <w:bookmarkStart w:id="299" w:name="_Toc35424905"/>
      <w:bookmarkStart w:id="300" w:name="_Toc246996935"/>
      <w:bookmarkStart w:id="301" w:name="_Toc152042323"/>
      <w:bookmarkStart w:id="302" w:name="_Toc296602437"/>
      <w:bookmarkStart w:id="303" w:name="_Toc324404833"/>
      <w:bookmarkStart w:id="304" w:name="_Toc247085706"/>
      <w:bookmarkStart w:id="305" w:name="_Toc144974515"/>
      <w:bookmarkStart w:id="306" w:name="_Toc246996192"/>
      <w:bookmarkStart w:id="307" w:name="_Toc157"/>
      <w:bookmarkStart w:id="308" w:name="_Toc78803340"/>
      <w:bookmarkStart w:id="309" w:name="_Toc152045547"/>
      <w:bookmarkStart w:id="310" w:name="_Toc35425071"/>
      <w:bookmarkStart w:id="311" w:name="_Toc179632565"/>
      <w:r>
        <w:rPr>
          <w:rFonts w:hint="eastAsia" w:ascii="宋体" w:hAnsi="宋体" w:eastAsia="宋体" w:cs="宋体"/>
          <w:highlight w:val="none"/>
        </w:rPr>
        <w:t>3.1 投标文件的组成</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6871D10E">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lang w:eastAsia="zh-CN"/>
        </w:rPr>
        <w:t>投标文件</w:t>
      </w:r>
      <w:r>
        <w:rPr>
          <w:rFonts w:hint="eastAsia" w:ascii="宋体" w:hAnsi="宋体" w:cs="宋体"/>
          <w:szCs w:val="21"/>
          <w:highlight w:val="none"/>
        </w:rPr>
        <w:t>由</w:t>
      </w:r>
      <w:r>
        <w:rPr>
          <w:rFonts w:hint="eastAsia" w:ascii="宋体" w:hAnsi="宋体" w:cs="宋体"/>
          <w:szCs w:val="21"/>
          <w:highlight w:val="none"/>
          <w:lang w:eastAsia="zh-CN"/>
        </w:rPr>
        <w:t>投标文件</w:t>
      </w:r>
      <w:r>
        <w:rPr>
          <w:rFonts w:hint="eastAsia" w:ascii="宋体" w:hAnsi="宋体" w:cs="宋体"/>
          <w:szCs w:val="21"/>
          <w:highlight w:val="none"/>
        </w:rPr>
        <w:t>一（资信证明文件）</w:t>
      </w:r>
      <w:r>
        <w:rPr>
          <w:rFonts w:hint="eastAsia" w:ascii="宋体" w:hAnsi="宋体" w:cs="宋体"/>
          <w:szCs w:val="21"/>
          <w:highlight w:val="none"/>
          <w:lang w:eastAsia="zh-CN"/>
        </w:rPr>
        <w:t>、投标文件</w:t>
      </w:r>
      <w:r>
        <w:rPr>
          <w:rFonts w:hint="eastAsia" w:ascii="宋体" w:hAnsi="宋体" w:cs="宋体"/>
          <w:szCs w:val="21"/>
          <w:highlight w:val="none"/>
          <w:lang w:val="en-US" w:eastAsia="zh-CN"/>
        </w:rPr>
        <w:t>二</w:t>
      </w:r>
      <w:r>
        <w:rPr>
          <w:rFonts w:hint="eastAsia" w:ascii="宋体" w:hAnsi="宋体" w:cs="宋体"/>
          <w:szCs w:val="21"/>
          <w:highlight w:val="none"/>
        </w:rPr>
        <w:t>（</w:t>
      </w:r>
      <w:r>
        <w:rPr>
          <w:rFonts w:hint="eastAsia" w:ascii="宋体" w:hAnsi="宋体" w:cs="宋体"/>
          <w:szCs w:val="21"/>
          <w:highlight w:val="none"/>
          <w:lang w:val="en-US" w:eastAsia="zh-CN"/>
        </w:rPr>
        <w:t>技术标文件</w:t>
      </w:r>
      <w:r>
        <w:rPr>
          <w:rFonts w:hint="eastAsia" w:ascii="宋体" w:hAnsi="宋体" w:cs="宋体"/>
          <w:szCs w:val="21"/>
          <w:highlight w:val="none"/>
        </w:rPr>
        <w:t>）</w:t>
      </w:r>
      <w:r>
        <w:rPr>
          <w:rFonts w:hint="eastAsia" w:ascii="宋体" w:hAnsi="宋体" w:cs="宋体"/>
          <w:szCs w:val="21"/>
          <w:highlight w:val="none"/>
          <w:lang w:val="en-US" w:eastAsia="zh-CN"/>
        </w:rPr>
        <w:t>和</w:t>
      </w:r>
      <w:r>
        <w:rPr>
          <w:rFonts w:hint="eastAsia" w:ascii="宋体" w:hAnsi="宋体" w:cs="宋体"/>
          <w:szCs w:val="21"/>
          <w:highlight w:val="none"/>
          <w:lang w:eastAsia="zh-CN"/>
        </w:rPr>
        <w:t>投标文件</w:t>
      </w:r>
      <w:r>
        <w:rPr>
          <w:rFonts w:hint="eastAsia" w:ascii="宋体" w:hAnsi="宋体" w:cs="宋体"/>
          <w:szCs w:val="21"/>
          <w:highlight w:val="none"/>
          <w:lang w:val="en-US" w:eastAsia="zh-CN"/>
        </w:rPr>
        <w:t>三</w:t>
      </w:r>
      <w:r>
        <w:rPr>
          <w:rFonts w:hint="eastAsia" w:ascii="宋体" w:hAnsi="宋体" w:cs="宋体"/>
          <w:szCs w:val="21"/>
          <w:highlight w:val="none"/>
        </w:rPr>
        <w:t>（商务标</w:t>
      </w:r>
      <w:r>
        <w:rPr>
          <w:rFonts w:hint="eastAsia" w:ascii="宋体" w:hAnsi="宋体" w:cs="宋体"/>
          <w:szCs w:val="21"/>
          <w:highlight w:val="none"/>
          <w:lang w:val="en-US" w:eastAsia="zh-CN"/>
        </w:rPr>
        <w:t>文件</w:t>
      </w:r>
      <w:r>
        <w:rPr>
          <w:rFonts w:hint="eastAsia" w:ascii="宋体" w:hAnsi="宋体" w:cs="宋体"/>
          <w:szCs w:val="21"/>
          <w:highlight w:val="none"/>
        </w:rPr>
        <w:t>）</w:t>
      </w:r>
      <w:r>
        <w:rPr>
          <w:rFonts w:hint="eastAsia" w:ascii="宋体" w:hAnsi="宋体" w:cs="宋体"/>
          <w:szCs w:val="21"/>
          <w:highlight w:val="none"/>
          <w:lang w:val="en-US" w:eastAsia="zh-CN"/>
        </w:rPr>
        <w:t>三</w:t>
      </w:r>
      <w:r>
        <w:rPr>
          <w:rFonts w:hint="eastAsia" w:ascii="宋体" w:hAnsi="宋体" w:cs="宋体"/>
          <w:szCs w:val="21"/>
          <w:highlight w:val="none"/>
        </w:rPr>
        <w:t>部分组成</w:t>
      </w:r>
      <w:r>
        <w:rPr>
          <w:rFonts w:hint="eastAsia" w:ascii="宋体" w:hAnsi="宋体" w:cs="宋体"/>
          <w:szCs w:val="21"/>
          <w:highlight w:val="none"/>
          <w:lang w:eastAsia="zh-CN"/>
        </w:rPr>
        <w:t>。</w:t>
      </w:r>
      <w:r>
        <w:rPr>
          <w:rFonts w:hint="eastAsia" w:ascii="宋体" w:hAnsi="宋体" w:cs="宋体"/>
          <w:szCs w:val="21"/>
          <w:highlight w:val="none"/>
        </w:rPr>
        <w:t>具体要求详见本招标文件第</w:t>
      </w:r>
      <w:r>
        <w:rPr>
          <w:rFonts w:hint="eastAsia" w:ascii="宋体" w:hAnsi="宋体" w:cs="宋体"/>
          <w:szCs w:val="21"/>
          <w:highlight w:val="none"/>
          <w:lang w:val="en-US" w:eastAsia="zh-CN"/>
        </w:rPr>
        <w:t>九</w:t>
      </w:r>
      <w:r>
        <w:rPr>
          <w:rFonts w:hint="eastAsia" w:ascii="宋体" w:hAnsi="宋体" w:cs="宋体"/>
          <w:szCs w:val="21"/>
          <w:highlight w:val="none"/>
        </w:rPr>
        <w:t>章“投标文件格式”。</w:t>
      </w:r>
    </w:p>
    <w:p w14:paraId="68B92645">
      <w:pPr>
        <w:pStyle w:val="3"/>
        <w:ind w:firstLine="422" w:firstLineChars="200"/>
        <w:rPr>
          <w:rFonts w:ascii="宋体" w:hAnsi="宋体" w:eastAsia="宋体" w:cs="宋体"/>
          <w:highlight w:val="none"/>
        </w:rPr>
      </w:pPr>
      <w:bookmarkStart w:id="312" w:name="_Toc78803341"/>
      <w:bookmarkStart w:id="313" w:name="_Toc35424906"/>
      <w:bookmarkStart w:id="314" w:name="_Toc296602438"/>
      <w:bookmarkStart w:id="315" w:name="_Toc506107287"/>
      <w:bookmarkStart w:id="316" w:name="_Toc6829"/>
      <w:bookmarkStart w:id="317" w:name="_Toc152042324"/>
      <w:bookmarkStart w:id="318" w:name="_Toc247085707"/>
      <w:bookmarkStart w:id="319" w:name="_Toc152045548"/>
      <w:bookmarkStart w:id="320" w:name="_Toc144974516"/>
      <w:bookmarkStart w:id="321" w:name="_Toc35425072"/>
      <w:bookmarkStart w:id="322" w:name="_Toc15058865"/>
      <w:bookmarkStart w:id="323" w:name="_Toc246996193"/>
      <w:bookmarkStart w:id="324" w:name="_Toc246996936"/>
      <w:bookmarkStart w:id="325" w:name="_Toc179632566"/>
      <w:bookmarkStart w:id="326" w:name="_Toc324404834"/>
      <w:r>
        <w:rPr>
          <w:rFonts w:hint="eastAsia" w:ascii="宋体" w:hAnsi="宋体" w:eastAsia="宋体" w:cs="宋体"/>
          <w:highlight w:val="none"/>
        </w:rPr>
        <w:t>3.2 投标报价</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705FA1B6">
      <w:pPr>
        <w:spacing w:line="440" w:lineRule="exact"/>
        <w:ind w:firstLine="420" w:firstLineChars="200"/>
        <w:jc w:val="left"/>
        <w:rPr>
          <w:rFonts w:hint="eastAsia" w:ascii="宋体" w:hAnsi="宋体" w:eastAsia="宋体" w:cs="宋体"/>
          <w:szCs w:val="21"/>
          <w:highlight w:val="none"/>
          <w:lang w:eastAsia="zh-CN"/>
        </w:rPr>
      </w:pPr>
      <w:bookmarkStart w:id="327" w:name="_Toc35425073"/>
      <w:bookmarkStart w:id="328" w:name="_Toc324404835"/>
      <w:bookmarkStart w:id="329" w:name="_Toc152045549"/>
      <w:bookmarkStart w:id="330" w:name="_Toc78803342"/>
      <w:bookmarkStart w:id="331" w:name="_Toc296602439"/>
      <w:bookmarkStart w:id="332" w:name="_Toc35424907"/>
      <w:bookmarkStart w:id="333" w:name="_Toc31735"/>
      <w:bookmarkStart w:id="334" w:name="_Toc15058866"/>
      <w:bookmarkStart w:id="335" w:name="_Toc246996937"/>
      <w:bookmarkStart w:id="336" w:name="_Toc179632567"/>
      <w:bookmarkStart w:id="337" w:name="_Toc144974517"/>
      <w:bookmarkStart w:id="338" w:name="_Toc246996194"/>
      <w:bookmarkStart w:id="339" w:name="_Toc247085708"/>
      <w:bookmarkStart w:id="340" w:name="_Toc506107288"/>
      <w:bookmarkStart w:id="341" w:name="_Toc152042325"/>
      <w:r>
        <w:rPr>
          <w:rFonts w:hint="eastAsia" w:ascii="宋体" w:hAnsi="宋体" w:eastAsia="宋体" w:cs="宋体"/>
          <w:szCs w:val="21"/>
          <w:highlight w:val="none"/>
          <w:lang w:eastAsia="zh-CN"/>
        </w:rPr>
        <w:t>3.2.1投标报价应包括国家规定的增值税税金，除投标人须知前附表另有规定外，增值税税金按一般计税方法计算。投标人应按第</w:t>
      </w:r>
      <w:r>
        <w:rPr>
          <w:rFonts w:hint="eastAsia" w:ascii="宋体" w:hAnsi="宋体" w:eastAsia="宋体" w:cs="宋体"/>
          <w:szCs w:val="21"/>
          <w:highlight w:val="none"/>
          <w:lang w:val="en-US" w:eastAsia="zh-CN"/>
        </w:rPr>
        <w:t>九</w:t>
      </w:r>
      <w:r>
        <w:rPr>
          <w:rFonts w:hint="eastAsia" w:ascii="宋体" w:hAnsi="宋体" w:eastAsia="宋体" w:cs="宋体"/>
          <w:szCs w:val="21"/>
          <w:highlight w:val="none"/>
          <w:lang w:eastAsia="zh-CN"/>
        </w:rPr>
        <w:t>章“投标文件格式”的要求在投标函中进行报价并填写工程量清单相应表格。</w:t>
      </w:r>
    </w:p>
    <w:p w14:paraId="1192EB75">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3.2.2投标人应充分了解本项目的总体情况以及影响投标报价的其他要素。</w:t>
      </w:r>
    </w:p>
    <w:p w14:paraId="68694043">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3.2.3投标人在投标截止时间前修改投标函中的投标报价总额，应同时修改“已标价工程量清单”中的相应报价，投标报价总额为各分项金额之和。此修改须符合本章第4.4款的有关要求。</w:t>
      </w:r>
    </w:p>
    <w:p w14:paraId="037A7F96">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3.2.4招标人设有最高投标限价的，投标人的投标报价不得超过最高投标限价，最高投标限价在投标人须知前附表中载明。</w:t>
      </w:r>
    </w:p>
    <w:p w14:paraId="7C1D3D58">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3.2.5 投标报价的其他要求见投标人须知前附表。</w:t>
      </w:r>
    </w:p>
    <w:p w14:paraId="454C15E1">
      <w:pPr>
        <w:pStyle w:val="3"/>
        <w:ind w:firstLine="422" w:firstLineChars="200"/>
        <w:rPr>
          <w:rFonts w:ascii="宋体" w:hAnsi="宋体" w:eastAsia="宋体" w:cs="宋体"/>
          <w:highlight w:val="none"/>
        </w:rPr>
      </w:pPr>
      <w:r>
        <w:rPr>
          <w:rFonts w:hint="eastAsia" w:ascii="宋体" w:hAnsi="宋体" w:eastAsia="宋体" w:cs="宋体"/>
          <w:highlight w:val="none"/>
        </w:rPr>
        <w:t>3.3 投标有效期</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38E346F9">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3.3.1 除投标人须知前附表另有规定外，投标有效期为90天。</w:t>
      </w:r>
    </w:p>
    <w:p w14:paraId="19262D1F">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3.3.2在投标有效期内，投标人撤销或修改其投标文件的，应承担招标文件和法律规定的责任。</w:t>
      </w:r>
    </w:p>
    <w:p w14:paraId="68D42DB1">
      <w:pPr>
        <w:spacing w:line="440" w:lineRule="exact"/>
        <w:ind w:firstLine="420" w:firstLineChars="200"/>
        <w:jc w:val="left"/>
        <w:rPr>
          <w:rFonts w:ascii="宋体" w:hAnsi="宋体" w:cs="宋体"/>
          <w:szCs w:val="21"/>
          <w:highlight w:val="none"/>
        </w:rPr>
      </w:pPr>
      <w:bookmarkStart w:id="342" w:name="_Toc35425074"/>
      <w:bookmarkStart w:id="343" w:name="_Toc179632568"/>
      <w:bookmarkStart w:id="344" w:name="_Toc152042326"/>
      <w:bookmarkStart w:id="345" w:name="_Toc296602440"/>
      <w:bookmarkStart w:id="346" w:name="_Toc246996195"/>
      <w:bookmarkStart w:id="347" w:name="_Toc15058867"/>
      <w:bookmarkStart w:id="348" w:name="_Toc152045550"/>
      <w:bookmarkStart w:id="349" w:name="_Toc10714"/>
      <w:bookmarkStart w:id="350" w:name="_Toc144974518"/>
      <w:bookmarkStart w:id="351" w:name="_Toc78803343"/>
      <w:bookmarkStart w:id="352" w:name="_Toc324404836"/>
      <w:bookmarkStart w:id="353" w:name="_Toc35424908"/>
      <w:bookmarkStart w:id="354" w:name="_Toc246996938"/>
      <w:bookmarkStart w:id="355" w:name="_Toc247085709"/>
      <w:bookmarkStart w:id="356" w:name="_Toc506107289"/>
      <w:r>
        <w:rPr>
          <w:rFonts w:hint="eastAsia" w:ascii="宋体" w:hAnsi="宋体" w:eastAsia="宋体" w:cs="宋体"/>
          <w:szCs w:val="21"/>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780A1DA0">
      <w:pPr>
        <w:pStyle w:val="3"/>
        <w:ind w:firstLine="422" w:firstLineChars="200"/>
        <w:rPr>
          <w:rFonts w:hint="eastAsia" w:ascii="宋体" w:hAnsi="宋体" w:eastAsia="宋体" w:cs="宋体"/>
          <w:highlight w:val="none"/>
        </w:rPr>
      </w:pPr>
      <w:r>
        <w:rPr>
          <w:rFonts w:hint="eastAsia" w:ascii="宋体" w:hAnsi="宋体" w:eastAsia="宋体" w:cs="宋体"/>
          <w:highlight w:val="none"/>
        </w:rPr>
        <w:t>3.4 投标保证金</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10C7E5CB">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rPr>
      </w:pPr>
      <w:bookmarkStart w:id="357" w:name="_Toc296602442"/>
      <w:bookmarkStart w:id="358" w:name="_Toc15058868"/>
      <w:bookmarkStart w:id="359" w:name="_Toc324404837"/>
      <w:bookmarkStart w:id="360" w:name="_Toc35424909"/>
      <w:bookmarkStart w:id="361" w:name="_Toc78803344"/>
      <w:bookmarkStart w:id="362" w:name="_Toc506107290"/>
      <w:bookmarkStart w:id="363" w:name="_Toc35425075"/>
      <w:bookmarkStart w:id="364" w:name="_Toc19037"/>
      <w:bookmarkStart w:id="365" w:name="_Toc246996197"/>
      <w:bookmarkStart w:id="366" w:name="_Toc247085711"/>
      <w:bookmarkStart w:id="367" w:name="_Toc152045553"/>
      <w:bookmarkStart w:id="368" w:name="_Toc246996940"/>
      <w:bookmarkStart w:id="369" w:name="_Toc144974521"/>
      <w:bookmarkStart w:id="370" w:name="_Toc179632571"/>
      <w:bookmarkStart w:id="371" w:name="_Toc152042329"/>
      <w:r>
        <w:rPr>
          <w:rFonts w:hint="eastAsia" w:ascii="宋体" w:hAnsi="宋体" w:cs="宋体"/>
          <w:color w:val="000000"/>
          <w:szCs w:val="21"/>
        </w:rPr>
        <w:t xml:space="preserve">3.4.1 </w:t>
      </w:r>
      <w:r>
        <w:rPr>
          <w:rFonts w:hint="eastAsia" w:ascii="宋体" w:hAnsi="宋体" w:cs="宋体"/>
          <w:color w:val="000000"/>
          <w:szCs w:val="21"/>
          <w:lang w:val="en-US" w:eastAsia="zh-CN"/>
        </w:rPr>
        <w:t>招标公告</w:t>
      </w:r>
      <w:r>
        <w:rPr>
          <w:rFonts w:hint="eastAsia" w:ascii="宋体" w:hAnsi="宋体" w:cs="宋体"/>
          <w:color w:val="000000"/>
          <w:szCs w:val="21"/>
        </w:rPr>
        <w:t>规定递交投标保证金的，投标人在递交投标文件的同时，应按</w:t>
      </w:r>
      <w:r>
        <w:rPr>
          <w:rFonts w:hint="eastAsia" w:ascii="宋体" w:hAnsi="宋体" w:cs="宋体"/>
          <w:color w:val="000000"/>
          <w:szCs w:val="21"/>
          <w:lang w:val="en-US" w:eastAsia="zh-CN"/>
        </w:rPr>
        <w:t>招标公告</w:t>
      </w:r>
      <w:r>
        <w:rPr>
          <w:rFonts w:hint="eastAsia" w:ascii="宋体" w:hAnsi="宋体" w:cs="宋体"/>
          <w:color w:val="000000"/>
          <w:szCs w:val="21"/>
        </w:rPr>
        <w:t>规定的金额、担保形式或者事先经过招标人认可的保证金格式递交保证金，并作为其投标文件的组成部分。</w:t>
      </w:r>
    </w:p>
    <w:p w14:paraId="1FA6B470">
      <w:pPr>
        <w:pageBreakBefore w:val="0"/>
        <w:widowControl w:val="0"/>
        <w:kinsoku/>
        <w:wordWrap/>
        <w:overflowPunct/>
        <w:topLinePunct w:val="0"/>
        <w:autoSpaceDE/>
        <w:autoSpaceDN/>
        <w:bidi w:val="0"/>
        <w:adjustRightInd w:val="0"/>
        <w:snapToGrid w:val="0"/>
        <w:spacing w:line="440" w:lineRule="exact"/>
        <w:textAlignment w:val="auto"/>
        <w:rPr>
          <w:rFonts w:ascii="宋体" w:hAnsi="宋体" w:cs="宋体"/>
          <w:color w:val="000000"/>
          <w:szCs w:val="21"/>
        </w:rPr>
      </w:pPr>
      <w:r>
        <w:rPr>
          <w:rFonts w:hint="eastAsia" w:ascii="宋体" w:hAnsi="宋体" w:cs="宋体"/>
          <w:color w:val="000000"/>
          <w:szCs w:val="21"/>
        </w:rPr>
        <w:t xml:space="preserve">    无论采取何种形式的投标保证金，投标保证金有效期均应与投标有效期一致（</w:t>
      </w:r>
      <w:r>
        <w:rPr>
          <w:rFonts w:hint="eastAsia"/>
          <w:color w:val="000000"/>
        </w:rPr>
        <w:t>采用投标电子保函的保证期截止时间不得早于该项目投标有效期的截止时间</w:t>
      </w:r>
      <w:r>
        <w:rPr>
          <w:rFonts w:hint="eastAsia" w:ascii="宋体" w:hAnsi="宋体" w:cs="宋体"/>
          <w:color w:val="000000"/>
          <w:szCs w:val="21"/>
        </w:rPr>
        <w:t>）。招标人如果按本章第3.3.3项的规定延长了投标有效期，则投标保证金的有效期也相应延长。</w:t>
      </w:r>
    </w:p>
    <w:p w14:paraId="218F6CA2">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rPr>
      </w:pPr>
      <w:r>
        <w:rPr>
          <w:rFonts w:hint="eastAsia" w:ascii="宋体" w:hAnsi="宋体" w:cs="宋体"/>
          <w:color w:val="000000"/>
          <w:szCs w:val="21"/>
        </w:rPr>
        <w:t>3.4.2 投标人不按本章第3.4.1项要求提交投标保证金的，评标委员会将否决其投标。</w:t>
      </w:r>
    </w:p>
    <w:p w14:paraId="244A3FFB">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3.4.3 未中标投标人的投标保证金，</w:t>
      </w:r>
      <w:r>
        <w:rPr>
          <w:rFonts w:hint="eastAsia" w:ascii="宋体" w:hAnsi="宋体" w:eastAsia="宋体" w:cs="宋体"/>
          <w:color w:val="000000"/>
          <w:szCs w:val="21"/>
          <w:lang w:val="en-US" w:eastAsia="zh-CN"/>
        </w:rPr>
        <w:t>中标通知书发放后五个工作日内退还</w:t>
      </w:r>
      <w:r>
        <w:rPr>
          <w:rFonts w:hint="eastAsia" w:ascii="宋体" w:hAnsi="宋体" w:eastAsia="宋体" w:cs="宋体"/>
          <w:color w:val="000000"/>
          <w:szCs w:val="21"/>
        </w:rPr>
        <w:t>保证金到达原交纳的账户；中标人的投标保证金，</w:t>
      </w:r>
      <w:r>
        <w:rPr>
          <w:rFonts w:hint="eastAsia" w:ascii="宋体" w:hAnsi="宋体" w:eastAsia="宋体" w:cs="宋体"/>
          <w:color w:val="000000"/>
          <w:szCs w:val="21"/>
          <w:lang w:val="en-US" w:eastAsia="zh-CN"/>
        </w:rPr>
        <w:t>订合同后五个工作日内</w:t>
      </w:r>
      <w:r>
        <w:rPr>
          <w:rFonts w:hint="eastAsia" w:ascii="宋体" w:hAnsi="宋体" w:eastAsia="宋体" w:cs="宋体"/>
          <w:color w:val="000000"/>
          <w:szCs w:val="21"/>
        </w:rPr>
        <w:t>退付保证金到达原交纳的账户。</w:t>
      </w:r>
    </w:p>
    <w:p w14:paraId="3A7F9ECA">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 xml:space="preserve">3.4.4 有下列情形之一的，投标保证金将不予退还： </w:t>
      </w:r>
    </w:p>
    <w:p w14:paraId="7B47B873">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rPr>
      </w:pPr>
      <w:r>
        <w:rPr>
          <w:rFonts w:hint="eastAsia" w:ascii="宋体" w:hAnsi="宋体" w:cs="宋体"/>
          <w:color w:val="000000"/>
          <w:szCs w:val="21"/>
        </w:rPr>
        <w:t>（1）投标截止后投标人撤销投标文件的；</w:t>
      </w:r>
    </w:p>
    <w:p w14:paraId="466F5123">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rPr>
      </w:pPr>
      <w:r>
        <w:rPr>
          <w:rFonts w:hint="eastAsia" w:ascii="宋体" w:hAnsi="宋体" w:cs="宋体"/>
          <w:color w:val="000000"/>
          <w:szCs w:val="21"/>
        </w:rPr>
        <w:t>（2）中标人无正当理由不与招标人订立合同，在签订合同时向招标人提出附加条件，或者不按照招标文件要求提交履约保证金的。</w:t>
      </w:r>
    </w:p>
    <w:p w14:paraId="31A74824">
      <w:pPr>
        <w:pStyle w:val="3"/>
        <w:ind w:firstLine="422" w:firstLineChars="200"/>
        <w:rPr>
          <w:rFonts w:ascii="宋体" w:hAnsi="宋体" w:eastAsia="宋体" w:cs="宋体"/>
          <w:highlight w:val="none"/>
        </w:rPr>
      </w:pPr>
      <w:r>
        <w:rPr>
          <w:rFonts w:hint="eastAsia" w:ascii="宋体" w:hAnsi="宋体" w:eastAsia="宋体" w:cs="宋体"/>
          <w:highlight w:val="none"/>
        </w:rPr>
        <w:t>3.5投标文件的编制</w:t>
      </w:r>
      <w:bookmarkEnd w:id="357"/>
      <w:bookmarkEnd w:id="358"/>
      <w:bookmarkEnd w:id="359"/>
      <w:bookmarkEnd w:id="360"/>
      <w:bookmarkEnd w:id="361"/>
      <w:bookmarkEnd w:id="362"/>
      <w:bookmarkEnd w:id="363"/>
      <w:bookmarkEnd w:id="364"/>
    </w:p>
    <w:bookmarkEnd w:id="365"/>
    <w:bookmarkEnd w:id="366"/>
    <w:bookmarkEnd w:id="367"/>
    <w:bookmarkEnd w:id="368"/>
    <w:bookmarkEnd w:id="369"/>
    <w:bookmarkEnd w:id="370"/>
    <w:bookmarkEnd w:id="371"/>
    <w:p w14:paraId="5BD1A4A0">
      <w:pPr>
        <w:spacing w:line="440" w:lineRule="exact"/>
        <w:ind w:firstLine="420" w:firstLineChars="200"/>
        <w:jc w:val="left"/>
        <w:rPr>
          <w:rFonts w:hint="eastAsia" w:ascii="宋体" w:hAnsi="宋体" w:eastAsia="宋体" w:cs="宋体"/>
          <w:szCs w:val="21"/>
          <w:highlight w:val="none"/>
          <w:lang w:val="en-US" w:eastAsia="zh-CN"/>
        </w:rPr>
      </w:pPr>
      <w:bookmarkStart w:id="372" w:name="_Toc152045555"/>
      <w:bookmarkStart w:id="373" w:name="_Toc324404838"/>
      <w:bookmarkStart w:id="374" w:name="_Toc152042331"/>
      <w:bookmarkStart w:id="375" w:name="_Toc246996199"/>
      <w:bookmarkStart w:id="376" w:name="_Toc247085713"/>
      <w:bookmarkStart w:id="377" w:name="_Toc144974523"/>
      <w:bookmarkStart w:id="378" w:name="_Toc246996942"/>
      <w:bookmarkStart w:id="379" w:name="_Toc179632573"/>
      <w:r>
        <w:rPr>
          <w:rFonts w:hint="eastAsia" w:ascii="宋体" w:hAnsi="宋体" w:eastAsia="宋体" w:cs="宋体"/>
          <w:szCs w:val="21"/>
          <w:highlight w:val="none"/>
          <w:lang w:val="en-US" w:eastAsia="zh-CN"/>
        </w:rPr>
        <w:t>3.5.1投标文件应按第九章“投标文件格式”进行编写，如有必要，可以增加附页，作为投标文件的组成部分。其中，投标函在满足招标文件实质性要求的基础上，可以提出比招标文件要求更有利于招标人的承诺。</w:t>
      </w:r>
    </w:p>
    <w:p w14:paraId="14F1B8C9">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3.5.2本次投标不需要提供纸质投标文件，投标人应按照电子招标投标的要求，在投标人的电子系统中制作、签章、上传加密的电子投标文件。</w:t>
      </w:r>
    </w:p>
    <w:p w14:paraId="3C40A9D2">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3.5.3 投标文件应当对招标文件有关工期、投标有效期、质量要求、技术标准和要求、招标范围等实质性内容作出响应。</w:t>
      </w:r>
    </w:p>
    <w:p w14:paraId="5D83FF68">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3.5.4 投标人须知前附表规定接受联合体投标的，资格审查资料应包括联合体各方相关情况 。</w:t>
      </w:r>
    </w:p>
    <w:p w14:paraId="6A9887E1">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3.5.5招标人有权核查投标人在投标文件中提供的资料，若发现投标人以他人名义投标或者以其他方式弄虚作假骗取中标的，中标无效；如果签订合同后发现中标人提供了虚假材料，招标人有权解除合同。</w:t>
      </w:r>
    </w:p>
    <w:p w14:paraId="093D5520">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3.5.6投标文件的制作应满足以下规定：</w:t>
      </w:r>
    </w:p>
    <w:p w14:paraId="0727C6AC">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w:t>
      </w:r>
      <w:r>
        <w:rPr>
          <w:rFonts w:hint="eastAsia" w:ascii="宋体" w:hAnsi="宋体" w:cs="宋体"/>
          <w:szCs w:val="21"/>
          <w:highlight w:val="none"/>
          <w:lang w:val="en-US" w:eastAsia="zh-CN"/>
        </w:rPr>
        <w:t>1</w:t>
      </w:r>
      <w:r>
        <w:rPr>
          <w:rFonts w:hint="eastAsia" w:ascii="宋体" w:hAnsi="宋体" w:eastAsia="宋体" w:cs="宋体"/>
          <w:szCs w:val="21"/>
          <w:highlight w:val="none"/>
          <w:lang w:val="en-US" w:eastAsia="zh-CN"/>
        </w:rPr>
        <w:t>）招标文件中“签章”是指签字或盖章。在第九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 投标文件由联合体牵头人按上述规定加盖联合体牵头人单位电子印章和法定代表人的个人电子印章/电子签名章或直接上传加盖联合体牵头人单位印章和法定代表人的印章（或签字）的原件彩色扫描件。</w:t>
      </w:r>
    </w:p>
    <w:p w14:paraId="19FF8C7E">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w:t>
      </w:r>
      <w:r>
        <w:rPr>
          <w:rFonts w:hint="eastAsia" w:ascii="宋体" w:hAnsi="宋体" w:cs="宋体"/>
          <w:szCs w:val="21"/>
          <w:highlight w:val="none"/>
          <w:lang w:val="en-US" w:eastAsia="zh-CN"/>
        </w:rPr>
        <w:t>2</w:t>
      </w:r>
      <w:r>
        <w:rPr>
          <w:rFonts w:hint="eastAsia" w:ascii="宋体" w:hAnsi="宋体" w:eastAsia="宋体" w:cs="宋体"/>
          <w:szCs w:val="21"/>
          <w:highlight w:val="none"/>
          <w:lang w:val="en-US" w:eastAsia="zh-CN"/>
        </w:rPr>
        <w:t>）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318FCD41">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3.5.7 因投标人自身原因而导致投标文件无法导入电子交易系统电子开标、评标系统，该投标视为无效投标，投标人自行承担由此导致的全部责任。</w:t>
      </w:r>
    </w:p>
    <w:p w14:paraId="18B9F40D">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3.5.8 投标人中标后须递交与网上电子投标文件完全一致的纸质版投标文件，在领取中标通知书时，一并递交给招标代理机构。</w:t>
      </w:r>
    </w:p>
    <w:p w14:paraId="6D17F42F">
      <w:pPr>
        <w:pStyle w:val="3"/>
        <w:ind w:firstLine="422" w:firstLineChars="200"/>
        <w:rPr>
          <w:rFonts w:hint="eastAsia" w:ascii="宋体" w:hAnsi="宋体" w:eastAsia="宋体" w:cs="宋体"/>
          <w:highlight w:val="none"/>
        </w:rPr>
      </w:pPr>
      <w:r>
        <w:rPr>
          <w:rFonts w:hint="eastAsia" w:ascii="宋体" w:hAnsi="宋体" w:eastAsia="宋体" w:cs="宋体"/>
          <w:highlight w:val="none"/>
        </w:rPr>
        <w:t>3.6 备选投标方案</w:t>
      </w:r>
    </w:p>
    <w:p w14:paraId="1CD0EBA6">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3.6.1 除投标人须知前附表规定允许外，投标人不得递交备选投标方案，否则其投标将被否决。</w:t>
      </w:r>
    </w:p>
    <w:p w14:paraId="2E592F88">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11867869">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3.6.3 投标人提供两个或两个以上投标报价，或在投标文件中提供一个报价，但同时提供两个或两个以上施工组织设计的，视为提供备选方案。</w:t>
      </w:r>
    </w:p>
    <w:p w14:paraId="66C99F80">
      <w:pPr>
        <w:pStyle w:val="3"/>
        <w:spacing w:beforeLines="50" w:afterLines="50"/>
        <w:ind w:firstLine="482" w:firstLineChars="200"/>
        <w:rPr>
          <w:rFonts w:hint="eastAsia" w:ascii="宋体" w:hAnsi="宋体" w:eastAsia="宋体" w:cs="宋体"/>
          <w:sz w:val="24"/>
          <w:szCs w:val="24"/>
          <w:highlight w:val="none"/>
        </w:rPr>
      </w:pPr>
      <w:bookmarkStart w:id="380" w:name="_Toc35425076"/>
      <w:bookmarkStart w:id="381" w:name="_Toc506107291"/>
      <w:bookmarkStart w:id="382" w:name="_Toc78803345"/>
      <w:bookmarkStart w:id="383" w:name="_Toc35424910"/>
      <w:bookmarkStart w:id="384" w:name="_Toc15058869"/>
      <w:bookmarkStart w:id="385" w:name="_Toc19455"/>
      <w:r>
        <w:rPr>
          <w:rFonts w:hint="eastAsia" w:ascii="宋体" w:hAnsi="宋体" w:eastAsia="宋体" w:cs="宋体"/>
          <w:sz w:val="24"/>
          <w:szCs w:val="24"/>
          <w:highlight w:val="none"/>
        </w:rPr>
        <w:t>4.投标</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3E108AB6">
      <w:pPr>
        <w:pStyle w:val="3"/>
        <w:ind w:firstLine="422" w:firstLineChars="200"/>
        <w:rPr>
          <w:rFonts w:hint="eastAsia" w:ascii="宋体" w:hAnsi="宋体" w:eastAsia="宋体" w:cs="宋体"/>
          <w:highlight w:val="none"/>
        </w:rPr>
      </w:pPr>
      <w:bookmarkStart w:id="386" w:name="_Toc60061458"/>
      <w:bookmarkStart w:id="387" w:name="_Toc95223361"/>
      <w:bookmarkStart w:id="388" w:name="_Toc83301713"/>
      <w:bookmarkStart w:id="389" w:name="_Toc78803346"/>
      <w:bookmarkStart w:id="390" w:name="_Toc35425077"/>
      <w:bookmarkStart w:id="391" w:name="_Toc15058870"/>
      <w:bookmarkStart w:id="392" w:name="_Toc14473"/>
      <w:bookmarkStart w:id="393" w:name="_Toc35424911"/>
      <w:r>
        <w:rPr>
          <w:rFonts w:hint="eastAsia" w:ascii="宋体" w:hAnsi="宋体" w:eastAsia="宋体" w:cs="宋体"/>
          <w:highlight w:val="none"/>
        </w:rPr>
        <w:t>4.1投标文件上传</w:t>
      </w:r>
      <w:bookmarkEnd w:id="386"/>
      <w:bookmarkEnd w:id="387"/>
      <w:bookmarkEnd w:id="388"/>
    </w:p>
    <w:p w14:paraId="491611B7">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4.1.1请投标人通过系统下载投标工具制作投标文件，并利用CA数字证书进行上传投标文件，上传已加密的投标文件，务必通过此方式上传投标文件。</w:t>
      </w:r>
    </w:p>
    <w:p w14:paraId="55CE6F79">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4.1.2投标人在投标文件编制、签章、上传过程中如有任何操作的疑问请及时联系技术支持，</w:t>
      </w:r>
      <w:r>
        <w:rPr>
          <w:rFonts w:hint="eastAsia" w:ascii="宋体" w:hAnsi="宋体" w:eastAsia="宋体" w:cs="宋体"/>
          <w:kern w:val="0"/>
          <w:sz w:val="21"/>
          <w:szCs w:val="21"/>
          <w:highlight w:val="none"/>
          <w:lang w:val="en-US" w:eastAsia="zh-CN" w:bidi="ar-SA"/>
        </w:rPr>
        <w:t>请拨打服务电话：4009280095-5（工作日）。</w:t>
      </w:r>
    </w:p>
    <w:p w14:paraId="1CEF98C2">
      <w:pPr>
        <w:pStyle w:val="3"/>
        <w:ind w:firstLine="422" w:firstLineChars="200"/>
        <w:rPr>
          <w:rFonts w:hint="eastAsia" w:ascii="宋体" w:hAnsi="宋体" w:eastAsia="宋体" w:cs="宋体"/>
          <w:highlight w:val="none"/>
        </w:rPr>
      </w:pPr>
      <w:bookmarkStart w:id="394" w:name="_Toc152042332"/>
      <w:bookmarkStart w:id="395" w:name="_Toc179632574"/>
      <w:bookmarkStart w:id="396" w:name="_Toc246996200"/>
      <w:bookmarkStart w:id="397" w:name="_Toc246996943"/>
      <w:bookmarkStart w:id="398" w:name="_Toc15058871"/>
      <w:bookmarkStart w:id="399" w:name="_Toc144974524"/>
      <w:bookmarkStart w:id="400" w:name="_Toc152045556"/>
      <w:bookmarkStart w:id="401" w:name="_Toc95223362"/>
      <w:bookmarkStart w:id="402" w:name="_Toc506107292"/>
      <w:bookmarkStart w:id="403" w:name="_Toc247085714"/>
      <w:bookmarkStart w:id="404" w:name="_Toc296602444"/>
      <w:bookmarkStart w:id="405" w:name="_Toc60061459"/>
      <w:bookmarkStart w:id="406" w:name="_Toc83301714"/>
      <w:bookmarkStart w:id="407" w:name="_Toc324404839"/>
      <w:r>
        <w:rPr>
          <w:rFonts w:hint="eastAsia" w:ascii="宋体" w:hAnsi="宋体" w:eastAsia="宋体" w:cs="宋体"/>
          <w:highlight w:val="none"/>
        </w:rPr>
        <w:t>4.2投标文件的密封和标记</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14:paraId="39B65438">
      <w:pPr>
        <w:spacing w:line="440" w:lineRule="exact"/>
        <w:ind w:firstLine="420" w:firstLineChars="200"/>
        <w:jc w:val="left"/>
        <w:rPr>
          <w:rFonts w:hint="eastAsia" w:ascii="宋体" w:hAnsi="宋体" w:eastAsia="宋体" w:cs="宋体"/>
          <w:szCs w:val="21"/>
          <w:highlight w:val="none"/>
          <w:lang w:val="en-US" w:eastAsia="zh-CN"/>
        </w:rPr>
      </w:pPr>
      <w:bookmarkStart w:id="408" w:name="_Toc247085715"/>
      <w:bookmarkStart w:id="409" w:name="_Toc246996944"/>
      <w:bookmarkStart w:id="410" w:name="_Toc296602445"/>
      <w:bookmarkStart w:id="411" w:name="_Toc144974525"/>
      <w:bookmarkStart w:id="412" w:name="_Toc179632575"/>
      <w:bookmarkStart w:id="413" w:name="_Toc152042333"/>
      <w:bookmarkStart w:id="414" w:name="_Toc324404840"/>
      <w:bookmarkStart w:id="415" w:name="_Toc152045557"/>
      <w:bookmarkStart w:id="416" w:name="_Toc246996201"/>
      <w:r>
        <w:rPr>
          <w:rFonts w:hint="eastAsia" w:ascii="宋体" w:hAnsi="宋体" w:eastAsia="宋体" w:cs="宋体"/>
          <w:szCs w:val="21"/>
          <w:highlight w:val="none"/>
          <w:lang w:val="en-US" w:eastAsia="zh-CN"/>
        </w:rPr>
        <w:t>4.2.1投标文件应按照本章第3.5.6项要求制作并加密，未按要求加密的投标文件将被拒绝接收。以投标人在投标截止时间前网上递交的电子投标文件为准。</w:t>
      </w:r>
    </w:p>
    <w:p w14:paraId="1C1625AE">
      <w:pPr>
        <w:pStyle w:val="3"/>
        <w:ind w:firstLine="422" w:firstLineChars="200"/>
        <w:rPr>
          <w:rFonts w:hint="eastAsia" w:ascii="宋体" w:hAnsi="宋体" w:eastAsia="宋体" w:cs="宋体"/>
          <w:highlight w:val="none"/>
        </w:rPr>
      </w:pPr>
      <w:bookmarkStart w:id="417" w:name="_Toc506107293"/>
      <w:bookmarkStart w:id="418" w:name="_Toc95223363"/>
      <w:bookmarkStart w:id="419" w:name="_Toc60061460"/>
      <w:bookmarkStart w:id="420" w:name="_Toc15058872"/>
      <w:bookmarkStart w:id="421" w:name="_Toc83301715"/>
      <w:r>
        <w:rPr>
          <w:rFonts w:hint="eastAsia" w:ascii="宋体" w:hAnsi="宋体" w:eastAsia="宋体" w:cs="宋体"/>
          <w:highlight w:val="none"/>
        </w:rPr>
        <w:t>4.3 投标文件的递交</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36874998">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4.3.1 投标人应当在第一章“招标公告”规定的投标截止时间前，将加密投标文件上传至</w:t>
      </w:r>
      <w:r>
        <w:rPr>
          <w:rFonts w:hint="eastAsia" w:ascii="Times New Roman" w:hAnsi="Times New Roman" w:eastAsia="宋体" w:cs="Times New Roman"/>
          <w:highlight w:val="none"/>
          <w:lang w:val="en-US" w:eastAsia="zh-CN"/>
        </w:rPr>
        <w:t>交易系统</w:t>
      </w:r>
      <w:r>
        <w:rPr>
          <w:rFonts w:hint="eastAsia" w:ascii="宋体" w:hAnsi="宋体" w:eastAsia="宋体" w:cs="宋体"/>
          <w:szCs w:val="21"/>
          <w:highlight w:val="none"/>
          <w:lang w:val="en-US" w:eastAsia="zh-CN"/>
        </w:rPr>
        <w:t>。</w:t>
      </w:r>
    </w:p>
    <w:p w14:paraId="267A96E6">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4.3.2 除投标人须知前附表另有规定外，投标人所递交的投标文件不予退还。</w:t>
      </w:r>
    </w:p>
    <w:p w14:paraId="1F9C95CD">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4.3.3 投标人应当在投标截止时间前完成投标文件的网上递交， 并可以补充、修改或者撤回投标文件。投标截止时间前未完成投标文件网上递交的，视为撤回投标文件。未按规定加密或投标截止时间后通过网上招标投标系统递交电子投标文件的，电子交易系统应当拒收，投标无效。</w:t>
      </w:r>
    </w:p>
    <w:p w14:paraId="10EA5B88">
      <w:pPr>
        <w:pStyle w:val="3"/>
        <w:ind w:firstLine="422" w:firstLineChars="200"/>
        <w:rPr>
          <w:rFonts w:hint="eastAsia" w:ascii="宋体" w:hAnsi="宋体" w:eastAsia="宋体" w:cs="宋体"/>
          <w:highlight w:val="none"/>
        </w:rPr>
      </w:pPr>
      <w:bookmarkStart w:id="422" w:name="_Toc83301716"/>
      <w:bookmarkStart w:id="423" w:name="_Toc60061461"/>
      <w:bookmarkStart w:id="424" w:name="_Toc95223364"/>
      <w:r>
        <w:rPr>
          <w:rFonts w:hint="eastAsia" w:ascii="宋体" w:hAnsi="宋体" w:eastAsia="宋体" w:cs="宋体"/>
          <w:highlight w:val="none"/>
        </w:rPr>
        <w:t>4.4 投标文件的修改与撤回</w:t>
      </w:r>
      <w:bookmarkEnd w:id="422"/>
      <w:bookmarkEnd w:id="423"/>
      <w:bookmarkEnd w:id="424"/>
    </w:p>
    <w:p w14:paraId="64F97846">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4.4.1在第一章“招标公告”规定的投标截止时间前，投标人可以自行从网上交易系统撤回已递交的投标文件，并可修改后重新加密上传，开标时以投标截止时间前投标人最终上传的投标文件为准。</w:t>
      </w:r>
    </w:p>
    <w:bookmarkEnd w:id="389"/>
    <w:bookmarkEnd w:id="390"/>
    <w:bookmarkEnd w:id="391"/>
    <w:bookmarkEnd w:id="392"/>
    <w:bookmarkEnd w:id="393"/>
    <w:p w14:paraId="7AF40F87">
      <w:pPr>
        <w:pStyle w:val="3"/>
        <w:spacing w:beforeLines="50" w:afterLines="50"/>
        <w:ind w:firstLine="482" w:firstLineChars="200"/>
        <w:rPr>
          <w:rFonts w:ascii="宋体" w:hAnsi="宋体" w:eastAsia="宋体" w:cs="宋体"/>
          <w:sz w:val="24"/>
          <w:szCs w:val="24"/>
          <w:highlight w:val="none"/>
        </w:rPr>
      </w:pPr>
      <w:bookmarkStart w:id="425" w:name="_Toc179632577"/>
      <w:bookmarkStart w:id="426" w:name="_Toc324404842"/>
      <w:bookmarkStart w:id="427" w:name="_Toc247085717"/>
      <w:bookmarkStart w:id="428" w:name="_Toc152045559"/>
      <w:bookmarkStart w:id="429" w:name="_Toc15058874"/>
      <w:bookmarkStart w:id="430" w:name="_Toc144974527"/>
      <w:bookmarkStart w:id="431" w:name="_Toc246996203"/>
      <w:bookmarkStart w:id="432" w:name="_Toc35425081"/>
      <w:bookmarkStart w:id="433" w:name="_Toc246996946"/>
      <w:bookmarkStart w:id="434" w:name="_Toc35424915"/>
      <w:bookmarkStart w:id="435" w:name="_Toc506107295"/>
      <w:bookmarkStart w:id="436" w:name="_Toc29639"/>
      <w:bookmarkStart w:id="437" w:name="_Toc152042335"/>
      <w:bookmarkStart w:id="438" w:name="_Toc78803348"/>
      <w:r>
        <w:rPr>
          <w:rFonts w:hint="eastAsia" w:ascii="宋体" w:hAnsi="宋体" w:eastAsia="宋体" w:cs="宋体"/>
          <w:sz w:val="24"/>
          <w:szCs w:val="24"/>
          <w:highlight w:val="none"/>
        </w:rPr>
        <w:t>5. 开标</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44DFC292">
      <w:pPr>
        <w:pStyle w:val="3"/>
        <w:ind w:firstLine="422" w:firstLineChars="200"/>
        <w:rPr>
          <w:rFonts w:ascii="宋体" w:hAnsi="宋体" w:eastAsia="宋体" w:cs="宋体"/>
          <w:highlight w:val="none"/>
        </w:rPr>
      </w:pPr>
      <w:bookmarkStart w:id="439" w:name="_Toc179632578"/>
      <w:bookmarkStart w:id="440" w:name="_Toc144974528"/>
      <w:bookmarkStart w:id="441" w:name="_Toc152042336"/>
      <w:bookmarkStart w:id="442" w:name="_Toc152045560"/>
      <w:bookmarkStart w:id="443" w:name="_Toc506107296"/>
      <w:bookmarkStart w:id="444" w:name="_Toc324404843"/>
      <w:bookmarkStart w:id="445" w:name="_Toc35424916"/>
      <w:bookmarkStart w:id="446" w:name="_Toc78803349"/>
      <w:bookmarkStart w:id="447" w:name="_Toc296602448"/>
      <w:bookmarkStart w:id="448" w:name="_Toc246996947"/>
      <w:bookmarkStart w:id="449" w:name="_Toc15058875"/>
      <w:bookmarkStart w:id="450" w:name="_Toc246996204"/>
      <w:bookmarkStart w:id="451" w:name="_Toc13691"/>
      <w:bookmarkStart w:id="452" w:name="_Toc247085718"/>
      <w:bookmarkStart w:id="453" w:name="_Toc35425082"/>
      <w:r>
        <w:rPr>
          <w:rFonts w:hint="eastAsia" w:ascii="宋体" w:hAnsi="宋体" w:eastAsia="宋体" w:cs="宋体"/>
          <w:highlight w:val="none"/>
        </w:rPr>
        <w:t>5.1 开标时间和地点</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3EA480E2">
      <w:pPr>
        <w:adjustRightInd w:val="0"/>
        <w:snapToGrid w:val="0"/>
        <w:spacing w:line="560" w:lineRule="exact"/>
        <w:ind w:firstLine="420" w:firstLineChars="200"/>
        <w:rPr>
          <w:rFonts w:hint="eastAsia" w:ascii="宋体" w:hAnsi="宋体" w:cs="宋体"/>
          <w:color w:val="000000"/>
          <w:szCs w:val="21"/>
        </w:rPr>
      </w:pPr>
      <w:bookmarkStart w:id="454" w:name="_Toc144974529"/>
      <w:bookmarkStart w:id="455" w:name="_Toc179632579"/>
      <w:bookmarkStart w:id="456" w:name="_Toc32451"/>
      <w:bookmarkStart w:id="457" w:name="_Toc152045561"/>
      <w:bookmarkStart w:id="458" w:name="_Toc35424917"/>
      <w:bookmarkStart w:id="459" w:name="_Toc296602449"/>
      <w:bookmarkStart w:id="460" w:name="_Toc246996205"/>
      <w:bookmarkStart w:id="461" w:name="_Toc246996948"/>
      <w:bookmarkStart w:id="462" w:name="_Toc506107297"/>
      <w:bookmarkStart w:id="463" w:name="_Toc324404844"/>
      <w:bookmarkStart w:id="464" w:name="_Toc15058876"/>
      <w:bookmarkStart w:id="465" w:name="_Toc247085719"/>
      <w:bookmarkStart w:id="466" w:name="_Toc152042337"/>
      <w:bookmarkStart w:id="467" w:name="_Toc78803350"/>
      <w:bookmarkStart w:id="468" w:name="_Toc35425083"/>
      <w:r>
        <w:rPr>
          <w:rFonts w:hint="eastAsia" w:ascii="宋体" w:hAnsi="宋体" w:cs="宋体"/>
          <w:color w:val="000000"/>
          <w:szCs w:val="21"/>
        </w:rPr>
        <w:t>招标人在第一章“招标公告”规定的投标截止时间前（开标时间）和地点</w:t>
      </w:r>
      <w:r>
        <w:rPr>
          <w:color w:val="000000"/>
        </w:rPr>
        <w:t>通过交易系统公开开标</w:t>
      </w:r>
      <w:r>
        <w:rPr>
          <w:rFonts w:hint="eastAsia" w:ascii="宋体" w:hAnsi="宋体" w:cs="宋体"/>
          <w:color w:val="000000"/>
          <w:szCs w:val="21"/>
        </w:rPr>
        <w:t>。</w:t>
      </w:r>
    </w:p>
    <w:p w14:paraId="72027328">
      <w:pPr>
        <w:pStyle w:val="3"/>
        <w:ind w:firstLine="422" w:firstLineChars="200"/>
        <w:rPr>
          <w:rFonts w:ascii="宋体" w:hAnsi="宋体" w:eastAsia="宋体" w:cs="宋体"/>
          <w:highlight w:val="none"/>
        </w:rPr>
      </w:pPr>
      <w:r>
        <w:rPr>
          <w:rFonts w:hint="eastAsia" w:ascii="宋体" w:hAnsi="宋体" w:eastAsia="宋体" w:cs="宋体"/>
          <w:highlight w:val="none"/>
        </w:rPr>
        <w:t>5.2 开标程序</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0B511289">
      <w:pPr>
        <w:adjustRightInd w:val="0"/>
        <w:snapToGrid w:val="0"/>
        <w:spacing w:line="560" w:lineRule="exact"/>
        <w:ind w:firstLine="420" w:firstLineChars="200"/>
        <w:rPr>
          <w:rFonts w:hint="eastAsia" w:ascii="宋体" w:hAnsi="宋体" w:eastAsia="宋体" w:cs="宋体"/>
          <w:color w:val="000000"/>
          <w:szCs w:val="21"/>
        </w:rPr>
      </w:pPr>
      <w:bookmarkStart w:id="469" w:name="_Toc152045562"/>
      <w:bookmarkStart w:id="470" w:name="_Toc78803352"/>
      <w:bookmarkStart w:id="471" w:name="_Toc247085720"/>
      <w:bookmarkStart w:id="472" w:name="_Toc324404846"/>
      <w:bookmarkStart w:id="473" w:name="_Toc20689"/>
      <w:bookmarkStart w:id="474" w:name="_Toc506107299"/>
      <w:bookmarkStart w:id="475" w:name="_Toc152042338"/>
      <w:bookmarkStart w:id="476" w:name="_Toc179632580"/>
      <w:bookmarkStart w:id="477" w:name="_Toc35425085"/>
      <w:bookmarkStart w:id="478" w:name="_Toc246996206"/>
      <w:bookmarkStart w:id="479" w:name="_Toc144974530"/>
      <w:bookmarkStart w:id="480" w:name="_Toc246996949"/>
      <w:bookmarkStart w:id="481" w:name="_Toc35424919"/>
      <w:bookmarkStart w:id="482" w:name="_Toc15058884"/>
      <w:r>
        <w:rPr>
          <w:rFonts w:hint="eastAsia" w:ascii="宋体" w:hAnsi="宋体" w:eastAsia="宋体" w:cs="宋体"/>
          <w:color w:val="000000"/>
          <w:szCs w:val="21"/>
        </w:rPr>
        <w:t>主持人按下列程序进行开标：</w:t>
      </w:r>
    </w:p>
    <w:p w14:paraId="69335D40">
      <w:pPr>
        <w:adjustRightInd w:val="0"/>
        <w:snapToGrid w:val="0"/>
        <w:spacing w:line="5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（1）公布在投标截止时间前通过电子交易系统完成投标文件递交的投标人名称；</w:t>
      </w:r>
    </w:p>
    <w:p w14:paraId="3FE3B9E5">
      <w:pPr>
        <w:adjustRightInd w:val="0"/>
        <w:snapToGrid w:val="0"/>
        <w:spacing w:line="5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（2）投标人在投标截止时间后在投标人须知前附表规定的解密时间内完成投标文件的解密工作；</w:t>
      </w:r>
    </w:p>
    <w:p w14:paraId="09913E1C">
      <w:pPr>
        <w:adjustRightInd w:val="0"/>
        <w:snapToGrid w:val="0"/>
        <w:spacing w:line="5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（3）招标人或招标代理机构完成解密工作，导入并读取所有成功解密的投标文件；</w:t>
      </w:r>
    </w:p>
    <w:p w14:paraId="3C9672BD">
      <w:pPr>
        <w:adjustRightInd w:val="0"/>
        <w:snapToGrid w:val="0"/>
        <w:spacing w:line="5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（4）按投标人须知前附表规定公布投标人名称、标段名称、投标报价、质量目标、工期及其他内容；</w:t>
      </w:r>
    </w:p>
    <w:p w14:paraId="4611C8FD">
      <w:pPr>
        <w:adjustRightInd w:val="0"/>
        <w:snapToGrid w:val="0"/>
        <w:spacing w:line="560" w:lineRule="exact"/>
        <w:rPr>
          <w:rFonts w:hint="eastAsia" w:ascii="宋体" w:hAnsi="宋体" w:cs="宋体"/>
          <w:color w:val="000000"/>
          <w:szCs w:val="21"/>
        </w:rPr>
      </w:pPr>
      <w:r>
        <w:rPr>
          <w:rFonts w:hint="eastAsia" w:ascii="宋体" w:hAnsi="宋体" w:cs="宋体"/>
          <w:color w:val="000000"/>
          <w:szCs w:val="21"/>
        </w:rPr>
        <w:t xml:space="preserve">    （5）开标结束。</w:t>
      </w:r>
    </w:p>
    <w:p w14:paraId="0FABB25E">
      <w:pPr>
        <w:pStyle w:val="3"/>
        <w:spacing w:beforeLines="50" w:afterLines="50"/>
        <w:ind w:firstLine="482" w:firstLineChars="200"/>
        <w:rPr>
          <w:rFonts w:ascii="宋体" w:hAnsi="宋体" w:eastAsia="宋体" w:cs="宋体"/>
          <w:sz w:val="24"/>
          <w:szCs w:val="24"/>
          <w:highlight w:val="none"/>
        </w:rPr>
      </w:pPr>
      <w:r>
        <w:rPr>
          <w:rFonts w:hint="eastAsia" w:ascii="宋体" w:hAnsi="宋体" w:eastAsia="宋体" w:cs="宋体"/>
          <w:sz w:val="24"/>
          <w:szCs w:val="24"/>
          <w:highlight w:val="none"/>
        </w:rPr>
        <w:t>6. 评标</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14:paraId="6D7B4E38">
      <w:pPr>
        <w:pStyle w:val="3"/>
        <w:ind w:firstLine="422" w:firstLineChars="200"/>
        <w:rPr>
          <w:rFonts w:hint="eastAsia" w:ascii="宋体" w:hAnsi="宋体" w:eastAsia="宋体" w:cs="宋体"/>
          <w:highlight w:val="none"/>
        </w:rPr>
      </w:pPr>
      <w:bookmarkStart w:id="483" w:name="_Toc246996207"/>
      <w:bookmarkStart w:id="484" w:name="_Toc60061467"/>
      <w:bookmarkStart w:id="485" w:name="_Toc247085721"/>
      <w:bookmarkStart w:id="486" w:name="_Toc506107300"/>
      <w:bookmarkStart w:id="487" w:name="_Toc324404847"/>
      <w:bookmarkStart w:id="488" w:name="_Toc179632581"/>
      <w:bookmarkStart w:id="489" w:name="_Toc296602452"/>
      <w:bookmarkStart w:id="490" w:name="_Toc83301722"/>
      <w:bookmarkStart w:id="491" w:name="_Toc95223370"/>
      <w:bookmarkStart w:id="492" w:name="_Toc152042339"/>
      <w:bookmarkStart w:id="493" w:name="_Toc152045563"/>
      <w:bookmarkStart w:id="494" w:name="_Toc246996950"/>
      <w:bookmarkStart w:id="495" w:name="_Toc144974531"/>
      <w:bookmarkStart w:id="496" w:name="_Toc15058885"/>
      <w:bookmarkStart w:id="497" w:name="_Toc246996208"/>
      <w:bookmarkStart w:id="498" w:name="_Toc324404848"/>
      <w:bookmarkStart w:id="499" w:name="_Toc144974532"/>
      <w:bookmarkStart w:id="500" w:name="_Toc296602453"/>
      <w:bookmarkStart w:id="501" w:name="_Toc179632582"/>
      <w:bookmarkStart w:id="502" w:name="_Toc152042340"/>
      <w:bookmarkStart w:id="503" w:name="_Toc12948"/>
      <w:bookmarkStart w:id="504" w:name="_Toc15058886"/>
      <w:bookmarkStart w:id="505" w:name="_Toc78803354"/>
      <w:bookmarkStart w:id="506" w:name="_Toc152045564"/>
      <w:bookmarkStart w:id="507" w:name="_Toc247085722"/>
      <w:bookmarkStart w:id="508" w:name="_Toc35425087"/>
      <w:bookmarkStart w:id="509" w:name="_Toc506107301"/>
      <w:bookmarkStart w:id="510" w:name="_Toc246996951"/>
      <w:bookmarkStart w:id="511" w:name="_Toc35424921"/>
      <w:r>
        <w:rPr>
          <w:rFonts w:hint="eastAsia" w:ascii="宋体" w:hAnsi="宋体" w:eastAsia="宋体" w:cs="宋体"/>
          <w:highlight w:val="none"/>
        </w:rPr>
        <w:t>6.1 评标委员会</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p w14:paraId="4E04D39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29F69B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6.1.2 评标委员会成员有下列情形之一的，应当回避：</w:t>
      </w:r>
    </w:p>
    <w:p w14:paraId="73C97D41">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（1）项目主管部门或行政监督管理部门的工作人员； </w:t>
      </w:r>
    </w:p>
    <w:p w14:paraId="2C74894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（2）与竞争主体主要负责人或者授权参与交易的代理人有近亲属关系的人员； </w:t>
      </w:r>
    </w:p>
    <w:p w14:paraId="2117A82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（3）竞争主体的工作人员或者退休人员； </w:t>
      </w:r>
    </w:p>
    <w:p w14:paraId="33843AD1">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（4）竞争主体的上级主管、控股或者被控股单位等相关利害关系的人员，或任职单位与竞争主体单位为同一法定代表人的。 </w:t>
      </w:r>
    </w:p>
    <w:p w14:paraId="0C395A6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（5）存在其他法定回避情形的</w:t>
      </w:r>
    </w:p>
    <w:p w14:paraId="175B40D3">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项目实施主体及其子公司、下属单位、上级主管部门或者控股公司的工作人员或者退休人员不得以专家身份参与本单位或者代理项目的评标评审。 </w:t>
      </w:r>
    </w:p>
    <w:p w14:paraId="3E7C33F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评标委员会或评审机构成员有前两款规定情形的，应当主动提出回避；已经进入的应当更换，被更换的成员评标评审意见无效。</w:t>
      </w:r>
    </w:p>
    <w:p w14:paraId="0DC1ABC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2C15BB0C">
      <w:pPr>
        <w:pStyle w:val="3"/>
        <w:ind w:firstLine="422" w:firstLineChars="200"/>
        <w:rPr>
          <w:rFonts w:ascii="宋体" w:hAnsi="宋体" w:eastAsia="宋体" w:cs="宋体"/>
          <w:highlight w:val="none"/>
        </w:rPr>
      </w:pPr>
      <w:r>
        <w:rPr>
          <w:rFonts w:hint="eastAsia" w:ascii="宋体" w:hAnsi="宋体" w:eastAsia="宋体" w:cs="宋体"/>
          <w:highlight w:val="none"/>
        </w:rPr>
        <w:t>6.2 评标原则</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47DBC71C">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评标活动遵循公平、公正、科学和择优的原则。</w:t>
      </w:r>
    </w:p>
    <w:p w14:paraId="298BCB48">
      <w:pPr>
        <w:pStyle w:val="3"/>
        <w:ind w:firstLine="422" w:firstLineChars="200"/>
        <w:rPr>
          <w:rFonts w:ascii="宋体" w:hAnsi="宋体" w:eastAsia="宋体" w:cs="宋体"/>
          <w:highlight w:val="none"/>
        </w:rPr>
      </w:pPr>
      <w:bookmarkStart w:id="512" w:name="_Toc144974533"/>
      <w:bookmarkStart w:id="513" w:name="_Toc324404849"/>
      <w:bookmarkStart w:id="514" w:name="_Toc35425088"/>
      <w:bookmarkStart w:id="515" w:name="_Toc296602454"/>
      <w:bookmarkStart w:id="516" w:name="_Toc506107302"/>
      <w:bookmarkStart w:id="517" w:name="_Toc152042341"/>
      <w:bookmarkStart w:id="518" w:name="_Toc15058887"/>
      <w:bookmarkStart w:id="519" w:name="_Toc152045565"/>
      <w:bookmarkStart w:id="520" w:name="_Toc246996952"/>
      <w:bookmarkStart w:id="521" w:name="_Toc14892"/>
      <w:bookmarkStart w:id="522" w:name="_Toc247085723"/>
      <w:bookmarkStart w:id="523" w:name="_Toc78803355"/>
      <w:bookmarkStart w:id="524" w:name="_Toc35424922"/>
      <w:bookmarkStart w:id="525" w:name="_Toc179632583"/>
      <w:bookmarkStart w:id="526" w:name="_Toc246996209"/>
      <w:r>
        <w:rPr>
          <w:rFonts w:hint="eastAsia" w:ascii="宋体" w:hAnsi="宋体" w:eastAsia="宋体" w:cs="宋体"/>
          <w:highlight w:val="none"/>
        </w:rPr>
        <w:t>6.3 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4929DC3A">
      <w:pPr>
        <w:spacing w:line="440" w:lineRule="exact"/>
        <w:ind w:firstLine="420" w:firstLineChars="200"/>
        <w:jc w:val="left"/>
        <w:rPr>
          <w:rFonts w:ascii="宋体" w:hAnsi="宋体" w:cs="宋体"/>
          <w:szCs w:val="21"/>
          <w:highlight w:val="none"/>
        </w:rPr>
      </w:pPr>
      <w:bookmarkStart w:id="527" w:name="_Toc246996953"/>
      <w:bookmarkStart w:id="528" w:name="_Toc324404850"/>
      <w:bookmarkStart w:id="529" w:name="_Toc247085724"/>
      <w:bookmarkStart w:id="530" w:name="_Toc179632584"/>
      <w:bookmarkStart w:id="531" w:name="_Toc152042342"/>
      <w:bookmarkStart w:id="532" w:name="_Toc152045566"/>
      <w:bookmarkStart w:id="533" w:name="_Toc246996210"/>
      <w:bookmarkStart w:id="534" w:name="_Toc144974534"/>
      <w:r>
        <w:rPr>
          <w:rFonts w:hint="eastAsia" w:ascii="宋体" w:hAnsi="宋体" w:cs="宋体"/>
          <w:szCs w:val="21"/>
          <w:highlight w:val="none"/>
        </w:rPr>
        <w:t>6.3.1评标委员会按照第</w:t>
      </w:r>
      <w:r>
        <w:rPr>
          <w:rFonts w:hint="eastAsia" w:ascii="宋体" w:hAnsi="宋体" w:cs="宋体"/>
          <w:szCs w:val="21"/>
          <w:highlight w:val="none"/>
          <w:lang w:val="en-US" w:eastAsia="zh-CN"/>
        </w:rPr>
        <w:t>四</w:t>
      </w:r>
      <w:r>
        <w:rPr>
          <w:rFonts w:hint="eastAsia" w:ascii="宋体" w:hAnsi="宋体" w:cs="宋体"/>
          <w:szCs w:val="21"/>
          <w:highlight w:val="none"/>
        </w:rPr>
        <w:t>章“评标办法”规定的方法、评审因素、标准和程序对投标文件进行评审。第</w:t>
      </w:r>
      <w:r>
        <w:rPr>
          <w:rFonts w:hint="eastAsia" w:ascii="宋体" w:hAnsi="宋体" w:cs="宋体"/>
          <w:szCs w:val="21"/>
          <w:highlight w:val="none"/>
          <w:lang w:val="en-US" w:eastAsia="zh-CN"/>
        </w:rPr>
        <w:t>四</w:t>
      </w:r>
      <w:r>
        <w:rPr>
          <w:rFonts w:hint="eastAsia" w:ascii="宋体" w:hAnsi="宋体" w:cs="宋体"/>
          <w:szCs w:val="21"/>
          <w:highlight w:val="none"/>
        </w:rPr>
        <w:t>章“评标办法”没有规定的方法、评审因素和标准，不作为评标依据。</w:t>
      </w:r>
    </w:p>
    <w:p w14:paraId="7D4C1121">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6.3.2评标完成后，评标委员会应向招标人提交书面评标报告和中标候选人名单。评标委员会推荐中标候选人的人数见投标人须知前附表。</w:t>
      </w:r>
    </w:p>
    <w:p w14:paraId="1E17D868">
      <w:pPr>
        <w:pStyle w:val="3"/>
        <w:spacing w:beforeLines="50" w:afterLines="50"/>
        <w:ind w:firstLine="482" w:firstLineChars="200"/>
        <w:rPr>
          <w:rFonts w:ascii="宋体" w:hAnsi="宋体" w:eastAsia="宋体" w:cs="宋体"/>
          <w:sz w:val="24"/>
          <w:szCs w:val="24"/>
          <w:highlight w:val="none"/>
        </w:rPr>
      </w:pPr>
      <w:bookmarkStart w:id="535" w:name="_Toc78803356"/>
      <w:bookmarkStart w:id="536" w:name="_Toc35424923"/>
      <w:bookmarkStart w:id="537" w:name="_Toc15058888"/>
      <w:bookmarkStart w:id="538" w:name="_Toc506107303"/>
      <w:bookmarkStart w:id="539" w:name="_Toc26182"/>
      <w:bookmarkStart w:id="540" w:name="_Toc35425089"/>
      <w:r>
        <w:rPr>
          <w:rFonts w:hint="eastAsia" w:ascii="宋体" w:hAnsi="宋体" w:eastAsia="宋体" w:cs="宋体"/>
          <w:sz w:val="24"/>
          <w:szCs w:val="24"/>
          <w:highlight w:val="none"/>
        </w:rPr>
        <w:t>7. 合同授予</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070C7520">
      <w:pPr>
        <w:pStyle w:val="3"/>
        <w:ind w:firstLine="422" w:firstLineChars="200"/>
        <w:rPr>
          <w:rFonts w:hint="eastAsia" w:ascii="宋体" w:hAnsi="宋体" w:eastAsia="宋体" w:cs="宋体"/>
          <w:highlight w:val="none"/>
        </w:rPr>
      </w:pPr>
      <w:bookmarkStart w:id="541" w:name="_Toc83301726"/>
      <w:bookmarkStart w:id="542" w:name="_Toc15058890"/>
      <w:bookmarkStart w:id="543" w:name="_Toc296602457"/>
      <w:bookmarkStart w:id="544" w:name="_Toc324404852"/>
      <w:bookmarkStart w:id="545" w:name="_Toc506107305"/>
      <w:bookmarkStart w:id="546" w:name="_Toc95223374"/>
      <w:bookmarkStart w:id="547" w:name="_Toc60061472"/>
      <w:bookmarkStart w:id="548" w:name="_Toc8261"/>
      <w:bookmarkStart w:id="549" w:name="_Toc35424926"/>
      <w:bookmarkStart w:id="550" w:name="_Toc35425092"/>
      <w:bookmarkStart w:id="551" w:name="_Toc27040"/>
      <w:bookmarkStart w:id="552" w:name="_Toc78803359"/>
      <w:bookmarkStart w:id="553" w:name="_Toc246996212"/>
      <w:bookmarkStart w:id="554" w:name="_Toc246996955"/>
      <w:bookmarkStart w:id="555" w:name="_Toc179632586"/>
      <w:bookmarkStart w:id="556" w:name="_Toc144974536"/>
      <w:bookmarkStart w:id="557" w:name="_Toc247085726"/>
      <w:bookmarkStart w:id="558" w:name="_Toc35424927"/>
      <w:bookmarkStart w:id="559" w:name="_Toc324404853"/>
      <w:bookmarkStart w:id="560" w:name="_Toc506107306"/>
      <w:bookmarkStart w:id="561" w:name="_Toc35425093"/>
      <w:bookmarkStart w:id="562" w:name="_Toc14692"/>
      <w:bookmarkStart w:id="563" w:name="_Toc152045568"/>
      <w:bookmarkStart w:id="564" w:name="_Toc15058891"/>
      <w:bookmarkStart w:id="565" w:name="_Toc296602458"/>
      <w:bookmarkStart w:id="566" w:name="_Toc152042344"/>
      <w:r>
        <w:rPr>
          <w:rFonts w:hint="eastAsia" w:ascii="宋体" w:hAnsi="宋体" w:eastAsia="宋体" w:cs="宋体"/>
          <w:highlight w:val="none"/>
        </w:rPr>
        <w:t>7.1 中标候选人公示</w:t>
      </w:r>
      <w:bookmarkEnd w:id="541"/>
      <w:bookmarkEnd w:id="542"/>
      <w:bookmarkEnd w:id="543"/>
      <w:bookmarkEnd w:id="544"/>
      <w:bookmarkEnd w:id="545"/>
      <w:bookmarkEnd w:id="546"/>
      <w:bookmarkEnd w:id="547"/>
    </w:p>
    <w:p w14:paraId="3D3C9E8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招标人在收到评标报告之日起3日内，按照投标人须知前附表规定的公示媒介和期限依法公示。中标候选人公示期不得少于3日。</w:t>
      </w:r>
    </w:p>
    <w:p w14:paraId="02BCD838">
      <w:pPr>
        <w:pStyle w:val="3"/>
        <w:ind w:firstLine="422" w:firstLineChars="200"/>
        <w:rPr>
          <w:rFonts w:hint="eastAsia" w:ascii="宋体" w:hAnsi="宋体" w:eastAsia="宋体" w:cs="宋体"/>
          <w:highlight w:val="none"/>
        </w:rPr>
      </w:pPr>
      <w:r>
        <w:rPr>
          <w:rFonts w:hint="eastAsia" w:ascii="宋体" w:hAnsi="宋体" w:eastAsia="宋体" w:cs="宋体"/>
          <w:highlight w:val="none"/>
        </w:rPr>
        <w:t>7.2 评标结果异议</w:t>
      </w:r>
    </w:p>
    <w:p w14:paraId="6D874A6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投标人或其他利害关系人对评标结果有异议的，应在中标候选人公示期内提出。招标人将在收到异议之日起3日内作出答复；作出答复前，将暂停招标投标活动。</w:t>
      </w:r>
    </w:p>
    <w:p w14:paraId="1D0EB461">
      <w:pPr>
        <w:pStyle w:val="3"/>
        <w:ind w:firstLine="422" w:firstLineChars="200"/>
        <w:rPr>
          <w:rFonts w:ascii="宋体" w:hAnsi="宋体" w:eastAsia="宋体" w:cs="宋体"/>
          <w:highlight w:val="none"/>
        </w:rPr>
      </w:pPr>
      <w:r>
        <w:rPr>
          <w:rFonts w:hint="eastAsia" w:ascii="宋体" w:hAnsi="宋体" w:eastAsia="宋体" w:cs="宋体"/>
          <w:highlight w:val="none"/>
        </w:rPr>
        <w:t>7.</w:t>
      </w:r>
      <w:r>
        <w:rPr>
          <w:rFonts w:hint="eastAsia" w:ascii="宋体" w:hAnsi="宋体" w:eastAsia="宋体" w:cs="宋体"/>
          <w:highlight w:val="none"/>
          <w:lang w:val="en-US" w:eastAsia="zh-CN"/>
        </w:rPr>
        <w:t>3</w:t>
      </w:r>
      <w:r>
        <w:rPr>
          <w:rFonts w:hint="eastAsia" w:ascii="宋体" w:hAnsi="宋体" w:eastAsia="宋体" w:cs="宋体"/>
          <w:highlight w:val="none"/>
        </w:rPr>
        <w:t xml:space="preserve"> </w:t>
      </w:r>
      <w:bookmarkEnd w:id="548"/>
      <w:bookmarkEnd w:id="549"/>
      <w:bookmarkEnd w:id="550"/>
      <w:bookmarkEnd w:id="551"/>
      <w:bookmarkEnd w:id="552"/>
      <w:r>
        <w:rPr>
          <w:rFonts w:hint="eastAsia" w:ascii="宋体" w:hAnsi="宋体" w:eastAsia="宋体" w:cs="宋体"/>
          <w:highlight w:val="none"/>
        </w:rPr>
        <w:t>定标</w:t>
      </w:r>
    </w:p>
    <w:p w14:paraId="117D2B8C">
      <w:pPr>
        <w:spacing w:line="440" w:lineRule="exact"/>
        <w:ind w:firstLine="420" w:firstLineChars="200"/>
        <w:jc w:val="left"/>
        <w:rPr>
          <w:rFonts w:hint="eastAsia" w:ascii="宋体" w:hAnsi="宋体" w:eastAsia="宋体" w:cs="宋体"/>
          <w:szCs w:val="21"/>
          <w:highlight w:val="none"/>
        </w:rPr>
      </w:pPr>
      <w:bookmarkStart w:id="567" w:name="_Toc4204"/>
      <w:bookmarkStart w:id="568" w:name="_Toc78803360"/>
      <w:r>
        <w:rPr>
          <w:rFonts w:hint="eastAsia" w:ascii="宋体" w:hAnsi="宋体" w:eastAsia="宋体" w:cs="宋体"/>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5B9A367">
      <w:pPr>
        <w:pStyle w:val="3"/>
        <w:ind w:firstLine="422" w:firstLineChars="200"/>
        <w:rPr>
          <w:rFonts w:hint="eastAsia" w:ascii="宋体" w:hAnsi="宋体" w:eastAsia="宋体" w:cs="宋体"/>
          <w:highlight w:val="none"/>
        </w:rPr>
      </w:pPr>
      <w:bookmarkStart w:id="569" w:name="_Toc95223376"/>
      <w:bookmarkStart w:id="570" w:name="_Toc83301728"/>
      <w:r>
        <w:rPr>
          <w:rFonts w:hint="eastAsia" w:ascii="宋体" w:hAnsi="宋体" w:eastAsia="宋体" w:cs="宋体"/>
          <w:highlight w:val="none"/>
        </w:rPr>
        <w:t>7.</w:t>
      </w:r>
      <w:r>
        <w:rPr>
          <w:rFonts w:hint="eastAsia" w:ascii="宋体" w:hAnsi="宋体" w:eastAsia="宋体" w:cs="宋体"/>
          <w:highlight w:val="none"/>
          <w:lang w:val="en-US" w:eastAsia="zh-CN"/>
        </w:rPr>
        <w:t>4</w:t>
      </w:r>
      <w:r>
        <w:rPr>
          <w:rFonts w:hint="eastAsia" w:ascii="宋体" w:hAnsi="宋体" w:eastAsia="宋体" w:cs="宋体"/>
          <w:highlight w:val="none"/>
        </w:rPr>
        <w:t xml:space="preserve"> 中标通知</w:t>
      </w:r>
      <w:bookmarkEnd w:id="569"/>
      <w:bookmarkEnd w:id="570"/>
    </w:p>
    <w:p w14:paraId="768E4E46">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在本招标文件规定的投标有效期内，招标人向中标人发出中标通知书，同时将中标结果通知未中标的投标人。</w:t>
      </w:r>
    </w:p>
    <w:p w14:paraId="045D8AA7">
      <w:pPr>
        <w:pStyle w:val="3"/>
        <w:ind w:firstLine="422" w:firstLineChars="200"/>
        <w:rPr>
          <w:rFonts w:hint="eastAsia" w:ascii="宋体" w:hAnsi="宋体" w:eastAsia="宋体" w:cs="宋体"/>
          <w:highlight w:val="none"/>
        </w:rPr>
      </w:pPr>
      <w:bookmarkStart w:id="571" w:name="_Toc95223377"/>
      <w:r>
        <w:rPr>
          <w:rFonts w:hint="eastAsia" w:ascii="宋体" w:hAnsi="宋体" w:eastAsia="宋体" w:cs="宋体"/>
          <w:highlight w:val="none"/>
        </w:rPr>
        <w:t>7.</w:t>
      </w:r>
      <w:r>
        <w:rPr>
          <w:rFonts w:hint="eastAsia" w:ascii="宋体" w:hAnsi="宋体" w:eastAsia="宋体" w:cs="宋体"/>
          <w:highlight w:val="none"/>
          <w:lang w:val="en-US" w:eastAsia="zh-CN"/>
        </w:rPr>
        <w:t xml:space="preserve">5 </w:t>
      </w:r>
      <w:r>
        <w:rPr>
          <w:rFonts w:hint="eastAsia" w:ascii="宋体" w:hAnsi="宋体" w:eastAsia="宋体" w:cs="宋体"/>
          <w:highlight w:val="none"/>
        </w:rPr>
        <w:t>中标结果公示</w:t>
      </w:r>
      <w:bookmarkEnd w:id="571"/>
    </w:p>
    <w:p w14:paraId="0718115A">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招标人在确定中标人之日起3日内，按照投标人须知前附表规定的公示媒介和期限公示中标结果。</w:t>
      </w:r>
    </w:p>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14:paraId="76BD1912">
      <w:pPr>
        <w:pStyle w:val="3"/>
        <w:ind w:firstLine="422" w:firstLineChars="200"/>
        <w:rPr>
          <w:rFonts w:ascii="宋体" w:hAnsi="宋体" w:eastAsia="宋体" w:cs="宋体"/>
          <w:highlight w:val="none"/>
        </w:rPr>
      </w:pPr>
      <w:bookmarkStart w:id="572" w:name="_Toc25501"/>
      <w:bookmarkStart w:id="573" w:name="_Toc78803362"/>
      <w:bookmarkStart w:id="574" w:name="_Toc15058892"/>
      <w:bookmarkStart w:id="575" w:name="_Toc152042345"/>
      <w:bookmarkStart w:id="576" w:name="_Toc247085727"/>
      <w:bookmarkStart w:id="577" w:name="_Toc324404854"/>
      <w:bookmarkStart w:id="578" w:name="_Toc506107307"/>
      <w:bookmarkStart w:id="579" w:name="_Toc296602459"/>
      <w:bookmarkStart w:id="580" w:name="_Toc152045569"/>
      <w:bookmarkStart w:id="581" w:name="_Toc35425095"/>
      <w:bookmarkStart w:id="582" w:name="_Toc246996213"/>
      <w:bookmarkStart w:id="583" w:name="_Toc144974537"/>
      <w:bookmarkStart w:id="584" w:name="_Toc179632587"/>
      <w:bookmarkStart w:id="585" w:name="_Toc246996956"/>
      <w:bookmarkStart w:id="586" w:name="_Toc35424929"/>
      <w:r>
        <w:rPr>
          <w:rFonts w:hint="eastAsia" w:ascii="宋体" w:hAnsi="宋体" w:eastAsia="宋体" w:cs="宋体"/>
          <w:highlight w:val="none"/>
        </w:rPr>
        <w:t>7.</w:t>
      </w:r>
      <w:r>
        <w:rPr>
          <w:rFonts w:hint="eastAsia" w:ascii="宋体" w:hAnsi="宋体" w:eastAsia="宋体" w:cs="宋体"/>
          <w:highlight w:val="none"/>
          <w:lang w:val="en-US" w:eastAsia="zh-CN"/>
        </w:rPr>
        <w:t>6</w:t>
      </w:r>
      <w:r>
        <w:rPr>
          <w:rFonts w:hint="eastAsia" w:ascii="宋体" w:hAnsi="宋体" w:eastAsia="宋体" w:cs="宋体"/>
          <w:highlight w:val="none"/>
        </w:rPr>
        <w:t xml:space="preserve"> 履约担保</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14:paraId="575A9D53">
      <w:pPr>
        <w:spacing w:line="440" w:lineRule="exact"/>
        <w:ind w:firstLine="420" w:firstLineChars="200"/>
        <w:jc w:val="left"/>
        <w:rPr>
          <w:rFonts w:hint="eastAsia" w:ascii="宋体" w:hAnsi="宋体" w:eastAsia="宋体" w:cs="宋体"/>
          <w:szCs w:val="21"/>
          <w:highlight w:val="none"/>
        </w:rPr>
      </w:pPr>
      <w:bookmarkStart w:id="587" w:name="_Toc35424930"/>
      <w:bookmarkStart w:id="588" w:name="_Toc152042346"/>
      <w:bookmarkStart w:id="589" w:name="_Toc246996957"/>
      <w:bookmarkStart w:id="590" w:name="_Toc296602460"/>
      <w:bookmarkStart w:id="591" w:name="_Toc78803363"/>
      <w:bookmarkStart w:id="592" w:name="_Toc506107308"/>
      <w:bookmarkStart w:id="593" w:name="_Toc246996214"/>
      <w:bookmarkStart w:id="594" w:name="_Toc15058893"/>
      <w:bookmarkStart w:id="595" w:name="_Toc247085728"/>
      <w:bookmarkStart w:id="596" w:name="_Toc324404855"/>
      <w:bookmarkStart w:id="597" w:name="_Toc35425096"/>
      <w:bookmarkStart w:id="598" w:name="_Toc11010"/>
      <w:bookmarkStart w:id="599" w:name="_Toc179632588"/>
      <w:bookmarkStart w:id="600" w:name="_Toc144974538"/>
      <w:bookmarkStart w:id="601" w:name="_Toc152045570"/>
      <w:r>
        <w:rPr>
          <w:rFonts w:hint="eastAsia" w:ascii="宋体" w:hAnsi="宋体" w:eastAsia="宋体" w:cs="宋体"/>
          <w:szCs w:val="21"/>
          <w:highlight w:val="none"/>
        </w:rPr>
        <w:t>7.</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1在签订合同前，中标人应按投标人须知前附表规定的担保形式和招标文件第五章“合同条款及格式”规定的或者事先经过招标人书面认可的履约担保格式向招标人提交履约担保。联合体中标的，其履约担保应符合投标人须知前附表规定的金额、担保形式和招标文件第五章“合同条款及格式”规定的履约担保格式要求。</w:t>
      </w:r>
    </w:p>
    <w:p w14:paraId="4CB87898">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7.</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.2 中标人不能按本章第7.</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.1项要求提交履约担保的，视为放弃中标，其投标保证金不予退还，给招标人造成的损失超过投标保证金数额的，中标人还应当对超过部分予以赔偿。</w:t>
      </w:r>
    </w:p>
    <w:p w14:paraId="3B4E380F">
      <w:pPr>
        <w:pStyle w:val="3"/>
        <w:ind w:firstLine="422" w:firstLineChars="200"/>
        <w:rPr>
          <w:rFonts w:ascii="宋体" w:hAnsi="宋体" w:eastAsia="宋体" w:cs="宋体"/>
          <w:highlight w:val="none"/>
        </w:rPr>
      </w:pPr>
      <w:r>
        <w:rPr>
          <w:rFonts w:hint="eastAsia" w:ascii="宋体" w:hAnsi="宋体" w:eastAsia="宋体" w:cs="宋体"/>
          <w:highlight w:val="none"/>
        </w:rPr>
        <w:t>7.</w:t>
      </w:r>
      <w:r>
        <w:rPr>
          <w:rFonts w:hint="eastAsia" w:ascii="宋体" w:hAnsi="宋体" w:eastAsia="宋体" w:cs="宋体"/>
          <w:highlight w:val="none"/>
          <w:lang w:val="en-US" w:eastAsia="zh-CN"/>
        </w:rPr>
        <w:t>7</w:t>
      </w:r>
      <w:r>
        <w:rPr>
          <w:rFonts w:hint="eastAsia" w:ascii="宋体" w:hAnsi="宋体" w:eastAsia="宋体" w:cs="宋体"/>
          <w:highlight w:val="none"/>
        </w:rPr>
        <w:t xml:space="preserve"> 签订合同</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72DE0C53">
      <w:pPr>
        <w:wordWrap w:val="0"/>
        <w:spacing w:line="440" w:lineRule="exact"/>
        <w:ind w:firstLine="420" w:firstLineChars="200"/>
        <w:jc w:val="left"/>
        <w:rPr>
          <w:rFonts w:hint="eastAsia" w:ascii="宋体" w:hAnsi="宋体" w:eastAsia="宋体" w:cs="宋体"/>
          <w:bCs/>
          <w:szCs w:val="21"/>
          <w:highlight w:val="none"/>
        </w:rPr>
      </w:pPr>
      <w:bookmarkStart w:id="602" w:name="_Toc324404856"/>
      <w:bookmarkStart w:id="603" w:name="_Toc506107309"/>
      <w:bookmarkStart w:id="604" w:name="_Toc15058894"/>
      <w:r>
        <w:rPr>
          <w:rFonts w:hint="eastAsia" w:ascii="宋体" w:hAnsi="宋体" w:eastAsia="宋体" w:cs="宋体"/>
          <w:bCs/>
          <w:szCs w:val="21"/>
          <w:highlight w:val="none"/>
        </w:rPr>
        <w:t>7.</w:t>
      </w: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.1本招标工程的施工合同将授予按本须知第7.</w:t>
      </w:r>
      <w:r>
        <w:rPr>
          <w:rFonts w:hint="eastAsia" w:ascii="宋体" w:hAnsi="宋体" w:cs="宋体"/>
          <w:bCs/>
          <w:szCs w:val="21"/>
          <w:highlight w:val="none"/>
          <w:lang w:val="en-US" w:eastAsia="zh-CN"/>
        </w:rPr>
        <w:t>3</w:t>
      </w:r>
      <w:r>
        <w:rPr>
          <w:rFonts w:hint="eastAsia" w:ascii="宋体" w:hAnsi="宋体" w:eastAsia="宋体" w:cs="宋体"/>
          <w:bCs/>
          <w:szCs w:val="21"/>
          <w:highlight w:val="none"/>
        </w:rPr>
        <w:t xml:space="preserve">条规定所确定的中标人。 </w:t>
      </w:r>
    </w:p>
    <w:p w14:paraId="01C1DF48">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7.</w:t>
      </w: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给招标人造成的损失的，中标人还应当对予以赔偿。</w:t>
      </w:r>
    </w:p>
    <w:p w14:paraId="01E0BEC3">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7.</w:t>
      </w: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.3发出中标通知书后，招标单位无正当理由拒签合同的，给中标人造成损失的，还应当赔偿损失。</w:t>
      </w:r>
    </w:p>
    <w:p w14:paraId="15321B34">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7.</w:t>
      </w: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4除法定情形外，建设工程合同履行期间项目经理（建造师）不得更换。项目经理（建造师）确需变更的，应根据招标文件要求，变更后的项目经理（建造师）不低于投标文件中拟派项目经理（建造师）的资格条件。</w:t>
      </w:r>
    </w:p>
    <w:bookmarkEnd w:id="602"/>
    <w:bookmarkEnd w:id="603"/>
    <w:bookmarkEnd w:id="604"/>
    <w:p w14:paraId="57E42931">
      <w:pPr>
        <w:pStyle w:val="3"/>
        <w:spacing w:beforeLines="50" w:afterLines="50"/>
        <w:ind w:firstLine="422" w:firstLineChars="200"/>
        <w:rPr>
          <w:rFonts w:hint="eastAsia" w:ascii="宋体" w:hAnsi="宋体" w:eastAsia="宋体" w:cs="宋体"/>
          <w:highlight w:val="none"/>
        </w:rPr>
      </w:pPr>
      <w:bookmarkStart w:id="605" w:name="_Toc152042347"/>
      <w:bookmarkStart w:id="606" w:name="_Toc144974539"/>
      <w:bookmarkStart w:id="607" w:name="_Toc179632589"/>
      <w:bookmarkStart w:id="608" w:name="_Toc152045571"/>
      <w:bookmarkStart w:id="609" w:name="_Toc95223381"/>
      <w:bookmarkStart w:id="610" w:name="_Toc60061478"/>
      <w:bookmarkStart w:id="611" w:name="_Toc83301732"/>
      <w:bookmarkStart w:id="612" w:name="_Toc26974"/>
      <w:bookmarkStart w:id="613" w:name="_Toc35425097"/>
      <w:bookmarkStart w:id="614" w:name="_Toc31686"/>
      <w:bookmarkStart w:id="615" w:name="_Toc35424931"/>
      <w:bookmarkStart w:id="616" w:name="_Toc25375"/>
      <w:bookmarkStart w:id="617" w:name="_Toc78803367"/>
      <w:bookmarkStart w:id="618" w:name="_Toc324404864"/>
      <w:bookmarkStart w:id="619" w:name="_Toc35424939"/>
      <w:bookmarkStart w:id="620" w:name="_Toc506107317"/>
      <w:bookmarkStart w:id="621" w:name="_Toc15058902"/>
      <w:bookmarkStart w:id="622" w:name="_Toc35425105"/>
      <w:bookmarkStart w:id="623" w:name="_Toc296602475"/>
      <w:r>
        <w:rPr>
          <w:rFonts w:hint="eastAsia" w:ascii="宋体" w:hAnsi="宋体" w:eastAsia="宋体" w:cs="宋体"/>
          <w:highlight w:val="none"/>
        </w:rPr>
        <w:t>8. 重新招标和不再招标</w:t>
      </w:r>
      <w:bookmarkEnd w:id="605"/>
      <w:bookmarkEnd w:id="606"/>
      <w:bookmarkEnd w:id="607"/>
      <w:bookmarkEnd w:id="608"/>
      <w:bookmarkEnd w:id="609"/>
      <w:bookmarkEnd w:id="610"/>
      <w:bookmarkEnd w:id="611"/>
    </w:p>
    <w:p w14:paraId="774B94FD">
      <w:pPr>
        <w:pStyle w:val="3"/>
        <w:ind w:firstLine="422" w:firstLineChars="200"/>
        <w:rPr>
          <w:rFonts w:hint="eastAsia" w:ascii="宋体" w:hAnsi="宋体" w:eastAsia="宋体" w:cs="宋体"/>
          <w:highlight w:val="none"/>
        </w:rPr>
      </w:pPr>
      <w:bookmarkStart w:id="624" w:name="_Toc95223382"/>
      <w:bookmarkStart w:id="625" w:name="_Toc179632590"/>
      <w:bookmarkStart w:id="626" w:name="_Toc60061479"/>
      <w:bookmarkStart w:id="627" w:name="_Toc152045572"/>
      <w:bookmarkStart w:id="628" w:name="_Toc144974540"/>
      <w:bookmarkStart w:id="629" w:name="_Toc152042348"/>
      <w:bookmarkStart w:id="630" w:name="_Toc83301733"/>
      <w:r>
        <w:rPr>
          <w:rFonts w:hint="eastAsia" w:ascii="宋体" w:hAnsi="宋体" w:eastAsia="宋体" w:cs="宋体"/>
          <w:highlight w:val="none"/>
        </w:rPr>
        <w:t>8.1 重新招标</w:t>
      </w:r>
      <w:bookmarkEnd w:id="624"/>
      <w:bookmarkEnd w:id="625"/>
      <w:bookmarkEnd w:id="626"/>
      <w:bookmarkEnd w:id="627"/>
      <w:bookmarkEnd w:id="628"/>
      <w:bookmarkEnd w:id="629"/>
      <w:bookmarkEnd w:id="630"/>
    </w:p>
    <w:p w14:paraId="243115F1">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依法必须招标的项目有下列情形之一的，招标人将重新招标：</w:t>
      </w:r>
    </w:p>
    <w:p w14:paraId="71A327E5">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（1）投标截止时间止，投标人少于3个的；</w:t>
      </w:r>
    </w:p>
    <w:p w14:paraId="53761C98">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（2）经评标委员会评审后否决所有投标的；</w:t>
      </w:r>
    </w:p>
    <w:p w14:paraId="3412299B">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（3）中标候选人均未与招标人签订合同的；</w:t>
      </w:r>
    </w:p>
    <w:p w14:paraId="4115D547">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（4）法律、法规规定的其他情形。</w:t>
      </w:r>
    </w:p>
    <w:p w14:paraId="077F17AF">
      <w:pPr>
        <w:pStyle w:val="3"/>
        <w:ind w:firstLine="422" w:firstLineChars="200"/>
        <w:rPr>
          <w:rFonts w:hint="eastAsia" w:ascii="宋体" w:hAnsi="宋体" w:eastAsia="宋体" w:cs="宋体"/>
          <w:highlight w:val="none"/>
        </w:rPr>
      </w:pPr>
      <w:bookmarkStart w:id="631" w:name="_Toc83301734"/>
      <w:bookmarkStart w:id="632" w:name="_Toc152045573"/>
      <w:bookmarkStart w:id="633" w:name="_Toc179632591"/>
      <w:bookmarkStart w:id="634" w:name="_Toc60061480"/>
      <w:bookmarkStart w:id="635" w:name="_Toc144974541"/>
      <w:bookmarkStart w:id="636" w:name="_Toc152042349"/>
      <w:bookmarkStart w:id="637" w:name="_Toc95223383"/>
      <w:r>
        <w:rPr>
          <w:rFonts w:hint="eastAsia" w:ascii="宋体" w:hAnsi="宋体" w:eastAsia="宋体" w:cs="宋体"/>
          <w:highlight w:val="none"/>
        </w:rPr>
        <w:t>8.2 不再招标</w:t>
      </w:r>
      <w:bookmarkEnd w:id="631"/>
      <w:bookmarkEnd w:id="632"/>
      <w:bookmarkEnd w:id="633"/>
      <w:bookmarkEnd w:id="634"/>
      <w:bookmarkEnd w:id="635"/>
      <w:bookmarkEnd w:id="636"/>
      <w:bookmarkEnd w:id="637"/>
    </w:p>
    <w:p w14:paraId="79E8730A">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重新招标后投标人仍少于3个或者所有投标被否决的，属于必须审批或核准的工程建设项目，经原审批或核准部门批准后不再进行招标。</w:t>
      </w:r>
    </w:p>
    <w:p w14:paraId="31B2E77F">
      <w:pPr>
        <w:pStyle w:val="3"/>
        <w:spacing w:beforeLines="50" w:afterLines="50"/>
        <w:ind w:firstLine="422" w:firstLineChars="200"/>
        <w:rPr>
          <w:rFonts w:ascii="宋体" w:hAnsi="宋体" w:eastAsia="宋体" w:cs="宋体"/>
          <w:highlight w:val="none"/>
        </w:rPr>
      </w:pPr>
      <w:r>
        <w:rPr>
          <w:rFonts w:hint="eastAsia" w:ascii="宋体" w:hAnsi="宋体" w:eastAsia="宋体" w:cs="宋体"/>
          <w:highlight w:val="none"/>
        </w:rPr>
        <w:t>9. 纪律和监督</w:t>
      </w:r>
      <w:bookmarkEnd w:id="612"/>
      <w:bookmarkEnd w:id="613"/>
      <w:bookmarkEnd w:id="614"/>
      <w:bookmarkEnd w:id="615"/>
      <w:bookmarkEnd w:id="616"/>
      <w:bookmarkEnd w:id="617"/>
    </w:p>
    <w:p w14:paraId="49CA1A8F">
      <w:pPr>
        <w:pStyle w:val="3"/>
        <w:ind w:firstLine="422" w:firstLineChars="200"/>
        <w:rPr>
          <w:rFonts w:ascii="宋体" w:hAnsi="宋体" w:eastAsia="宋体" w:cs="宋体"/>
          <w:highlight w:val="none"/>
        </w:rPr>
      </w:pPr>
      <w:bookmarkStart w:id="638" w:name="_Toc247085733"/>
      <w:bookmarkStart w:id="639" w:name="_Toc15607"/>
      <w:bookmarkStart w:id="640" w:name="_Toc2855"/>
      <w:bookmarkStart w:id="641" w:name="_Toc296602462"/>
      <w:bookmarkStart w:id="642" w:name="_Toc35424932"/>
      <w:bookmarkStart w:id="643" w:name="_Toc144974543"/>
      <w:bookmarkStart w:id="644" w:name="_Toc152045575"/>
      <w:bookmarkStart w:id="645" w:name="_Toc35425098"/>
      <w:bookmarkStart w:id="646" w:name="_Toc246996962"/>
      <w:bookmarkStart w:id="647" w:name="_Toc296590983"/>
      <w:bookmarkStart w:id="648" w:name="_Toc152042351"/>
      <w:bookmarkStart w:id="649" w:name="_Toc78803368"/>
      <w:bookmarkStart w:id="650" w:name="_Toc179632593"/>
      <w:bookmarkStart w:id="651" w:name="_Toc246996219"/>
      <w:bookmarkStart w:id="652" w:name="_Toc506107310"/>
      <w:bookmarkStart w:id="653" w:name="_Toc15058895"/>
      <w:bookmarkStart w:id="654" w:name="_Toc324404857"/>
      <w:r>
        <w:rPr>
          <w:rFonts w:hint="eastAsia" w:ascii="宋体" w:hAnsi="宋体" w:eastAsia="宋体" w:cs="宋体"/>
          <w:highlight w:val="none"/>
        </w:rPr>
        <w:t>9.1 对招标人的纪律要求</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25A9C8EA">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招标人不得泄漏招标投标活动中应当保密的情况和资料，不得与投标人串通损害国家利益、社会公共利益或者他人合法权益。</w:t>
      </w:r>
    </w:p>
    <w:p w14:paraId="6BA9BC3B">
      <w:pPr>
        <w:pStyle w:val="3"/>
        <w:ind w:firstLine="422" w:firstLineChars="200"/>
        <w:rPr>
          <w:rFonts w:ascii="宋体" w:hAnsi="宋体" w:eastAsia="宋体" w:cs="宋体"/>
          <w:highlight w:val="none"/>
        </w:rPr>
      </w:pPr>
      <w:bookmarkStart w:id="655" w:name="_Toc152045576"/>
      <w:bookmarkStart w:id="656" w:name="_Toc35424933"/>
      <w:bookmarkStart w:id="657" w:name="_Toc144974544"/>
      <w:bookmarkStart w:id="658" w:name="_Toc32177"/>
      <w:bookmarkStart w:id="659" w:name="_Toc35425099"/>
      <w:bookmarkStart w:id="660" w:name="_Toc78803369"/>
      <w:bookmarkStart w:id="661" w:name="_Toc152042352"/>
      <w:bookmarkStart w:id="662" w:name="_Toc506107311"/>
      <w:bookmarkStart w:id="663" w:name="_Toc246996220"/>
      <w:bookmarkStart w:id="664" w:name="_Toc324404858"/>
      <w:bookmarkStart w:id="665" w:name="_Toc296602463"/>
      <w:bookmarkStart w:id="666" w:name="_Toc179632594"/>
      <w:bookmarkStart w:id="667" w:name="_Toc247085734"/>
      <w:bookmarkStart w:id="668" w:name="_Toc19779"/>
      <w:bookmarkStart w:id="669" w:name="_Toc246996963"/>
      <w:bookmarkStart w:id="670" w:name="_Toc15058896"/>
      <w:r>
        <w:rPr>
          <w:rFonts w:hint="eastAsia" w:ascii="宋体" w:hAnsi="宋体" w:eastAsia="宋体" w:cs="宋体"/>
          <w:highlight w:val="none"/>
        </w:rPr>
        <w:t>9.2 对投标人的纪律要求</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1B7AC341">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33A1F0E">
      <w:pPr>
        <w:pStyle w:val="3"/>
        <w:ind w:firstLine="422" w:firstLineChars="200"/>
        <w:rPr>
          <w:rFonts w:ascii="宋体" w:hAnsi="宋体" w:eastAsia="宋体" w:cs="宋体"/>
          <w:highlight w:val="none"/>
        </w:rPr>
      </w:pPr>
      <w:bookmarkStart w:id="671" w:name="_Toc35425100"/>
      <w:bookmarkStart w:id="672" w:name="_Toc152042353"/>
      <w:bookmarkStart w:id="673" w:name="_Toc12564"/>
      <w:bookmarkStart w:id="674" w:name="_Toc179632595"/>
      <w:bookmarkStart w:id="675" w:name="_Toc13043"/>
      <w:bookmarkStart w:id="676" w:name="_Toc15058897"/>
      <w:bookmarkStart w:id="677" w:name="_Toc246996221"/>
      <w:bookmarkStart w:id="678" w:name="_Toc296602464"/>
      <w:bookmarkStart w:id="679" w:name="_Toc144974545"/>
      <w:bookmarkStart w:id="680" w:name="_Toc35424934"/>
      <w:bookmarkStart w:id="681" w:name="_Toc152045577"/>
      <w:bookmarkStart w:id="682" w:name="_Toc506107312"/>
      <w:bookmarkStart w:id="683" w:name="_Toc247085735"/>
      <w:bookmarkStart w:id="684" w:name="_Toc324404859"/>
      <w:bookmarkStart w:id="685" w:name="_Toc78803370"/>
      <w:bookmarkStart w:id="686" w:name="_Toc246996964"/>
      <w:r>
        <w:rPr>
          <w:rFonts w:hint="eastAsia" w:ascii="宋体" w:hAnsi="宋体" w:eastAsia="宋体" w:cs="宋体"/>
          <w:highlight w:val="none"/>
        </w:rPr>
        <w:t>9.3 对评标委员会成员的纪律要求</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14:paraId="5256DC85">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6939E33C">
      <w:pPr>
        <w:pStyle w:val="3"/>
        <w:ind w:firstLine="422" w:firstLineChars="200"/>
        <w:rPr>
          <w:rFonts w:ascii="宋体" w:hAnsi="宋体" w:eastAsia="宋体" w:cs="宋体"/>
          <w:highlight w:val="none"/>
        </w:rPr>
      </w:pPr>
      <w:bookmarkStart w:id="687" w:name="_Toc152042354"/>
      <w:bookmarkStart w:id="688" w:name="_Toc506107313"/>
      <w:bookmarkStart w:id="689" w:name="_Toc35424935"/>
      <w:bookmarkStart w:id="690" w:name="_Toc246996965"/>
      <w:bookmarkStart w:id="691" w:name="_Toc32214"/>
      <w:bookmarkStart w:id="692" w:name="_Toc324404860"/>
      <w:bookmarkStart w:id="693" w:name="_Toc179632596"/>
      <w:bookmarkStart w:id="694" w:name="_Toc246996222"/>
      <w:bookmarkStart w:id="695" w:name="_Toc15058898"/>
      <w:bookmarkStart w:id="696" w:name="_Toc78803371"/>
      <w:bookmarkStart w:id="697" w:name="_Toc18329"/>
      <w:bookmarkStart w:id="698" w:name="_Toc152045578"/>
      <w:bookmarkStart w:id="699" w:name="_Toc247085736"/>
      <w:bookmarkStart w:id="700" w:name="_Toc35425101"/>
      <w:bookmarkStart w:id="701" w:name="_Toc296602465"/>
      <w:bookmarkStart w:id="702" w:name="_Toc144974546"/>
      <w:r>
        <w:rPr>
          <w:rFonts w:hint="eastAsia" w:ascii="宋体" w:hAnsi="宋体" w:eastAsia="宋体" w:cs="宋体"/>
          <w:highlight w:val="none"/>
        </w:rPr>
        <w:t>9.4 对与评标活动有关的工作人员的纪律要求</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p>
    <w:p w14:paraId="766BE765">
      <w:pPr>
        <w:spacing w:line="440" w:lineRule="exact"/>
        <w:ind w:firstLine="420" w:firstLineChars="200"/>
        <w:jc w:val="left"/>
        <w:rPr>
          <w:rFonts w:ascii="宋体" w:hAnsi="宋体" w:cs="宋体"/>
          <w:szCs w:val="21"/>
          <w:highlight w:val="none"/>
        </w:rPr>
      </w:pPr>
      <w:bookmarkStart w:id="703" w:name="_Toc152042355"/>
      <w:r>
        <w:rPr>
          <w:rFonts w:hint="eastAsia" w:ascii="宋体" w:hAnsi="宋体" w:cs="宋体"/>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703"/>
    </w:p>
    <w:p w14:paraId="6EC5285F">
      <w:pPr>
        <w:pStyle w:val="3"/>
        <w:ind w:firstLine="422" w:firstLineChars="200"/>
        <w:rPr>
          <w:rFonts w:ascii="宋体" w:hAnsi="宋体" w:eastAsia="宋体" w:cs="宋体"/>
          <w:highlight w:val="none"/>
        </w:rPr>
      </w:pPr>
      <w:bookmarkStart w:id="704" w:name="_Toc152042356"/>
      <w:bookmarkStart w:id="705" w:name="_Toc15058899"/>
      <w:bookmarkStart w:id="706" w:name="_Toc35424936"/>
      <w:bookmarkStart w:id="707" w:name="_Toc324404861"/>
      <w:bookmarkStart w:id="708" w:name="_Toc2811"/>
      <w:bookmarkStart w:id="709" w:name="_Toc506107314"/>
      <w:bookmarkStart w:id="710" w:name="_Toc35425102"/>
      <w:bookmarkStart w:id="711" w:name="_Toc247085737"/>
      <w:bookmarkStart w:id="712" w:name="_Toc152045579"/>
      <w:bookmarkStart w:id="713" w:name="_Toc246996223"/>
      <w:bookmarkStart w:id="714" w:name="_Toc246996966"/>
      <w:bookmarkStart w:id="715" w:name="_Toc179632597"/>
      <w:bookmarkStart w:id="716" w:name="_Toc296602466"/>
      <w:bookmarkStart w:id="717" w:name="_Toc23607"/>
      <w:bookmarkStart w:id="718" w:name="_Toc78803372"/>
      <w:r>
        <w:rPr>
          <w:rFonts w:hint="eastAsia" w:ascii="宋体" w:hAnsi="宋体" w:eastAsia="宋体" w:cs="宋体"/>
          <w:highlight w:val="none"/>
        </w:rPr>
        <w:t>9.5 投诉</w:t>
      </w:r>
      <w:bookmarkEnd w:id="702"/>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18A92B0B">
      <w:pPr>
        <w:spacing w:line="440" w:lineRule="exact"/>
        <w:ind w:firstLine="420" w:firstLineChars="200"/>
        <w:jc w:val="left"/>
        <w:rPr>
          <w:rFonts w:hint="eastAsia" w:ascii="宋体" w:hAnsi="宋体" w:eastAsia="宋体" w:cs="宋体"/>
          <w:szCs w:val="21"/>
          <w:highlight w:val="none"/>
        </w:rPr>
      </w:pPr>
      <w:bookmarkStart w:id="719" w:name="_Toc15058900"/>
      <w:bookmarkStart w:id="720" w:name="_Toc179632598"/>
      <w:bookmarkStart w:id="721" w:name="_Toc152045580"/>
      <w:bookmarkStart w:id="722" w:name="_Toc20669"/>
      <w:bookmarkStart w:id="723" w:name="_Toc247085738"/>
      <w:bookmarkStart w:id="724" w:name="_Toc35425103"/>
      <w:bookmarkStart w:id="725" w:name="_Toc246996967"/>
      <w:bookmarkStart w:id="726" w:name="_Toc324404862"/>
      <w:bookmarkStart w:id="727" w:name="_Toc31643"/>
      <w:bookmarkStart w:id="728" w:name="_Toc78803373"/>
      <w:bookmarkStart w:id="729" w:name="_Toc16463"/>
      <w:bookmarkStart w:id="730" w:name="_Toc144974547"/>
      <w:bookmarkStart w:id="731" w:name="_Toc246996224"/>
      <w:bookmarkStart w:id="732" w:name="_Toc152042357"/>
      <w:bookmarkStart w:id="733" w:name="_Toc35424937"/>
      <w:bookmarkStart w:id="734" w:name="_Toc506107315"/>
      <w:r>
        <w:rPr>
          <w:rFonts w:hint="eastAsia" w:ascii="宋体" w:hAnsi="宋体" w:eastAsia="宋体" w:cs="宋体"/>
          <w:szCs w:val="21"/>
          <w:highlight w:val="none"/>
        </w:rPr>
        <w:t>9.5.1投标人或者其他利害关系人认为招标投标活动违反法律、法规和规章规定的，有权向相关行政监督部门投诉。投诉应当有明确的请求和必要的证明材料。</w:t>
      </w:r>
    </w:p>
    <w:p w14:paraId="64A3032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9.5.2投标人和其他利害关系人对招标文件、开标和评标结果事项投诉的，应当按照投标人须知的规定先向招标人提出异议。异议答复期间不计算在第9.5.1项规定的期限内。</w:t>
      </w:r>
    </w:p>
    <w:p w14:paraId="39FC7842">
      <w:pPr>
        <w:pStyle w:val="3"/>
        <w:spacing w:beforeLines="50" w:afterLines="50"/>
        <w:ind w:firstLine="422" w:firstLineChars="200"/>
        <w:rPr>
          <w:rFonts w:ascii="宋体" w:hAnsi="宋体" w:eastAsia="宋体" w:cs="宋体"/>
          <w:highlight w:val="none"/>
        </w:rPr>
      </w:pPr>
      <w:r>
        <w:rPr>
          <w:rFonts w:hint="eastAsia" w:ascii="宋体" w:hAnsi="宋体" w:eastAsia="宋体" w:cs="宋体"/>
          <w:highlight w:val="none"/>
        </w:rPr>
        <w:t>10.需要补充的其他内容</w:t>
      </w:r>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14:paraId="2610702A">
      <w:pPr>
        <w:spacing w:line="440" w:lineRule="exact"/>
        <w:ind w:firstLine="420" w:firstLineChars="200"/>
        <w:jc w:val="left"/>
        <w:rPr>
          <w:rFonts w:ascii="宋体" w:hAnsi="宋体" w:cs="宋体"/>
          <w:szCs w:val="21"/>
          <w:highlight w:val="none"/>
        </w:rPr>
      </w:pPr>
      <w:bookmarkStart w:id="735" w:name="_Toc15058901"/>
      <w:r>
        <w:rPr>
          <w:rFonts w:hint="eastAsia" w:ascii="宋体" w:hAnsi="宋体" w:cs="宋体"/>
          <w:szCs w:val="21"/>
          <w:highlight w:val="none"/>
        </w:rPr>
        <w:t>需要补充的其他内容：见投标人须知前附表。</w:t>
      </w:r>
      <w:bookmarkEnd w:id="735"/>
    </w:p>
    <w:p w14:paraId="13695F73">
      <w:pPr>
        <w:spacing w:line="440" w:lineRule="exact"/>
        <w:jc w:val="left"/>
        <w:rPr>
          <w:rFonts w:ascii="宋体" w:hAnsi="宋体" w:cs="宋体"/>
          <w:szCs w:val="21"/>
          <w:highlight w:val="none"/>
        </w:rPr>
      </w:pPr>
    </w:p>
    <w:p w14:paraId="146D6C50">
      <w:pPr>
        <w:pageBreakBefore/>
        <w:spacing w:beforeLines="80" w:afterLines="80" w:line="440" w:lineRule="exact"/>
        <w:jc w:val="center"/>
        <w:outlineLvl w:val="1"/>
        <w:rPr>
          <w:rFonts w:ascii="宋体"/>
          <w:b/>
          <w:sz w:val="32"/>
          <w:szCs w:val="32"/>
          <w:highlight w:val="none"/>
        </w:rPr>
      </w:pPr>
      <w:bookmarkStart w:id="736" w:name="_Toc78803375"/>
      <w:r>
        <w:rPr>
          <w:rFonts w:hint="eastAsia" w:ascii="宋体"/>
          <w:b/>
          <w:sz w:val="32"/>
          <w:szCs w:val="32"/>
          <w:highlight w:val="none"/>
        </w:rPr>
        <w:t>第</w:t>
      </w:r>
      <w:r>
        <w:rPr>
          <w:rFonts w:hint="eastAsia" w:ascii="宋体"/>
          <w:b/>
          <w:sz w:val="32"/>
          <w:szCs w:val="32"/>
          <w:highlight w:val="none"/>
          <w:lang w:val="en-US" w:eastAsia="zh-CN"/>
        </w:rPr>
        <w:t>三</w:t>
      </w:r>
      <w:r>
        <w:rPr>
          <w:rFonts w:hint="eastAsia" w:ascii="宋体"/>
          <w:b/>
          <w:sz w:val="32"/>
          <w:szCs w:val="32"/>
          <w:highlight w:val="none"/>
        </w:rPr>
        <w:t>章  资格审查</w:t>
      </w:r>
      <w:bookmarkEnd w:id="618"/>
      <w:r>
        <w:rPr>
          <w:rFonts w:hint="eastAsia" w:ascii="宋体"/>
          <w:b/>
          <w:sz w:val="32"/>
          <w:szCs w:val="32"/>
          <w:highlight w:val="none"/>
        </w:rPr>
        <w:t>办法</w:t>
      </w:r>
      <w:bookmarkEnd w:id="619"/>
      <w:bookmarkEnd w:id="620"/>
      <w:bookmarkEnd w:id="621"/>
      <w:bookmarkEnd w:id="622"/>
      <w:bookmarkEnd w:id="736"/>
    </w:p>
    <w:p w14:paraId="510BB1C6">
      <w:pPr>
        <w:spacing w:beforeLines="50" w:afterLines="50" w:line="440" w:lineRule="exact"/>
        <w:jc w:val="center"/>
        <w:rPr>
          <w:rFonts w:ascii="宋体" w:hAnsi="宋体" w:cs="宋体"/>
          <w:b/>
          <w:bCs/>
          <w:sz w:val="28"/>
          <w:szCs w:val="22"/>
          <w:highlight w:val="none"/>
        </w:rPr>
      </w:pPr>
      <w:bookmarkStart w:id="737" w:name="_Toc15058903"/>
      <w:bookmarkStart w:id="738" w:name="_Toc324404865"/>
      <w:bookmarkStart w:id="739" w:name="_Toc506107318"/>
      <w:bookmarkStart w:id="740" w:name="_Toc35425106"/>
      <w:bookmarkStart w:id="741" w:name="_Toc35424940"/>
      <w:r>
        <w:rPr>
          <w:rFonts w:hint="eastAsia" w:ascii="宋体" w:hAnsi="宋体" w:cs="宋体"/>
          <w:b/>
          <w:bCs/>
          <w:sz w:val="28"/>
          <w:szCs w:val="22"/>
          <w:highlight w:val="none"/>
        </w:rPr>
        <w:t>资格审查办法前附表</w:t>
      </w:r>
      <w:bookmarkEnd w:id="737"/>
      <w:bookmarkEnd w:id="738"/>
      <w:bookmarkEnd w:id="739"/>
      <w:bookmarkEnd w:id="740"/>
      <w:bookmarkEnd w:id="741"/>
    </w:p>
    <w:tbl>
      <w:tblPr>
        <w:tblStyle w:val="4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183"/>
        <w:gridCol w:w="1860"/>
      </w:tblGrid>
      <w:tr w14:paraId="3443A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3" w:type="dxa"/>
            <w:gridSpan w:val="2"/>
            <w:noWrap/>
            <w:vAlign w:val="center"/>
          </w:tcPr>
          <w:p w14:paraId="21EA50D5">
            <w:pPr>
              <w:spacing w:line="440" w:lineRule="exact"/>
              <w:jc w:val="center"/>
              <w:rPr>
                <w:rFonts w:ascii="宋体" w:hAnsi="宋体" w:cs="宋体"/>
                <w:b/>
                <w:bCs/>
                <w:szCs w:val="21"/>
                <w:highlight w:val="none"/>
              </w:rPr>
            </w:pPr>
            <w:r>
              <w:rPr>
                <w:rFonts w:hint="eastAsia" w:ascii="宋体" w:hAnsi="宋体" w:cs="宋体"/>
                <w:b/>
                <w:bCs/>
                <w:szCs w:val="21"/>
                <w:highlight w:val="none"/>
              </w:rPr>
              <w:t>序号</w:t>
            </w:r>
          </w:p>
        </w:tc>
        <w:tc>
          <w:tcPr>
            <w:tcW w:w="6183" w:type="dxa"/>
            <w:noWrap/>
            <w:vAlign w:val="center"/>
          </w:tcPr>
          <w:p w14:paraId="737B946D">
            <w:pPr>
              <w:spacing w:line="440" w:lineRule="exact"/>
              <w:jc w:val="center"/>
              <w:rPr>
                <w:rFonts w:ascii="宋体" w:hAnsi="宋体" w:cs="宋体"/>
                <w:b/>
                <w:bCs/>
                <w:szCs w:val="21"/>
                <w:highlight w:val="none"/>
              </w:rPr>
            </w:pPr>
            <w:r>
              <w:rPr>
                <w:rFonts w:hint="eastAsia" w:ascii="宋体" w:hAnsi="宋体" w:cs="宋体"/>
                <w:b/>
                <w:bCs/>
                <w:szCs w:val="21"/>
                <w:highlight w:val="none"/>
              </w:rPr>
              <w:t>审查内容</w:t>
            </w:r>
          </w:p>
        </w:tc>
        <w:tc>
          <w:tcPr>
            <w:tcW w:w="1860" w:type="dxa"/>
            <w:noWrap/>
            <w:vAlign w:val="center"/>
          </w:tcPr>
          <w:p w14:paraId="10B4B499">
            <w:pPr>
              <w:spacing w:line="440" w:lineRule="exact"/>
              <w:jc w:val="center"/>
              <w:rPr>
                <w:rFonts w:ascii="宋体" w:hAnsi="宋体" w:cs="宋体"/>
                <w:b/>
                <w:bCs/>
                <w:szCs w:val="21"/>
                <w:highlight w:val="none"/>
              </w:rPr>
            </w:pPr>
            <w:r>
              <w:rPr>
                <w:rFonts w:hint="eastAsia" w:ascii="宋体" w:hAnsi="宋体" w:cs="宋体"/>
                <w:b/>
                <w:bCs/>
                <w:szCs w:val="21"/>
                <w:highlight w:val="none"/>
              </w:rPr>
              <w:t>评审标准</w:t>
            </w:r>
          </w:p>
        </w:tc>
      </w:tr>
      <w:tr w14:paraId="5E38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ign w:val="center"/>
          </w:tcPr>
          <w:p w14:paraId="4867F738">
            <w:pPr>
              <w:spacing w:line="440" w:lineRule="exact"/>
              <w:jc w:val="center"/>
              <w:rPr>
                <w:rFonts w:ascii="宋体" w:hAnsi="宋体" w:cs="宋体"/>
                <w:szCs w:val="21"/>
                <w:highlight w:val="none"/>
              </w:rPr>
            </w:pPr>
            <w:r>
              <w:rPr>
                <w:rFonts w:hint="eastAsia" w:ascii="宋体" w:hAnsi="宋体" w:cs="宋体"/>
                <w:szCs w:val="21"/>
                <w:highlight w:val="none"/>
              </w:rPr>
              <w:t>1</w:t>
            </w:r>
          </w:p>
        </w:tc>
        <w:tc>
          <w:tcPr>
            <w:tcW w:w="1258" w:type="dxa"/>
            <w:vMerge w:val="restart"/>
            <w:noWrap/>
            <w:vAlign w:val="center"/>
          </w:tcPr>
          <w:p w14:paraId="12F9F292">
            <w:pPr>
              <w:spacing w:line="440" w:lineRule="exact"/>
              <w:jc w:val="center"/>
              <w:rPr>
                <w:rFonts w:ascii="宋体" w:hAnsi="宋体" w:cs="宋体"/>
                <w:b/>
                <w:bCs/>
                <w:szCs w:val="21"/>
                <w:highlight w:val="none"/>
              </w:rPr>
            </w:pPr>
            <w:r>
              <w:rPr>
                <w:rFonts w:hint="eastAsia" w:ascii="宋体" w:hAnsi="宋体" w:cs="宋体"/>
                <w:b/>
                <w:bCs/>
                <w:szCs w:val="21"/>
                <w:highlight w:val="none"/>
              </w:rPr>
              <w:t>审查资料</w:t>
            </w:r>
          </w:p>
        </w:tc>
        <w:tc>
          <w:tcPr>
            <w:tcW w:w="6183" w:type="dxa"/>
            <w:noWrap/>
            <w:vAlign w:val="center"/>
          </w:tcPr>
          <w:p w14:paraId="4223BCB8">
            <w:pPr>
              <w:spacing w:line="440" w:lineRule="exact"/>
              <w:rPr>
                <w:rFonts w:ascii="宋体" w:hAnsi="宋体" w:cs="宋体"/>
                <w:szCs w:val="21"/>
                <w:highlight w:val="none"/>
              </w:rPr>
            </w:pPr>
            <w:r>
              <w:rPr>
                <w:rFonts w:hint="eastAsia" w:ascii="宋体" w:hAnsi="宋体" w:cs="宋体"/>
                <w:szCs w:val="21"/>
                <w:highlight w:val="none"/>
              </w:rPr>
              <w:t>法定代表人身份证明文件和本人有效身份证(或法定代表人授权委托书和委托代理人有效身份证)</w:t>
            </w:r>
          </w:p>
        </w:tc>
        <w:tc>
          <w:tcPr>
            <w:tcW w:w="1860" w:type="dxa"/>
            <w:noWrap/>
            <w:vAlign w:val="center"/>
          </w:tcPr>
          <w:p w14:paraId="08425CC0">
            <w:pPr>
              <w:spacing w:line="440" w:lineRule="exact"/>
              <w:jc w:val="center"/>
              <w:rPr>
                <w:rFonts w:ascii="宋体" w:hAnsi="宋体" w:cs="宋体"/>
                <w:b/>
                <w:szCs w:val="21"/>
                <w:highlight w:val="none"/>
              </w:rPr>
            </w:pPr>
            <w:r>
              <w:rPr>
                <w:rFonts w:hint="eastAsia" w:ascii="宋体" w:hAnsi="宋体" w:cs="宋体"/>
                <w:b/>
                <w:szCs w:val="21"/>
                <w:highlight w:val="none"/>
              </w:rPr>
              <w:t>检验电子标书</w:t>
            </w:r>
          </w:p>
        </w:tc>
      </w:tr>
      <w:tr w14:paraId="0BB7C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0CBF773D">
            <w:pPr>
              <w:spacing w:line="440" w:lineRule="exact"/>
              <w:jc w:val="center"/>
              <w:rPr>
                <w:rFonts w:ascii="宋体" w:hAnsi="宋体" w:cs="宋体"/>
                <w:szCs w:val="21"/>
                <w:highlight w:val="none"/>
              </w:rPr>
            </w:pPr>
          </w:p>
        </w:tc>
        <w:tc>
          <w:tcPr>
            <w:tcW w:w="1258" w:type="dxa"/>
            <w:vMerge w:val="continue"/>
            <w:noWrap/>
            <w:vAlign w:val="center"/>
          </w:tcPr>
          <w:p w14:paraId="5DD98737">
            <w:pPr>
              <w:spacing w:line="440" w:lineRule="exact"/>
              <w:jc w:val="center"/>
              <w:rPr>
                <w:rFonts w:ascii="宋体" w:hAnsi="宋体" w:cs="宋体"/>
                <w:b/>
                <w:bCs/>
                <w:szCs w:val="21"/>
                <w:highlight w:val="none"/>
              </w:rPr>
            </w:pPr>
          </w:p>
        </w:tc>
        <w:tc>
          <w:tcPr>
            <w:tcW w:w="6183" w:type="dxa"/>
            <w:noWrap/>
            <w:vAlign w:val="center"/>
          </w:tcPr>
          <w:p w14:paraId="356F4FA9">
            <w:pPr>
              <w:spacing w:line="440" w:lineRule="exact"/>
              <w:rPr>
                <w:rFonts w:ascii="宋体" w:hAnsi="宋体" w:cs="宋体"/>
                <w:szCs w:val="21"/>
                <w:highlight w:val="none"/>
              </w:rPr>
            </w:pPr>
            <w:r>
              <w:rPr>
                <w:rFonts w:hint="eastAsia" w:ascii="宋体" w:hAnsi="宋体" w:cs="宋体"/>
                <w:szCs w:val="21"/>
                <w:highlight w:val="none"/>
              </w:rPr>
              <w:t>诚信投标承诺书</w:t>
            </w:r>
          </w:p>
        </w:tc>
        <w:tc>
          <w:tcPr>
            <w:tcW w:w="1860" w:type="dxa"/>
            <w:vMerge w:val="restart"/>
            <w:noWrap/>
            <w:vAlign w:val="center"/>
          </w:tcPr>
          <w:p w14:paraId="1D178232">
            <w:pPr>
              <w:spacing w:line="440" w:lineRule="exact"/>
              <w:jc w:val="center"/>
              <w:rPr>
                <w:rFonts w:ascii="宋体" w:hAnsi="宋体" w:cs="宋体"/>
                <w:b/>
                <w:szCs w:val="21"/>
                <w:highlight w:val="none"/>
              </w:rPr>
            </w:pPr>
            <w:r>
              <w:rPr>
                <w:rFonts w:hint="eastAsia" w:ascii="宋体" w:hAnsi="宋体" w:cs="宋体"/>
                <w:b/>
                <w:szCs w:val="21"/>
                <w:highlight w:val="none"/>
              </w:rPr>
              <w:t>检验电子标书</w:t>
            </w:r>
          </w:p>
        </w:tc>
      </w:tr>
      <w:tr w14:paraId="6FB20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7D8563C4">
            <w:pPr>
              <w:spacing w:line="440" w:lineRule="exact"/>
              <w:jc w:val="center"/>
              <w:rPr>
                <w:rFonts w:ascii="宋体" w:hAnsi="宋体" w:cs="宋体"/>
                <w:szCs w:val="21"/>
                <w:highlight w:val="none"/>
              </w:rPr>
            </w:pPr>
          </w:p>
        </w:tc>
        <w:tc>
          <w:tcPr>
            <w:tcW w:w="1258" w:type="dxa"/>
            <w:vMerge w:val="continue"/>
            <w:noWrap/>
            <w:vAlign w:val="center"/>
          </w:tcPr>
          <w:p w14:paraId="04C1B076">
            <w:pPr>
              <w:spacing w:line="440" w:lineRule="exact"/>
              <w:jc w:val="center"/>
              <w:rPr>
                <w:rFonts w:ascii="宋体" w:hAnsi="宋体" w:cs="宋体"/>
                <w:b/>
                <w:bCs/>
                <w:szCs w:val="21"/>
                <w:highlight w:val="none"/>
              </w:rPr>
            </w:pPr>
          </w:p>
        </w:tc>
        <w:tc>
          <w:tcPr>
            <w:tcW w:w="6183" w:type="dxa"/>
            <w:noWrap/>
            <w:vAlign w:val="center"/>
          </w:tcPr>
          <w:p w14:paraId="7DE2EBA3">
            <w:pPr>
              <w:spacing w:line="440" w:lineRule="exact"/>
              <w:rPr>
                <w:rFonts w:ascii="宋体" w:hAnsi="宋体" w:cs="宋体"/>
                <w:szCs w:val="21"/>
                <w:highlight w:val="none"/>
              </w:rPr>
            </w:pPr>
            <w:r>
              <w:rPr>
                <w:rFonts w:hint="eastAsia" w:ascii="宋体" w:hAnsi="宋体" w:cs="宋体"/>
                <w:szCs w:val="21"/>
                <w:highlight w:val="none"/>
              </w:rPr>
              <w:t>企业法人营业执照</w:t>
            </w:r>
          </w:p>
        </w:tc>
        <w:tc>
          <w:tcPr>
            <w:tcW w:w="1860" w:type="dxa"/>
            <w:vMerge w:val="continue"/>
            <w:noWrap/>
            <w:vAlign w:val="center"/>
          </w:tcPr>
          <w:p w14:paraId="779E57B8">
            <w:pPr>
              <w:spacing w:line="440" w:lineRule="exact"/>
              <w:rPr>
                <w:rFonts w:ascii="宋体" w:hAnsi="宋体" w:cs="宋体"/>
                <w:b/>
                <w:szCs w:val="21"/>
                <w:highlight w:val="none"/>
              </w:rPr>
            </w:pPr>
          </w:p>
        </w:tc>
      </w:tr>
      <w:tr w14:paraId="25FCC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2D4982A9">
            <w:pPr>
              <w:spacing w:line="440" w:lineRule="exact"/>
              <w:jc w:val="center"/>
              <w:rPr>
                <w:rFonts w:ascii="宋体" w:hAnsi="宋体" w:cs="宋体"/>
                <w:szCs w:val="21"/>
                <w:highlight w:val="none"/>
              </w:rPr>
            </w:pPr>
          </w:p>
        </w:tc>
        <w:tc>
          <w:tcPr>
            <w:tcW w:w="1258" w:type="dxa"/>
            <w:vMerge w:val="continue"/>
            <w:noWrap/>
            <w:vAlign w:val="center"/>
          </w:tcPr>
          <w:p w14:paraId="0B3A3CE4">
            <w:pPr>
              <w:spacing w:line="440" w:lineRule="exact"/>
              <w:jc w:val="center"/>
              <w:rPr>
                <w:rFonts w:ascii="宋体" w:hAnsi="宋体" w:cs="宋体"/>
                <w:b/>
                <w:bCs/>
                <w:szCs w:val="21"/>
                <w:highlight w:val="none"/>
              </w:rPr>
            </w:pPr>
          </w:p>
        </w:tc>
        <w:tc>
          <w:tcPr>
            <w:tcW w:w="6183" w:type="dxa"/>
            <w:noWrap/>
            <w:vAlign w:val="center"/>
          </w:tcPr>
          <w:p w14:paraId="5DF3ACB3">
            <w:pPr>
              <w:spacing w:line="440" w:lineRule="exact"/>
              <w:rPr>
                <w:rFonts w:hint="eastAsia" w:ascii="宋体" w:hAnsi="宋体" w:eastAsia="宋体" w:cs="宋体"/>
                <w:szCs w:val="21"/>
                <w:highlight w:val="none"/>
                <w:lang w:val="en-US" w:eastAsia="zh-CN"/>
              </w:rPr>
            </w:pPr>
            <w:r>
              <w:rPr>
                <w:rFonts w:hint="eastAsia" w:ascii="宋体" w:hAnsi="宋体" w:cs="宋体"/>
                <w:szCs w:val="21"/>
                <w:highlight w:val="none"/>
              </w:rPr>
              <w:t>企业资质证书</w:t>
            </w:r>
            <w:r>
              <w:rPr>
                <w:rFonts w:hint="eastAsia" w:ascii="宋体" w:hAnsi="宋体" w:cs="宋体"/>
                <w:szCs w:val="21"/>
                <w:highlight w:val="none"/>
                <w:lang w:val="en-US" w:eastAsia="zh-CN"/>
              </w:rPr>
              <w:t>及</w:t>
            </w:r>
            <w:r>
              <w:rPr>
                <w:rFonts w:hint="eastAsia" w:ascii="宋体" w:hAnsi="宋体" w:cs="宋体"/>
                <w:color w:val="000000"/>
                <w:szCs w:val="21"/>
              </w:rPr>
              <w:t>企业安全生产许可证</w:t>
            </w:r>
          </w:p>
        </w:tc>
        <w:tc>
          <w:tcPr>
            <w:tcW w:w="1860" w:type="dxa"/>
            <w:vMerge w:val="continue"/>
            <w:noWrap/>
            <w:vAlign w:val="center"/>
          </w:tcPr>
          <w:p w14:paraId="2E943AB5">
            <w:pPr>
              <w:spacing w:line="440" w:lineRule="exact"/>
              <w:rPr>
                <w:rFonts w:ascii="宋体" w:hAnsi="宋体" w:cs="宋体"/>
                <w:szCs w:val="21"/>
                <w:highlight w:val="none"/>
              </w:rPr>
            </w:pPr>
          </w:p>
        </w:tc>
      </w:tr>
      <w:tr w14:paraId="2BD16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60043FA6">
            <w:pPr>
              <w:spacing w:line="440" w:lineRule="exact"/>
              <w:jc w:val="center"/>
              <w:rPr>
                <w:rFonts w:ascii="宋体" w:hAnsi="宋体" w:cs="宋体"/>
                <w:szCs w:val="21"/>
                <w:highlight w:val="none"/>
              </w:rPr>
            </w:pPr>
          </w:p>
        </w:tc>
        <w:tc>
          <w:tcPr>
            <w:tcW w:w="1258" w:type="dxa"/>
            <w:vMerge w:val="continue"/>
            <w:noWrap/>
            <w:vAlign w:val="center"/>
          </w:tcPr>
          <w:p w14:paraId="563E5D5C">
            <w:pPr>
              <w:spacing w:line="440" w:lineRule="exact"/>
              <w:jc w:val="center"/>
              <w:rPr>
                <w:rFonts w:ascii="宋体" w:hAnsi="宋体" w:cs="宋体"/>
                <w:b/>
                <w:bCs/>
                <w:szCs w:val="21"/>
                <w:highlight w:val="none"/>
              </w:rPr>
            </w:pPr>
          </w:p>
        </w:tc>
        <w:tc>
          <w:tcPr>
            <w:tcW w:w="6183" w:type="dxa"/>
            <w:noWrap/>
            <w:vAlign w:val="center"/>
          </w:tcPr>
          <w:p w14:paraId="171CD7E8">
            <w:pPr>
              <w:spacing w:line="440" w:lineRule="exact"/>
              <w:rPr>
                <w:rFonts w:hint="eastAsia" w:ascii="宋体" w:hAnsi="宋体" w:cs="宋体"/>
                <w:szCs w:val="21"/>
                <w:highlight w:val="none"/>
              </w:rPr>
            </w:pPr>
            <w:r>
              <w:rPr>
                <w:rFonts w:hint="eastAsia" w:ascii="宋体" w:hAnsi="宋体" w:cs="宋体"/>
                <w:szCs w:val="21"/>
                <w:highlight w:val="none"/>
                <w:lang w:val="en-US" w:eastAsia="zh-CN"/>
              </w:rPr>
              <w:t>企业有效</w:t>
            </w:r>
            <w:r>
              <w:rPr>
                <w:rFonts w:hint="eastAsia" w:ascii="宋体" w:hAnsi="宋体" w:cs="宋体"/>
                <w:szCs w:val="21"/>
                <w:highlight w:val="none"/>
              </w:rPr>
              <w:t>电力设施许可证</w:t>
            </w:r>
          </w:p>
        </w:tc>
        <w:tc>
          <w:tcPr>
            <w:tcW w:w="1860" w:type="dxa"/>
            <w:vMerge w:val="continue"/>
            <w:noWrap/>
            <w:vAlign w:val="center"/>
          </w:tcPr>
          <w:p w14:paraId="12F5E86C">
            <w:pPr>
              <w:spacing w:line="440" w:lineRule="exact"/>
              <w:rPr>
                <w:rFonts w:ascii="宋体" w:hAnsi="宋体" w:cs="宋体"/>
                <w:szCs w:val="21"/>
                <w:highlight w:val="none"/>
              </w:rPr>
            </w:pPr>
          </w:p>
        </w:tc>
      </w:tr>
      <w:tr w14:paraId="54849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ign w:val="center"/>
          </w:tcPr>
          <w:p w14:paraId="2D2648D2">
            <w:pPr>
              <w:spacing w:line="440" w:lineRule="exact"/>
              <w:jc w:val="center"/>
              <w:rPr>
                <w:rFonts w:ascii="宋体" w:hAnsi="宋体" w:cs="宋体"/>
                <w:szCs w:val="21"/>
                <w:highlight w:val="none"/>
              </w:rPr>
            </w:pPr>
          </w:p>
        </w:tc>
        <w:tc>
          <w:tcPr>
            <w:tcW w:w="1258" w:type="dxa"/>
            <w:vMerge w:val="continue"/>
            <w:noWrap/>
            <w:vAlign w:val="center"/>
          </w:tcPr>
          <w:p w14:paraId="5172F027">
            <w:pPr>
              <w:spacing w:line="440" w:lineRule="exact"/>
              <w:jc w:val="center"/>
              <w:rPr>
                <w:rFonts w:ascii="宋体" w:hAnsi="宋体" w:cs="宋体"/>
                <w:b/>
                <w:bCs/>
                <w:szCs w:val="21"/>
                <w:highlight w:val="none"/>
              </w:rPr>
            </w:pPr>
          </w:p>
        </w:tc>
        <w:tc>
          <w:tcPr>
            <w:tcW w:w="6183" w:type="dxa"/>
            <w:noWrap/>
            <w:vAlign w:val="top"/>
          </w:tcPr>
          <w:p w14:paraId="7910A869">
            <w:pPr>
              <w:keepNext w:val="0"/>
              <w:keepLines w:val="0"/>
              <w:pageBreakBefore w:val="0"/>
              <w:kinsoku/>
              <w:wordWrap/>
              <w:overflowPunct/>
              <w:topLinePunct w:val="0"/>
              <w:autoSpaceDN/>
              <w:bidi w:val="0"/>
              <w:adjustRightInd/>
              <w:snapToGrid/>
              <w:spacing w:line="440" w:lineRule="exact"/>
              <w:textAlignment w:val="auto"/>
              <w:rPr>
                <w:rFonts w:ascii="宋体" w:hAnsi="宋体" w:cs="宋体"/>
                <w:szCs w:val="21"/>
                <w:highlight w:val="none"/>
              </w:rPr>
            </w:pPr>
            <w:r>
              <w:rPr>
                <w:rFonts w:hint="eastAsia" w:ascii="宋体" w:hAnsi="宋体" w:cs="宋体"/>
                <w:color w:val="000000"/>
                <w:szCs w:val="21"/>
              </w:rPr>
              <w:t>项目经理（建造师）有效身份证、注册证书以及安全生产考核合格证书（B证）</w:t>
            </w:r>
          </w:p>
        </w:tc>
        <w:tc>
          <w:tcPr>
            <w:tcW w:w="1860" w:type="dxa"/>
            <w:vMerge w:val="continue"/>
            <w:noWrap/>
            <w:vAlign w:val="center"/>
          </w:tcPr>
          <w:p w14:paraId="2BFDCB77">
            <w:pPr>
              <w:spacing w:line="440" w:lineRule="exact"/>
              <w:rPr>
                <w:rFonts w:ascii="宋体" w:hAnsi="宋体" w:cs="宋体"/>
                <w:szCs w:val="21"/>
                <w:highlight w:val="none"/>
              </w:rPr>
            </w:pPr>
          </w:p>
        </w:tc>
      </w:tr>
      <w:tr w14:paraId="4C6A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765" w:type="dxa"/>
            <w:vMerge w:val="continue"/>
            <w:noWrap/>
            <w:vAlign w:val="center"/>
          </w:tcPr>
          <w:p w14:paraId="196A33EB">
            <w:pPr>
              <w:spacing w:line="440" w:lineRule="exact"/>
              <w:jc w:val="center"/>
              <w:rPr>
                <w:rFonts w:ascii="宋体" w:hAnsi="宋体" w:cs="宋体"/>
                <w:szCs w:val="21"/>
                <w:highlight w:val="none"/>
              </w:rPr>
            </w:pPr>
          </w:p>
        </w:tc>
        <w:tc>
          <w:tcPr>
            <w:tcW w:w="1258" w:type="dxa"/>
            <w:vMerge w:val="continue"/>
            <w:noWrap/>
            <w:vAlign w:val="center"/>
          </w:tcPr>
          <w:p w14:paraId="7D51B5B8">
            <w:pPr>
              <w:spacing w:line="440" w:lineRule="exact"/>
              <w:jc w:val="center"/>
              <w:rPr>
                <w:rFonts w:ascii="宋体" w:hAnsi="宋体" w:cs="宋体"/>
                <w:b/>
                <w:bCs/>
                <w:szCs w:val="21"/>
                <w:highlight w:val="none"/>
              </w:rPr>
            </w:pPr>
          </w:p>
        </w:tc>
        <w:tc>
          <w:tcPr>
            <w:tcW w:w="6183" w:type="dxa"/>
            <w:noWrap/>
            <w:vAlign w:val="top"/>
          </w:tcPr>
          <w:p w14:paraId="7DB448B8">
            <w:pPr>
              <w:spacing w:line="440" w:lineRule="exact"/>
              <w:rPr>
                <w:rFonts w:ascii="宋体" w:hAnsi="宋体" w:cs="宋体"/>
                <w:highlight w:val="none"/>
              </w:rPr>
            </w:pPr>
            <w:r>
              <w:rPr>
                <w:rFonts w:hint="eastAsia" w:ascii="宋体" w:hAnsi="宋体" w:cs="宋体"/>
                <w:color w:val="000000"/>
                <w:szCs w:val="21"/>
              </w:rPr>
              <w:t>投标人的法定代表人(或委托代理人)和拟任项目经理（建造师）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1860" w:type="dxa"/>
            <w:vMerge w:val="continue"/>
            <w:noWrap/>
            <w:vAlign w:val="center"/>
          </w:tcPr>
          <w:p w14:paraId="701C2C27">
            <w:pPr>
              <w:spacing w:line="440" w:lineRule="exact"/>
              <w:rPr>
                <w:rFonts w:ascii="宋体" w:hAnsi="宋体" w:cs="宋体"/>
                <w:szCs w:val="21"/>
                <w:highlight w:val="none"/>
              </w:rPr>
            </w:pPr>
          </w:p>
        </w:tc>
      </w:tr>
    </w:tbl>
    <w:p w14:paraId="44418C94">
      <w:pPr>
        <w:spacing w:line="440" w:lineRule="exact"/>
        <w:ind w:firstLine="422" w:firstLineChars="200"/>
        <w:jc w:val="left"/>
        <w:rPr>
          <w:rFonts w:ascii="宋体" w:hAnsi="宋体" w:cs="宋体"/>
          <w:b/>
          <w:bCs/>
          <w:szCs w:val="21"/>
          <w:highlight w:val="none"/>
        </w:rPr>
      </w:pPr>
      <w:r>
        <w:rPr>
          <w:rFonts w:hint="eastAsia" w:ascii="宋体" w:hAnsi="宋体" w:cs="宋体"/>
          <w:b/>
          <w:bCs/>
          <w:szCs w:val="21"/>
          <w:highlight w:val="none"/>
        </w:rPr>
        <w:t>重要提示：</w:t>
      </w:r>
    </w:p>
    <w:p w14:paraId="5863037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szCs w:val="21"/>
          <w:highlight w:val="none"/>
        </w:rPr>
      </w:pPr>
      <w:bookmarkStart w:id="742" w:name="_Toc27127"/>
      <w:bookmarkStart w:id="743" w:name="_Toc506107319"/>
      <w:bookmarkStart w:id="744" w:name="_Toc324404866"/>
      <w:bookmarkStart w:id="745" w:name="_Toc35424941"/>
      <w:bookmarkStart w:id="746" w:name="_Toc35425107"/>
      <w:bookmarkStart w:id="747" w:name="_Toc78803376"/>
      <w:bookmarkStart w:id="748" w:name="_Toc15058904"/>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lang w:val="en-US" w:eastAsia="zh-CN"/>
        </w:rPr>
        <w:t>1）</w:t>
      </w:r>
      <w:r>
        <w:rPr>
          <w:rFonts w:hint="eastAsia" w:ascii="宋体" w:hAnsi="宋体" w:eastAsia="宋体" w:cs="宋体"/>
          <w:b/>
          <w:bCs/>
          <w:szCs w:val="21"/>
          <w:highlight w:val="none"/>
        </w:rPr>
        <w:t>评标专家在检验电子投标文件过程中，如果由于投标人自身原因导致评标专家无法查看并检验电子投标文件中相关资料的，视为无效标处理。即使投标人将原件携带至现场的，同样按无效标处理。</w:t>
      </w:r>
    </w:p>
    <w:p w14:paraId="47D2EA3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lang w:val="en-US" w:eastAsia="zh-CN"/>
        </w:rPr>
        <w:t>2）</w:t>
      </w:r>
      <w:r>
        <w:rPr>
          <w:rFonts w:hint="eastAsia" w:ascii="宋体" w:hAnsi="宋体" w:eastAsia="宋体" w:cs="宋体"/>
          <w:b/>
          <w:bCs/>
          <w:szCs w:val="21"/>
          <w:highlight w:val="none"/>
        </w:rPr>
        <w:t>投标人拟委任项目经理为注册建造师（含一级、二级）的，须提供在电子证书使用有效期内的纸质版电子证书。一级建造师打印电子证书后，应在个人签名处手写本人签名，未手写签名或与签名图像笔迹不一致的，该电子证书无效。</w:t>
      </w:r>
    </w:p>
    <w:p w14:paraId="1D842AF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jc w:val="left"/>
        <w:textAlignment w:val="auto"/>
      </w:pPr>
      <w:r>
        <w:rPr>
          <w:rFonts w:hint="eastAsia" w:ascii="宋体" w:hAnsi="宋体" w:eastAsia="宋体" w:cs="宋体"/>
          <w:b/>
          <w:bCs/>
          <w:szCs w:val="21"/>
          <w:highlight w:val="none"/>
        </w:rPr>
        <w:t>投标人提供的安徽省新版二级建造师电子注册证书纸质版需在安徽省住房和城乡建设执业资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其他省份按各省相关规定执行。</w:t>
      </w:r>
    </w:p>
    <w:p w14:paraId="4A8A3FCB">
      <w:pPr>
        <w:pStyle w:val="3"/>
        <w:spacing w:beforeLines="50" w:afterLines="50"/>
        <w:ind w:firstLine="422" w:firstLineChars="200"/>
        <w:rPr>
          <w:rFonts w:ascii="宋体" w:hAnsi="宋体" w:eastAsia="宋体" w:cs="宋体"/>
          <w:highlight w:val="none"/>
        </w:rPr>
      </w:pPr>
      <w:r>
        <w:rPr>
          <w:rFonts w:hint="eastAsia" w:ascii="宋体" w:hAnsi="宋体" w:eastAsia="宋体" w:cs="宋体"/>
          <w:highlight w:val="none"/>
        </w:rPr>
        <w:t>1.审查资料</w:t>
      </w:r>
      <w:bookmarkEnd w:id="742"/>
      <w:bookmarkEnd w:id="743"/>
      <w:bookmarkEnd w:id="744"/>
      <w:bookmarkEnd w:id="745"/>
      <w:bookmarkEnd w:id="746"/>
      <w:bookmarkEnd w:id="747"/>
      <w:bookmarkEnd w:id="748"/>
    </w:p>
    <w:p w14:paraId="2DC377C4">
      <w:pPr>
        <w:spacing w:line="440" w:lineRule="exact"/>
        <w:ind w:firstLine="420" w:firstLineChars="200"/>
        <w:jc w:val="left"/>
        <w:rPr>
          <w:rFonts w:hint="eastAsia" w:ascii="宋体" w:hAnsi="宋体" w:cs="宋体"/>
          <w:szCs w:val="21"/>
          <w:highlight w:val="none"/>
        </w:rPr>
      </w:pPr>
      <w:bookmarkStart w:id="749" w:name="_Toc15058905"/>
      <w:bookmarkStart w:id="750" w:name="_Toc324404867"/>
      <w:r>
        <w:rPr>
          <w:rFonts w:hint="eastAsia" w:ascii="宋体" w:hAnsi="宋体" w:cs="宋体"/>
          <w:szCs w:val="21"/>
          <w:highlight w:val="none"/>
        </w:rPr>
        <w:t>（1）法定代表人身份证明文件和本人有效身份证(或法定代表人授权委托书和委托代理人有效身份证)；</w:t>
      </w:r>
    </w:p>
    <w:p w14:paraId="3F0E71BB">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（2）诚信投标承诺书；</w:t>
      </w:r>
    </w:p>
    <w:p w14:paraId="12618AFF">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（3）企业法人营业执照；</w:t>
      </w:r>
    </w:p>
    <w:p w14:paraId="45677E59">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（4）企业资质证书</w:t>
      </w:r>
      <w:r>
        <w:rPr>
          <w:rFonts w:hint="eastAsia" w:ascii="宋体" w:hAnsi="宋体" w:cs="宋体"/>
          <w:szCs w:val="21"/>
          <w:highlight w:val="none"/>
          <w:lang w:val="en-US" w:eastAsia="zh-CN"/>
        </w:rPr>
        <w:t>及</w:t>
      </w:r>
      <w:r>
        <w:rPr>
          <w:rFonts w:hint="eastAsia" w:ascii="宋体" w:hAnsi="宋体" w:cs="宋体"/>
          <w:color w:val="000000"/>
          <w:szCs w:val="21"/>
        </w:rPr>
        <w:t>企业安全生产许可证</w:t>
      </w:r>
      <w:r>
        <w:rPr>
          <w:rFonts w:hint="eastAsia" w:ascii="宋体" w:hAnsi="宋体" w:cs="宋体"/>
          <w:szCs w:val="21"/>
          <w:highlight w:val="none"/>
        </w:rPr>
        <w:t>；</w:t>
      </w:r>
    </w:p>
    <w:p w14:paraId="493BB5C6">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（5）</w:t>
      </w:r>
      <w:r>
        <w:rPr>
          <w:rFonts w:hint="eastAsia" w:ascii="宋体" w:hAnsi="宋体" w:cs="宋体"/>
          <w:szCs w:val="21"/>
          <w:highlight w:val="none"/>
          <w:lang w:val="en-US" w:eastAsia="zh-CN"/>
        </w:rPr>
        <w:t>企业有效</w:t>
      </w:r>
      <w:r>
        <w:rPr>
          <w:rFonts w:hint="eastAsia" w:ascii="宋体" w:hAnsi="宋体" w:cs="宋体"/>
          <w:szCs w:val="21"/>
          <w:highlight w:val="none"/>
        </w:rPr>
        <w:t>电力设施许可证</w:t>
      </w:r>
      <w:r>
        <w:rPr>
          <w:rFonts w:hint="eastAsia" w:ascii="宋体" w:hAnsi="宋体" w:cs="宋体"/>
          <w:szCs w:val="21"/>
          <w:highlight w:val="none"/>
          <w:lang w:eastAsia="zh-CN"/>
        </w:rPr>
        <w:t>；</w:t>
      </w:r>
    </w:p>
    <w:p w14:paraId="0ED50D49">
      <w:pPr>
        <w:spacing w:line="440" w:lineRule="exact"/>
        <w:ind w:firstLine="420" w:firstLineChars="200"/>
        <w:jc w:val="left"/>
        <w:rPr>
          <w:rFonts w:hint="eastAsia" w:ascii="宋体" w:hAnsi="宋体" w:cs="宋体"/>
          <w:szCs w:val="21"/>
          <w:highlight w:val="none"/>
        </w:rPr>
      </w:pPr>
      <w:r>
        <w:rPr>
          <w:rFonts w:hint="eastAsia" w:ascii="宋体" w:hAnsi="宋体" w:cs="宋体"/>
          <w:color w:val="000000"/>
          <w:szCs w:val="21"/>
          <w:lang w:eastAsia="zh-CN"/>
        </w:rPr>
        <w:t>（</w:t>
      </w:r>
      <w:r>
        <w:rPr>
          <w:rFonts w:hint="eastAsia" w:ascii="宋体" w:hAnsi="宋体" w:cs="宋体"/>
          <w:color w:val="000000"/>
          <w:szCs w:val="21"/>
          <w:lang w:val="en-US" w:eastAsia="zh-CN"/>
        </w:rPr>
        <w:t>6）</w:t>
      </w:r>
      <w:r>
        <w:rPr>
          <w:rFonts w:hint="eastAsia" w:ascii="宋体" w:hAnsi="宋体" w:cs="宋体"/>
          <w:color w:val="000000"/>
          <w:szCs w:val="21"/>
        </w:rPr>
        <w:t>项目经理（建造师）有效身份证、注册证书以及安全生产考核合格证书（B证）</w:t>
      </w:r>
      <w:r>
        <w:rPr>
          <w:rFonts w:hint="eastAsia" w:ascii="宋体" w:hAnsi="宋体" w:cs="宋体"/>
          <w:szCs w:val="21"/>
          <w:highlight w:val="none"/>
        </w:rPr>
        <w:t>；</w:t>
      </w:r>
    </w:p>
    <w:p w14:paraId="57EC5BE4">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w:t>
      </w:r>
      <w:r>
        <w:rPr>
          <w:rFonts w:hint="eastAsia" w:ascii="宋体" w:hAnsi="宋体" w:cs="宋体"/>
          <w:szCs w:val="21"/>
          <w:highlight w:val="none"/>
          <w:lang w:val="en-US" w:eastAsia="zh-CN"/>
        </w:rPr>
        <w:t>7</w:t>
      </w:r>
      <w:r>
        <w:rPr>
          <w:rFonts w:hint="eastAsia" w:ascii="宋体" w:hAnsi="宋体" w:cs="宋体"/>
          <w:szCs w:val="21"/>
          <w:highlight w:val="none"/>
        </w:rPr>
        <w:t>）</w:t>
      </w:r>
      <w:r>
        <w:rPr>
          <w:rFonts w:hint="eastAsia" w:ascii="宋体" w:hAnsi="宋体" w:cs="宋体"/>
          <w:color w:val="000000"/>
          <w:szCs w:val="21"/>
        </w:rPr>
        <w:t>投标人的法定代表人(或委托代理人)和拟任项目经理（建造师）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r>
        <w:rPr>
          <w:rFonts w:hint="eastAsia" w:ascii="宋体" w:hAnsi="宋体" w:cs="宋体"/>
          <w:color w:val="000000"/>
          <w:szCs w:val="21"/>
          <w:lang w:eastAsia="zh-CN"/>
        </w:rPr>
        <w:t>。</w:t>
      </w:r>
    </w:p>
    <w:bookmarkEnd w:id="749"/>
    <w:p w14:paraId="5990719C">
      <w:pPr>
        <w:pStyle w:val="3"/>
        <w:spacing w:beforeLines="50" w:afterLines="50"/>
        <w:ind w:firstLine="422" w:firstLineChars="200"/>
        <w:rPr>
          <w:rFonts w:ascii="宋体" w:hAnsi="宋体" w:eastAsia="宋体" w:cs="宋体"/>
          <w:highlight w:val="none"/>
        </w:rPr>
      </w:pPr>
      <w:bookmarkStart w:id="751" w:name="_Toc12549"/>
      <w:bookmarkStart w:id="752" w:name="_Toc506107320"/>
      <w:bookmarkStart w:id="753" w:name="_Toc15058909"/>
      <w:bookmarkStart w:id="754" w:name="_Toc35424942"/>
      <w:bookmarkStart w:id="755" w:name="_Toc78803377"/>
      <w:bookmarkStart w:id="756" w:name="_Toc35425108"/>
      <w:r>
        <w:rPr>
          <w:rFonts w:hint="eastAsia" w:ascii="宋体" w:hAnsi="宋体" w:eastAsia="宋体" w:cs="宋体"/>
          <w:highlight w:val="none"/>
        </w:rPr>
        <w:t>2.审查办法</w:t>
      </w:r>
      <w:bookmarkEnd w:id="750"/>
      <w:bookmarkEnd w:id="751"/>
      <w:bookmarkEnd w:id="752"/>
      <w:bookmarkEnd w:id="753"/>
      <w:bookmarkEnd w:id="754"/>
      <w:bookmarkEnd w:id="755"/>
      <w:bookmarkEnd w:id="756"/>
    </w:p>
    <w:p w14:paraId="0B018554">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由资格审查委员会（评标委员会）按资格审查办法前附表中资格审查必要合格条件评审表要求对投标人审查资料进行核验。</w:t>
      </w:r>
    </w:p>
    <w:p w14:paraId="447D2762">
      <w:pPr>
        <w:pStyle w:val="3"/>
        <w:spacing w:beforeLines="50" w:afterLines="50"/>
        <w:ind w:firstLine="422" w:firstLineChars="200"/>
        <w:rPr>
          <w:rFonts w:ascii="宋体" w:hAnsi="宋体" w:eastAsia="宋体" w:cs="宋体"/>
          <w:highlight w:val="none"/>
        </w:rPr>
      </w:pPr>
      <w:bookmarkStart w:id="757" w:name="_Toc35424943"/>
      <w:bookmarkStart w:id="758" w:name="_Toc35425109"/>
      <w:bookmarkStart w:id="759" w:name="_Toc506107321"/>
      <w:bookmarkStart w:id="760" w:name="_Toc15626"/>
      <w:bookmarkStart w:id="761" w:name="_Toc78803378"/>
      <w:bookmarkStart w:id="762" w:name="_Toc15058910"/>
      <w:bookmarkStart w:id="763" w:name="_Toc324404868"/>
      <w:r>
        <w:rPr>
          <w:rFonts w:hint="eastAsia" w:ascii="宋体" w:hAnsi="宋体" w:eastAsia="宋体" w:cs="宋体"/>
          <w:highlight w:val="none"/>
        </w:rPr>
        <w:t>3.资格审查委员会和审查标准</w:t>
      </w:r>
      <w:bookmarkEnd w:id="757"/>
      <w:bookmarkEnd w:id="758"/>
      <w:bookmarkEnd w:id="759"/>
      <w:bookmarkEnd w:id="760"/>
      <w:bookmarkEnd w:id="761"/>
      <w:bookmarkEnd w:id="762"/>
      <w:bookmarkEnd w:id="763"/>
    </w:p>
    <w:p w14:paraId="48F20776">
      <w:pPr>
        <w:spacing w:line="440" w:lineRule="exact"/>
        <w:ind w:firstLine="420" w:firstLineChars="200"/>
        <w:jc w:val="left"/>
        <w:rPr>
          <w:rFonts w:hint="eastAsia" w:ascii="宋体" w:hAnsi="宋体" w:eastAsia="宋体" w:cs="宋体"/>
          <w:szCs w:val="21"/>
          <w:highlight w:val="none"/>
        </w:rPr>
      </w:pPr>
      <w:bookmarkStart w:id="764" w:name="_Toc506107322"/>
      <w:bookmarkStart w:id="765" w:name="_Toc15058911"/>
      <w:bookmarkStart w:id="766" w:name="_Toc35424944"/>
      <w:bookmarkStart w:id="767" w:name="_Toc10330"/>
      <w:bookmarkStart w:id="768" w:name="_Toc324404869"/>
      <w:bookmarkStart w:id="769" w:name="_Toc35425110"/>
      <w:bookmarkStart w:id="770" w:name="_Toc78803379"/>
      <w:r>
        <w:rPr>
          <w:rFonts w:hint="eastAsia" w:ascii="宋体" w:hAnsi="宋体" w:eastAsia="宋体" w:cs="宋体"/>
          <w:szCs w:val="21"/>
          <w:highlight w:val="none"/>
        </w:rPr>
        <w:t>3.1资格审查由招标人依法组建的资格审查委员会（或评标委员会）负责。审查标准见资格审查办法前附表。</w:t>
      </w:r>
    </w:p>
    <w:p w14:paraId="75FCAEF4">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3.2由资格审查委员会（评标委员会）按资格审查办法前附表要求对投标人的审查资料进行核验。投标申请人有下列情形之一的，其资格审查为不合格： </w:t>
      </w:r>
    </w:p>
    <w:p w14:paraId="465F4E80">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（1）未上传电子标书或电子标书经审查不合格；</w:t>
      </w:r>
    </w:p>
    <w:p w14:paraId="526FEED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cs="宋体"/>
          <w:szCs w:val="21"/>
          <w:highlight w:val="none"/>
          <w:lang w:val="en-US" w:eastAsia="zh-CN"/>
        </w:rPr>
        <w:t>2</w:t>
      </w:r>
      <w:r>
        <w:rPr>
          <w:rFonts w:hint="eastAsia" w:ascii="宋体" w:hAnsi="宋体" w:eastAsia="宋体" w:cs="宋体"/>
          <w:szCs w:val="21"/>
          <w:highlight w:val="none"/>
        </w:rPr>
        <w:t>）法律、法规规定的其他情形。</w:t>
      </w:r>
    </w:p>
    <w:p w14:paraId="439F3B10">
      <w:pPr>
        <w:pStyle w:val="3"/>
        <w:spacing w:beforeLines="50" w:afterLines="50"/>
        <w:ind w:firstLine="422" w:firstLineChars="200"/>
        <w:rPr>
          <w:rFonts w:ascii="宋体" w:hAnsi="宋体" w:eastAsia="宋体" w:cs="宋体"/>
          <w:highlight w:val="none"/>
        </w:rPr>
      </w:pPr>
      <w:r>
        <w:rPr>
          <w:rFonts w:hint="eastAsia" w:ascii="宋体" w:hAnsi="宋体" w:eastAsia="宋体" w:cs="宋体"/>
          <w:highlight w:val="none"/>
        </w:rPr>
        <w:t>4.审查结果</w:t>
      </w:r>
      <w:bookmarkEnd w:id="764"/>
      <w:bookmarkEnd w:id="765"/>
      <w:bookmarkEnd w:id="766"/>
      <w:bookmarkEnd w:id="767"/>
      <w:bookmarkEnd w:id="768"/>
      <w:bookmarkEnd w:id="769"/>
      <w:bookmarkEnd w:id="770"/>
    </w:p>
    <w:p w14:paraId="58D45548">
      <w:pPr>
        <w:spacing w:line="440" w:lineRule="exact"/>
        <w:ind w:firstLine="420" w:firstLineChars="200"/>
        <w:jc w:val="left"/>
        <w:rPr>
          <w:rFonts w:ascii="宋体" w:hAnsi="宋体" w:cs="宋体"/>
          <w:szCs w:val="21"/>
          <w:highlight w:val="none"/>
        </w:rPr>
      </w:pPr>
      <w:r>
        <w:rPr>
          <w:rFonts w:hint="eastAsia" w:ascii="宋体" w:hAnsi="宋体" w:cs="宋体"/>
          <w:highlight w:val="none"/>
        </w:rPr>
        <w:t>只有通过资格审查的投标人才能进入下一步的评标程序。</w:t>
      </w:r>
      <w:bookmarkStart w:id="771" w:name="_Toc506107323"/>
    </w:p>
    <w:p w14:paraId="500CB5F4">
      <w:pPr>
        <w:pStyle w:val="2"/>
        <w:numPr>
          <w:ilvl w:val="0"/>
          <w:numId w:val="2"/>
        </w:numPr>
        <w:spacing w:beforeLines="50" w:afterLines="50"/>
        <w:rPr>
          <w:rFonts w:hint="eastAsia" w:ascii="Arial" w:hAnsi="Arial"/>
          <w:kern w:val="0"/>
          <w:sz w:val="32"/>
          <w:szCs w:val="32"/>
          <w:highlight w:val="none"/>
        </w:rPr>
      </w:pPr>
      <w:bookmarkStart w:id="772" w:name="_Toc35424945"/>
      <w:bookmarkStart w:id="773" w:name="_Toc35425111"/>
      <w:bookmarkStart w:id="774" w:name="_Toc15058912"/>
      <w:r>
        <w:rPr>
          <w:rFonts w:hint="eastAsia"/>
          <w:highlight w:val="none"/>
        </w:rPr>
        <w:br w:type="page"/>
      </w:r>
      <w:bookmarkStart w:id="775" w:name="_Toc78803380"/>
      <w:r>
        <w:rPr>
          <w:rFonts w:hint="eastAsia" w:ascii="Arial" w:hAnsi="Arial"/>
          <w:kern w:val="0"/>
          <w:sz w:val="32"/>
          <w:szCs w:val="32"/>
          <w:highlight w:val="none"/>
        </w:rPr>
        <w:t>评标办法</w:t>
      </w:r>
      <w:bookmarkEnd w:id="623"/>
      <w:bookmarkEnd w:id="771"/>
      <w:bookmarkEnd w:id="772"/>
      <w:bookmarkEnd w:id="773"/>
      <w:bookmarkEnd w:id="774"/>
      <w:bookmarkEnd w:id="775"/>
    </w:p>
    <w:p w14:paraId="21C07B66">
      <w:pPr>
        <w:spacing w:line="560" w:lineRule="exact"/>
        <w:jc w:val="center"/>
        <w:rPr>
          <w:color w:val="000000"/>
        </w:rPr>
      </w:pPr>
      <w:bookmarkStart w:id="776" w:name="_Toc35425113"/>
      <w:bookmarkStart w:id="777" w:name="_Toc78803381"/>
      <w:bookmarkStart w:id="778" w:name="_Toc152042366"/>
      <w:bookmarkStart w:id="779" w:name="_Toc35424947"/>
      <w:bookmarkStart w:id="780" w:name="_Toc15058913"/>
      <w:bookmarkStart w:id="781" w:name="_Toc324404872"/>
      <w:bookmarkStart w:id="782" w:name="_Toc6491"/>
      <w:bookmarkStart w:id="783" w:name="_Toc144974556"/>
      <w:bookmarkStart w:id="784" w:name="_Toc179632607"/>
      <w:bookmarkStart w:id="785" w:name="_Toc246996232"/>
      <w:bookmarkStart w:id="786" w:name="_Toc152045589"/>
      <w:bookmarkStart w:id="787" w:name="_Toc246996975"/>
      <w:bookmarkStart w:id="788" w:name="_Toc247085747"/>
      <w:bookmarkStart w:id="789" w:name="_Toc506107324"/>
      <w:bookmarkStart w:id="790" w:name="_Toc506107325"/>
      <w:bookmarkStart w:id="791" w:name="_Toc324404873"/>
      <w:bookmarkStart w:id="792" w:name="_Toc78803382"/>
      <w:bookmarkStart w:id="793" w:name="_Toc35425114"/>
      <w:bookmarkStart w:id="794" w:name="_Toc11945"/>
      <w:bookmarkStart w:id="795" w:name="_Toc35424948"/>
      <w:bookmarkStart w:id="796" w:name="_Toc15058914"/>
      <w:bookmarkStart w:id="797" w:name="_Toc152042367"/>
      <w:bookmarkStart w:id="798" w:name="_Toc247085748"/>
      <w:bookmarkStart w:id="799" w:name="_Toc144974557"/>
      <w:bookmarkStart w:id="800" w:name="_Toc179632608"/>
      <w:bookmarkStart w:id="801" w:name="_Toc246996233"/>
      <w:bookmarkStart w:id="802" w:name="_Toc246996976"/>
      <w:bookmarkStart w:id="803" w:name="_Toc296602478"/>
      <w:bookmarkStart w:id="804" w:name="_Toc152045590"/>
      <w:r>
        <w:rPr>
          <w:rFonts w:hint="eastAsia"/>
          <w:b/>
          <w:bCs/>
          <w:color w:val="000000"/>
          <w:sz w:val="28"/>
          <w:szCs w:val="28"/>
        </w:rPr>
        <w:t>（一）</w:t>
      </w:r>
      <w:r>
        <w:rPr>
          <w:rFonts w:hint="eastAsia"/>
          <w:b/>
          <w:color w:val="000000"/>
          <w:sz w:val="28"/>
          <w:szCs w:val="21"/>
        </w:rPr>
        <w:t>中标候选人的确定</w:t>
      </w:r>
    </w:p>
    <w:p w14:paraId="084210A1">
      <w:pPr>
        <w:pStyle w:val="14"/>
        <w:spacing w:after="0" w:line="560" w:lineRule="exact"/>
        <w:ind w:left="0" w:leftChars="0"/>
        <w:rPr>
          <w:color w:val="000000"/>
        </w:rPr>
      </w:pPr>
      <w:r>
        <w:rPr>
          <w:rFonts w:hint="eastAsia"/>
          <w:color w:val="000000"/>
        </w:rPr>
        <w:t>评标委员会对投标人依次进行资信、技术、 商务文件审查，对均满足要求的投标人进行各项评审因素打分，合计的总得分按照从高到低进行排序，总得分第一的投标人为第一中标候选人。</w:t>
      </w:r>
      <w:r>
        <w:rPr>
          <w:rFonts w:hint="eastAsia" w:ascii="宋体" w:hAnsi="宋体" w:cs="宋体"/>
          <w:color w:val="000000"/>
          <w:szCs w:val="21"/>
        </w:rPr>
        <w:t>如总得分相等，以投标报价低的优先；投标报价仍相等，由招标人或评标委员会主任委员随机抽取确定排名。</w:t>
      </w:r>
    </w:p>
    <w:p w14:paraId="582708BB">
      <w:pPr>
        <w:pStyle w:val="14"/>
        <w:adjustRightInd w:val="0"/>
        <w:snapToGrid w:val="0"/>
        <w:spacing w:after="0" w:line="560" w:lineRule="exact"/>
        <w:ind w:left="0" w:leftChars="0" w:firstLine="0" w:firstLineChars="0"/>
        <w:jc w:val="center"/>
        <w:rPr>
          <w:rFonts w:hint="default" w:eastAsia="宋体"/>
          <w:b/>
          <w:color w:val="000000"/>
          <w:sz w:val="36"/>
          <w:lang w:val="en-US" w:eastAsia="zh-CN"/>
        </w:rPr>
      </w:pPr>
      <w:r>
        <w:rPr>
          <w:rFonts w:hint="eastAsia"/>
          <w:b/>
          <w:color w:val="000000"/>
          <w:sz w:val="28"/>
          <w:szCs w:val="21"/>
        </w:rPr>
        <w:t>（二）资信标评审</w:t>
      </w:r>
      <w:r>
        <w:rPr>
          <w:rFonts w:hint="eastAsia"/>
          <w:b/>
          <w:color w:val="000000"/>
          <w:sz w:val="28"/>
          <w:szCs w:val="21"/>
          <w:lang w:eastAsia="zh-CN"/>
        </w:rPr>
        <w:t>（</w:t>
      </w:r>
      <w:r>
        <w:rPr>
          <w:rFonts w:hint="eastAsia"/>
          <w:b/>
          <w:color w:val="000000"/>
          <w:sz w:val="28"/>
          <w:szCs w:val="21"/>
          <w:lang w:val="en-US" w:eastAsia="zh-CN"/>
        </w:rPr>
        <w:t>满分10分）</w:t>
      </w:r>
    </w:p>
    <w:tbl>
      <w:tblPr>
        <w:tblStyle w:val="47"/>
        <w:tblW w:w="9960" w:type="dxa"/>
        <w:tblInd w:w="-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8"/>
        <w:gridCol w:w="1276"/>
        <w:gridCol w:w="1183"/>
        <w:gridCol w:w="6153"/>
      </w:tblGrid>
      <w:tr w14:paraId="25D52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348" w:type="dxa"/>
            <w:noWrap w:val="0"/>
            <w:vAlign w:val="top"/>
          </w:tcPr>
          <w:p w14:paraId="735D084D">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序号</w:t>
            </w:r>
          </w:p>
        </w:tc>
        <w:tc>
          <w:tcPr>
            <w:tcW w:w="1276" w:type="dxa"/>
            <w:noWrap w:val="0"/>
            <w:vAlign w:val="top"/>
          </w:tcPr>
          <w:p w14:paraId="1C521DDB">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评审因素</w:t>
            </w:r>
          </w:p>
        </w:tc>
        <w:tc>
          <w:tcPr>
            <w:tcW w:w="1183" w:type="dxa"/>
            <w:noWrap w:val="0"/>
            <w:vAlign w:val="top"/>
          </w:tcPr>
          <w:p w14:paraId="1CD875D2">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分值设置</w:t>
            </w:r>
          </w:p>
        </w:tc>
        <w:tc>
          <w:tcPr>
            <w:tcW w:w="6153" w:type="dxa"/>
            <w:noWrap w:val="0"/>
            <w:vAlign w:val="top"/>
          </w:tcPr>
          <w:p w14:paraId="23697A83">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评审标准</w:t>
            </w:r>
          </w:p>
        </w:tc>
      </w:tr>
      <w:tr w14:paraId="33D2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48" w:type="dxa"/>
            <w:noWrap w:val="0"/>
            <w:vAlign w:val="center"/>
          </w:tcPr>
          <w:p w14:paraId="6DD2F205">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1</w:t>
            </w:r>
          </w:p>
        </w:tc>
        <w:tc>
          <w:tcPr>
            <w:tcW w:w="1276" w:type="dxa"/>
            <w:noWrap w:val="0"/>
            <w:vAlign w:val="center"/>
          </w:tcPr>
          <w:p w14:paraId="51A61C58">
            <w:pPr>
              <w:jc w:val="center"/>
              <w:rPr>
                <w:rFonts w:ascii="宋体" w:hAnsi="宋体" w:cs="宋体"/>
                <w:color w:val="000000"/>
                <w:szCs w:val="21"/>
              </w:rPr>
            </w:pPr>
            <w:r>
              <w:rPr>
                <w:rFonts w:ascii="宋体" w:hAnsi="宋体" w:cs="宋体"/>
                <w:spacing w:val="-3"/>
                <w:szCs w:val="21"/>
                <w:highlight w:val="none"/>
              </w:rPr>
              <w:t>企业业绩</w:t>
            </w:r>
          </w:p>
        </w:tc>
        <w:tc>
          <w:tcPr>
            <w:tcW w:w="1183" w:type="dxa"/>
            <w:noWrap w:val="0"/>
            <w:vAlign w:val="center"/>
          </w:tcPr>
          <w:p w14:paraId="57444518">
            <w:pPr>
              <w:jc w:val="center"/>
              <w:rPr>
                <w:rFonts w:ascii="宋体" w:hAnsi="宋体" w:cs="宋体"/>
                <w:color w:val="000000"/>
                <w:szCs w:val="21"/>
              </w:rPr>
            </w:pPr>
            <w:r>
              <w:rPr>
                <w:rFonts w:hint="eastAsia" w:ascii="宋体" w:hAnsi="宋体" w:cs="宋体"/>
                <w:spacing w:val="-8"/>
                <w:szCs w:val="21"/>
                <w:highlight w:val="none"/>
              </w:rPr>
              <w:t>10</w:t>
            </w:r>
            <w:r>
              <w:rPr>
                <w:rFonts w:ascii="宋体" w:hAnsi="宋体" w:cs="宋体"/>
                <w:spacing w:val="-8"/>
                <w:szCs w:val="21"/>
                <w:highlight w:val="none"/>
              </w:rPr>
              <w:t>分</w:t>
            </w:r>
          </w:p>
        </w:tc>
        <w:tc>
          <w:tcPr>
            <w:tcW w:w="6153" w:type="dxa"/>
            <w:noWrap w:val="0"/>
            <w:vAlign w:val="center"/>
          </w:tcPr>
          <w:p w14:paraId="378180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highlight w:val="none"/>
                <w:u w:val="none"/>
                <w:lang w:val="en-US" w:eastAsia="zh-CN"/>
              </w:rPr>
            </w:pPr>
            <w:r>
              <w:rPr>
                <w:rFonts w:hint="eastAsia" w:ascii="宋体" w:hAnsi="宋体" w:eastAsia="宋体" w:cs="宋体"/>
                <w:color w:val="auto"/>
                <w:sz w:val="21"/>
                <w:highlight w:val="none"/>
                <w:u w:val="none"/>
                <w:lang w:val="en-US" w:eastAsia="zh-CN"/>
              </w:rPr>
              <w:t>自 2021年1月 1 日至投标截止日（以合同签订时间为准），投标人每提供一个单项合同金额不低于290万元（含）的电力施工业绩的得5分；其他的不得分，本项满分10分。</w:t>
            </w:r>
          </w:p>
          <w:p w14:paraId="397D20EA">
            <w:pPr>
              <w:spacing w:line="440" w:lineRule="exact"/>
              <w:jc w:val="left"/>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【须同时提供下列材料扫描件：①合同，合同内容须满足要求；②</w:t>
            </w:r>
            <w:r>
              <w:rPr>
                <w:rFonts w:hint="eastAsia" w:ascii="Times New Roman" w:hAnsi="Times New Roman" w:eastAsia="宋体" w:cs="Times New Roman"/>
                <w:color w:val="000000"/>
                <w:highlight w:val="none"/>
                <w:lang w:val="en-US" w:eastAsia="zh-CN"/>
              </w:rPr>
              <w:t>验收证明材料</w:t>
            </w:r>
            <w:r>
              <w:rPr>
                <w:rFonts w:hint="eastAsia" w:ascii="Times New Roman" w:hAnsi="Times New Roman" w:eastAsia="宋体" w:cs="Times New Roman"/>
                <w:color w:val="000000"/>
                <w:highlight w:val="none"/>
              </w:rPr>
              <w:t>，</w:t>
            </w:r>
            <w:r>
              <w:rPr>
                <w:rFonts w:hint="eastAsia" w:ascii="Times New Roman" w:hAnsi="Times New Roman" w:eastAsia="宋体" w:cs="Times New Roman"/>
                <w:color w:val="000000"/>
                <w:highlight w:val="none"/>
                <w:lang w:val="en-US" w:eastAsia="zh-CN"/>
              </w:rPr>
              <w:t>两</w:t>
            </w:r>
            <w:r>
              <w:rPr>
                <w:rFonts w:hint="eastAsia" w:ascii="Times New Roman" w:hAnsi="Times New Roman" w:eastAsia="宋体" w:cs="Times New Roman"/>
                <w:color w:val="000000"/>
                <w:highlight w:val="none"/>
              </w:rPr>
              <w:t>项材料缺一不可，如上述</w:t>
            </w:r>
            <w:r>
              <w:rPr>
                <w:rFonts w:hint="eastAsia" w:ascii="Times New Roman" w:hAnsi="Times New Roman" w:eastAsia="宋体" w:cs="Times New Roman"/>
                <w:color w:val="000000"/>
                <w:highlight w:val="none"/>
                <w:lang w:val="en-US" w:eastAsia="zh-CN"/>
              </w:rPr>
              <w:t>两</w:t>
            </w:r>
            <w:r>
              <w:rPr>
                <w:rFonts w:hint="eastAsia" w:ascii="Times New Roman" w:hAnsi="Times New Roman" w:eastAsia="宋体" w:cs="Times New Roman"/>
                <w:color w:val="000000"/>
                <w:highlight w:val="none"/>
              </w:rPr>
              <w:t>项材料不一致或不能够充分有效证明该工程业绩的工程类型等内容，则须提供建设单位出具的加盖建设单位公章的证明材料。</w:t>
            </w:r>
            <w:r>
              <w:rPr>
                <w:rFonts w:hint="eastAsia" w:ascii="Times New Roman" w:hAnsi="Times New Roman" w:eastAsia="宋体" w:cs="Times New Roman"/>
                <w:color w:val="000000"/>
                <w:highlight w:val="none"/>
                <w:lang w:val="en-US" w:eastAsia="zh-CN"/>
              </w:rPr>
              <w:t>合同签订</w:t>
            </w:r>
            <w:r>
              <w:rPr>
                <w:rFonts w:hint="eastAsia" w:ascii="Times New Roman" w:hAnsi="Times New Roman" w:eastAsia="宋体" w:cs="Times New Roman"/>
                <w:color w:val="000000"/>
                <w:highlight w:val="none"/>
              </w:rPr>
              <w:t>时间</w:t>
            </w:r>
            <w:r>
              <w:rPr>
                <w:rFonts w:hint="eastAsia" w:ascii="Times New Roman" w:hAnsi="Times New Roman" w:eastAsia="宋体" w:cs="Times New Roman"/>
                <w:color w:val="000000"/>
                <w:highlight w:val="none"/>
                <w:lang w:val="en-US" w:eastAsia="zh-CN"/>
              </w:rPr>
              <w:t>和合同金额均</w:t>
            </w:r>
            <w:r>
              <w:rPr>
                <w:rFonts w:hint="eastAsia" w:ascii="Times New Roman" w:hAnsi="Times New Roman" w:eastAsia="宋体" w:cs="Times New Roman"/>
                <w:color w:val="000000"/>
                <w:highlight w:val="none"/>
              </w:rPr>
              <w:t>以</w:t>
            </w:r>
            <w:r>
              <w:rPr>
                <w:rFonts w:hint="eastAsia" w:ascii="Times New Roman" w:hAnsi="Times New Roman" w:eastAsia="宋体" w:cs="Times New Roman"/>
                <w:color w:val="000000"/>
                <w:highlight w:val="none"/>
                <w:lang w:val="en-US" w:eastAsia="zh-CN"/>
              </w:rPr>
              <w:t>合同载明内容</w:t>
            </w:r>
            <w:r>
              <w:rPr>
                <w:rFonts w:hint="eastAsia" w:ascii="Times New Roman" w:hAnsi="Times New Roman" w:eastAsia="宋体" w:cs="Times New Roman"/>
                <w:color w:val="000000"/>
                <w:highlight w:val="none"/>
              </w:rPr>
              <w:t>为准。】</w:t>
            </w:r>
          </w:p>
          <w:p w14:paraId="1FD3C61B">
            <w:pPr>
              <w:spacing w:line="440" w:lineRule="exact"/>
              <w:jc w:val="left"/>
              <w:rPr>
                <w:color w:val="000000"/>
                <w:highlight w:val="none"/>
              </w:rPr>
            </w:pPr>
            <w:r>
              <w:rPr>
                <w:rFonts w:hint="eastAsia" w:ascii="Times New Roman" w:hAnsi="Times New Roman" w:eastAsia="宋体" w:cs="Times New Roman"/>
                <w:color w:val="000000"/>
                <w:highlight w:val="none"/>
              </w:rPr>
              <w:t>注：投标人投标时只须提供2个评审业绩，若投标人提供业绩个数超过2个，则按照排列顺序从首个业绩开始评审至对应数量（2个），超出部分业绩不进行评审。对应数量（2个）业绩不符合招标文件要求不得分的，不再补充评审超出部分业绩。如：提供2个业绩即得满分的，按照投标文件排序评审第一、第二项业绩，其余超出部分不再评审”。</w:t>
            </w:r>
          </w:p>
        </w:tc>
      </w:tr>
    </w:tbl>
    <w:p w14:paraId="046F1085">
      <w:pPr>
        <w:pStyle w:val="14"/>
        <w:adjustRightInd w:val="0"/>
        <w:snapToGrid w:val="0"/>
        <w:spacing w:after="0" w:line="560" w:lineRule="exact"/>
        <w:ind w:left="0" w:leftChars="0" w:firstLine="0" w:firstLineChars="0"/>
        <w:jc w:val="center"/>
        <w:rPr>
          <w:rFonts w:hint="default" w:eastAsia="宋体"/>
          <w:b/>
          <w:color w:val="000000"/>
          <w:sz w:val="28"/>
          <w:szCs w:val="21"/>
          <w:lang w:val="en-US" w:eastAsia="zh-CN"/>
        </w:rPr>
      </w:pPr>
      <w:r>
        <w:rPr>
          <w:rFonts w:hint="eastAsia"/>
          <w:b/>
          <w:color w:val="000000"/>
          <w:sz w:val="28"/>
          <w:szCs w:val="21"/>
        </w:rPr>
        <w:t>（三）技术标评审</w:t>
      </w:r>
      <w:r>
        <w:rPr>
          <w:rFonts w:hint="eastAsia"/>
          <w:b/>
          <w:color w:val="000000"/>
          <w:sz w:val="28"/>
          <w:szCs w:val="21"/>
          <w:lang w:eastAsia="zh-CN"/>
        </w:rPr>
        <w:t>（</w:t>
      </w:r>
      <w:r>
        <w:rPr>
          <w:rFonts w:hint="eastAsia"/>
          <w:b/>
          <w:color w:val="000000"/>
          <w:sz w:val="28"/>
          <w:szCs w:val="21"/>
          <w:lang w:val="en-US" w:eastAsia="zh-CN"/>
        </w:rPr>
        <w:t>满分40分）</w:t>
      </w:r>
    </w:p>
    <w:tbl>
      <w:tblPr>
        <w:tblStyle w:val="47"/>
        <w:tblW w:w="9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45"/>
        <w:gridCol w:w="1276"/>
        <w:gridCol w:w="859"/>
        <w:gridCol w:w="1260"/>
        <w:gridCol w:w="1236"/>
        <w:gridCol w:w="4452"/>
      </w:tblGrid>
      <w:tr w14:paraId="54919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184" w:type="dxa"/>
            <w:gridSpan w:val="3"/>
            <w:noWrap w:val="0"/>
            <w:vAlign w:val="center"/>
          </w:tcPr>
          <w:p w14:paraId="73123221">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条款号</w:t>
            </w:r>
          </w:p>
        </w:tc>
        <w:tc>
          <w:tcPr>
            <w:tcW w:w="3355" w:type="dxa"/>
            <w:gridSpan w:val="3"/>
            <w:noWrap w:val="0"/>
            <w:vAlign w:val="center"/>
          </w:tcPr>
          <w:p w14:paraId="47B70137">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评审因素</w:t>
            </w:r>
          </w:p>
        </w:tc>
        <w:tc>
          <w:tcPr>
            <w:tcW w:w="4452" w:type="dxa"/>
            <w:noWrap w:val="0"/>
            <w:vAlign w:val="center"/>
          </w:tcPr>
          <w:p w14:paraId="3D1DB27C">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评审标准</w:t>
            </w:r>
          </w:p>
        </w:tc>
      </w:tr>
      <w:tr w14:paraId="1E4B0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gridSpan w:val="2"/>
            <w:noWrap w:val="0"/>
            <w:vAlign w:val="center"/>
          </w:tcPr>
          <w:p w14:paraId="437A8DE9">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4.1.1</w:t>
            </w:r>
          </w:p>
        </w:tc>
        <w:tc>
          <w:tcPr>
            <w:tcW w:w="1276" w:type="dxa"/>
            <w:noWrap w:val="0"/>
            <w:vAlign w:val="center"/>
          </w:tcPr>
          <w:p w14:paraId="036F485E">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形式评审标准</w:t>
            </w:r>
          </w:p>
        </w:tc>
        <w:tc>
          <w:tcPr>
            <w:tcW w:w="3355" w:type="dxa"/>
            <w:gridSpan w:val="3"/>
            <w:noWrap w:val="0"/>
            <w:vAlign w:val="center"/>
          </w:tcPr>
          <w:p w14:paraId="43347AD4">
            <w:pPr>
              <w:spacing w:line="560" w:lineRule="exact"/>
              <w:jc w:val="center"/>
              <w:rPr>
                <w:color w:val="000000"/>
              </w:rPr>
            </w:pPr>
            <w:r>
              <w:rPr>
                <w:rFonts w:hint="eastAsia"/>
                <w:color w:val="000000"/>
              </w:rPr>
              <w:t>投标文件格式</w:t>
            </w:r>
          </w:p>
        </w:tc>
        <w:tc>
          <w:tcPr>
            <w:tcW w:w="4452" w:type="dxa"/>
            <w:noWrap w:val="0"/>
            <w:vAlign w:val="center"/>
          </w:tcPr>
          <w:p w14:paraId="63A4C66E">
            <w:pPr>
              <w:spacing w:line="440" w:lineRule="exact"/>
              <w:jc w:val="left"/>
              <w:rPr>
                <w:color w:val="000000"/>
              </w:rPr>
            </w:pPr>
            <w:r>
              <w:rPr>
                <w:rFonts w:hint="eastAsia"/>
                <w:color w:val="000000"/>
              </w:rPr>
              <w:t>符合第</w:t>
            </w:r>
            <w:r>
              <w:rPr>
                <w:rFonts w:hint="eastAsia"/>
                <w:color w:val="000000"/>
                <w:lang w:val="en-US" w:eastAsia="zh-CN"/>
              </w:rPr>
              <w:t>八</w:t>
            </w:r>
            <w:r>
              <w:rPr>
                <w:rFonts w:hint="eastAsia"/>
                <w:color w:val="000000"/>
              </w:rPr>
              <w:t>章“投标文件格式”的要求，否则经评委会一致认定后</w:t>
            </w:r>
            <w:r>
              <w:rPr>
                <w:rFonts w:hint="eastAsia"/>
                <w:color w:val="000000"/>
                <w:lang w:eastAsia="zh-CN"/>
              </w:rPr>
              <w:t>，</w:t>
            </w:r>
            <w:r>
              <w:rPr>
                <w:rFonts w:hint="eastAsia"/>
                <w:color w:val="000000"/>
              </w:rPr>
              <w:t>按照无效投标处理。</w:t>
            </w:r>
          </w:p>
        </w:tc>
      </w:tr>
      <w:tr w14:paraId="27EBD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gridSpan w:val="2"/>
            <w:vMerge w:val="restart"/>
            <w:noWrap w:val="0"/>
            <w:vAlign w:val="center"/>
          </w:tcPr>
          <w:p w14:paraId="6615C1DA">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4.1.2</w:t>
            </w:r>
          </w:p>
        </w:tc>
        <w:tc>
          <w:tcPr>
            <w:tcW w:w="1276" w:type="dxa"/>
            <w:vMerge w:val="restart"/>
            <w:noWrap w:val="0"/>
            <w:vAlign w:val="center"/>
          </w:tcPr>
          <w:p w14:paraId="040035F5">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响应性评审标准</w:t>
            </w:r>
          </w:p>
        </w:tc>
        <w:tc>
          <w:tcPr>
            <w:tcW w:w="3355" w:type="dxa"/>
            <w:gridSpan w:val="3"/>
            <w:noWrap w:val="0"/>
            <w:vAlign w:val="center"/>
          </w:tcPr>
          <w:p w14:paraId="028BC8BD">
            <w:pPr>
              <w:adjustRightInd w:val="0"/>
              <w:snapToGrid w:val="0"/>
              <w:spacing w:line="560" w:lineRule="exact"/>
              <w:jc w:val="center"/>
              <w:textAlignment w:val="baseline"/>
              <w:rPr>
                <w:color w:val="000000"/>
                <w:szCs w:val="21"/>
              </w:rPr>
            </w:pPr>
            <w:r>
              <w:rPr>
                <w:color w:val="000000"/>
                <w:szCs w:val="21"/>
              </w:rPr>
              <w:t>投标内容</w:t>
            </w:r>
          </w:p>
        </w:tc>
        <w:tc>
          <w:tcPr>
            <w:tcW w:w="4452" w:type="dxa"/>
            <w:noWrap w:val="0"/>
            <w:vAlign w:val="center"/>
          </w:tcPr>
          <w:p w14:paraId="205991DC">
            <w:pPr>
              <w:adjustRightInd w:val="0"/>
              <w:snapToGrid w:val="0"/>
              <w:spacing w:line="560" w:lineRule="exact"/>
              <w:rPr>
                <w:rFonts w:ascii="宋体" w:hAnsi="宋体" w:cs="宋体"/>
                <w:color w:val="000000"/>
                <w:szCs w:val="21"/>
              </w:rPr>
            </w:pPr>
            <w:r>
              <w:rPr>
                <w:rFonts w:hint="eastAsia" w:ascii="宋体" w:hAnsi="宋体" w:cs="宋体"/>
                <w:color w:val="000000"/>
                <w:szCs w:val="21"/>
              </w:rPr>
              <w:t>符合第二章“投标人须知”规定。</w:t>
            </w:r>
          </w:p>
        </w:tc>
      </w:tr>
      <w:tr w14:paraId="0CC8E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gridSpan w:val="2"/>
            <w:vMerge w:val="continue"/>
            <w:noWrap w:val="0"/>
            <w:vAlign w:val="top"/>
          </w:tcPr>
          <w:p w14:paraId="55AB51B4">
            <w:pPr>
              <w:adjustRightInd w:val="0"/>
              <w:snapToGrid w:val="0"/>
              <w:spacing w:line="560" w:lineRule="exact"/>
              <w:jc w:val="center"/>
              <w:rPr>
                <w:rFonts w:ascii="宋体" w:hAnsi="宋体" w:cs="宋体"/>
                <w:color w:val="000000"/>
                <w:szCs w:val="21"/>
              </w:rPr>
            </w:pPr>
          </w:p>
        </w:tc>
        <w:tc>
          <w:tcPr>
            <w:tcW w:w="1276" w:type="dxa"/>
            <w:vMerge w:val="continue"/>
            <w:noWrap w:val="0"/>
            <w:vAlign w:val="top"/>
          </w:tcPr>
          <w:p w14:paraId="446BD99D">
            <w:pPr>
              <w:adjustRightInd w:val="0"/>
              <w:snapToGrid w:val="0"/>
              <w:spacing w:line="560" w:lineRule="exact"/>
              <w:jc w:val="center"/>
              <w:rPr>
                <w:rFonts w:ascii="宋体" w:hAnsi="宋体" w:cs="宋体"/>
                <w:color w:val="000000"/>
                <w:szCs w:val="21"/>
              </w:rPr>
            </w:pPr>
          </w:p>
        </w:tc>
        <w:tc>
          <w:tcPr>
            <w:tcW w:w="3355" w:type="dxa"/>
            <w:gridSpan w:val="3"/>
            <w:noWrap w:val="0"/>
            <w:vAlign w:val="center"/>
          </w:tcPr>
          <w:p w14:paraId="0E2ADEC8">
            <w:pPr>
              <w:adjustRightInd w:val="0"/>
              <w:snapToGrid w:val="0"/>
              <w:spacing w:line="560" w:lineRule="exact"/>
              <w:jc w:val="center"/>
              <w:textAlignment w:val="baseline"/>
              <w:rPr>
                <w:color w:val="000000"/>
                <w:szCs w:val="21"/>
              </w:rPr>
            </w:pPr>
            <w:r>
              <w:rPr>
                <w:color w:val="000000"/>
                <w:szCs w:val="21"/>
              </w:rPr>
              <w:t>权利义务</w:t>
            </w:r>
          </w:p>
        </w:tc>
        <w:tc>
          <w:tcPr>
            <w:tcW w:w="4452" w:type="dxa"/>
            <w:noWrap w:val="0"/>
            <w:vAlign w:val="center"/>
          </w:tcPr>
          <w:p w14:paraId="5E53648D">
            <w:pPr>
              <w:adjustRightInd w:val="0"/>
              <w:snapToGrid w:val="0"/>
              <w:spacing w:line="560" w:lineRule="exact"/>
              <w:rPr>
                <w:rFonts w:ascii="宋体" w:hAnsi="宋体" w:cs="宋体"/>
                <w:color w:val="000000"/>
                <w:szCs w:val="21"/>
              </w:rPr>
            </w:pPr>
            <w:r>
              <w:rPr>
                <w:rFonts w:hint="eastAsia" w:ascii="宋体" w:hAnsi="宋体" w:cs="宋体"/>
                <w:color w:val="000000"/>
                <w:szCs w:val="21"/>
              </w:rPr>
              <w:t>符合第五章“合同条款及格式”规定。</w:t>
            </w:r>
          </w:p>
        </w:tc>
      </w:tr>
      <w:tr w14:paraId="03C20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08" w:type="dxa"/>
            <w:gridSpan w:val="2"/>
            <w:vMerge w:val="continue"/>
            <w:noWrap w:val="0"/>
            <w:vAlign w:val="top"/>
          </w:tcPr>
          <w:p w14:paraId="1EEA3D6F">
            <w:pPr>
              <w:adjustRightInd w:val="0"/>
              <w:snapToGrid w:val="0"/>
              <w:spacing w:line="560" w:lineRule="exact"/>
              <w:jc w:val="center"/>
              <w:rPr>
                <w:rFonts w:ascii="宋体" w:hAnsi="宋体" w:cs="宋体"/>
                <w:color w:val="000000"/>
                <w:szCs w:val="21"/>
              </w:rPr>
            </w:pPr>
          </w:p>
        </w:tc>
        <w:tc>
          <w:tcPr>
            <w:tcW w:w="1276" w:type="dxa"/>
            <w:vMerge w:val="continue"/>
            <w:noWrap w:val="0"/>
            <w:vAlign w:val="top"/>
          </w:tcPr>
          <w:p w14:paraId="0E1A5B93">
            <w:pPr>
              <w:adjustRightInd w:val="0"/>
              <w:snapToGrid w:val="0"/>
              <w:spacing w:line="560" w:lineRule="exact"/>
              <w:jc w:val="center"/>
              <w:rPr>
                <w:rFonts w:ascii="宋体" w:hAnsi="宋体" w:cs="宋体"/>
                <w:color w:val="000000"/>
                <w:szCs w:val="21"/>
              </w:rPr>
            </w:pPr>
          </w:p>
        </w:tc>
        <w:tc>
          <w:tcPr>
            <w:tcW w:w="3355" w:type="dxa"/>
            <w:gridSpan w:val="3"/>
            <w:noWrap w:val="0"/>
            <w:vAlign w:val="center"/>
          </w:tcPr>
          <w:p w14:paraId="4E0399FC">
            <w:pPr>
              <w:adjustRightInd w:val="0"/>
              <w:snapToGrid w:val="0"/>
              <w:spacing w:line="560" w:lineRule="exact"/>
              <w:jc w:val="center"/>
              <w:textAlignment w:val="baseline"/>
              <w:rPr>
                <w:color w:val="000000"/>
                <w:szCs w:val="21"/>
              </w:rPr>
            </w:pPr>
            <w:r>
              <w:rPr>
                <w:rFonts w:hint="eastAsia"/>
                <w:color w:val="000000"/>
                <w:szCs w:val="21"/>
              </w:rPr>
              <w:t>技术标准和要求</w:t>
            </w:r>
          </w:p>
        </w:tc>
        <w:tc>
          <w:tcPr>
            <w:tcW w:w="4452" w:type="dxa"/>
            <w:noWrap w:val="0"/>
            <w:vAlign w:val="center"/>
          </w:tcPr>
          <w:p w14:paraId="02F85B7E">
            <w:pPr>
              <w:adjustRightInd w:val="0"/>
              <w:snapToGrid w:val="0"/>
              <w:spacing w:line="560" w:lineRule="exact"/>
              <w:rPr>
                <w:rFonts w:ascii="宋体" w:hAnsi="宋体" w:cs="宋体"/>
                <w:color w:val="000000"/>
                <w:szCs w:val="21"/>
              </w:rPr>
            </w:pPr>
            <w:r>
              <w:rPr>
                <w:rFonts w:hint="eastAsia" w:ascii="宋体" w:hAnsi="宋体" w:cs="宋体"/>
                <w:color w:val="000000"/>
                <w:szCs w:val="21"/>
              </w:rPr>
              <w:t>符合第</w:t>
            </w:r>
            <w:r>
              <w:rPr>
                <w:rFonts w:hint="eastAsia" w:ascii="宋体" w:hAnsi="宋体" w:cs="宋体"/>
                <w:color w:val="000000"/>
                <w:szCs w:val="21"/>
                <w:lang w:val="en-US" w:eastAsia="zh-CN"/>
              </w:rPr>
              <w:t>七</w:t>
            </w:r>
            <w:r>
              <w:rPr>
                <w:rFonts w:hint="eastAsia" w:ascii="宋体" w:hAnsi="宋体" w:cs="宋体"/>
                <w:color w:val="000000"/>
                <w:szCs w:val="21"/>
              </w:rPr>
              <w:t>章“技术标准和要求”规定。</w:t>
            </w:r>
          </w:p>
        </w:tc>
      </w:tr>
      <w:tr w14:paraId="18D9A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991" w:type="dxa"/>
            <w:gridSpan w:val="7"/>
            <w:noWrap w:val="0"/>
            <w:vAlign w:val="top"/>
          </w:tcPr>
          <w:p w14:paraId="74C6D241">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技术标评分细则</w:t>
            </w:r>
          </w:p>
        </w:tc>
      </w:tr>
      <w:tr w14:paraId="5E308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63" w:type="dxa"/>
            <w:noWrap w:val="0"/>
            <w:vAlign w:val="top"/>
          </w:tcPr>
          <w:p w14:paraId="5349EADB">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280" w:type="dxa"/>
            <w:gridSpan w:val="3"/>
            <w:noWrap w:val="0"/>
            <w:vAlign w:val="top"/>
          </w:tcPr>
          <w:p w14:paraId="33C65AEB">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评审因素</w:t>
            </w:r>
          </w:p>
        </w:tc>
        <w:tc>
          <w:tcPr>
            <w:tcW w:w="1260" w:type="dxa"/>
            <w:noWrap w:val="0"/>
            <w:vAlign w:val="top"/>
          </w:tcPr>
          <w:p w14:paraId="070843E6">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分值设置</w:t>
            </w:r>
          </w:p>
        </w:tc>
        <w:tc>
          <w:tcPr>
            <w:tcW w:w="5688" w:type="dxa"/>
            <w:gridSpan w:val="2"/>
            <w:noWrap w:val="0"/>
            <w:vAlign w:val="top"/>
          </w:tcPr>
          <w:p w14:paraId="47D17536">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评审标准</w:t>
            </w:r>
          </w:p>
        </w:tc>
      </w:tr>
      <w:tr w14:paraId="46712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63" w:type="dxa"/>
            <w:noWrap w:val="0"/>
            <w:vAlign w:val="center"/>
          </w:tcPr>
          <w:p w14:paraId="0B43C805">
            <w:pPr>
              <w:adjustRightInd w:val="0"/>
              <w:snapToGrid w:val="0"/>
              <w:spacing w:line="5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w:t>
            </w:r>
          </w:p>
        </w:tc>
        <w:tc>
          <w:tcPr>
            <w:tcW w:w="2280" w:type="dxa"/>
            <w:gridSpan w:val="3"/>
            <w:noWrap w:val="0"/>
            <w:vAlign w:val="center"/>
          </w:tcPr>
          <w:p w14:paraId="670E8B24">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施工组织设计</w:t>
            </w:r>
          </w:p>
        </w:tc>
        <w:tc>
          <w:tcPr>
            <w:tcW w:w="1260" w:type="dxa"/>
            <w:noWrap w:val="0"/>
            <w:vAlign w:val="center"/>
          </w:tcPr>
          <w:p w14:paraId="7DE9F983">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0-</w:t>
            </w:r>
            <w:r>
              <w:rPr>
                <w:rFonts w:hint="eastAsia" w:ascii="宋体" w:hAnsi="宋体" w:cs="宋体"/>
                <w:color w:val="auto"/>
                <w:szCs w:val="21"/>
                <w:highlight w:val="none"/>
                <w:lang w:val="en-US" w:eastAsia="zh-CN"/>
              </w:rPr>
              <w:t>40</w:t>
            </w:r>
            <w:r>
              <w:rPr>
                <w:rFonts w:hint="eastAsia" w:ascii="宋体" w:hAnsi="宋体" w:cs="宋体"/>
                <w:color w:val="auto"/>
                <w:szCs w:val="21"/>
                <w:highlight w:val="none"/>
              </w:rPr>
              <w:t>分</w:t>
            </w:r>
          </w:p>
        </w:tc>
        <w:tc>
          <w:tcPr>
            <w:tcW w:w="5688" w:type="dxa"/>
            <w:gridSpan w:val="2"/>
            <w:noWrap w:val="0"/>
            <w:vAlign w:val="top"/>
          </w:tcPr>
          <w:p w14:paraId="0223EDDE">
            <w:pPr>
              <w:adjustRightInd w:val="0"/>
              <w:snapToGrid w:val="0"/>
              <w:spacing w:line="5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包括①结合现场主要施工方案与技术措施；②确保工程质量的管理体系与措施；③确保安全生产的管理体系与措施；④工程进度计划与措施及施工图网络图及电力接入实施方案；⑤确保文明施工的管理体系与措施等。</w:t>
            </w:r>
          </w:p>
          <w:p w14:paraId="35EE4EC6">
            <w:pPr>
              <w:adjustRightInd w:val="0"/>
              <w:snapToGrid w:val="0"/>
              <w:spacing w:line="5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评标委员会根据各投标人提供的施工组织设计进行综合对比评审，每小项优秀得</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分，良好得</w:t>
            </w:r>
            <w:r>
              <w:rPr>
                <w:rFonts w:hint="eastAsia" w:ascii="宋体" w:hAnsi="宋体" w:cs="宋体"/>
                <w:color w:val="auto"/>
                <w:szCs w:val="21"/>
                <w:highlight w:val="none"/>
                <w:lang w:val="en-US" w:eastAsia="zh-CN"/>
              </w:rPr>
              <w:t>7.2</w:t>
            </w:r>
            <w:r>
              <w:rPr>
                <w:rFonts w:hint="eastAsia" w:ascii="宋体" w:hAnsi="宋体" w:eastAsia="宋体" w:cs="宋体"/>
                <w:color w:val="auto"/>
                <w:szCs w:val="21"/>
                <w:highlight w:val="none"/>
              </w:rPr>
              <w:t>分，一般得</w:t>
            </w:r>
            <w:r>
              <w:rPr>
                <w:rFonts w:hint="eastAsia" w:ascii="宋体" w:hAnsi="宋体" w:cs="宋体"/>
                <w:color w:val="auto"/>
                <w:szCs w:val="21"/>
                <w:highlight w:val="none"/>
                <w:lang w:val="en-US" w:eastAsia="zh-CN"/>
              </w:rPr>
              <w:t>6.4</w:t>
            </w:r>
            <w:r>
              <w:rPr>
                <w:rFonts w:hint="eastAsia" w:ascii="宋体" w:hAnsi="宋体" w:eastAsia="宋体" w:cs="宋体"/>
                <w:color w:val="auto"/>
                <w:szCs w:val="21"/>
                <w:highlight w:val="none"/>
              </w:rPr>
              <w:t>分，合格得</w:t>
            </w:r>
            <w:r>
              <w:rPr>
                <w:rFonts w:hint="eastAsia" w:ascii="宋体" w:hAnsi="宋体" w:cs="宋体"/>
                <w:color w:val="auto"/>
                <w:szCs w:val="21"/>
                <w:highlight w:val="none"/>
                <w:lang w:val="en-US" w:eastAsia="zh-CN"/>
              </w:rPr>
              <w:t>5.6</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较差或不提供的</w:t>
            </w:r>
            <w:r>
              <w:rPr>
                <w:rFonts w:hint="eastAsia" w:ascii="宋体" w:hAnsi="宋体" w:eastAsia="宋体" w:cs="宋体"/>
                <w:color w:val="auto"/>
                <w:szCs w:val="21"/>
                <w:highlight w:val="none"/>
                <w:lang w:val="en-US" w:eastAsia="zh-CN"/>
              </w:rPr>
              <w:t>不得分</w:t>
            </w:r>
            <w:r>
              <w:rPr>
                <w:rFonts w:hint="eastAsia" w:ascii="宋体" w:hAnsi="宋体" w:eastAsia="宋体" w:cs="宋体"/>
                <w:color w:val="auto"/>
                <w:szCs w:val="21"/>
                <w:highlight w:val="none"/>
              </w:rPr>
              <w:t>，本项共计满分</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分。</w:t>
            </w:r>
          </w:p>
        </w:tc>
      </w:tr>
    </w:tbl>
    <w:p w14:paraId="7E39AACF">
      <w:pPr>
        <w:pStyle w:val="14"/>
        <w:spacing w:after="0" w:line="560" w:lineRule="exact"/>
        <w:ind w:left="0" w:leftChars="0" w:firstLine="422"/>
        <w:jc w:val="left"/>
        <w:rPr>
          <w:rFonts w:ascii="宋体" w:hAnsi="宋体" w:cs="宋体"/>
          <w:b/>
          <w:bCs/>
          <w:color w:val="auto"/>
          <w:highlight w:val="none"/>
        </w:rPr>
      </w:pPr>
      <w:r>
        <w:rPr>
          <w:rFonts w:hint="eastAsia" w:ascii="宋体" w:hAnsi="宋体" w:cs="宋体"/>
          <w:b/>
          <w:bCs/>
          <w:color w:val="auto"/>
          <w:highlight w:val="none"/>
        </w:rPr>
        <w:t>注：1、该项由专家评委评审打分，取所有评委评分的平均值为最终得分，保留两位小数点，第三位四舍五入。</w:t>
      </w:r>
    </w:p>
    <w:p w14:paraId="79167DF2">
      <w:pPr>
        <w:spacing w:line="560" w:lineRule="exact"/>
        <w:ind w:firstLine="411" w:firstLineChars="196"/>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具体篇幅(字数)要求及扣分标准（建议扣分值为0.2分）。偏离规定标准的，评标委员会应酌情扣分。</w:t>
      </w:r>
    </w:p>
    <w:p w14:paraId="688B6C45">
      <w:pPr>
        <w:spacing w:line="560" w:lineRule="exact"/>
        <w:ind w:firstLine="413" w:firstLineChars="196"/>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2.1</w:t>
      </w:r>
      <w:r>
        <w:rPr>
          <w:rFonts w:hint="eastAsia" w:ascii="宋体" w:hAnsi="宋体" w:eastAsia="宋体" w:cs="宋体"/>
          <w:b/>
          <w:bCs/>
          <w:color w:val="auto"/>
          <w:highlight w:val="none"/>
        </w:rPr>
        <w:t>施工组织设计</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根据评分细则设置各评分点</w:t>
      </w:r>
      <w:r>
        <w:rPr>
          <w:rFonts w:hint="eastAsia" w:ascii="宋体" w:hAnsi="宋体" w:cs="宋体"/>
          <w:b/>
          <w:bCs/>
          <w:color w:val="auto"/>
          <w:highlight w:val="none"/>
          <w:lang w:eastAsia="zh-CN"/>
        </w:rPr>
        <w:t>，</w:t>
      </w:r>
      <w:r>
        <w:rPr>
          <w:rFonts w:hint="eastAsia" w:ascii="宋体" w:hAnsi="宋体" w:eastAsia="宋体" w:cs="宋体"/>
          <w:b/>
          <w:bCs/>
          <w:color w:val="auto"/>
          <w:highlight w:val="none"/>
          <w:lang w:val="en-US" w:eastAsia="zh-CN"/>
        </w:rPr>
        <w:t>合计总</w:t>
      </w:r>
      <w:r>
        <w:rPr>
          <w:rFonts w:hint="eastAsia" w:ascii="宋体" w:hAnsi="宋体" w:eastAsia="宋体" w:cs="宋体"/>
          <w:b/>
          <w:bCs/>
          <w:color w:val="auto"/>
          <w:highlight w:val="none"/>
        </w:rPr>
        <w:t>页数不超过</w:t>
      </w:r>
      <w:r>
        <w:rPr>
          <w:rFonts w:hint="eastAsia" w:ascii="宋体" w:hAnsi="宋体" w:cs="宋体"/>
          <w:b/>
          <w:bCs/>
          <w:color w:val="auto"/>
          <w:highlight w:val="none"/>
          <w:lang w:val="en-US" w:eastAsia="zh-CN"/>
        </w:rPr>
        <w:t>50</w:t>
      </w:r>
      <w:r>
        <w:rPr>
          <w:rFonts w:hint="eastAsia" w:ascii="宋体" w:hAnsi="宋体" w:eastAsia="宋体" w:cs="宋体"/>
          <w:b/>
          <w:bCs/>
          <w:color w:val="auto"/>
          <w:highlight w:val="none"/>
        </w:rPr>
        <w:t>页</w:t>
      </w:r>
      <w:r>
        <w:rPr>
          <w:rFonts w:hint="eastAsia" w:ascii="宋体" w:hAnsi="宋体" w:cs="宋体"/>
          <w:b/>
          <w:bCs/>
          <w:color w:val="auto"/>
          <w:highlight w:val="none"/>
          <w:lang w:eastAsia="zh-CN"/>
        </w:rPr>
        <w:t>。</w:t>
      </w:r>
    </w:p>
    <w:p w14:paraId="3F90F92F">
      <w:pPr>
        <w:pStyle w:val="14"/>
        <w:adjustRightInd w:val="0"/>
        <w:snapToGrid w:val="0"/>
        <w:spacing w:after="0" w:line="560" w:lineRule="exact"/>
        <w:ind w:left="0" w:leftChars="0" w:firstLine="0" w:firstLineChars="0"/>
        <w:jc w:val="center"/>
        <w:rPr>
          <w:rFonts w:hint="eastAsia" w:ascii="宋体" w:hAnsi="Times New Roman" w:eastAsia="宋体" w:cs="Times New Roman"/>
          <w:b/>
          <w:color w:val="000000"/>
          <w:sz w:val="28"/>
          <w:szCs w:val="21"/>
        </w:rPr>
      </w:pPr>
      <w:r>
        <w:rPr>
          <w:rFonts w:hint="eastAsia" w:ascii="宋体" w:hAnsi="Times New Roman" w:eastAsia="宋体" w:cs="Times New Roman"/>
          <w:b/>
          <w:color w:val="000000"/>
          <w:sz w:val="28"/>
          <w:szCs w:val="21"/>
          <w:lang w:val="en-US" w:eastAsia="zh-CN"/>
        </w:rPr>
        <w:t>四</w:t>
      </w:r>
      <w:r>
        <w:rPr>
          <w:rFonts w:hint="eastAsia" w:ascii="宋体" w:hAnsi="Times New Roman" w:eastAsia="宋体" w:cs="Times New Roman"/>
          <w:b/>
          <w:color w:val="000000"/>
          <w:sz w:val="28"/>
          <w:szCs w:val="21"/>
        </w:rPr>
        <w:t>、商务标评审</w:t>
      </w:r>
    </w:p>
    <w:tbl>
      <w:tblPr>
        <w:tblStyle w:val="47"/>
        <w:tblW w:w="10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780"/>
        <w:gridCol w:w="1980"/>
        <w:gridCol w:w="6645"/>
      </w:tblGrid>
      <w:tr w14:paraId="0B0A8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61" w:type="dxa"/>
            <w:gridSpan w:val="2"/>
            <w:noWrap w:val="0"/>
            <w:vAlign w:val="center"/>
          </w:tcPr>
          <w:p w14:paraId="0CC6517A">
            <w:pPr>
              <w:adjustRightInd w:val="0"/>
              <w:snapToGrid w:val="0"/>
              <w:spacing w:line="560" w:lineRule="exact"/>
              <w:jc w:val="center"/>
              <w:rPr>
                <w:rFonts w:ascii="宋体" w:hAnsi="宋体"/>
                <w:color w:val="000000"/>
                <w:szCs w:val="21"/>
              </w:rPr>
            </w:pPr>
            <w:r>
              <w:rPr>
                <w:rFonts w:hint="eastAsia" w:ascii="宋体" w:hAnsi="宋体"/>
                <w:color w:val="000000"/>
                <w:szCs w:val="21"/>
              </w:rPr>
              <w:t>条款号</w:t>
            </w:r>
          </w:p>
        </w:tc>
        <w:tc>
          <w:tcPr>
            <w:tcW w:w="1980" w:type="dxa"/>
            <w:noWrap w:val="0"/>
            <w:vAlign w:val="center"/>
          </w:tcPr>
          <w:p w14:paraId="1C0A8E20">
            <w:pPr>
              <w:adjustRightInd w:val="0"/>
              <w:snapToGrid w:val="0"/>
              <w:spacing w:line="560" w:lineRule="exact"/>
              <w:jc w:val="center"/>
              <w:rPr>
                <w:rFonts w:ascii="宋体" w:hAnsi="宋体"/>
                <w:color w:val="000000"/>
                <w:szCs w:val="21"/>
              </w:rPr>
            </w:pPr>
            <w:r>
              <w:rPr>
                <w:rFonts w:hint="eastAsia" w:ascii="宋体" w:hAnsi="宋体"/>
                <w:color w:val="000000"/>
                <w:szCs w:val="21"/>
              </w:rPr>
              <w:t>评审因素</w:t>
            </w:r>
          </w:p>
        </w:tc>
        <w:tc>
          <w:tcPr>
            <w:tcW w:w="6645" w:type="dxa"/>
            <w:noWrap w:val="0"/>
            <w:vAlign w:val="center"/>
          </w:tcPr>
          <w:p w14:paraId="094098D2">
            <w:pPr>
              <w:adjustRightInd w:val="0"/>
              <w:snapToGrid w:val="0"/>
              <w:spacing w:line="560" w:lineRule="exact"/>
              <w:jc w:val="center"/>
              <w:rPr>
                <w:rFonts w:ascii="宋体" w:hAnsi="宋体"/>
                <w:color w:val="000000"/>
                <w:szCs w:val="21"/>
              </w:rPr>
            </w:pPr>
            <w:r>
              <w:rPr>
                <w:rFonts w:hint="eastAsia" w:ascii="宋体" w:hAnsi="宋体"/>
                <w:color w:val="000000"/>
                <w:szCs w:val="21"/>
              </w:rPr>
              <w:t>评审标准</w:t>
            </w:r>
          </w:p>
        </w:tc>
      </w:tr>
      <w:tr w14:paraId="75B15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81" w:type="dxa"/>
            <w:vMerge w:val="restart"/>
            <w:noWrap w:val="0"/>
            <w:vAlign w:val="center"/>
          </w:tcPr>
          <w:p w14:paraId="31DE258C">
            <w:pPr>
              <w:adjustRightInd w:val="0"/>
              <w:snapToGrid w:val="0"/>
              <w:spacing w:line="560" w:lineRule="exact"/>
              <w:jc w:val="center"/>
              <w:rPr>
                <w:rFonts w:ascii="宋体" w:hAnsi="宋体"/>
                <w:color w:val="000000"/>
                <w:szCs w:val="21"/>
              </w:rPr>
            </w:pPr>
            <w:r>
              <w:rPr>
                <w:rFonts w:ascii="宋体" w:hAnsi="宋体"/>
                <w:color w:val="000000"/>
                <w:szCs w:val="21"/>
              </w:rPr>
              <w:t>4.2.1</w:t>
            </w:r>
          </w:p>
        </w:tc>
        <w:tc>
          <w:tcPr>
            <w:tcW w:w="780" w:type="dxa"/>
            <w:vMerge w:val="restart"/>
            <w:noWrap w:val="0"/>
            <w:vAlign w:val="center"/>
          </w:tcPr>
          <w:p w14:paraId="6637DB11">
            <w:pPr>
              <w:adjustRightInd w:val="0"/>
              <w:snapToGrid w:val="0"/>
              <w:spacing w:line="560" w:lineRule="exact"/>
              <w:jc w:val="center"/>
              <w:rPr>
                <w:rFonts w:ascii="宋体" w:hAnsi="宋体"/>
                <w:color w:val="000000"/>
                <w:szCs w:val="21"/>
              </w:rPr>
            </w:pPr>
            <w:r>
              <w:rPr>
                <w:rFonts w:hint="eastAsia" w:ascii="宋体" w:hAnsi="宋体"/>
                <w:color w:val="000000"/>
                <w:szCs w:val="21"/>
              </w:rPr>
              <w:t>形式评审标准</w:t>
            </w:r>
          </w:p>
        </w:tc>
        <w:tc>
          <w:tcPr>
            <w:tcW w:w="1980" w:type="dxa"/>
            <w:noWrap w:val="0"/>
            <w:vAlign w:val="center"/>
          </w:tcPr>
          <w:p w14:paraId="50103711">
            <w:pPr>
              <w:adjustRightInd w:val="0"/>
              <w:snapToGrid w:val="0"/>
              <w:spacing w:line="560" w:lineRule="exact"/>
              <w:rPr>
                <w:rFonts w:ascii="宋体" w:hAnsi="宋体"/>
                <w:color w:val="000000"/>
                <w:szCs w:val="21"/>
              </w:rPr>
            </w:pPr>
            <w:r>
              <w:rPr>
                <w:rFonts w:hint="eastAsia" w:ascii="宋体" w:hAnsi="宋体"/>
                <w:color w:val="000000"/>
                <w:szCs w:val="21"/>
              </w:rPr>
              <w:t>投标函签字盖章</w:t>
            </w:r>
          </w:p>
        </w:tc>
        <w:tc>
          <w:tcPr>
            <w:tcW w:w="6645" w:type="dxa"/>
            <w:noWrap w:val="0"/>
            <w:vAlign w:val="center"/>
          </w:tcPr>
          <w:p w14:paraId="76D9919F">
            <w:pPr>
              <w:adjustRightInd w:val="0"/>
              <w:snapToGrid w:val="0"/>
              <w:spacing w:line="560" w:lineRule="exact"/>
              <w:jc w:val="left"/>
              <w:rPr>
                <w:rFonts w:ascii="宋体" w:hAnsi="宋体"/>
                <w:color w:val="000000"/>
                <w:szCs w:val="21"/>
              </w:rPr>
            </w:pPr>
            <w:r>
              <w:rPr>
                <w:rFonts w:hint="eastAsia" w:ascii="宋体" w:hAnsi="宋体"/>
                <w:color w:val="000000"/>
                <w:szCs w:val="21"/>
              </w:rPr>
              <w:t>有投标人及其法定代表人签章。</w:t>
            </w:r>
          </w:p>
        </w:tc>
      </w:tr>
      <w:tr w14:paraId="467A9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81" w:type="dxa"/>
            <w:vMerge w:val="continue"/>
            <w:noWrap w:val="0"/>
            <w:vAlign w:val="center"/>
          </w:tcPr>
          <w:p w14:paraId="5704331B">
            <w:pPr>
              <w:widowControl/>
              <w:adjustRightInd w:val="0"/>
              <w:snapToGrid w:val="0"/>
              <w:spacing w:line="560" w:lineRule="exact"/>
              <w:jc w:val="left"/>
              <w:rPr>
                <w:rFonts w:ascii="宋体" w:hAnsi="宋体"/>
                <w:color w:val="000000"/>
                <w:szCs w:val="21"/>
              </w:rPr>
            </w:pPr>
          </w:p>
        </w:tc>
        <w:tc>
          <w:tcPr>
            <w:tcW w:w="780" w:type="dxa"/>
            <w:vMerge w:val="continue"/>
            <w:noWrap w:val="0"/>
            <w:vAlign w:val="center"/>
          </w:tcPr>
          <w:p w14:paraId="48F50855">
            <w:pPr>
              <w:widowControl/>
              <w:adjustRightInd w:val="0"/>
              <w:snapToGrid w:val="0"/>
              <w:spacing w:line="560" w:lineRule="exact"/>
              <w:jc w:val="left"/>
              <w:rPr>
                <w:rFonts w:ascii="宋体" w:hAnsi="宋体"/>
                <w:color w:val="000000"/>
                <w:szCs w:val="21"/>
              </w:rPr>
            </w:pPr>
          </w:p>
        </w:tc>
        <w:tc>
          <w:tcPr>
            <w:tcW w:w="1980" w:type="dxa"/>
            <w:noWrap w:val="0"/>
            <w:vAlign w:val="center"/>
          </w:tcPr>
          <w:p w14:paraId="262651E5">
            <w:pPr>
              <w:adjustRightInd w:val="0"/>
              <w:snapToGrid w:val="0"/>
              <w:spacing w:line="560" w:lineRule="exact"/>
              <w:rPr>
                <w:rFonts w:ascii="宋体" w:hAnsi="宋体"/>
                <w:color w:val="000000"/>
                <w:szCs w:val="21"/>
              </w:rPr>
            </w:pPr>
            <w:r>
              <w:rPr>
                <w:rFonts w:hint="eastAsia" w:ascii="宋体" w:hAnsi="宋体"/>
                <w:color w:val="000000"/>
                <w:szCs w:val="21"/>
              </w:rPr>
              <w:t>投标文件格式</w:t>
            </w:r>
          </w:p>
        </w:tc>
        <w:tc>
          <w:tcPr>
            <w:tcW w:w="6645" w:type="dxa"/>
            <w:noWrap w:val="0"/>
            <w:vAlign w:val="center"/>
          </w:tcPr>
          <w:p w14:paraId="4A230C62">
            <w:pPr>
              <w:adjustRightInd w:val="0"/>
              <w:snapToGrid w:val="0"/>
              <w:spacing w:line="560" w:lineRule="exact"/>
              <w:jc w:val="left"/>
              <w:rPr>
                <w:rFonts w:ascii="宋体" w:hAnsi="宋体"/>
                <w:color w:val="000000"/>
                <w:szCs w:val="21"/>
              </w:rPr>
            </w:pPr>
            <w:r>
              <w:rPr>
                <w:rFonts w:hint="eastAsia" w:ascii="宋体" w:hAnsi="宋体"/>
                <w:color w:val="000000"/>
                <w:szCs w:val="21"/>
              </w:rPr>
              <w:t>符合第</w:t>
            </w:r>
            <w:r>
              <w:rPr>
                <w:rFonts w:hint="eastAsia" w:ascii="宋体" w:hAnsi="宋体"/>
                <w:color w:val="000000"/>
                <w:szCs w:val="21"/>
                <w:lang w:val="en-US" w:eastAsia="zh-CN"/>
              </w:rPr>
              <w:t>八</w:t>
            </w:r>
            <w:r>
              <w:rPr>
                <w:rFonts w:hint="eastAsia" w:ascii="宋体" w:hAnsi="宋体"/>
                <w:color w:val="000000"/>
                <w:szCs w:val="21"/>
              </w:rPr>
              <w:t>章“投标文件格式”的要求。</w:t>
            </w:r>
          </w:p>
        </w:tc>
      </w:tr>
      <w:tr w14:paraId="0AD0A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81" w:type="dxa"/>
            <w:vMerge w:val="continue"/>
            <w:noWrap w:val="0"/>
            <w:vAlign w:val="center"/>
          </w:tcPr>
          <w:p w14:paraId="42A15927">
            <w:pPr>
              <w:widowControl/>
              <w:adjustRightInd w:val="0"/>
              <w:snapToGrid w:val="0"/>
              <w:spacing w:line="560" w:lineRule="exact"/>
              <w:jc w:val="left"/>
              <w:rPr>
                <w:rFonts w:ascii="宋体" w:hAnsi="宋体"/>
                <w:color w:val="000000"/>
                <w:szCs w:val="21"/>
              </w:rPr>
            </w:pPr>
          </w:p>
        </w:tc>
        <w:tc>
          <w:tcPr>
            <w:tcW w:w="780" w:type="dxa"/>
            <w:vMerge w:val="continue"/>
            <w:noWrap w:val="0"/>
            <w:vAlign w:val="center"/>
          </w:tcPr>
          <w:p w14:paraId="117704E8">
            <w:pPr>
              <w:widowControl/>
              <w:adjustRightInd w:val="0"/>
              <w:snapToGrid w:val="0"/>
              <w:spacing w:line="560" w:lineRule="exact"/>
              <w:jc w:val="left"/>
              <w:rPr>
                <w:rFonts w:ascii="宋体" w:hAnsi="宋体"/>
                <w:color w:val="000000"/>
                <w:szCs w:val="21"/>
              </w:rPr>
            </w:pPr>
          </w:p>
        </w:tc>
        <w:tc>
          <w:tcPr>
            <w:tcW w:w="1980" w:type="dxa"/>
            <w:noWrap w:val="0"/>
            <w:vAlign w:val="center"/>
          </w:tcPr>
          <w:p w14:paraId="3DA0AF02">
            <w:pPr>
              <w:adjustRightInd w:val="0"/>
              <w:snapToGrid w:val="0"/>
              <w:spacing w:line="560" w:lineRule="exact"/>
              <w:rPr>
                <w:rFonts w:ascii="宋体" w:hAnsi="宋体"/>
                <w:color w:val="000000"/>
                <w:szCs w:val="21"/>
              </w:rPr>
            </w:pPr>
            <w:r>
              <w:rPr>
                <w:rFonts w:hint="eastAsia" w:ascii="宋体" w:hAnsi="宋体"/>
                <w:color w:val="000000"/>
                <w:szCs w:val="21"/>
              </w:rPr>
              <w:t>商务标签字盖章</w:t>
            </w:r>
          </w:p>
        </w:tc>
        <w:tc>
          <w:tcPr>
            <w:tcW w:w="6645" w:type="dxa"/>
            <w:noWrap w:val="0"/>
            <w:vAlign w:val="center"/>
          </w:tcPr>
          <w:p w14:paraId="65B80844">
            <w:pPr>
              <w:adjustRightInd w:val="0"/>
              <w:snapToGrid w:val="0"/>
              <w:spacing w:line="560" w:lineRule="exact"/>
              <w:jc w:val="left"/>
              <w:rPr>
                <w:rFonts w:ascii="宋体" w:hAnsi="宋体"/>
                <w:color w:val="000000"/>
                <w:szCs w:val="21"/>
              </w:rPr>
            </w:pPr>
            <w:r>
              <w:rPr>
                <w:rFonts w:hint="eastAsia" w:ascii="宋体" w:hAnsi="宋体"/>
                <w:color w:val="000000"/>
                <w:szCs w:val="21"/>
              </w:rPr>
              <w:t>按投标文件格式要求签章。</w:t>
            </w:r>
          </w:p>
        </w:tc>
      </w:tr>
      <w:tr w14:paraId="67FEC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81" w:type="dxa"/>
            <w:vMerge w:val="continue"/>
            <w:noWrap w:val="0"/>
            <w:vAlign w:val="center"/>
          </w:tcPr>
          <w:p w14:paraId="3463741A">
            <w:pPr>
              <w:widowControl/>
              <w:adjustRightInd w:val="0"/>
              <w:snapToGrid w:val="0"/>
              <w:spacing w:line="560" w:lineRule="exact"/>
              <w:jc w:val="left"/>
              <w:rPr>
                <w:rFonts w:ascii="宋体" w:hAnsi="宋体"/>
                <w:color w:val="000000"/>
                <w:szCs w:val="21"/>
              </w:rPr>
            </w:pPr>
          </w:p>
        </w:tc>
        <w:tc>
          <w:tcPr>
            <w:tcW w:w="780" w:type="dxa"/>
            <w:vMerge w:val="continue"/>
            <w:noWrap w:val="0"/>
            <w:vAlign w:val="center"/>
          </w:tcPr>
          <w:p w14:paraId="75CDABAA">
            <w:pPr>
              <w:widowControl/>
              <w:adjustRightInd w:val="0"/>
              <w:snapToGrid w:val="0"/>
              <w:spacing w:line="560" w:lineRule="exact"/>
              <w:jc w:val="left"/>
              <w:rPr>
                <w:rFonts w:ascii="宋体" w:hAnsi="宋体"/>
                <w:color w:val="000000"/>
                <w:szCs w:val="21"/>
              </w:rPr>
            </w:pPr>
          </w:p>
        </w:tc>
        <w:tc>
          <w:tcPr>
            <w:tcW w:w="1980" w:type="dxa"/>
            <w:noWrap w:val="0"/>
            <w:vAlign w:val="center"/>
          </w:tcPr>
          <w:p w14:paraId="71F65E91">
            <w:pPr>
              <w:adjustRightInd w:val="0"/>
              <w:snapToGrid w:val="0"/>
              <w:spacing w:line="560" w:lineRule="exact"/>
              <w:rPr>
                <w:rFonts w:ascii="宋体" w:hAnsi="宋体"/>
                <w:color w:val="000000"/>
                <w:szCs w:val="21"/>
              </w:rPr>
            </w:pPr>
            <w:r>
              <w:rPr>
                <w:rFonts w:hint="eastAsia" w:ascii="宋体" w:hAnsi="宋体"/>
                <w:color w:val="000000"/>
                <w:szCs w:val="21"/>
              </w:rPr>
              <w:t>报价唯一</w:t>
            </w:r>
          </w:p>
        </w:tc>
        <w:tc>
          <w:tcPr>
            <w:tcW w:w="6645" w:type="dxa"/>
            <w:noWrap w:val="0"/>
            <w:vAlign w:val="center"/>
          </w:tcPr>
          <w:p w14:paraId="22E1C074">
            <w:pPr>
              <w:adjustRightInd w:val="0"/>
              <w:snapToGrid w:val="0"/>
              <w:spacing w:line="560" w:lineRule="exact"/>
              <w:jc w:val="left"/>
              <w:rPr>
                <w:rFonts w:ascii="宋体" w:hAnsi="宋体"/>
                <w:color w:val="000000"/>
                <w:szCs w:val="21"/>
              </w:rPr>
            </w:pPr>
            <w:r>
              <w:rPr>
                <w:rFonts w:hint="eastAsia" w:ascii="宋体" w:hAnsi="宋体"/>
                <w:color w:val="000000"/>
                <w:szCs w:val="21"/>
              </w:rPr>
              <w:t>只能有一个报价。</w:t>
            </w:r>
          </w:p>
        </w:tc>
      </w:tr>
      <w:tr w14:paraId="75DEA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81" w:type="dxa"/>
            <w:vMerge w:val="restart"/>
            <w:noWrap w:val="0"/>
            <w:vAlign w:val="center"/>
          </w:tcPr>
          <w:p w14:paraId="0A514A4E">
            <w:pPr>
              <w:adjustRightInd w:val="0"/>
              <w:snapToGrid w:val="0"/>
              <w:spacing w:line="560" w:lineRule="exact"/>
              <w:jc w:val="center"/>
              <w:rPr>
                <w:rFonts w:ascii="宋体" w:hAnsi="宋体"/>
                <w:color w:val="000000"/>
                <w:szCs w:val="21"/>
              </w:rPr>
            </w:pPr>
            <w:r>
              <w:rPr>
                <w:rFonts w:ascii="宋体" w:hAnsi="宋体"/>
                <w:color w:val="000000"/>
                <w:szCs w:val="21"/>
              </w:rPr>
              <w:t>4.2.2</w:t>
            </w:r>
          </w:p>
        </w:tc>
        <w:tc>
          <w:tcPr>
            <w:tcW w:w="780" w:type="dxa"/>
            <w:vMerge w:val="restart"/>
            <w:noWrap w:val="0"/>
            <w:vAlign w:val="center"/>
          </w:tcPr>
          <w:p w14:paraId="7BDDFDBC">
            <w:pPr>
              <w:adjustRightInd w:val="0"/>
              <w:snapToGrid w:val="0"/>
              <w:spacing w:line="560" w:lineRule="exact"/>
              <w:rPr>
                <w:rFonts w:ascii="宋体" w:hAnsi="宋体"/>
                <w:color w:val="000000"/>
                <w:szCs w:val="21"/>
              </w:rPr>
            </w:pPr>
            <w:r>
              <w:rPr>
                <w:rFonts w:hint="eastAsia" w:ascii="宋体" w:hAnsi="宋体"/>
                <w:color w:val="000000"/>
                <w:szCs w:val="21"/>
              </w:rPr>
              <w:t>响应性评审标准</w:t>
            </w:r>
          </w:p>
          <w:p w14:paraId="56239BC0">
            <w:pPr>
              <w:adjustRightInd w:val="0"/>
              <w:snapToGrid w:val="0"/>
              <w:spacing w:line="560" w:lineRule="exact"/>
              <w:jc w:val="center"/>
              <w:rPr>
                <w:rFonts w:ascii="宋体" w:hAnsi="宋体"/>
                <w:color w:val="000000"/>
                <w:szCs w:val="21"/>
              </w:rPr>
            </w:pPr>
          </w:p>
        </w:tc>
        <w:tc>
          <w:tcPr>
            <w:tcW w:w="1980" w:type="dxa"/>
            <w:noWrap w:val="0"/>
            <w:vAlign w:val="center"/>
          </w:tcPr>
          <w:p w14:paraId="2D47C8F8">
            <w:pPr>
              <w:adjustRightInd w:val="0"/>
              <w:snapToGrid w:val="0"/>
              <w:spacing w:line="560" w:lineRule="exact"/>
              <w:jc w:val="left"/>
              <w:rPr>
                <w:rFonts w:ascii="宋体" w:hAnsi="宋体"/>
                <w:color w:val="000000"/>
                <w:szCs w:val="21"/>
              </w:rPr>
            </w:pPr>
            <w:r>
              <w:rPr>
                <w:rFonts w:hint="eastAsia" w:ascii="宋体" w:hAnsi="宋体"/>
                <w:color w:val="000000"/>
                <w:szCs w:val="21"/>
              </w:rPr>
              <w:t>工期</w:t>
            </w:r>
          </w:p>
        </w:tc>
        <w:tc>
          <w:tcPr>
            <w:tcW w:w="6645" w:type="dxa"/>
            <w:noWrap w:val="0"/>
            <w:vAlign w:val="center"/>
          </w:tcPr>
          <w:p w14:paraId="7DDAFEE7">
            <w:pPr>
              <w:adjustRightInd w:val="0"/>
              <w:snapToGrid w:val="0"/>
              <w:spacing w:line="560" w:lineRule="exact"/>
              <w:rPr>
                <w:rFonts w:ascii="宋体" w:hAnsi="宋体"/>
                <w:color w:val="000000"/>
                <w:szCs w:val="21"/>
              </w:rPr>
            </w:pPr>
            <w:r>
              <w:rPr>
                <w:rFonts w:hint="eastAsia" w:ascii="宋体" w:hAnsi="宋体"/>
                <w:color w:val="000000"/>
                <w:szCs w:val="21"/>
              </w:rPr>
              <w:t>符合投标须知前附表规定。</w:t>
            </w:r>
          </w:p>
        </w:tc>
      </w:tr>
      <w:tr w14:paraId="35C2A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81" w:type="dxa"/>
            <w:vMerge w:val="continue"/>
            <w:noWrap w:val="0"/>
            <w:vAlign w:val="center"/>
          </w:tcPr>
          <w:p w14:paraId="09742E83">
            <w:pPr>
              <w:widowControl/>
              <w:adjustRightInd w:val="0"/>
              <w:snapToGrid w:val="0"/>
              <w:spacing w:line="560" w:lineRule="exact"/>
              <w:jc w:val="left"/>
              <w:rPr>
                <w:rFonts w:ascii="宋体" w:hAnsi="宋体"/>
                <w:color w:val="000000"/>
                <w:szCs w:val="21"/>
              </w:rPr>
            </w:pPr>
          </w:p>
        </w:tc>
        <w:tc>
          <w:tcPr>
            <w:tcW w:w="780" w:type="dxa"/>
            <w:vMerge w:val="continue"/>
            <w:noWrap w:val="0"/>
            <w:vAlign w:val="center"/>
          </w:tcPr>
          <w:p w14:paraId="4CDE5951">
            <w:pPr>
              <w:widowControl/>
              <w:adjustRightInd w:val="0"/>
              <w:snapToGrid w:val="0"/>
              <w:spacing w:line="560" w:lineRule="exact"/>
              <w:jc w:val="left"/>
              <w:rPr>
                <w:rFonts w:ascii="宋体" w:hAnsi="宋体"/>
                <w:color w:val="000000"/>
                <w:szCs w:val="21"/>
              </w:rPr>
            </w:pPr>
          </w:p>
        </w:tc>
        <w:tc>
          <w:tcPr>
            <w:tcW w:w="1980" w:type="dxa"/>
            <w:noWrap w:val="0"/>
            <w:vAlign w:val="center"/>
          </w:tcPr>
          <w:p w14:paraId="3C8C5A6E">
            <w:pPr>
              <w:adjustRightInd w:val="0"/>
              <w:snapToGrid w:val="0"/>
              <w:spacing w:line="560" w:lineRule="exact"/>
              <w:rPr>
                <w:rFonts w:ascii="宋体" w:hAnsi="宋体"/>
                <w:color w:val="000000"/>
                <w:szCs w:val="21"/>
              </w:rPr>
            </w:pPr>
            <w:r>
              <w:rPr>
                <w:rFonts w:hint="eastAsia" w:ascii="宋体" w:hAnsi="宋体"/>
                <w:color w:val="000000"/>
                <w:szCs w:val="21"/>
              </w:rPr>
              <w:t>工程质量</w:t>
            </w:r>
          </w:p>
        </w:tc>
        <w:tc>
          <w:tcPr>
            <w:tcW w:w="6645" w:type="dxa"/>
            <w:noWrap w:val="0"/>
            <w:vAlign w:val="center"/>
          </w:tcPr>
          <w:p w14:paraId="6447E52C">
            <w:pPr>
              <w:adjustRightInd w:val="0"/>
              <w:snapToGrid w:val="0"/>
              <w:spacing w:line="560" w:lineRule="exact"/>
              <w:rPr>
                <w:rFonts w:ascii="宋体" w:hAnsi="宋体"/>
                <w:color w:val="000000"/>
                <w:szCs w:val="21"/>
              </w:rPr>
            </w:pPr>
            <w:r>
              <w:rPr>
                <w:rFonts w:hint="eastAsia" w:ascii="宋体" w:hAnsi="宋体"/>
                <w:color w:val="000000"/>
                <w:szCs w:val="21"/>
              </w:rPr>
              <w:t>符合投标须知前附表规定。</w:t>
            </w:r>
          </w:p>
        </w:tc>
      </w:tr>
      <w:tr w14:paraId="3A76A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81" w:type="dxa"/>
            <w:vMerge w:val="continue"/>
            <w:noWrap w:val="0"/>
            <w:vAlign w:val="center"/>
          </w:tcPr>
          <w:p w14:paraId="4711A160">
            <w:pPr>
              <w:widowControl/>
              <w:adjustRightInd w:val="0"/>
              <w:snapToGrid w:val="0"/>
              <w:spacing w:line="560" w:lineRule="exact"/>
              <w:jc w:val="left"/>
              <w:rPr>
                <w:rFonts w:ascii="宋体" w:hAnsi="宋体"/>
                <w:color w:val="000000"/>
                <w:szCs w:val="21"/>
              </w:rPr>
            </w:pPr>
          </w:p>
        </w:tc>
        <w:tc>
          <w:tcPr>
            <w:tcW w:w="780" w:type="dxa"/>
            <w:vMerge w:val="continue"/>
            <w:noWrap w:val="0"/>
            <w:vAlign w:val="center"/>
          </w:tcPr>
          <w:p w14:paraId="6A9B59E2">
            <w:pPr>
              <w:widowControl/>
              <w:adjustRightInd w:val="0"/>
              <w:snapToGrid w:val="0"/>
              <w:spacing w:line="560" w:lineRule="exact"/>
              <w:jc w:val="left"/>
              <w:rPr>
                <w:rFonts w:ascii="宋体" w:hAnsi="宋体"/>
                <w:color w:val="000000"/>
                <w:szCs w:val="21"/>
              </w:rPr>
            </w:pPr>
          </w:p>
        </w:tc>
        <w:tc>
          <w:tcPr>
            <w:tcW w:w="1980" w:type="dxa"/>
            <w:noWrap w:val="0"/>
            <w:vAlign w:val="center"/>
          </w:tcPr>
          <w:p w14:paraId="540B66D5">
            <w:pPr>
              <w:adjustRightInd w:val="0"/>
              <w:snapToGrid w:val="0"/>
              <w:spacing w:line="560" w:lineRule="exact"/>
              <w:rPr>
                <w:rFonts w:ascii="宋体" w:hAnsi="宋体"/>
                <w:color w:val="000000"/>
                <w:szCs w:val="21"/>
              </w:rPr>
            </w:pPr>
            <w:r>
              <w:rPr>
                <w:rFonts w:hint="eastAsia" w:ascii="宋体" w:hAnsi="宋体"/>
                <w:color w:val="000000"/>
                <w:szCs w:val="21"/>
              </w:rPr>
              <w:t>投标有效期</w:t>
            </w:r>
          </w:p>
        </w:tc>
        <w:tc>
          <w:tcPr>
            <w:tcW w:w="6645" w:type="dxa"/>
            <w:noWrap w:val="0"/>
            <w:vAlign w:val="center"/>
          </w:tcPr>
          <w:p w14:paraId="6B99D234">
            <w:pPr>
              <w:adjustRightInd w:val="0"/>
              <w:snapToGrid w:val="0"/>
              <w:spacing w:line="560" w:lineRule="exact"/>
              <w:rPr>
                <w:rFonts w:ascii="宋体" w:hAnsi="宋体"/>
                <w:color w:val="000000"/>
                <w:szCs w:val="21"/>
              </w:rPr>
            </w:pPr>
            <w:r>
              <w:rPr>
                <w:rFonts w:hint="eastAsia" w:ascii="宋体" w:hAnsi="宋体"/>
                <w:color w:val="000000"/>
                <w:szCs w:val="21"/>
              </w:rPr>
              <w:t>符合投标须知前附表规定。</w:t>
            </w:r>
          </w:p>
        </w:tc>
      </w:tr>
      <w:tr w14:paraId="293C6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81" w:type="dxa"/>
            <w:vMerge w:val="continue"/>
            <w:noWrap w:val="0"/>
            <w:vAlign w:val="center"/>
          </w:tcPr>
          <w:p w14:paraId="4EC241EA">
            <w:pPr>
              <w:widowControl/>
              <w:adjustRightInd w:val="0"/>
              <w:snapToGrid w:val="0"/>
              <w:spacing w:line="560" w:lineRule="exact"/>
              <w:jc w:val="left"/>
              <w:rPr>
                <w:rFonts w:ascii="宋体" w:hAnsi="宋体"/>
                <w:color w:val="000000"/>
                <w:szCs w:val="21"/>
              </w:rPr>
            </w:pPr>
          </w:p>
        </w:tc>
        <w:tc>
          <w:tcPr>
            <w:tcW w:w="780" w:type="dxa"/>
            <w:vMerge w:val="continue"/>
            <w:noWrap w:val="0"/>
            <w:vAlign w:val="center"/>
          </w:tcPr>
          <w:p w14:paraId="32F31F60">
            <w:pPr>
              <w:widowControl/>
              <w:adjustRightInd w:val="0"/>
              <w:snapToGrid w:val="0"/>
              <w:spacing w:line="560" w:lineRule="exact"/>
              <w:jc w:val="left"/>
              <w:rPr>
                <w:rFonts w:ascii="宋体" w:hAnsi="宋体"/>
                <w:color w:val="000000"/>
                <w:szCs w:val="21"/>
              </w:rPr>
            </w:pPr>
          </w:p>
        </w:tc>
        <w:tc>
          <w:tcPr>
            <w:tcW w:w="1980" w:type="dxa"/>
            <w:noWrap w:val="0"/>
            <w:vAlign w:val="center"/>
          </w:tcPr>
          <w:p w14:paraId="74F0C58C">
            <w:pPr>
              <w:adjustRightInd w:val="0"/>
              <w:snapToGrid w:val="0"/>
              <w:spacing w:line="560" w:lineRule="exact"/>
              <w:rPr>
                <w:rFonts w:ascii="宋体" w:hAnsi="宋体"/>
                <w:color w:val="000000"/>
                <w:szCs w:val="21"/>
              </w:rPr>
            </w:pPr>
            <w:r>
              <w:rPr>
                <w:rFonts w:hint="eastAsia" w:ascii="宋体" w:hAnsi="宋体"/>
                <w:color w:val="000000"/>
                <w:szCs w:val="21"/>
              </w:rPr>
              <w:t>工程成本评审</w:t>
            </w:r>
          </w:p>
        </w:tc>
        <w:tc>
          <w:tcPr>
            <w:tcW w:w="6645" w:type="dxa"/>
            <w:noWrap w:val="0"/>
            <w:vAlign w:val="center"/>
          </w:tcPr>
          <w:p w14:paraId="57798C55">
            <w:pPr>
              <w:adjustRightInd w:val="0"/>
              <w:snapToGrid w:val="0"/>
              <w:spacing w:line="560" w:lineRule="exact"/>
              <w:rPr>
                <w:rFonts w:ascii="宋体" w:hAnsi="宋体"/>
                <w:color w:val="000000"/>
                <w:szCs w:val="21"/>
              </w:rPr>
            </w:pPr>
            <w:r>
              <w:rPr>
                <w:rFonts w:hint="eastAsia"/>
                <w:color w:val="auto"/>
                <w:highlight w:val="none"/>
              </w:rPr>
              <w:t>投标报价</w:t>
            </w:r>
            <w:r>
              <w:rPr>
                <w:rFonts w:hint="eastAsia" w:ascii="宋体" w:hAnsi="宋体"/>
                <w:color w:val="auto"/>
                <w:szCs w:val="21"/>
                <w:highlight w:val="none"/>
              </w:rPr>
              <w:t>低于同一工程</w:t>
            </w:r>
            <w:r>
              <w:rPr>
                <w:rFonts w:hint="eastAsia"/>
                <w:color w:val="auto"/>
                <w:highlight w:val="none"/>
              </w:rPr>
              <w:t>投标报价</w:t>
            </w:r>
            <w:r>
              <w:rPr>
                <w:rFonts w:hint="eastAsia" w:ascii="宋体" w:hAnsi="宋体"/>
                <w:color w:val="auto"/>
                <w:szCs w:val="21"/>
                <w:highlight w:val="none"/>
              </w:rPr>
              <w:t>平均值10%以上的，由评标委员会重点评审后界定其报价是否低于工程成本。</w:t>
            </w:r>
          </w:p>
        </w:tc>
      </w:tr>
      <w:tr w14:paraId="3775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1" w:type="dxa"/>
            <w:noWrap w:val="0"/>
            <w:vAlign w:val="center"/>
          </w:tcPr>
          <w:p w14:paraId="1FEEBE42">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7</w:t>
            </w:r>
            <w:r>
              <w:rPr>
                <w:rFonts w:hint="eastAsia" w:ascii="宋体" w:hAnsi="宋体"/>
                <w:color w:val="000000"/>
                <w:szCs w:val="21"/>
                <w:highlight w:val="none"/>
              </w:rPr>
              <w:t>.1</w:t>
            </w:r>
          </w:p>
        </w:tc>
        <w:tc>
          <w:tcPr>
            <w:tcW w:w="780" w:type="dxa"/>
            <w:noWrap w:val="0"/>
            <w:vAlign w:val="center"/>
          </w:tcPr>
          <w:p w14:paraId="5B2DF935">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商务</w:t>
            </w:r>
          </w:p>
          <w:p w14:paraId="4C22D19D">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评分</w:t>
            </w:r>
          </w:p>
          <w:p w14:paraId="3807F122">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w:t>
            </w:r>
            <w:r>
              <w:rPr>
                <w:rFonts w:hint="eastAsia" w:ascii="宋体" w:hAnsi="宋体"/>
                <w:color w:val="000000"/>
                <w:szCs w:val="21"/>
                <w:highlight w:val="none"/>
                <w:lang w:val="en-US" w:eastAsia="zh-CN"/>
              </w:rPr>
              <w:t>50</w:t>
            </w:r>
            <w:r>
              <w:rPr>
                <w:rFonts w:ascii="宋体" w:hAnsi="宋体"/>
                <w:color w:val="000000"/>
                <w:szCs w:val="21"/>
                <w:highlight w:val="none"/>
              </w:rPr>
              <w:t>分）</w:t>
            </w:r>
          </w:p>
        </w:tc>
        <w:tc>
          <w:tcPr>
            <w:tcW w:w="8625" w:type="dxa"/>
            <w:gridSpan w:val="2"/>
            <w:noWrap w:val="0"/>
            <w:vAlign w:val="center"/>
          </w:tcPr>
          <w:p w14:paraId="2D5A9941">
            <w:pPr>
              <w:spacing w:line="560" w:lineRule="exact"/>
              <w:ind w:firstLine="420" w:firstLineChars="200"/>
              <w:rPr>
                <w:rFonts w:hint="eastAsia" w:ascii="宋体" w:hAnsi="宋体" w:cs="宋体"/>
                <w:color w:val="000000"/>
                <w:highlight w:val="none"/>
              </w:rPr>
            </w:pPr>
            <w:r>
              <w:rPr>
                <w:rFonts w:hint="eastAsia" w:ascii="宋体" w:hAnsi="宋体" w:cs="宋体"/>
                <w:color w:val="000000"/>
                <w:highlight w:val="none"/>
              </w:rPr>
              <w:t>商务标评分按下列步骤计算：</w:t>
            </w:r>
          </w:p>
          <w:p w14:paraId="3E6A5535">
            <w:pPr>
              <w:spacing w:line="560" w:lineRule="exact"/>
              <w:ind w:firstLine="420" w:firstLineChars="200"/>
              <w:rPr>
                <w:rFonts w:hint="eastAsia" w:ascii="宋体" w:hAnsi="宋体" w:cs="宋体"/>
                <w:color w:val="000000"/>
                <w:highlight w:val="none"/>
              </w:rPr>
            </w:pPr>
            <w:r>
              <w:rPr>
                <w:rFonts w:hint="eastAsia" w:ascii="宋体" w:hAnsi="宋体" w:cs="宋体"/>
                <w:color w:val="000000"/>
                <w:highlight w:val="none"/>
              </w:rPr>
              <w:t>第一步：计算B值。</w:t>
            </w:r>
          </w:p>
          <w:p w14:paraId="773931F7">
            <w:pPr>
              <w:spacing w:line="5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①B</w:t>
            </w:r>
            <w:r>
              <w:rPr>
                <w:rFonts w:hint="eastAsia" w:ascii="宋体" w:hAnsi="宋体" w:cs="宋体"/>
                <w:color w:val="000000"/>
                <w:kern w:val="0"/>
                <w:szCs w:val="21"/>
                <w:highlight w:val="none"/>
              </w:rPr>
              <w:t>值</w:t>
            </w:r>
            <w:r>
              <w:rPr>
                <w:rFonts w:hint="eastAsia" w:ascii="宋体" w:hAnsi="宋体" w:cs="宋体"/>
                <w:color w:val="000000"/>
                <w:szCs w:val="21"/>
                <w:highlight w:val="none"/>
              </w:rPr>
              <w:t>为计算范围内有效投标人报价的算术平均值。</w:t>
            </w:r>
          </w:p>
          <w:p w14:paraId="4538732A">
            <w:pPr>
              <w:spacing w:line="5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第二步：计算评标基准价F值。</w:t>
            </w:r>
          </w:p>
          <w:p w14:paraId="2A436454">
            <w:pPr>
              <w:spacing w:line="5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①F=B×（1-K），其中K为调整系数，K的取值为-0.5%（1号），0%（2号），0.5%（3号），1.0%（4号），1.5%（5号）。</w:t>
            </w:r>
          </w:p>
          <w:p w14:paraId="5BB4F0A3">
            <w:pPr>
              <w:spacing w:line="5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第三步：计算报价偏差率。</w:t>
            </w:r>
          </w:p>
          <w:p w14:paraId="502F1F57">
            <w:pPr>
              <w:spacing w:line="5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①偏差率=|（投标报价-评标基准价）/评标基准价|×100%</w:t>
            </w:r>
          </w:p>
          <w:p w14:paraId="6089BC26">
            <w:pPr>
              <w:spacing w:line="5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第四步：计算报价得分</w:t>
            </w:r>
          </w:p>
          <w:p w14:paraId="59A3EB57">
            <w:pPr>
              <w:spacing w:line="5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①投标报价等于评标基准价的得满分。</w:t>
            </w:r>
          </w:p>
          <w:p w14:paraId="5C45B6BB">
            <w:pPr>
              <w:spacing w:line="560" w:lineRule="exact"/>
              <w:ind w:firstLine="420" w:firstLineChars="200"/>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rPr>
              <w:t>②投标报价高于评标基准价的，投标报价得分=报价满分值-偏差率×100×</w:t>
            </w:r>
            <w:r>
              <w:rPr>
                <w:rFonts w:hint="eastAsia" w:ascii="宋体" w:hAnsi="宋体" w:cs="宋体"/>
                <w:color w:val="000000"/>
                <w:szCs w:val="21"/>
                <w:highlight w:val="none"/>
                <w:lang w:val="en-US" w:eastAsia="zh-CN"/>
              </w:rPr>
              <w:t>0.5</w:t>
            </w:r>
          </w:p>
          <w:p w14:paraId="1464FE66">
            <w:pPr>
              <w:spacing w:line="5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③投标报价低于评标基准价的，投标报价得分=报价满分值-偏差率×100×0.</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5</w:t>
            </w:r>
          </w:p>
          <w:p w14:paraId="701AE7E0">
            <w:pPr>
              <w:pStyle w:val="14"/>
              <w:adjustRightInd w:val="0"/>
              <w:snapToGrid w:val="0"/>
              <w:spacing w:after="0" w:line="560" w:lineRule="exact"/>
              <w:ind w:left="0" w:leftChars="0" w:firstLine="422" w:firstLineChars="0"/>
              <w:jc w:val="left"/>
              <w:rPr>
                <w:color w:val="000000"/>
                <w:highlight w:val="none"/>
              </w:rPr>
            </w:pPr>
            <w:r>
              <w:rPr>
                <w:rFonts w:hint="eastAsia" w:ascii="宋体" w:hAnsi="宋体" w:cs="宋体"/>
                <w:b/>
                <w:color w:val="000000"/>
                <w:szCs w:val="21"/>
                <w:highlight w:val="none"/>
              </w:rPr>
              <w:t>注：计算过程中，B值、评标基准价F值、偏差率、报价得分均保留两位小数，小数点后第三位四舍五入。</w:t>
            </w:r>
          </w:p>
        </w:tc>
      </w:tr>
    </w:tbl>
    <w:p w14:paraId="13E59263">
      <w:pPr>
        <w:adjustRightInd w:val="0"/>
        <w:snapToGrid w:val="0"/>
        <w:spacing w:line="560" w:lineRule="exact"/>
        <w:ind w:firstLine="316" w:firstLineChars="150"/>
        <w:rPr>
          <w:rFonts w:hint="eastAsia" w:ascii="黑体" w:hAnsi="黑体" w:eastAsia="黑体" w:cs="黑体"/>
          <w:b/>
          <w:color w:val="000000"/>
          <w:szCs w:val="21"/>
          <w:highlight w:val="none"/>
        </w:rPr>
      </w:pPr>
      <w:r>
        <w:rPr>
          <w:rFonts w:hint="eastAsia" w:ascii="黑体" w:hAnsi="黑体" w:eastAsia="黑体" w:cs="黑体"/>
          <w:b/>
          <w:color w:val="000000"/>
          <w:szCs w:val="21"/>
          <w:highlight w:val="none"/>
        </w:rPr>
        <w:t>商务标评审表注：</w:t>
      </w:r>
    </w:p>
    <w:p w14:paraId="7081FED6">
      <w:pPr>
        <w:adjustRightInd w:val="0"/>
        <w:snapToGrid w:val="0"/>
        <w:spacing w:line="560" w:lineRule="exact"/>
        <w:ind w:firstLine="422" w:firstLineChars="200"/>
        <w:rPr>
          <w:rFonts w:hint="eastAsia" w:ascii="黑体" w:hAnsi="黑体" w:eastAsia="黑体" w:cs="黑体"/>
          <w:b/>
          <w:bCs/>
          <w:color w:val="000000"/>
          <w:szCs w:val="21"/>
          <w:highlight w:val="none"/>
          <w:u w:val="single"/>
        </w:rPr>
      </w:pPr>
      <w:r>
        <w:rPr>
          <w:rFonts w:hint="eastAsia" w:ascii="黑体" w:hAnsi="黑体" w:eastAsia="黑体" w:cs="黑体"/>
          <w:b/>
          <w:color w:val="000000"/>
          <w:szCs w:val="21"/>
          <w:highlight w:val="none"/>
        </w:rPr>
        <w:t>1、</w:t>
      </w:r>
      <w:r>
        <w:rPr>
          <w:rFonts w:hint="eastAsia" w:ascii="黑体" w:hAnsi="黑体" w:eastAsia="黑体" w:cs="黑体"/>
          <w:b/>
          <w:bCs/>
          <w:color w:val="000000"/>
          <w:szCs w:val="21"/>
          <w:highlight w:val="none"/>
        </w:rPr>
        <w:t>投标人总报价如超过A值，A值=</w:t>
      </w:r>
      <w:r>
        <w:rPr>
          <w:rFonts w:hint="eastAsia" w:ascii="黑体" w:hAnsi="黑体" w:eastAsia="黑体" w:cs="黑体"/>
          <w:b/>
          <w:bCs/>
          <w:color w:val="000000"/>
          <w:szCs w:val="21"/>
          <w:highlight w:val="none"/>
          <w:u w:val="single"/>
        </w:rPr>
        <w:t>最高投标限价×（1-J） +（暂列金额+暂估价）</w:t>
      </w:r>
      <w:r>
        <w:rPr>
          <w:rFonts w:hint="eastAsia" w:ascii="黑体" w:hAnsi="黑体" w:eastAsia="黑体" w:cs="黑体"/>
          <w:b/>
          <w:bCs/>
          <w:strike w:val="0"/>
          <w:dstrike w:val="0"/>
          <w:color w:val="000000"/>
          <w:szCs w:val="21"/>
          <w:highlight w:val="none"/>
          <w:u w:val="single"/>
        </w:rPr>
        <w:t>×1.09</w:t>
      </w:r>
      <w:r>
        <w:rPr>
          <w:rFonts w:hint="eastAsia" w:ascii="黑体" w:hAnsi="黑体" w:eastAsia="黑体" w:cs="黑体"/>
          <w:b/>
          <w:bCs/>
          <w:color w:val="000000"/>
          <w:szCs w:val="21"/>
          <w:highlight w:val="none"/>
          <w:u w:val="single"/>
        </w:rPr>
        <w:t>×J（其中J=</w:t>
      </w:r>
      <w:r>
        <w:rPr>
          <w:rFonts w:hint="eastAsia" w:ascii="黑体" w:hAnsi="黑体" w:eastAsia="黑体" w:cs="黑体"/>
          <w:b/>
          <w:bCs/>
          <w:color w:val="000000"/>
          <w:szCs w:val="21"/>
          <w:highlight w:val="none"/>
          <w:u w:val="single"/>
          <w:lang w:val="en-US" w:eastAsia="zh-CN"/>
        </w:rPr>
        <w:t>8</w:t>
      </w:r>
      <w:r>
        <w:rPr>
          <w:rFonts w:hint="eastAsia" w:ascii="黑体" w:hAnsi="黑体" w:eastAsia="黑体" w:cs="黑体"/>
          <w:b/>
          <w:bCs/>
          <w:color w:val="000000"/>
          <w:szCs w:val="21"/>
          <w:highlight w:val="none"/>
          <w:u w:val="single"/>
        </w:rPr>
        <w:t xml:space="preserve">%，该值由招标人根据具体项目情况自行设定），则商务标不得分，且该投标报价不参与B值计算。 </w:t>
      </w:r>
    </w:p>
    <w:p w14:paraId="77C01149">
      <w:pPr>
        <w:adjustRightInd w:val="0"/>
        <w:snapToGrid w:val="0"/>
        <w:spacing w:line="560" w:lineRule="exact"/>
        <w:ind w:firstLine="420" w:firstLineChars="200"/>
        <w:rPr>
          <w:rFonts w:hint="eastAsia" w:ascii="宋体" w:hAnsi="宋体" w:cs="宋体"/>
          <w:color w:val="000000"/>
          <w:szCs w:val="21"/>
        </w:rPr>
      </w:pPr>
      <w:r>
        <w:rPr>
          <w:rFonts w:ascii="宋体" w:hAnsi="宋体" w:cs="宋体"/>
          <w:color w:val="000000"/>
          <w:szCs w:val="21"/>
        </w:rPr>
        <w:t>2</w:t>
      </w:r>
      <w:r>
        <w:rPr>
          <w:rFonts w:hint="eastAsia" w:ascii="宋体" w:hAnsi="宋体" w:cs="宋体"/>
          <w:color w:val="000000"/>
          <w:szCs w:val="21"/>
        </w:rPr>
        <w:t>、只有通过详细评审的投标人才能参加评分。</w:t>
      </w:r>
    </w:p>
    <w:p w14:paraId="53BC5050">
      <w:pPr>
        <w:adjustRightInd w:val="0"/>
        <w:snapToGrid w:val="0"/>
        <w:spacing w:line="560" w:lineRule="exact"/>
        <w:ind w:firstLine="420" w:firstLineChars="200"/>
        <w:rPr>
          <w:rFonts w:hint="eastAsia" w:ascii="宋体" w:hAnsi="宋体" w:cs="宋体"/>
          <w:strike/>
          <w:dstrike w:val="0"/>
          <w:color w:val="000000"/>
          <w:szCs w:val="21"/>
        </w:rPr>
      </w:pPr>
      <w:r>
        <w:rPr>
          <w:rFonts w:ascii="宋体" w:hAnsi="宋体" w:cs="宋体"/>
          <w:color w:val="000000"/>
          <w:szCs w:val="21"/>
        </w:rPr>
        <w:t>3</w:t>
      </w:r>
      <w:r>
        <w:rPr>
          <w:rFonts w:hint="eastAsia" w:ascii="宋体" w:hAnsi="宋体" w:cs="宋体"/>
          <w:color w:val="000000"/>
          <w:szCs w:val="21"/>
        </w:rPr>
        <w:t>、本表所称投标报价是指按招标文件规定修正后的投标总报价（多算投标报价、多报费用不扣减），报价以元为单位，保留两位小数，小数点后第三位四舍五入。</w:t>
      </w:r>
    </w:p>
    <w:p w14:paraId="524EA0C4">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rPr>
        <w:t>4、B 值计算方法</w:t>
      </w:r>
      <w:r>
        <w:rPr>
          <w:rFonts w:hint="eastAsia" w:ascii="宋体" w:hAnsi="宋体" w:eastAsia="宋体" w:cs="宋体"/>
          <w:color w:val="000000"/>
          <w:szCs w:val="21"/>
          <w:highlight w:val="none"/>
        </w:rPr>
        <w:t>：</w:t>
      </w:r>
    </w:p>
    <w:p w14:paraId="6C44C60B">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（1）本项目 T 取值为</w:t>
      </w:r>
      <w:r>
        <w:rPr>
          <w:rFonts w:hint="eastAsia" w:ascii="宋体" w:hAnsi="宋体" w:eastAsia="宋体" w:cs="宋体"/>
          <w:color w:val="000000"/>
          <w:szCs w:val="21"/>
          <w:highlight w:val="none"/>
          <w:u w:val="single"/>
          <w:lang w:val="en-US" w:eastAsia="zh-CN"/>
        </w:rPr>
        <w:t>10</w:t>
      </w:r>
      <w:r>
        <w:rPr>
          <w:rFonts w:hint="eastAsia" w:ascii="宋体" w:hAnsi="宋体" w:eastAsia="宋体" w:cs="宋体"/>
          <w:color w:val="000000"/>
          <w:szCs w:val="21"/>
          <w:highlight w:val="none"/>
        </w:rPr>
        <w:t>。</w:t>
      </w:r>
    </w:p>
    <w:p w14:paraId="3B7E3A02">
      <w:pPr>
        <w:adjustRightInd w:val="0"/>
        <w:snapToGrid w:val="0"/>
        <w:spacing w:line="5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（2）投标报价不超过A值且资信技术合计分值大于等于所有通过（资信、技术、商务）详细评审有效投标人资信技术平均分值的投标人数量为M。</w:t>
      </w:r>
    </w:p>
    <w:p w14:paraId="058CB3CC">
      <w:pPr>
        <w:adjustRightInd w:val="0"/>
        <w:snapToGrid w:val="0"/>
        <w:spacing w:line="5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（3）若M 未超过 T 时，B 值为符合上述条件的 M 个投标人投标报价的算术平均值。</w:t>
      </w:r>
    </w:p>
    <w:p w14:paraId="510A0D73">
      <w:pPr>
        <w:adjustRightInd w:val="0"/>
        <w:snapToGrid w:val="0"/>
        <w:spacing w:line="5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（4）若M 超过 T 时，B 值为符合上述条件的 M 个投标人投标报价中去除(M-T)/2【M-T 为奇数时，则为(M-T+1)/2】个最高价和(M-T)/2【M-T 为奇数时，则为(M-T-1)/2】个最低价后，剩余有效投标报价的算术平均值（如去高去低的最后一名存在报价相同的，则通过随机抽取确定被去除的投标人。只保留T个投标人的投标报价）。</w:t>
      </w:r>
    </w:p>
    <w:p w14:paraId="60DB574F">
      <w:pPr>
        <w:adjustRightInd w:val="0"/>
        <w:snapToGrid w:val="0"/>
        <w:spacing w:line="5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5、K值（评标基准价系数）的抽取：资信标、技术标、商务标详细评审完成后，招标人</w:t>
      </w:r>
      <w:r>
        <w:rPr>
          <w:rFonts w:hint="eastAsia" w:ascii="宋体" w:hAnsi="宋体" w:cs="宋体"/>
          <w:color w:val="000000"/>
          <w:szCs w:val="21"/>
          <w:lang w:val="en-US" w:eastAsia="zh-CN"/>
        </w:rPr>
        <w:t>现场</w:t>
      </w:r>
      <w:r>
        <w:rPr>
          <w:rFonts w:hint="eastAsia" w:ascii="宋体" w:hAnsi="宋体" w:eastAsia="宋体" w:cs="宋体"/>
          <w:color w:val="000000"/>
          <w:szCs w:val="21"/>
        </w:rPr>
        <w:t>抽取K值，并根据抽取的K值计算F值，评标办法中的评标基准价计算出来后，除数字计算错误外，其他情况均不再调整。</w:t>
      </w:r>
    </w:p>
    <w:p w14:paraId="26E54616">
      <w:pPr>
        <w:adjustRightInd w:val="0"/>
        <w:snapToGrid w:val="0"/>
        <w:spacing w:line="5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6、其他</w:t>
      </w:r>
    </w:p>
    <w:p w14:paraId="70F7A924">
      <w:pPr>
        <w:adjustRightInd w:val="0"/>
        <w:snapToGrid w:val="0"/>
        <w:spacing w:line="5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6.1 缺漏项金额是指投标人漏计招标人发布的清单项目，按最高投标限价对应清单综合单价计算缺漏金额。</w:t>
      </w:r>
    </w:p>
    <w:p w14:paraId="63107DE4">
      <w:pPr>
        <w:adjustRightInd w:val="0"/>
        <w:snapToGrid w:val="0"/>
        <w:spacing w:line="5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6.2 本表所述累计投标报价缺漏错总额占原投标报价格 5%以下者，视为投标人主动让利或包含在其他项目中，不修正总价，工程结算时亦不予调整。</w:t>
      </w:r>
    </w:p>
    <w:p w14:paraId="1D9AEA50">
      <w:pPr>
        <w:adjustRightInd w:val="0"/>
        <w:snapToGrid w:val="0"/>
        <w:spacing w:line="5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7、投标人的注册建造师必须满足相应建筑业企业资质标准要求，评标委员会在评审时，将对此进行评审。投标单位应在商务标文件中提供全国建筑市场监管公共服务平台(四库一平台)企业注册人员网页截图，未提供相关截图，按无效标处理。</w:t>
      </w:r>
    </w:p>
    <w:p w14:paraId="7E9F80EE">
      <w:pPr>
        <w:pStyle w:val="3"/>
        <w:pageBreakBefore w:val="0"/>
        <w:kinsoku/>
        <w:overflowPunct/>
        <w:topLinePunct w:val="0"/>
        <w:autoSpaceDE/>
        <w:autoSpaceDN/>
        <w:bidi w:val="0"/>
        <w:spacing w:beforeLines="50" w:afterLines="50" w:line="440" w:lineRule="exact"/>
        <w:ind w:firstLine="422" w:firstLineChars="200"/>
        <w:textAlignment w:val="auto"/>
        <w:rPr>
          <w:rFonts w:ascii="宋体" w:hAnsi="宋体" w:eastAsia="宋体" w:cs="宋体"/>
          <w:highlight w:val="none"/>
        </w:rPr>
      </w:pPr>
      <w:r>
        <w:rPr>
          <w:rFonts w:hint="eastAsia" w:ascii="宋体" w:hAnsi="宋体" w:eastAsia="宋体" w:cs="宋体"/>
          <w:highlight w:val="none"/>
        </w:rPr>
        <w:t>1.评标方法</w:t>
      </w:r>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p w14:paraId="162D8EEC">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color w:val="000000"/>
          <w:szCs w:val="21"/>
        </w:rPr>
      </w:pPr>
      <w:r>
        <w:rPr>
          <w:rFonts w:hint="eastAsia" w:ascii="宋体" w:hAnsi="宋体" w:cs="宋体"/>
          <w:color w:val="000000"/>
          <w:szCs w:val="21"/>
        </w:rPr>
        <w:t>本次评标采用综合评估法。评标委员会对满足招标文件实质性要求的投标文件，按照本章规定的评分标准计算得分，并按总得分由高到低顺序推荐中标候选人（3名），并标明排序，但投标报价低于其成本的除外。如总得分相等，以投标报价低的优先，投标报价仍相等，由评标委员会主任委员或招标人随机抽取确定排名。</w:t>
      </w:r>
    </w:p>
    <w:p w14:paraId="2B6F7F43">
      <w:pPr>
        <w:pageBreakBefore w:val="0"/>
        <w:widowControl/>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rPr>
        <w:t>（1）根据评标委员会评审初步结论，项目单位（代理机构）对预中标候选人、法定代表人及其项目经理（建造师）是否存在招标文件要求查询的失信行为进行网上核查后，提交网站截图等查</w:t>
      </w:r>
      <w:r>
        <w:rPr>
          <w:rFonts w:hint="eastAsia" w:ascii="宋体" w:hAnsi="宋体" w:cs="宋体"/>
          <w:color w:val="000000"/>
          <w:szCs w:val="21"/>
          <w:highlight w:val="none"/>
        </w:rPr>
        <w:t>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3785A2C6">
      <w:pPr>
        <w:pageBreakBefore w:val="0"/>
        <w:kinsoku/>
        <w:wordWrap w:val="0"/>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（2）评标委员会登录全国建筑市场监管公共服务平台(四库-平台)https://jzsc.mohurd.gov.cn/home 进行实时查询，并结合《住房城乡建设部关于进一步加强建设工程企业资质审批管理工作的通知》（建市规〔2023〕3号）、《住房和城乡建设部办公厅关于建设工程企业资质有关事项的通知》（建办市函〔2022〕361号）和安徽省住建厅《关于建设工程企业资质有关事宜的通知》（建市函〔2022〕748 号），对中标候选人的关系企业履约能力的建造师数量进行评审：</w:t>
      </w:r>
    </w:p>
    <w:p w14:paraId="5939E452">
      <w:pPr>
        <w:pageBreakBefore w:val="0"/>
        <w:widowControl/>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color w:val="000000"/>
          <w:szCs w:val="21"/>
          <w:highlight w:val="none"/>
        </w:rPr>
      </w:pPr>
      <w:r>
        <w:rPr>
          <w:rFonts w:hint="eastAsia" w:ascii="宋体" w:hAnsi="宋体" w:eastAsia="宋体" w:cs="宋体"/>
          <w:color w:val="000000"/>
          <w:szCs w:val="21"/>
          <w:highlight w:val="none"/>
        </w:rPr>
        <w:t>①</w:t>
      </w:r>
      <w:r>
        <w:rPr>
          <w:rFonts w:hint="eastAsia" w:ascii="宋体" w:hAnsi="宋体" w:eastAsia="宋体" w:cs="宋体"/>
          <w:color w:val="000000"/>
          <w:szCs w:val="21"/>
          <w:highlight w:val="none"/>
          <w:lang w:val="en-US" w:eastAsia="zh-CN"/>
        </w:rPr>
        <w:t>电力</w:t>
      </w:r>
      <w:r>
        <w:rPr>
          <w:rFonts w:hint="eastAsia" w:ascii="宋体" w:hAnsi="宋体" w:eastAsia="宋体" w:cs="宋体"/>
          <w:color w:val="000000"/>
          <w:szCs w:val="21"/>
          <w:highlight w:val="none"/>
        </w:rPr>
        <w:t>工程施工总承包特级资质企业：注册一级建造师50人以上</w:t>
      </w:r>
      <w:r>
        <w:rPr>
          <w:rFonts w:hint="eastAsia" w:ascii="宋体" w:hAnsi="宋体" w:cs="宋体"/>
          <w:color w:val="000000"/>
          <w:szCs w:val="21"/>
          <w:highlight w:val="none"/>
        </w:rPr>
        <w:t>。</w:t>
      </w:r>
    </w:p>
    <w:p w14:paraId="6D5A37E2">
      <w:pPr>
        <w:pageBreakBefore w:val="0"/>
        <w:widowControl/>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②</w:t>
      </w:r>
      <w:r>
        <w:rPr>
          <w:rFonts w:hint="eastAsia" w:ascii="宋体" w:hAnsi="宋体" w:eastAsia="宋体" w:cs="宋体"/>
          <w:color w:val="000000"/>
          <w:szCs w:val="21"/>
          <w:highlight w:val="none"/>
          <w:lang w:val="en-US" w:eastAsia="zh-CN"/>
        </w:rPr>
        <w:t>电力</w:t>
      </w:r>
      <w:r>
        <w:rPr>
          <w:rFonts w:hint="eastAsia" w:ascii="宋体" w:hAnsi="宋体" w:eastAsia="宋体" w:cs="宋体"/>
          <w:color w:val="000000"/>
          <w:szCs w:val="21"/>
          <w:highlight w:val="none"/>
        </w:rPr>
        <w:t>工程施工总承包壹级资质企业：机电工程专业一级注册建造师不少于1</w:t>
      </w: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人。</w:t>
      </w:r>
    </w:p>
    <w:p w14:paraId="548E5C49">
      <w:pPr>
        <w:pageBreakBefore w:val="0"/>
        <w:widowControl/>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③</w:t>
      </w:r>
      <w:r>
        <w:rPr>
          <w:rFonts w:hint="eastAsia" w:ascii="宋体" w:hAnsi="宋体" w:eastAsia="宋体" w:cs="宋体"/>
          <w:color w:val="000000"/>
          <w:szCs w:val="21"/>
          <w:highlight w:val="none"/>
          <w:lang w:val="en-US" w:eastAsia="zh-CN"/>
        </w:rPr>
        <w:t>电力</w:t>
      </w:r>
      <w:r>
        <w:rPr>
          <w:rFonts w:hint="eastAsia" w:ascii="宋体" w:hAnsi="宋体" w:eastAsia="宋体" w:cs="宋体"/>
          <w:color w:val="000000"/>
          <w:szCs w:val="21"/>
          <w:highlight w:val="none"/>
        </w:rPr>
        <w:t>工程施工总承包贰级、叁级资质企业：机电工程专业注册建造师不少于5人。</w:t>
      </w:r>
    </w:p>
    <w:p w14:paraId="322A2384">
      <w:pPr>
        <w:pageBreakBefore w:val="0"/>
        <w:widowControl/>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中标候选人的注册建造师不满足上述要求的，评标委员会对该投标不予认可，并将该情形报送相关行政主管部门。中标候选人依次替补，评标委员会再次对替补单位进行核查。</w:t>
      </w:r>
    </w:p>
    <w:p w14:paraId="3F12DD3B">
      <w:pPr>
        <w:pStyle w:val="3"/>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r>
        <w:rPr>
          <w:rFonts w:hint="eastAsia" w:ascii="宋体" w:hAnsi="宋体" w:eastAsia="宋体" w:cs="宋体"/>
          <w:highlight w:val="none"/>
        </w:rPr>
        <w:t>2.评标委员会的职责</w:t>
      </w:r>
      <w:bookmarkEnd w:id="790"/>
      <w:bookmarkEnd w:id="791"/>
      <w:bookmarkEnd w:id="792"/>
      <w:bookmarkEnd w:id="793"/>
      <w:bookmarkEnd w:id="794"/>
      <w:bookmarkEnd w:id="795"/>
      <w:bookmarkEnd w:id="796"/>
    </w:p>
    <w:p w14:paraId="2366AE8E">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bookmarkStart w:id="805" w:name="_Toc506107326"/>
      <w:bookmarkStart w:id="806" w:name="_Toc15058915"/>
      <w:bookmarkStart w:id="807" w:name="_Toc78803384"/>
      <w:bookmarkStart w:id="808" w:name="_Toc35425115"/>
      <w:bookmarkStart w:id="809" w:name="_Toc17377"/>
      <w:bookmarkStart w:id="810" w:name="_Toc324404874"/>
      <w:bookmarkStart w:id="811" w:name="_Toc35424949"/>
      <w:r>
        <w:rPr>
          <w:rFonts w:hint="eastAsia" w:ascii="宋体" w:hAnsi="宋体" w:eastAsia="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3220F0DC">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应加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2EE942C7">
      <w:pPr>
        <w:pStyle w:val="3"/>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r>
        <w:rPr>
          <w:rFonts w:hint="eastAsia" w:ascii="宋体" w:hAnsi="宋体" w:eastAsia="宋体" w:cs="宋体"/>
          <w:highlight w:val="none"/>
        </w:rPr>
        <w:t>3.评标程序</w:t>
      </w:r>
      <w:bookmarkEnd w:id="805"/>
      <w:bookmarkEnd w:id="806"/>
      <w:bookmarkEnd w:id="807"/>
      <w:bookmarkEnd w:id="808"/>
      <w:bookmarkEnd w:id="809"/>
      <w:bookmarkEnd w:id="810"/>
      <w:bookmarkEnd w:id="811"/>
    </w:p>
    <w:p w14:paraId="74F4CF37">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bookmarkStart w:id="812" w:name="_Toc15058916"/>
      <w:bookmarkStart w:id="813" w:name="_Toc78803385"/>
      <w:bookmarkStart w:id="814" w:name="_Toc35424950"/>
      <w:bookmarkStart w:id="815" w:name="_Toc35425116"/>
      <w:bookmarkStart w:id="816" w:name="_Toc27389"/>
      <w:r>
        <w:rPr>
          <w:rFonts w:hint="eastAsia" w:ascii="宋体" w:hAnsi="宋体" w:eastAsia="宋体" w:cs="宋体"/>
          <w:color w:val="auto"/>
          <w:szCs w:val="21"/>
          <w:highlight w:val="none"/>
        </w:rPr>
        <w:t>评标先做准备工作，再进行资格、技术标评审，然后进行商务标评审。</w:t>
      </w:r>
    </w:p>
    <w:p w14:paraId="6E980930">
      <w:pPr>
        <w:pStyle w:val="3"/>
        <w:pageBreakBefore w:val="0"/>
        <w:kinsoku/>
        <w:overflowPunct/>
        <w:topLinePunct w:val="0"/>
        <w:autoSpaceDE/>
        <w:autoSpaceDN/>
        <w:bidi w:val="0"/>
        <w:spacing w:line="440" w:lineRule="exact"/>
        <w:ind w:firstLine="422" w:firstLineChars="200"/>
        <w:textAlignment w:val="auto"/>
        <w:rPr>
          <w:rFonts w:ascii="宋体" w:hAnsi="宋体" w:eastAsia="宋体" w:cs="宋体"/>
          <w:highlight w:val="none"/>
        </w:rPr>
      </w:pPr>
      <w:r>
        <w:rPr>
          <w:rFonts w:hint="eastAsia" w:ascii="宋体" w:hAnsi="宋体" w:eastAsia="宋体" w:cs="宋体"/>
          <w:highlight w:val="none"/>
        </w:rPr>
        <w:t>3.1评标准备工作</w:t>
      </w:r>
      <w:bookmarkEnd w:id="812"/>
      <w:bookmarkEnd w:id="813"/>
      <w:bookmarkEnd w:id="814"/>
      <w:bookmarkEnd w:id="815"/>
      <w:bookmarkEnd w:id="816"/>
    </w:p>
    <w:p w14:paraId="12DD11ED">
      <w:pPr>
        <w:pageBreakBefore w:val="0"/>
        <w:kinsoku/>
        <w:overflowPunct/>
        <w:topLinePunct w:val="0"/>
        <w:autoSpaceDE/>
        <w:autoSpaceDN/>
        <w:bidi w:val="0"/>
        <w:spacing w:line="44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评标委员会熟悉评标工作情况：</w:t>
      </w:r>
    </w:p>
    <w:p w14:paraId="61A7679E">
      <w:pPr>
        <w:pageBreakBefore w:val="0"/>
        <w:kinsoku/>
        <w:overflowPunct/>
        <w:topLinePunct w:val="0"/>
        <w:autoSpaceDE/>
        <w:autoSpaceDN/>
        <w:bidi w:val="0"/>
        <w:spacing w:line="44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（1）阅读由招标人或者其委托的工程代理机构编制的招标项目情况材料。</w:t>
      </w:r>
    </w:p>
    <w:p w14:paraId="33273880">
      <w:pPr>
        <w:pageBreakBefore w:val="0"/>
        <w:kinsoku/>
        <w:overflowPunct/>
        <w:topLinePunct w:val="0"/>
        <w:autoSpaceDE/>
        <w:autoSpaceDN/>
        <w:bidi w:val="0"/>
        <w:spacing w:line="44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（2）阅读、研究招标文件和相关评标资料，获取评标所需要的重要信息和数据，至少应了解和熟悉以下内容：招标项目的范围和性质，招标文件规定的主要技术要求、标准和商务条款。</w:t>
      </w:r>
    </w:p>
    <w:p w14:paraId="3514C364">
      <w:pPr>
        <w:pageBreakBefore w:val="0"/>
        <w:kinsoku/>
        <w:overflowPunct/>
        <w:topLinePunct w:val="0"/>
        <w:autoSpaceDE/>
        <w:autoSpaceDN/>
        <w:bidi w:val="0"/>
        <w:spacing w:line="44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（3）熟悉招标文件规定的评标标准和评标方法及在评标过程中需要考虑的相关因素。</w:t>
      </w:r>
    </w:p>
    <w:p w14:paraId="0377C0C5">
      <w:pPr>
        <w:pageBreakBefore w:val="0"/>
        <w:kinsoku/>
        <w:overflowPunct/>
        <w:topLinePunct w:val="0"/>
        <w:autoSpaceDE/>
        <w:autoSpaceDN/>
        <w:bidi w:val="0"/>
        <w:spacing w:line="44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（4）核对评标工作用表。</w:t>
      </w:r>
    </w:p>
    <w:p w14:paraId="11CF5DD7">
      <w:pPr>
        <w:pStyle w:val="3"/>
        <w:pageBreakBefore w:val="0"/>
        <w:kinsoku/>
        <w:overflowPunct/>
        <w:topLinePunct w:val="0"/>
        <w:autoSpaceDE/>
        <w:autoSpaceDN/>
        <w:bidi w:val="0"/>
        <w:adjustRightInd w:val="0"/>
        <w:snapToGrid w:val="0"/>
        <w:spacing w:before="0" w:after="0" w:line="440" w:lineRule="exact"/>
        <w:ind w:firstLine="422" w:firstLineChars="200"/>
        <w:textAlignment w:val="auto"/>
        <w:rPr>
          <w:rFonts w:hint="eastAsia" w:ascii="黑体" w:hAnsi="黑体" w:cs="黑体"/>
          <w:color w:val="000000"/>
          <w:sz w:val="21"/>
          <w:szCs w:val="21"/>
        </w:rPr>
      </w:pPr>
      <w:bookmarkStart w:id="817" w:name="_Toc95223433"/>
      <w:bookmarkStart w:id="818" w:name="_Toc506107327"/>
      <w:bookmarkStart w:id="819" w:name="_Toc15058919"/>
      <w:bookmarkStart w:id="820" w:name="_Toc12200"/>
      <w:bookmarkStart w:id="821" w:name="_Toc35425120"/>
      <w:bookmarkStart w:id="822" w:name="_Toc35424954"/>
      <w:bookmarkStart w:id="823" w:name="_Toc324404875"/>
      <w:bookmarkStart w:id="824" w:name="_Toc78803389"/>
      <w:r>
        <w:rPr>
          <w:rFonts w:hint="eastAsia" w:ascii="黑体" w:hAnsi="黑体" w:cs="黑体"/>
          <w:color w:val="000000"/>
          <w:sz w:val="21"/>
          <w:szCs w:val="21"/>
        </w:rPr>
        <w:t>3.2技术标评审</w:t>
      </w:r>
      <w:bookmarkEnd w:id="817"/>
    </w:p>
    <w:p w14:paraId="0D2D6BD1">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rPr>
      </w:pPr>
      <w:r>
        <w:rPr>
          <w:rFonts w:hint="eastAsia" w:ascii="宋体" w:hAnsi="宋体" w:cs="宋体"/>
          <w:color w:val="000000"/>
          <w:szCs w:val="21"/>
        </w:rPr>
        <w:t>详见技术标评审表。</w:t>
      </w:r>
    </w:p>
    <w:p w14:paraId="2DE8CA6E">
      <w:pPr>
        <w:pStyle w:val="3"/>
        <w:pageBreakBefore w:val="0"/>
        <w:kinsoku/>
        <w:overflowPunct/>
        <w:topLinePunct w:val="0"/>
        <w:autoSpaceDE/>
        <w:autoSpaceDN/>
        <w:bidi w:val="0"/>
        <w:adjustRightInd w:val="0"/>
        <w:snapToGrid w:val="0"/>
        <w:spacing w:before="0" w:after="0" w:line="440" w:lineRule="exact"/>
        <w:ind w:firstLine="422" w:firstLineChars="200"/>
        <w:textAlignment w:val="auto"/>
        <w:rPr>
          <w:rFonts w:hint="eastAsia" w:ascii="黑体" w:hAnsi="黑体" w:cs="黑体"/>
          <w:color w:val="000000"/>
          <w:sz w:val="21"/>
          <w:szCs w:val="21"/>
        </w:rPr>
      </w:pPr>
      <w:bookmarkStart w:id="825" w:name="_Toc95223434"/>
      <w:r>
        <w:rPr>
          <w:rFonts w:hint="eastAsia" w:ascii="黑体" w:hAnsi="黑体" w:cs="黑体"/>
          <w:color w:val="000000"/>
          <w:sz w:val="21"/>
          <w:szCs w:val="21"/>
        </w:rPr>
        <w:t>3.3商务标评审</w:t>
      </w:r>
      <w:bookmarkEnd w:id="825"/>
    </w:p>
    <w:p w14:paraId="53463FF0">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rPr>
      </w:pPr>
      <w:r>
        <w:rPr>
          <w:rFonts w:hint="eastAsia" w:ascii="宋体" w:hAnsi="宋体" w:cs="宋体"/>
          <w:color w:val="000000"/>
          <w:szCs w:val="21"/>
        </w:rPr>
        <w:t>详见商务标评审表。</w:t>
      </w:r>
    </w:p>
    <w:p w14:paraId="617E89B0">
      <w:pPr>
        <w:pStyle w:val="3"/>
        <w:pageBreakBefore w:val="0"/>
        <w:kinsoku/>
        <w:overflowPunct/>
        <w:topLinePunct w:val="0"/>
        <w:autoSpaceDE/>
        <w:autoSpaceDN/>
        <w:bidi w:val="0"/>
        <w:adjustRightInd w:val="0"/>
        <w:snapToGrid w:val="0"/>
        <w:spacing w:before="0" w:after="0" w:line="440" w:lineRule="exact"/>
        <w:ind w:firstLine="422" w:firstLineChars="200"/>
        <w:textAlignment w:val="auto"/>
        <w:rPr>
          <w:rFonts w:hint="eastAsia" w:ascii="黑体" w:hAnsi="黑体" w:cs="黑体"/>
          <w:color w:val="000000"/>
          <w:sz w:val="21"/>
          <w:szCs w:val="21"/>
        </w:rPr>
      </w:pPr>
      <w:r>
        <w:rPr>
          <w:rFonts w:hint="eastAsia" w:ascii="黑体" w:hAnsi="黑体" w:cs="黑体"/>
          <w:color w:val="000000"/>
          <w:sz w:val="21"/>
          <w:szCs w:val="21"/>
        </w:rPr>
        <w:t>3.4推荐中标候选人</w:t>
      </w:r>
    </w:p>
    <w:p w14:paraId="18371287">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rPr>
      </w:pPr>
      <w:r>
        <w:rPr>
          <w:rFonts w:hint="eastAsia" w:ascii="宋体" w:hAnsi="宋体" w:cs="宋体"/>
          <w:color w:val="000000"/>
          <w:szCs w:val="21"/>
        </w:rPr>
        <w:t>资信评审、技术标评审、商务标评审后，推荐中标候选人，并标明排序。</w:t>
      </w:r>
    </w:p>
    <w:p w14:paraId="3113A55A">
      <w:pPr>
        <w:pStyle w:val="3"/>
        <w:pageBreakBefore w:val="0"/>
        <w:kinsoku/>
        <w:overflowPunct/>
        <w:topLinePunct w:val="0"/>
        <w:autoSpaceDE/>
        <w:autoSpaceDN/>
        <w:bidi w:val="0"/>
        <w:spacing w:beforeLines="50" w:afterLines="50" w:line="440" w:lineRule="exact"/>
        <w:ind w:firstLine="422" w:firstLineChars="200"/>
        <w:textAlignment w:val="auto"/>
        <w:rPr>
          <w:rFonts w:ascii="宋体" w:hAnsi="宋体" w:eastAsia="宋体" w:cs="宋体"/>
          <w:highlight w:val="none"/>
        </w:rPr>
      </w:pPr>
      <w:r>
        <w:rPr>
          <w:rFonts w:hint="eastAsia" w:ascii="宋体" w:hAnsi="宋体" w:eastAsia="宋体" w:cs="宋体"/>
          <w:highlight w:val="none"/>
        </w:rPr>
        <w:t>4.评审内容</w:t>
      </w:r>
      <w:bookmarkEnd w:id="818"/>
      <w:bookmarkEnd w:id="819"/>
      <w:bookmarkEnd w:id="820"/>
      <w:bookmarkEnd w:id="821"/>
      <w:bookmarkEnd w:id="822"/>
      <w:bookmarkEnd w:id="823"/>
      <w:bookmarkEnd w:id="824"/>
    </w:p>
    <w:p w14:paraId="3980C2DF">
      <w:pPr>
        <w:pStyle w:val="3"/>
        <w:pageBreakBefore w:val="0"/>
        <w:kinsoku/>
        <w:overflowPunct/>
        <w:topLinePunct w:val="0"/>
        <w:autoSpaceDE/>
        <w:autoSpaceDN/>
        <w:bidi w:val="0"/>
        <w:spacing w:line="440" w:lineRule="exact"/>
        <w:ind w:firstLine="422" w:firstLineChars="200"/>
        <w:textAlignment w:val="auto"/>
        <w:rPr>
          <w:rFonts w:hint="eastAsia" w:ascii="宋体" w:hAnsi="宋体" w:eastAsia="宋体" w:cs="宋体"/>
          <w:highlight w:val="none"/>
        </w:rPr>
      </w:pPr>
      <w:bookmarkStart w:id="826" w:name="_Toc95223436"/>
      <w:bookmarkStart w:id="827" w:name="_Toc9630"/>
      <w:bookmarkStart w:id="828" w:name="_Toc78803390"/>
      <w:r>
        <w:rPr>
          <w:rFonts w:hint="eastAsia" w:ascii="宋体" w:hAnsi="宋体" w:eastAsia="宋体" w:cs="宋体"/>
          <w:highlight w:val="none"/>
        </w:rPr>
        <w:t>4.1技术标评审</w:t>
      </w:r>
      <w:bookmarkEnd w:id="826"/>
    </w:p>
    <w:p w14:paraId="4D238764">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4.1.1形式性评审标准：见技术标评审表。</w:t>
      </w:r>
    </w:p>
    <w:p w14:paraId="24C8A179">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4.1.2响应性评审标准：见技术标评审表。</w:t>
      </w:r>
    </w:p>
    <w:p w14:paraId="4B6D9D4A">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评标委员会依据上述标准对投标文件进行形式性评审和响应性评审。有一项不符合评审标准的，作无效投标处理。对否定的技术标，评标委员会要提出充足的否定理由，并填写在技术标评标记录上。</w:t>
      </w:r>
    </w:p>
    <w:bookmarkEnd w:id="827"/>
    <w:bookmarkEnd w:id="828"/>
    <w:p w14:paraId="55926CFF">
      <w:pPr>
        <w:pStyle w:val="3"/>
        <w:pageBreakBefore w:val="0"/>
        <w:kinsoku/>
        <w:overflowPunct/>
        <w:topLinePunct w:val="0"/>
        <w:autoSpaceDE/>
        <w:autoSpaceDN/>
        <w:bidi w:val="0"/>
        <w:adjustRightInd w:val="0"/>
        <w:snapToGrid w:val="0"/>
        <w:spacing w:before="0" w:after="0" w:line="440" w:lineRule="exact"/>
        <w:ind w:firstLine="422" w:firstLineChars="200"/>
        <w:textAlignment w:val="auto"/>
        <w:rPr>
          <w:rFonts w:hint="eastAsia" w:ascii="黑体" w:hAnsi="黑体" w:cs="黑体"/>
          <w:color w:val="000000"/>
          <w:sz w:val="21"/>
          <w:szCs w:val="21"/>
        </w:rPr>
      </w:pPr>
      <w:bookmarkStart w:id="829" w:name="_Toc95223437"/>
      <w:bookmarkStart w:id="830" w:name="_Toc78803392"/>
      <w:bookmarkStart w:id="831" w:name="_Toc324404876"/>
      <w:bookmarkStart w:id="832" w:name="_Toc35425123"/>
      <w:bookmarkStart w:id="833" w:name="_Toc506107328"/>
      <w:bookmarkStart w:id="834" w:name="_Toc13125"/>
      <w:bookmarkStart w:id="835" w:name="_Toc35424957"/>
      <w:bookmarkStart w:id="836" w:name="_Toc15058922"/>
      <w:r>
        <w:rPr>
          <w:rFonts w:hint="eastAsia" w:ascii="黑体" w:hAnsi="黑体" w:cs="黑体"/>
          <w:color w:val="000000"/>
          <w:sz w:val="21"/>
          <w:szCs w:val="21"/>
        </w:rPr>
        <w:t>4.2商务标评审</w:t>
      </w:r>
      <w:bookmarkEnd w:id="829"/>
    </w:p>
    <w:p w14:paraId="05C9FD15">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只有通过技术标评审的投标才能够进入本阶段评审。</w:t>
      </w:r>
    </w:p>
    <w:p w14:paraId="640ECBF6">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4.2.1形式性评审标准：见商务标评审表。</w:t>
      </w:r>
    </w:p>
    <w:p w14:paraId="4F79532E">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4.2.2响应性评审标准：见商务标评审表。</w:t>
      </w:r>
    </w:p>
    <w:p w14:paraId="2AEC4164">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评标委员会依据上述标准对投标文件进行初步评审。有一项不符合评审标准的，作无效投标处理。</w:t>
      </w:r>
    </w:p>
    <w:p w14:paraId="3D50DD69">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4.2.3详细评审标准：见商务标评审表。</w:t>
      </w:r>
    </w:p>
    <w:p w14:paraId="7DFCA053">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4.2.4评标委员会审查投标文件，审核并确认清标结果，包括工程投标报价的校核、审查全部数据计算的正确性、分析各种费用构成的合理性和正确性等内容，看其是否有计算或表达上的错误，投标报价有错误的，评标委员会按以下原则对投标报价进行修正。</w:t>
      </w:r>
    </w:p>
    <w:p w14:paraId="1FF06586">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（1）投标文件中的大写金额与小写金额不一致的，以大写金额为准。</w:t>
      </w:r>
    </w:p>
    <w:p w14:paraId="5C529CE2">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（2）总价金额与依据单价计算出的结果不一致的，以单价金额为准修正总价，但单价金额小数点有明显错误的除外。</w:t>
      </w:r>
    </w:p>
    <w:p w14:paraId="7371A27A">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（3）工程量清单报价表中综合单价与工程量清单项目价格分析表相对应综合单价不一致时，以工程量清单项目价格分析表中标出的综合单价为准。</w:t>
      </w:r>
    </w:p>
    <w:p w14:paraId="255794AA">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p>
    <w:p w14:paraId="0D8AA3CD">
      <w:pPr>
        <w:pStyle w:val="3"/>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r>
        <w:rPr>
          <w:rFonts w:hint="eastAsia" w:ascii="宋体" w:hAnsi="宋体" w:eastAsia="宋体" w:cs="宋体"/>
          <w:highlight w:val="none"/>
        </w:rPr>
        <w:t>5.无效投标条款</w:t>
      </w:r>
      <w:bookmarkEnd w:id="830"/>
      <w:bookmarkEnd w:id="831"/>
      <w:bookmarkEnd w:id="832"/>
      <w:bookmarkEnd w:id="833"/>
      <w:bookmarkEnd w:id="834"/>
      <w:bookmarkEnd w:id="835"/>
      <w:bookmarkEnd w:id="836"/>
    </w:p>
    <w:p w14:paraId="3E3E65E8">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bookmarkStart w:id="837" w:name="_Toc324404877"/>
      <w:bookmarkStart w:id="838" w:name="_Toc78803393"/>
      <w:bookmarkStart w:id="839" w:name="_Toc15058923"/>
      <w:bookmarkStart w:id="840" w:name="_Toc35425124"/>
      <w:bookmarkStart w:id="841" w:name="_Toc35424958"/>
      <w:bookmarkStart w:id="842" w:name="_Toc506107329"/>
      <w:bookmarkStart w:id="843" w:name="_Toc27846"/>
      <w:r>
        <w:rPr>
          <w:rFonts w:hint="eastAsia" w:ascii="宋体" w:hAnsi="宋体" w:eastAsia="宋体" w:cs="宋体"/>
          <w:highlight w:val="none"/>
        </w:rPr>
        <w:t>5.1投标人存在下列情形的招标人将拒收投标文件：</w:t>
      </w:r>
    </w:p>
    <w:p w14:paraId="7C3A9FFB">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lang w:eastAsia="zh-CN"/>
        </w:rPr>
      </w:pPr>
      <w:bookmarkStart w:id="844" w:name="_Toc60061505"/>
      <w:r>
        <w:rPr>
          <w:rFonts w:hint="eastAsia" w:ascii="宋体" w:hAnsi="宋体" w:eastAsia="宋体" w:cs="宋体"/>
          <w:highlight w:val="none"/>
        </w:rPr>
        <w:t>（</w:t>
      </w:r>
      <w:r>
        <w:rPr>
          <w:rFonts w:hint="eastAsia" w:ascii="宋体" w:hAnsi="宋体" w:eastAsia="宋体" w:cs="宋体"/>
          <w:highlight w:val="none"/>
          <w:lang w:val="en-US" w:eastAsia="zh-CN"/>
        </w:rPr>
        <w:t>1</w:t>
      </w:r>
      <w:r>
        <w:rPr>
          <w:rFonts w:hint="eastAsia" w:ascii="宋体" w:hAnsi="宋体" w:eastAsia="宋体" w:cs="宋体"/>
          <w:highlight w:val="none"/>
        </w:rPr>
        <w:t>）未在投标截止时</w:t>
      </w:r>
      <w:bookmarkEnd w:id="844"/>
      <w:r>
        <w:rPr>
          <w:rFonts w:hint="eastAsia" w:ascii="宋体" w:hAnsi="宋体" w:eastAsia="宋体" w:cs="宋体"/>
          <w:highlight w:val="none"/>
        </w:rPr>
        <w:t>间前通过网上招标投标系统递交有效电子投标文件的，开标系统不予接收，投标将被拒绝</w:t>
      </w:r>
      <w:r>
        <w:rPr>
          <w:rFonts w:hint="eastAsia" w:ascii="宋体" w:hAnsi="宋体" w:eastAsia="宋体" w:cs="宋体"/>
          <w:highlight w:val="none"/>
          <w:lang w:eastAsia="zh-CN"/>
        </w:rPr>
        <w:t>。</w:t>
      </w:r>
    </w:p>
    <w:p w14:paraId="0794123B">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2）所有投标人应在规定时间里完成投标文件的解密工作【投标企业接到远程解密指令后，须在规定时间内解密（以网上开评标系统解密倒计时为准）。因投标人自身原因导致投标文件在规定时间内未能解密、解密失败或解密超时，投标文件无效</w:t>
      </w:r>
      <w:r>
        <w:rPr>
          <w:rFonts w:hint="eastAsia" w:ascii="宋体" w:hAnsi="宋体" w:eastAsia="宋体" w:cs="宋体"/>
          <w:highlight w:val="none"/>
          <w:lang w:eastAsia="zh-CN"/>
        </w:rPr>
        <w:t>。</w:t>
      </w:r>
      <w:r>
        <w:rPr>
          <w:rFonts w:hint="eastAsia" w:ascii="宋体" w:hAnsi="宋体" w:eastAsia="宋体" w:cs="宋体"/>
          <w:highlight w:val="none"/>
        </w:rPr>
        <w:t>】。</w:t>
      </w:r>
    </w:p>
    <w:p w14:paraId="66C9671D">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rPr>
      </w:pPr>
      <w:r>
        <w:rPr>
          <w:rFonts w:hint="eastAsia" w:ascii="宋体" w:hAnsi="宋体" w:cs="宋体"/>
          <w:color w:val="000000"/>
          <w:szCs w:val="21"/>
        </w:rPr>
        <w:t>5.2投标人有下列情形的，经评审后其投标作无效投标处理：</w:t>
      </w:r>
    </w:p>
    <w:p w14:paraId="34DC5366">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rPr>
      </w:pPr>
      <w:r>
        <w:rPr>
          <w:rFonts w:hint="eastAsia" w:ascii="宋体" w:hAnsi="宋体" w:cs="宋体"/>
          <w:color w:val="000000"/>
          <w:szCs w:val="21"/>
        </w:rPr>
        <w:t>5.2.1技术标评审</w:t>
      </w:r>
    </w:p>
    <w:p w14:paraId="039E0426">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rPr>
      </w:pPr>
      <w:r>
        <w:rPr>
          <w:rFonts w:hint="eastAsia" w:ascii="宋体" w:hAnsi="宋体" w:cs="宋体"/>
          <w:color w:val="000000"/>
          <w:szCs w:val="21"/>
        </w:rPr>
        <w:t>评标委员会依据《技术标评审表》进行形式性评审和响应性评审。有一项不符合评审标准的，做无效投标处理；对否定的技术标，评标委员会要提出充足的否定理由，并填写在技术标评标记录上。</w:t>
      </w:r>
    </w:p>
    <w:p w14:paraId="7B09A123">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rPr>
      </w:pPr>
      <w:r>
        <w:rPr>
          <w:rFonts w:hint="eastAsia" w:ascii="宋体" w:hAnsi="宋体" w:cs="宋体"/>
          <w:color w:val="000000"/>
          <w:szCs w:val="21"/>
        </w:rPr>
        <w:t>5.2.2商务标评审</w:t>
      </w:r>
    </w:p>
    <w:p w14:paraId="169EECD8">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rPr>
      </w:pPr>
      <w:r>
        <w:rPr>
          <w:rFonts w:hint="eastAsia" w:ascii="宋体" w:hAnsi="宋体" w:cs="宋体"/>
          <w:color w:val="000000"/>
          <w:szCs w:val="21"/>
        </w:rPr>
        <w:t>(1)评标委员会依据《商务标评审表》进行形式性评审和响应性评审。有一项不符合评审标准的，做无效投标处理；</w:t>
      </w:r>
    </w:p>
    <w:p w14:paraId="520DB812">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rPr>
      </w:pPr>
      <w:r>
        <w:rPr>
          <w:rFonts w:hint="eastAsia" w:ascii="宋体" w:hAnsi="宋体" w:cs="宋体"/>
          <w:color w:val="000000"/>
          <w:szCs w:val="21"/>
        </w:rPr>
        <w:t>（2）商务标详细评审标准中有任何一项不能通过评审的，作无效投标处理。</w:t>
      </w:r>
    </w:p>
    <w:p w14:paraId="11B68C29">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5.3其他无效投标情况：</w:t>
      </w:r>
    </w:p>
    <w:p w14:paraId="5D501451">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214A4A89">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（2）按第四章“评标方法”第4.2.4项修正错误的原则及方法调整或修正投标文件的投标报价，调整或修正的价格经投标人书面确认后具有约束力。投标人不接受修正价格的，其投标将被拒绝。</w:t>
      </w:r>
    </w:p>
    <w:p w14:paraId="7C1D2B26">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（3）第二章“投标人须知”第1.4.3项规定的任何一种情形的。</w:t>
      </w:r>
    </w:p>
    <w:p w14:paraId="48DD6505">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（4）投标人有串通投标、视为串通投标、弄虚作假、行贿等违法行为。</w:t>
      </w:r>
    </w:p>
    <w:p w14:paraId="7AE90BB0">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（5）投标文件没有对招标文件的实质性要求和条件作出响应。</w:t>
      </w:r>
    </w:p>
    <w:p w14:paraId="08A90169">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（6）未按规定的格式填写导致实质性内容不全以及实质上不响应，或者关键字迹模糊、无法辨认。</w:t>
      </w:r>
    </w:p>
    <w:p w14:paraId="00808C1E">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（7）同一投标人提交两个以上不同的投标文件或者投标报价，但招标文件规定提交备选投标的除外。</w:t>
      </w:r>
    </w:p>
    <w:p w14:paraId="2533827A">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（8）投标文件中存在招标人不能接受的其他实质性条件。</w:t>
      </w:r>
    </w:p>
    <w:p w14:paraId="524D53D9">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（9）投标文件中填报的拟任项目经理（建造师）与资格审查通过的项目经理（建造师）前后不一致的。</w:t>
      </w:r>
    </w:p>
    <w:p w14:paraId="3D744B31">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（10）投标人拒不按照要求对投标文件进行澄清、说明、补正的，或评标委员会根据招标文件的规定对招标文件的计算错误进行修正后，投标人不接受修正的投标报价的。</w:t>
      </w:r>
    </w:p>
    <w:p w14:paraId="512E080E">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1</w:t>
      </w:r>
      <w:r>
        <w:rPr>
          <w:rFonts w:hint="eastAsia" w:ascii="宋体" w:hAnsi="宋体" w:eastAsia="宋体" w:cs="宋体"/>
          <w:highlight w:val="none"/>
        </w:rPr>
        <w:t>）投标人单方面出现其他投标人材料。</w:t>
      </w:r>
    </w:p>
    <w:p w14:paraId="47D8332E">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2</w:t>
      </w:r>
      <w:r>
        <w:rPr>
          <w:rFonts w:hint="eastAsia" w:ascii="宋体" w:hAnsi="宋体" w:eastAsia="宋体" w:cs="宋体"/>
          <w:highlight w:val="none"/>
        </w:rPr>
        <w:t>）投标人联系人或联系电话相同的。</w:t>
      </w:r>
    </w:p>
    <w:p w14:paraId="14639CA5">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13</w:t>
      </w:r>
      <w:r>
        <w:rPr>
          <w:rFonts w:hint="eastAsia" w:ascii="宋体" w:hAnsi="宋体" w:eastAsia="宋体" w:cs="宋体"/>
          <w:highlight w:val="none"/>
        </w:rPr>
        <w:t>）法律、法规规定的其他情形。</w:t>
      </w:r>
    </w:p>
    <w:p w14:paraId="5A018EF6">
      <w:pPr>
        <w:pStyle w:val="3"/>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bookmarkStart w:id="845" w:name="_Toc95223409"/>
      <w:r>
        <w:rPr>
          <w:rFonts w:hint="eastAsia" w:ascii="宋体" w:hAnsi="宋体" w:eastAsia="宋体" w:cs="宋体"/>
          <w:highlight w:val="none"/>
        </w:rPr>
        <w:t>6.投标文件的澄清和补正</w:t>
      </w:r>
      <w:bookmarkEnd w:id="845"/>
    </w:p>
    <w:p w14:paraId="4C9D7324">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6.1在评标过程中，评标委员会可以书面形式要求投标</w:t>
      </w:r>
      <w:bookmarkStart w:id="846" w:name="_Toc60061506"/>
      <w:r>
        <w:rPr>
          <w:rFonts w:hint="eastAsia" w:ascii="宋体" w:hAnsi="宋体" w:eastAsia="宋体" w:cs="宋体"/>
          <w:highlight w:val="none"/>
        </w:rPr>
        <w:t>人对所提交的投标文件中含</w:t>
      </w:r>
      <w:bookmarkEnd w:id="846"/>
      <w:r>
        <w:rPr>
          <w:rFonts w:hint="eastAsia" w:ascii="宋体" w:hAnsi="宋体" w:eastAsia="宋体" w:cs="宋体"/>
          <w:highlight w:val="none"/>
        </w:rPr>
        <w:t>义不明确、对同类问题表述不一致或者有明显文字和计算错误的内容进行书面澄清或说明，或者对细微偏差进行补正。评标委员会不接受投标人主动提出的澄清、说明或补正。</w:t>
      </w:r>
    </w:p>
    <w:p w14:paraId="4AF5F2BE">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6.2澄清、说明和补正不得改变投标文件的实质性内容（算术性错误修正的除外）。投标人的书面澄清、说明和补正属于投标文件的组成部分。</w:t>
      </w:r>
    </w:p>
    <w:p w14:paraId="5067B074">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6.3评标委员会对投标人提交的澄清、说明和补正有疑问的，可以要求投标人进一步澄清、说明或补正、直至满足评标委员会的要求。</w:t>
      </w:r>
    </w:p>
    <w:p w14:paraId="42BDF8A3">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按照投标文件规定进行澄清、补正后的投标报价经投标人的法定代表人或其委托代理人确认后即为该投标人的最终投标报价。投标人一旦中标，此报价即为中标价。</w:t>
      </w:r>
    </w:p>
    <w:bookmarkEnd w:id="797"/>
    <w:bookmarkEnd w:id="798"/>
    <w:bookmarkEnd w:id="799"/>
    <w:bookmarkEnd w:id="800"/>
    <w:bookmarkEnd w:id="801"/>
    <w:bookmarkEnd w:id="802"/>
    <w:bookmarkEnd w:id="803"/>
    <w:bookmarkEnd w:id="804"/>
    <w:bookmarkEnd w:id="837"/>
    <w:bookmarkEnd w:id="838"/>
    <w:bookmarkEnd w:id="839"/>
    <w:bookmarkEnd w:id="840"/>
    <w:bookmarkEnd w:id="841"/>
    <w:bookmarkEnd w:id="842"/>
    <w:bookmarkEnd w:id="843"/>
    <w:p w14:paraId="7BC20C8A">
      <w:pPr>
        <w:pStyle w:val="3"/>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bookmarkStart w:id="847" w:name="_Toc95223410"/>
      <w:bookmarkStart w:id="848" w:name="_Toc506107333"/>
      <w:bookmarkStart w:id="849" w:name="_Toc15058927"/>
      <w:bookmarkStart w:id="850" w:name="_Toc35424962"/>
      <w:bookmarkStart w:id="851" w:name="_Toc35425128"/>
      <w:bookmarkStart w:id="852" w:name="_Toc152045767"/>
      <w:bookmarkStart w:id="853" w:name="_Toc144974826"/>
      <w:bookmarkStart w:id="854" w:name="_Toc179632785"/>
      <w:bookmarkStart w:id="855" w:name="_Toc152042546"/>
      <w:r>
        <w:rPr>
          <w:rFonts w:hint="eastAsia" w:ascii="宋体" w:hAnsi="宋体" w:eastAsia="宋体" w:cs="宋体"/>
          <w:highlight w:val="none"/>
        </w:rPr>
        <w:t>7.评分标准</w:t>
      </w:r>
      <w:bookmarkEnd w:id="847"/>
    </w:p>
    <w:p w14:paraId="7967A07C">
      <w:pPr>
        <w:shd w:val="clear"/>
        <w:adjustRightInd w:val="0"/>
        <w:snapToGrid w:val="0"/>
        <w:spacing w:line="560" w:lineRule="exact"/>
        <w:ind w:firstLine="420" w:firstLineChars="200"/>
        <w:rPr>
          <w:rFonts w:hint="eastAsia" w:ascii="宋体" w:hAnsi="宋体" w:cs="宋体"/>
          <w:color w:val="auto"/>
          <w:szCs w:val="21"/>
          <w:highlight w:val="none"/>
        </w:rPr>
      </w:pPr>
      <w:bookmarkStart w:id="856" w:name="_Toc95223411"/>
      <w:r>
        <w:rPr>
          <w:rFonts w:hint="eastAsia" w:ascii="宋体" w:hAnsi="宋体" w:cs="宋体"/>
          <w:color w:val="auto"/>
          <w:szCs w:val="21"/>
          <w:highlight w:val="none"/>
        </w:rPr>
        <w:t>7.1评分标准：见资信、技术及商务评分表。</w:t>
      </w:r>
    </w:p>
    <w:p w14:paraId="1ED9F886">
      <w:pPr>
        <w:pStyle w:val="3"/>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r>
        <w:rPr>
          <w:rFonts w:hint="eastAsia" w:ascii="宋体" w:hAnsi="宋体" w:eastAsia="宋体" w:cs="宋体"/>
          <w:highlight w:val="none"/>
        </w:rPr>
        <w:t>8.评审结果</w:t>
      </w:r>
      <w:bookmarkEnd w:id="856"/>
    </w:p>
    <w:p w14:paraId="57B55835">
      <w:pPr>
        <w:shd w:val="clear"/>
        <w:adjustRightInd w:val="0"/>
        <w:snapToGrid w:val="0"/>
        <w:spacing w:line="56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8.1除第二章“投标人须知”及其前附表授权直接确定中标人外，评标委员会按照总得分由高到低顺序推荐中标候选人</w:t>
      </w:r>
      <w:r>
        <w:rPr>
          <w:rFonts w:hint="eastAsia" w:ascii="宋体" w:hAnsi="宋体" w:eastAsia="宋体" w:cs="宋体"/>
          <w:color w:val="auto"/>
          <w:szCs w:val="21"/>
          <w:highlight w:val="none"/>
          <w:lang w:eastAsia="zh-CN"/>
        </w:rPr>
        <w:t>。</w:t>
      </w:r>
    </w:p>
    <w:p w14:paraId="0586443D">
      <w:pPr>
        <w:shd w:val="clear"/>
        <w:adjustRightInd w:val="0"/>
        <w:snapToGrid w:val="0"/>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8.2评标委员会完成评标后，应当向招标人提交书面评标报告。评标报告应当如实记载以下内容：</w:t>
      </w:r>
    </w:p>
    <w:p w14:paraId="60C496F3">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（1）基本情况和数据表。</w:t>
      </w:r>
    </w:p>
    <w:p w14:paraId="2FF38250">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（2）评标委员会成员名单。</w:t>
      </w:r>
    </w:p>
    <w:p w14:paraId="3E8F5A80">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（3）开标记录。</w:t>
      </w:r>
    </w:p>
    <w:p w14:paraId="77CE3783">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（4）符合要求的投标人一览表。</w:t>
      </w:r>
    </w:p>
    <w:p w14:paraId="1A0FCCDD">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（5）否决投标情况说明。</w:t>
      </w:r>
    </w:p>
    <w:p w14:paraId="18FE4A2D">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（6）评标标准、评标方法或者评标因素。</w:t>
      </w:r>
    </w:p>
    <w:p w14:paraId="4F8B3E86">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（7）经评审的价格比较一览表。</w:t>
      </w:r>
    </w:p>
    <w:p w14:paraId="4B89E24A">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（8）经评审的投标人排序。</w:t>
      </w:r>
    </w:p>
    <w:p w14:paraId="3C2A0C70">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（9）推荐的中标候选人名单与签订合同前要处理的事宜。</w:t>
      </w:r>
    </w:p>
    <w:p w14:paraId="03A977F1">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（10）澄清、说明、补正事项纪要。</w:t>
      </w:r>
    </w:p>
    <w:p w14:paraId="7CC0D938">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bookmarkStart w:id="857" w:name="_Toc95223412"/>
      <w:r>
        <w:rPr>
          <w:rFonts w:hint="eastAsia" w:ascii="宋体" w:hAnsi="宋体" w:eastAsia="宋体" w:cs="宋体"/>
          <w:highlight w:val="none"/>
        </w:rPr>
        <w:t>8.3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15095E2F">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22FE37EA">
      <w:pPr>
        <w:pStyle w:val="3"/>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r>
        <w:rPr>
          <w:rFonts w:hint="eastAsia" w:ascii="宋体" w:hAnsi="宋体" w:eastAsia="宋体" w:cs="宋体"/>
          <w:highlight w:val="none"/>
        </w:rPr>
        <w:t>9.其他</w:t>
      </w:r>
      <w:bookmarkEnd w:id="857"/>
    </w:p>
    <w:p w14:paraId="754314B4">
      <w:pPr>
        <w:pageBreakBefore w:val="0"/>
        <w:kinsoku/>
        <w:overflowPunct/>
        <w:topLinePunct w:val="0"/>
        <w:autoSpaceDE/>
        <w:autoSpaceDN/>
        <w:bidi w:val="0"/>
        <w:adjustRightInd w:val="0"/>
        <w:snapToGrid w:val="0"/>
        <w:spacing w:line="440" w:lineRule="exact"/>
        <w:ind w:firstLine="420" w:firstLineChars="200"/>
        <w:textAlignment w:val="auto"/>
        <w:rPr>
          <w:color w:val="000000"/>
        </w:rPr>
        <w:sectPr>
          <w:footerReference r:id="rId6" w:type="default"/>
          <w:footnotePr>
            <w:numFmt w:val="decimalEnclosedCircleChinese"/>
            <w:numRestart w:val="eachPage"/>
          </w:footnotePr>
          <w:pgSz w:w="11907" w:h="16840"/>
          <w:pgMar w:top="1474" w:right="1474" w:bottom="1474" w:left="1474" w:header="799" w:footer="907" w:gutter="0"/>
          <w:pgNumType w:start="1"/>
          <w:cols w:space="720" w:num="1"/>
          <w:docGrid w:linePitch="271" w:charSpace="0"/>
        </w:sectPr>
      </w:pPr>
      <w:r>
        <w:rPr>
          <w:rFonts w:hint="eastAsia" w:ascii="宋体" w:hAnsi="宋体" w:cs="宋体"/>
          <w:color w:val="000000"/>
          <w:szCs w:val="21"/>
        </w:rPr>
        <w:t>投标人提供的与投标文件有关的各类证书、证明、文件、资料等的真实性、合法性由投标人负全责。</w:t>
      </w:r>
    </w:p>
    <w:p w14:paraId="65923B12">
      <w:pPr>
        <w:rPr>
          <w:rFonts w:hint="eastAsia"/>
        </w:rPr>
      </w:pPr>
      <w:bookmarkStart w:id="858" w:name="_Toc78803397"/>
    </w:p>
    <w:bookmarkEnd w:id="848"/>
    <w:bookmarkEnd w:id="849"/>
    <w:bookmarkEnd w:id="850"/>
    <w:bookmarkEnd w:id="851"/>
    <w:bookmarkEnd w:id="858"/>
    <w:p w14:paraId="226BC7FC">
      <w:pPr>
        <w:pStyle w:val="2"/>
        <w:spacing w:beforeLines="50" w:afterLines="50"/>
        <w:rPr>
          <w:rFonts w:hint="eastAsia" w:ascii="Arial" w:hAnsi="Arial" w:eastAsia="宋体" w:cs="Times New Roman"/>
          <w:kern w:val="0"/>
          <w:sz w:val="32"/>
          <w:szCs w:val="32"/>
          <w:highlight w:val="none"/>
          <w:lang w:val="en-US" w:eastAsia="zh-CN"/>
        </w:rPr>
      </w:pPr>
      <w:bookmarkStart w:id="859" w:name="_Toc16721"/>
      <w:r>
        <w:rPr>
          <w:rFonts w:hint="eastAsia" w:ascii="Arial" w:hAnsi="Arial" w:eastAsia="宋体" w:cs="Times New Roman"/>
          <w:kern w:val="0"/>
          <w:sz w:val="32"/>
          <w:szCs w:val="32"/>
          <w:highlight w:val="none"/>
          <w:lang w:val="en-US" w:eastAsia="zh-CN"/>
        </w:rPr>
        <w:t>第五章  合同条款及格式</w:t>
      </w:r>
      <w:bookmarkEnd w:id="859"/>
    </w:p>
    <w:p w14:paraId="4CE3F04B">
      <w:pPr>
        <w:spacing w:line="360" w:lineRule="auto"/>
        <w:jc w:val="center"/>
        <w:rPr>
          <w:rFonts w:ascii="仿宋_GB2312" w:eastAsia="仿宋_GB2312"/>
          <w:b/>
          <w:sz w:val="28"/>
          <w:szCs w:val="28"/>
        </w:rPr>
      </w:pPr>
    </w:p>
    <w:p w14:paraId="5957ECD4">
      <w:pPr>
        <w:jc w:val="center"/>
        <w:rPr>
          <w:rFonts w:hint="eastAsia" w:ascii="宋体" w:hAnsi="宋体" w:cs="宋体"/>
          <w:bCs/>
          <w:color w:val="auto"/>
          <w:sz w:val="32"/>
          <w:szCs w:val="32"/>
          <w:highlight w:val="none"/>
          <w:u w:val="single"/>
        </w:rPr>
      </w:pPr>
      <w:r>
        <w:rPr>
          <w:rFonts w:hint="eastAsia" w:ascii="宋体" w:hAnsi="宋体" w:cs="宋体"/>
          <w:bCs/>
          <w:color w:val="auto"/>
          <w:sz w:val="32"/>
          <w:szCs w:val="32"/>
          <w:highlight w:val="none"/>
        </w:rPr>
        <w:t>合同编号：</w:t>
      </w:r>
      <w:r>
        <w:rPr>
          <w:rFonts w:hint="eastAsia" w:ascii="宋体" w:hAnsi="宋体" w:cs="宋体"/>
          <w:bCs/>
          <w:color w:val="auto"/>
          <w:sz w:val="32"/>
          <w:szCs w:val="32"/>
          <w:highlight w:val="none"/>
          <w:u w:val="single"/>
        </w:rPr>
        <w:t>（HT-YL- ）</w:t>
      </w:r>
    </w:p>
    <w:p w14:paraId="00921190">
      <w:pPr>
        <w:ind w:firstLine="1771" w:firstLineChars="245"/>
        <w:rPr>
          <w:rFonts w:hint="eastAsia" w:ascii="宋体" w:hAnsi="宋体" w:cs="宋体"/>
          <w:b/>
          <w:sz w:val="72"/>
          <w:szCs w:val="52"/>
          <w:highlight w:val="none"/>
        </w:rPr>
      </w:pPr>
    </w:p>
    <w:p w14:paraId="01221F91">
      <w:pPr>
        <w:jc w:val="center"/>
        <w:rPr>
          <w:rFonts w:hint="eastAsia" w:ascii="宋体" w:hAnsi="宋体" w:cs="宋体"/>
          <w:b/>
          <w:sz w:val="52"/>
          <w:szCs w:val="52"/>
          <w:highlight w:val="none"/>
        </w:rPr>
      </w:pPr>
      <w:r>
        <w:rPr>
          <w:rFonts w:hint="eastAsia" w:ascii="宋体" w:hAnsi="宋体" w:cs="宋体"/>
          <w:b/>
          <w:sz w:val="56"/>
          <w:szCs w:val="44"/>
          <w:highlight w:val="none"/>
          <w:lang w:eastAsia="zh-CN"/>
        </w:rPr>
        <w:t>滁州市人力资源产业园分布式光伏及充电桩项目</w:t>
      </w:r>
      <w:r>
        <w:rPr>
          <w:rFonts w:hint="eastAsia" w:ascii="宋体" w:hAnsi="宋体" w:cs="宋体"/>
          <w:b/>
          <w:sz w:val="56"/>
          <w:szCs w:val="44"/>
          <w:highlight w:val="none"/>
        </w:rPr>
        <w:t>施工合同</w:t>
      </w:r>
      <w:r>
        <w:rPr>
          <w:rFonts w:hint="eastAsia" w:ascii="宋体" w:hAnsi="宋体" w:cs="宋体"/>
          <w:b/>
          <w:sz w:val="52"/>
          <w:szCs w:val="52"/>
          <w:highlight w:val="none"/>
        </w:rPr>
        <w:br w:type="textWrapping"/>
      </w:r>
    </w:p>
    <w:p w14:paraId="48820318">
      <w:pPr>
        <w:jc w:val="center"/>
        <w:rPr>
          <w:rFonts w:hint="eastAsia" w:ascii="宋体" w:hAnsi="宋体" w:cs="宋体"/>
          <w:b/>
          <w:sz w:val="52"/>
          <w:szCs w:val="52"/>
          <w:highlight w:val="none"/>
        </w:rPr>
      </w:pPr>
    </w:p>
    <w:p w14:paraId="2F116064">
      <w:pPr>
        <w:jc w:val="center"/>
        <w:rPr>
          <w:rFonts w:hint="eastAsia" w:ascii="宋体" w:hAnsi="宋体" w:cs="宋体"/>
          <w:b/>
          <w:sz w:val="72"/>
          <w:szCs w:val="72"/>
          <w:highlight w:val="none"/>
        </w:rPr>
      </w:pPr>
    </w:p>
    <w:p w14:paraId="57BFE166">
      <w:pPr>
        <w:jc w:val="center"/>
        <w:rPr>
          <w:rFonts w:hint="eastAsia" w:ascii="宋体" w:hAnsi="宋体" w:cs="宋体"/>
          <w:b/>
          <w:sz w:val="72"/>
          <w:szCs w:val="72"/>
          <w:highlight w:val="none"/>
        </w:rPr>
      </w:pPr>
    </w:p>
    <w:p w14:paraId="4ACEE727">
      <w:pPr>
        <w:jc w:val="center"/>
        <w:rPr>
          <w:rFonts w:hint="eastAsia" w:ascii="宋体" w:hAnsi="宋体" w:cs="宋体"/>
          <w:b/>
          <w:sz w:val="52"/>
          <w:szCs w:val="52"/>
          <w:highlight w:val="none"/>
        </w:rPr>
      </w:pPr>
    </w:p>
    <w:p w14:paraId="24241A9D">
      <w:pPr>
        <w:rPr>
          <w:rFonts w:hint="eastAsia" w:ascii="宋体" w:hAnsi="宋体" w:cs="宋体"/>
          <w:b/>
          <w:sz w:val="28"/>
          <w:szCs w:val="28"/>
          <w:highlight w:val="none"/>
        </w:rPr>
      </w:pPr>
    </w:p>
    <w:p w14:paraId="7E8F0CD5">
      <w:pPr>
        <w:pStyle w:val="14"/>
        <w:rPr>
          <w:rFonts w:hint="eastAsia" w:ascii="宋体" w:hAnsi="宋体" w:cs="宋体"/>
          <w:b/>
          <w:sz w:val="28"/>
          <w:szCs w:val="28"/>
          <w:highlight w:val="none"/>
        </w:rPr>
      </w:pPr>
    </w:p>
    <w:p w14:paraId="07304872">
      <w:pPr>
        <w:rPr>
          <w:rFonts w:hint="eastAsia" w:ascii="宋体" w:hAnsi="宋体" w:cs="宋体"/>
          <w:b/>
          <w:sz w:val="28"/>
          <w:szCs w:val="28"/>
          <w:highlight w:val="none"/>
        </w:rPr>
      </w:pPr>
    </w:p>
    <w:p w14:paraId="632E45DF">
      <w:pPr>
        <w:pStyle w:val="14"/>
        <w:rPr>
          <w:rFonts w:hint="eastAsia" w:ascii="宋体" w:hAnsi="宋体" w:cs="宋体"/>
          <w:b/>
          <w:sz w:val="28"/>
          <w:szCs w:val="28"/>
          <w:highlight w:val="none"/>
        </w:rPr>
      </w:pPr>
    </w:p>
    <w:p w14:paraId="2591F34C">
      <w:pPr>
        <w:rPr>
          <w:rFonts w:hint="eastAsia"/>
        </w:rPr>
      </w:pPr>
    </w:p>
    <w:p w14:paraId="6BF65F7C">
      <w:pPr>
        <w:pStyle w:val="27"/>
        <w:rPr>
          <w:rFonts w:hint="eastAsia" w:ascii="宋体" w:hAnsi="宋体" w:cs="宋体"/>
          <w:b/>
          <w:sz w:val="28"/>
          <w:szCs w:val="28"/>
          <w:highlight w:val="none"/>
        </w:rPr>
      </w:pPr>
    </w:p>
    <w:p w14:paraId="6A708499">
      <w:pPr>
        <w:rPr>
          <w:b/>
          <w:sz w:val="28"/>
          <w:szCs w:val="28"/>
          <w:highlight w:val="none"/>
        </w:rPr>
      </w:pPr>
    </w:p>
    <w:p w14:paraId="0EBB5AE7">
      <w:pPr>
        <w:jc w:val="center"/>
        <w:rPr>
          <w:b/>
          <w:sz w:val="28"/>
          <w:szCs w:val="28"/>
          <w:highlight w:val="none"/>
        </w:rPr>
      </w:pPr>
    </w:p>
    <w:p w14:paraId="2405A6FC">
      <w:pPr>
        <w:jc w:val="center"/>
        <w:rPr>
          <w:b/>
          <w:sz w:val="32"/>
          <w:szCs w:val="28"/>
          <w:highlight w:val="none"/>
        </w:rPr>
      </w:pPr>
      <w:r>
        <w:rPr>
          <w:szCs w:val="22"/>
          <w:highlight w:val="none"/>
        </w:rPr>
        <mc:AlternateContent>
          <mc:Choice Requires="wps">
            <w:drawing>
              <wp:anchor distT="0" distB="0" distL="114300" distR="114300" simplePos="0" relativeHeight="251659264" behindDoc="0" locked="0" layoutInCell="1" allowOverlap="1">
                <wp:simplePos x="0" y="0"/>
                <wp:positionH relativeFrom="column">
                  <wp:posOffset>4495800</wp:posOffset>
                </wp:positionH>
                <wp:positionV relativeFrom="paragraph">
                  <wp:posOffset>213360</wp:posOffset>
                </wp:positionV>
                <wp:extent cx="723900" cy="457200"/>
                <wp:effectExtent l="4445" t="4445" r="14605" b="14605"/>
                <wp:wrapNone/>
                <wp:docPr id="30" name="文本框 30"/>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14:paraId="0C2B60C3">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54pt;margin-top:16.8pt;height:36pt;width:57pt;z-index:251659264;mso-width-relative:page;mso-height-relative:page;" filled="f" stroked="t" coordsize="21600,21600" o:gfxdata="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7cypq2QAAAAoBAAAPAAAAAAAAAAEAIAAA&#10;ACIAAABkcnMvZG93bnJldi54bWxQSwECFAAUAAAACACHTuJA/8oVsQsCAAAcBAAADgAAAAAAAAAB&#10;ACAAAAAoAQAAZHJzL2Uyb0RvYy54bWxQSwUGAAAAAAYABgBZAQAApQUAAAAA&#10;">
                <v:fill on="f" focussize="0,0"/>
                <v:stroke color="#FFFFFF" joinstyle="miter"/>
                <v:imagedata o:title=""/>
                <o:lock v:ext="edit" aspectratio="f"/>
                <v:textbox>
                  <w:txbxContent>
                    <w:p w14:paraId="0C2B60C3">
                      <w:pPr>
                        <w:rPr>
                          <w:b/>
                          <w:bCs/>
                          <w:sz w:val="32"/>
                        </w:rPr>
                      </w:pPr>
                      <w:r>
                        <w:rPr>
                          <w:rFonts w:hint="eastAsia"/>
                          <w:b/>
                          <w:bCs/>
                          <w:sz w:val="32"/>
                        </w:rPr>
                        <w:t>制定</w:t>
                      </w:r>
                    </w:p>
                  </w:txbxContent>
                </v:textbox>
              </v:shape>
            </w:pict>
          </mc:Fallback>
        </mc:AlternateContent>
      </w:r>
      <w:r>
        <w:rPr>
          <w:rFonts w:hint="eastAsia"/>
          <w:b/>
          <w:sz w:val="32"/>
          <w:szCs w:val="28"/>
          <w:highlight w:val="none"/>
        </w:rPr>
        <w:t>住房和城乡建设部</w:t>
      </w:r>
    </w:p>
    <w:p w14:paraId="7F94B3DC">
      <w:pPr>
        <w:jc w:val="center"/>
        <w:rPr>
          <w:rFonts w:hint="eastAsia" w:ascii="黑体" w:eastAsia="黑体" w:cs="黑体"/>
        </w:rPr>
      </w:pPr>
      <w:r>
        <w:rPr>
          <w:rFonts w:hint="eastAsia"/>
          <w:b/>
          <w:sz w:val="32"/>
          <w:szCs w:val="28"/>
          <w:highlight w:val="none"/>
        </w:rPr>
        <w:t>国家工商行政管理总局</w:t>
      </w:r>
    </w:p>
    <w:p w14:paraId="2758F104">
      <w:pPr>
        <w:rPr>
          <w:rFonts w:hint="eastAsia" w:ascii="黑体" w:eastAsia="黑体" w:cs="黑体"/>
        </w:rPr>
      </w:pPr>
      <w:r>
        <w:rPr>
          <w:rFonts w:hint="eastAsia" w:ascii="黑体" w:eastAsia="黑体" w:cs="黑体"/>
        </w:rPr>
        <w:br w:type="page"/>
      </w:r>
    </w:p>
    <w:p w14:paraId="5CFCB6A7">
      <w:pPr>
        <w:pStyle w:val="4"/>
        <w:jc w:val="center"/>
        <w:rPr>
          <w:rFonts w:ascii="黑体" w:eastAsia="黑体" w:cs="黑体"/>
          <w:b w:val="0"/>
        </w:rPr>
      </w:pPr>
      <w:r>
        <w:rPr>
          <w:rFonts w:hint="eastAsia" w:ascii="黑体" w:eastAsia="黑体" w:cs="黑体"/>
        </w:rPr>
        <w:t>第一节 合同协议书</w:t>
      </w:r>
    </w:p>
    <w:p w14:paraId="2A6C10D9">
      <w:pPr>
        <w:spacing w:line="440" w:lineRule="exact"/>
        <w:ind w:firstLine="420" w:firstLineChars="200"/>
        <w:rPr>
          <w:rFonts w:hint="eastAsia" w:ascii="宋体" w:cs="宋体"/>
          <w:szCs w:val="21"/>
          <w:u w:val="single"/>
        </w:rPr>
      </w:pPr>
      <w:r>
        <w:rPr>
          <w:rFonts w:hint="eastAsia" w:ascii="宋体" w:cs="宋体"/>
          <w:szCs w:val="21"/>
        </w:rPr>
        <w:t>发包人（全称）：</w:t>
      </w:r>
      <w:r>
        <w:rPr>
          <w:rFonts w:hint="eastAsia" w:ascii="宋体" w:cs="宋体"/>
          <w:szCs w:val="21"/>
          <w:u w:val="single"/>
        </w:rPr>
        <w:t xml:space="preserve">    </w:t>
      </w:r>
      <w:r>
        <w:rPr>
          <w:rFonts w:hint="eastAsia" w:ascii="宋体" w:cs="宋体"/>
          <w:szCs w:val="21"/>
          <w:u w:val="single"/>
          <w:lang w:eastAsia="zh-CN"/>
        </w:rPr>
        <w:t>滁州市翼然新能源开发有限公司</w:t>
      </w:r>
      <w:r>
        <w:rPr>
          <w:rFonts w:hint="eastAsia" w:ascii="宋体" w:cs="宋体"/>
          <w:szCs w:val="21"/>
          <w:u w:val="single"/>
        </w:rPr>
        <w:t xml:space="preserve">    </w:t>
      </w:r>
    </w:p>
    <w:p w14:paraId="6B96C0CD">
      <w:pPr>
        <w:spacing w:line="440" w:lineRule="exact"/>
        <w:ind w:firstLine="420" w:firstLineChars="200"/>
        <w:rPr>
          <w:rFonts w:hint="eastAsia" w:ascii="宋体" w:cs="宋体"/>
          <w:szCs w:val="21"/>
          <w:u w:val="single"/>
        </w:rPr>
      </w:pPr>
      <w:r>
        <w:rPr>
          <w:rFonts w:hint="eastAsia" w:ascii="宋体" w:cs="宋体"/>
          <w:szCs w:val="21"/>
        </w:rPr>
        <w:t>承包人（全称）：</w:t>
      </w:r>
      <w:r>
        <w:rPr>
          <w:rFonts w:hint="eastAsia" w:ascii="宋体" w:cs="宋体"/>
          <w:szCs w:val="21"/>
          <w:u w:val="single"/>
        </w:rPr>
        <w:t xml:space="preserve">                                    </w:t>
      </w:r>
    </w:p>
    <w:p w14:paraId="3DCEDB6F">
      <w:pPr>
        <w:spacing w:line="440" w:lineRule="exact"/>
        <w:ind w:firstLine="420" w:firstLineChars="200"/>
        <w:rPr>
          <w:rFonts w:hint="eastAsia" w:ascii="宋体" w:cs="宋体"/>
          <w:szCs w:val="21"/>
        </w:rPr>
      </w:pPr>
      <w:r>
        <w:rPr>
          <w:rFonts w:hint="eastAsia" w:ascii="宋体" w:cs="宋体"/>
          <w:szCs w:val="21"/>
        </w:rPr>
        <w:t>根据《中华人民共和国民法典》、《中华人民共和国建筑法》及有关法律规定，遵循平等、自愿、公平和诚实信用的原则，双方就</w:t>
      </w:r>
      <w:r>
        <w:rPr>
          <w:rFonts w:hint="eastAsia" w:ascii="宋体" w:cs="宋体"/>
          <w:szCs w:val="21"/>
          <w:u w:val="single"/>
          <w:lang w:val="en-US" w:eastAsia="zh-CN"/>
        </w:rPr>
        <w:t xml:space="preserve"> 滁州市人力资源产业园分布式光伏及充电桩项目</w:t>
      </w:r>
      <w:r>
        <w:rPr>
          <w:rFonts w:hint="eastAsia" w:ascii="宋体" w:cs="宋体"/>
          <w:szCs w:val="21"/>
        </w:rPr>
        <w:t>施工及有关事项协商一致，共同达成如下协议：</w:t>
      </w:r>
    </w:p>
    <w:p w14:paraId="1300C206">
      <w:pPr>
        <w:pStyle w:val="5"/>
        <w:spacing w:before="0" w:after="0" w:line="440" w:lineRule="exact"/>
        <w:ind w:firstLine="420" w:firstLineChars="200"/>
        <w:rPr>
          <w:rFonts w:hint="eastAsia" w:ascii="宋体" w:eastAsia="宋体" w:cs="宋体"/>
          <w:bCs w:val="0"/>
          <w:sz w:val="21"/>
          <w:szCs w:val="21"/>
        </w:rPr>
      </w:pPr>
      <w:r>
        <w:rPr>
          <w:rFonts w:hint="eastAsia" w:ascii="宋体" w:eastAsia="宋体" w:cs="宋体"/>
          <w:b w:val="0"/>
          <w:sz w:val="21"/>
          <w:szCs w:val="21"/>
        </w:rPr>
        <w:t>一、工程概况</w:t>
      </w:r>
    </w:p>
    <w:p w14:paraId="236F5668">
      <w:pPr>
        <w:spacing w:line="440" w:lineRule="exact"/>
        <w:ind w:firstLine="420" w:firstLineChars="200"/>
        <w:rPr>
          <w:rFonts w:hint="eastAsia" w:ascii="宋体" w:cs="宋体"/>
          <w:szCs w:val="21"/>
          <w:u w:val="single"/>
        </w:rPr>
      </w:pPr>
      <w:r>
        <w:rPr>
          <w:rFonts w:hint="eastAsia" w:ascii="宋体" w:cs="宋体"/>
          <w:bCs/>
          <w:szCs w:val="21"/>
        </w:rPr>
        <w:t>1.工程名称</w:t>
      </w:r>
      <w:r>
        <w:rPr>
          <w:rFonts w:hint="eastAsia" w:ascii="宋体" w:cs="宋体"/>
          <w:szCs w:val="21"/>
        </w:rPr>
        <w:t>：</w:t>
      </w:r>
      <w:r>
        <w:rPr>
          <w:rFonts w:hint="eastAsia" w:ascii="宋体" w:cs="宋体"/>
          <w:szCs w:val="21"/>
          <w:u w:val="single"/>
        </w:rPr>
        <w:t xml:space="preserve">  </w:t>
      </w:r>
      <w:r>
        <w:rPr>
          <w:rFonts w:hint="eastAsia" w:ascii="宋体" w:cs="宋体"/>
          <w:szCs w:val="21"/>
          <w:u w:val="single"/>
          <w:lang w:eastAsia="zh-CN"/>
        </w:rPr>
        <w:t>滁州市人力资源产业园分布式光伏及充电桩项目</w:t>
      </w:r>
      <w:r>
        <w:rPr>
          <w:rFonts w:hint="eastAsia" w:ascii="宋体" w:cs="宋体"/>
          <w:szCs w:val="21"/>
          <w:u w:val="single"/>
        </w:rPr>
        <w:t xml:space="preserve"> </w:t>
      </w:r>
      <w:r>
        <w:rPr>
          <w:rFonts w:hint="eastAsia" w:ascii="宋体" w:cs="宋体"/>
          <w:szCs w:val="21"/>
        </w:rPr>
        <w:t>。</w:t>
      </w:r>
    </w:p>
    <w:p w14:paraId="05EDF5A6">
      <w:pPr>
        <w:spacing w:line="440" w:lineRule="exact"/>
        <w:ind w:firstLine="420" w:firstLineChars="200"/>
        <w:rPr>
          <w:rFonts w:hint="eastAsia" w:ascii="宋体" w:cs="宋体"/>
          <w:bCs/>
          <w:szCs w:val="21"/>
        </w:rPr>
      </w:pPr>
      <w:r>
        <w:rPr>
          <w:rFonts w:hint="eastAsia" w:ascii="宋体" w:cs="宋体"/>
          <w:bCs/>
          <w:szCs w:val="21"/>
        </w:rPr>
        <w:t>2.工程地点：</w:t>
      </w:r>
      <w:r>
        <w:rPr>
          <w:rFonts w:hint="eastAsia" w:ascii="宋体" w:cs="宋体"/>
          <w:szCs w:val="21"/>
          <w:u w:val="single"/>
        </w:rPr>
        <w:t xml:space="preserve">  </w:t>
      </w:r>
      <w:r>
        <w:rPr>
          <w:rFonts w:hint="eastAsia" w:ascii="宋体" w:hAnsi="Times New Roman" w:eastAsia="宋体" w:cs="宋体"/>
          <w:szCs w:val="21"/>
          <w:u w:val="single"/>
          <w:lang w:val="en-US" w:eastAsia="zh-CN"/>
        </w:rPr>
        <w:t>招标人指定地点</w:t>
      </w:r>
      <w:r>
        <w:rPr>
          <w:rFonts w:hint="eastAsia" w:ascii="宋体" w:cs="宋体"/>
          <w:szCs w:val="21"/>
          <w:u w:val="single"/>
        </w:rPr>
        <w:t xml:space="preserve">  </w:t>
      </w:r>
      <w:r>
        <w:rPr>
          <w:rFonts w:hint="eastAsia" w:ascii="宋体" w:cs="宋体"/>
          <w:szCs w:val="21"/>
        </w:rPr>
        <w:t>。</w:t>
      </w:r>
    </w:p>
    <w:p w14:paraId="22B63F7C">
      <w:pPr>
        <w:spacing w:line="440" w:lineRule="exact"/>
        <w:ind w:firstLine="420" w:firstLineChars="200"/>
        <w:rPr>
          <w:rFonts w:hint="eastAsia" w:ascii="宋体" w:cs="宋体"/>
          <w:bCs/>
          <w:strike w:val="0"/>
          <w:dstrike w:val="0"/>
          <w:szCs w:val="21"/>
          <w:highlight w:val="none"/>
        </w:rPr>
      </w:pPr>
      <w:r>
        <w:rPr>
          <w:rFonts w:hint="eastAsia" w:ascii="宋体" w:cs="宋体"/>
          <w:bCs/>
          <w:strike w:val="0"/>
          <w:dstrike w:val="0"/>
          <w:szCs w:val="21"/>
          <w:highlight w:val="none"/>
        </w:rPr>
        <w:t>3.工程立项批准文号：</w:t>
      </w:r>
      <w:r>
        <w:rPr>
          <w:rFonts w:hint="eastAsia" w:ascii="宋体" w:cs="宋体"/>
          <w:bCs/>
          <w:strike w:val="0"/>
          <w:dstrike w:val="0"/>
          <w:szCs w:val="21"/>
          <w:highlight w:val="none"/>
          <w:u w:val="single"/>
          <w:lang w:val="en-US" w:eastAsia="zh-CN"/>
        </w:rPr>
        <w:t xml:space="preserve"> </w:t>
      </w:r>
      <w:r>
        <w:rPr>
          <w:rFonts w:hint="eastAsia" w:ascii="宋体" w:hAnsi="宋体"/>
          <w:strike w:val="0"/>
          <w:dstrike w:val="0"/>
          <w:szCs w:val="21"/>
          <w:highlight w:val="none"/>
          <w:u w:val="single"/>
          <w:lang w:val="en-US" w:eastAsia="zh-CN"/>
        </w:rPr>
        <w:t>/</w:t>
      </w:r>
      <w:r>
        <w:rPr>
          <w:rFonts w:hint="eastAsia" w:ascii="宋体" w:cs="宋体"/>
          <w:bCs/>
          <w:strike w:val="0"/>
          <w:dstrike w:val="0"/>
          <w:szCs w:val="21"/>
          <w:highlight w:val="none"/>
        </w:rPr>
        <w:t>。</w:t>
      </w:r>
    </w:p>
    <w:p w14:paraId="2A46B856">
      <w:pPr>
        <w:spacing w:line="440" w:lineRule="exact"/>
        <w:ind w:firstLine="420" w:firstLineChars="200"/>
        <w:rPr>
          <w:rFonts w:hint="eastAsia" w:ascii="宋体" w:cs="宋体"/>
          <w:bCs/>
          <w:szCs w:val="21"/>
        </w:rPr>
      </w:pPr>
      <w:r>
        <w:rPr>
          <w:rFonts w:hint="eastAsia" w:ascii="宋体" w:cs="宋体"/>
          <w:bCs/>
          <w:szCs w:val="21"/>
        </w:rPr>
        <w:t>4.资金来源：</w:t>
      </w:r>
      <w:r>
        <w:rPr>
          <w:rFonts w:hint="eastAsia" w:ascii="宋体" w:cs="宋体"/>
          <w:bCs/>
          <w:szCs w:val="21"/>
          <w:u w:val="single"/>
        </w:rPr>
        <w:t xml:space="preserve">         </w:t>
      </w:r>
      <w:r>
        <w:rPr>
          <w:rFonts w:hint="eastAsia" w:ascii="宋体" w:cs="宋体"/>
          <w:bCs/>
          <w:szCs w:val="21"/>
          <w:u w:val="single"/>
          <w:lang w:val="en-US" w:eastAsia="zh-CN"/>
        </w:rPr>
        <w:t>自筹资金</w:t>
      </w:r>
      <w:r>
        <w:rPr>
          <w:rFonts w:hint="eastAsia" w:ascii="宋体" w:cs="宋体"/>
          <w:bCs/>
          <w:szCs w:val="21"/>
          <w:u w:val="single"/>
        </w:rPr>
        <w:t xml:space="preserve">           </w:t>
      </w:r>
      <w:r>
        <w:rPr>
          <w:rFonts w:hint="eastAsia" w:ascii="宋体" w:cs="宋体"/>
          <w:szCs w:val="21"/>
          <w:u w:val="single"/>
        </w:rPr>
        <w:t xml:space="preserve">       </w:t>
      </w:r>
      <w:r>
        <w:rPr>
          <w:rFonts w:hint="eastAsia" w:ascii="宋体" w:cs="宋体"/>
          <w:bCs/>
          <w:szCs w:val="21"/>
        </w:rPr>
        <w:t>。</w:t>
      </w:r>
    </w:p>
    <w:p w14:paraId="2F00C2D8">
      <w:pPr>
        <w:spacing w:line="440" w:lineRule="exact"/>
        <w:ind w:firstLine="420" w:firstLineChars="200"/>
        <w:rPr>
          <w:rFonts w:hint="eastAsia" w:ascii="宋体" w:cs="宋体"/>
          <w:bCs/>
          <w:szCs w:val="21"/>
        </w:rPr>
      </w:pPr>
      <w:r>
        <w:rPr>
          <w:rFonts w:hint="eastAsia" w:ascii="宋体" w:cs="宋体"/>
          <w:bCs/>
          <w:szCs w:val="21"/>
        </w:rPr>
        <w:t>5.工程内容：</w:t>
      </w:r>
      <w:r>
        <w:rPr>
          <w:rFonts w:hint="eastAsia" w:ascii="宋体" w:hAnsi="Times New Roman" w:cs="宋体"/>
          <w:bCs/>
          <w:szCs w:val="21"/>
          <w:u w:val="single"/>
          <w:lang w:val="en-US" w:eastAsia="zh-CN"/>
        </w:rPr>
        <w:t xml:space="preserve"> </w:t>
      </w:r>
      <w:r>
        <w:rPr>
          <w:rFonts w:hint="eastAsia" w:ascii="宋体" w:hAnsi="Times New Roman" w:eastAsia="宋体" w:cs="宋体"/>
          <w:bCs/>
          <w:szCs w:val="21"/>
          <w:u w:val="single"/>
          <w:lang w:val="en-US" w:eastAsia="zh-CN"/>
        </w:rPr>
        <w:t xml:space="preserve">本工程施工图纸和工程量清单中的所有内容 </w:t>
      </w:r>
      <w:r>
        <w:rPr>
          <w:rFonts w:hint="eastAsia" w:ascii="宋体" w:cs="宋体"/>
          <w:bCs/>
          <w:szCs w:val="21"/>
        </w:rPr>
        <w:t>。</w:t>
      </w:r>
    </w:p>
    <w:p w14:paraId="0B09708D">
      <w:pPr>
        <w:spacing w:line="440" w:lineRule="exact"/>
        <w:ind w:firstLine="420" w:firstLineChars="200"/>
        <w:rPr>
          <w:rFonts w:hint="eastAsia" w:ascii="宋体" w:cs="宋体"/>
          <w:bCs/>
          <w:szCs w:val="21"/>
        </w:rPr>
      </w:pPr>
      <w:r>
        <w:rPr>
          <w:rFonts w:hint="eastAsia" w:ascii="宋体" w:cs="宋体"/>
          <w:szCs w:val="21"/>
        </w:rPr>
        <w:t>群体工程应附《承包人承揽工程项目一览表》（附件1）。</w:t>
      </w:r>
    </w:p>
    <w:p w14:paraId="3EA9822A">
      <w:pPr>
        <w:spacing w:line="440" w:lineRule="exact"/>
        <w:ind w:firstLine="420" w:firstLineChars="200"/>
        <w:rPr>
          <w:rFonts w:hint="eastAsia" w:ascii="宋体" w:cs="宋体"/>
          <w:szCs w:val="21"/>
          <w:highlight w:val="none"/>
        </w:rPr>
      </w:pPr>
      <w:r>
        <w:rPr>
          <w:rFonts w:hint="eastAsia" w:ascii="宋体" w:cs="宋体"/>
          <w:bCs/>
          <w:szCs w:val="21"/>
          <w:highlight w:val="none"/>
        </w:rPr>
        <w:t>6.工程承包范围：</w:t>
      </w:r>
      <w:r>
        <w:rPr>
          <w:rFonts w:hint="eastAsia" w:ascii="宋体" w:cs="宋体"/>
          <w:szCs w:val="21"/>
          <w:highlight w:val="none"/>
          <w:u w:val="single"/>
        </w:rPr>
        <w:t xml:space="preserve">  </w:t>
      </w:r>
      <w:r>
        <w:rPr>
          <w:rFonts w:hint="eastAsia" w:ascii="宋体" w:hAnsi="宋体" w:cs="宋体"/>
          <w:b/>
          <w:bCs/>
          <w:szCs w:val="21"/>
          <w:highlight w:val="none"/>
          <w:u w:val="single"/>
        </w:rPr>
        <w:t>施工图纸</w:t>
      </w:r>
      <w:r>
        <w:rPr>
          <w:rFonts w:hint="eastAsia" w:ascii="宋体" w:hAnsi="宋体" w:cs="宋体"/>
          <w:b/>
          <w:bCs/>
          <w:strike w:val="0"/>
          <w:dstrike w:val="0"/>
          <w:szCs w:val="21"/>
          <w:highlight w:val="none"/>
          <w:u w:val="single"/>
        </w:rPr>
        <w:t>和工程量清单</w:t>
      </w:r>
      <w:r>
        <w:rPr>
          <w:rFonts w:hint="eastAsia" w:ascii="宋体" w:hAnsi="宋体" w:cs="宋体"/>
          <w:b/>
          <w:bCs/>
          <w:szCs w:val="21"/>
          <w:highlight w:val="none"/>
          <w:u w:val="single"/>
        </w:rPr>
        <w:t>载明的施工内容及施工过程中的变更调整内容（如施工图纸和工程量清单不一致，由</w:t>
      </w:r>
      <w:r>
        <w:rPr>
          <w:rFonts w:hint="eastAsia" w:ascii="宋体" w:hAnsi="宋体" w:cs="宋体"/>
          <w:b/>
          <w:bCs/>
          <w:szCs w:val="21"/>
          <w:highlight w:val="none"/>
          <w:u w:val="single"/>
          <w:lang w:eastAsia="zh-CN"/>
        </w:rPr>
        <w:t>发包人</w:t>
      </w:r>
      <w:r>
        <w:rPr>
          <w:rFonts w:hint="eastAsia" w:ascii="宋体" w:hAnsi="宋体" w:cs="宋体"/>
          <w:b/>
          <w:bCs/>
          <w:szCs w:val="21"/>
          <w:highlight w:val="none"/>
          <w:u w:val="single"/>
        </w:rPr>
        <w:t>负责解释</w:t>
      </w:r>
      <w:r>
        <w:rPr>
          <w:rFonts w:hint="eastAsia" w:ascii="宋体" w:hAnsi="宋体" w:cs="宋体"/>
          <w:szCs w:val="21"/>
          <w:highlight w:val="none"/>
          <w:u w:val="single"/>
        </w:rPr>
        <w:t>）</w:t>
      </w:r>
      <w:r>
        <w:rPr>
          <w:rFonts w:hint="eastAsia" w:ascii="宋体" w:cs="宋体"/>
          <w:szCs w:val="21"/>
          <w:highlight w:val="none"/>
          <w:u w:val="single"/>
        </w:rPr>
        <w:t></w:t>
      </w:r>
      <w:r>
        <w:rPr>
          <w:rFonts w:hint="eastAsia" w:ascii="宋体" w:cs="宋体"/>
          <w:szCs w:val="21"/>
          <w:highlight w:val="none"/>
        </w:rPr>
        <w:t>。</w:t>
      </w:r>
    </w:p>
    <w:p w14:paraId="497ADE28">
      <w:pPr>
        <w:pStyle w:val="5"/>
        <w:spacing w:before="0" w:after="0" w:line="440" w:lineRule="exact"/>
        <w:ind w:firstLine="420" w:firstLineChars="200"/>
        <w:rPr>
          <w:rFonts w:hint="eastAsia" w:ascii="宋体" w:eastAsia="宋体" w:cs="宋体"/>
          <w:b w:val="0"/>
          <w:sz w:val="21"/>
          <w:szCs w:val="21"/>
        </w:rPr>
      </w:pPr>
      <w:r>
        <w:rPr>
          <w:rFonts w:hint="eastAsia" w:ascii="宋体" w:eastAsia="宋体" w:cs="宋体"/>
          <w:b w:val="0"/>
          <w:sz w:val="21"/>
          <w:szCs w:val="21"/>
        </w:rPr>
        <w:t>二、合同工期</w:t>
      </w:r>
    </w:p>
    <w:p w14:paraId="73E52071">
      <w:pPr>
        <w:spacing w:line="440" w:lineRule="exact"/>
        <w:ind w:firstLine="420" w:firstLineChars="200"/>
        <w:rPr>
          <w:rFonts w:hint="eastAsia" w:ascii="宋体" w:cs="宋体"/>
          <w:szCs w:val="21"/>
        </w:rPr>
      </w:pPr>
      <w:r>
        <w:rPr>
          <w:rFonts w:hint="eastAsia" w:ascii="宋体" w:cs="宋体"/>
          <w:szCs w:val="21"/>
        </w:rPr>
        <w:t>计划开工日期：</w:t>
      </w:r>
      <w:r>
        <w:rPr>
          <w:rFonts w:hint="eastAsia" w:ascii="宋体" w:cs="宋体"/>
          <w:szCs w:val="21"/>
          <w:u w:val="single"/>
        </w:rPr>
        <w:t xml:space="preserve">       </w:t>
      </w:r>
      <w:r>
        <w:rPr>
          <w:rFonts w:hint="eastAsia" w:ascii="宋体" w:cs="宋体"/>
          <w:szCs w:val="21"/>
        </w:rPr>
        <w:t>年</w:t>
      </w:r>
      <w:r>
        <w:rPr>
          <w:rFonts w:hint="eastAsia" w:ascii="宋体" w:cs="宋体"/>
          <w:szCs w:val="21"/>
          <w:u w:val="single"/>
        </w:rPr>
        <w:t xml:space="preserve">          </w:t>
      </w:r>
      <w:r>
        <w:rPr>
          <w:rFonts w:hint="eastAsia" w:ascii="宋体" w:cs="宋体"/>
          <w:szCs w:val="21"/>
        </w:rPr>
        <w:t>月</w:t>
      </w:r>
      <w:r>
        <w:rPr>
          <w:rFonts w:hint="eastAsia" w:ascii="宋体" w:cs="宋体"/>
          <w:szCs w:val="21"/>
          <w:u w:val="single"/>
        </w:rPr>
        <w:t xml:space="preserve">       </w:t>
      </w:r>
      <w:r>
        <w:rPr>
          <w:rFonts w:hint="eastAsia" w:ascii="宋体" w:cs="宋体"/>
          <w:szCs w:val="21"/>
        </w:rPr>
        <w:t>日。</w:t>
      </w:r>
      <w:r>
        <w:rPr>
          <w:rFonts w:hint="eastAsia" w:ascii="宋体" w:cs="宋体"/>
          <w:szCs w:val="21"/>
          <w:lang w:eastAsia="zh-CN"/>
        </w:rPr>
        <w:t>（</w:t>
      </w:r>
      <w:r>
        <w:rPr>
          <w:rFonts w:hint="eastAsia" w:ascii="宋体" w:cs="宋体"/>
          <w:szCs w:val="21"/>
        </w:rPr>
        <w:t>以开工令为准</w:t>
      </w:r>
      <w:r>
        <w:rPr>
          <w:rFonts w:hint="eastAsia" w:ascii="宋体" w:cs="宋体"/>
          <w:szCs w:val="21"/>
          <w:lang w:eastAsia="zh-CN"/>
        </w:rPr>
        <w:t>）</w:t>
      </w:r>
    </w:p>
    <w:p w14:paraId="094895E8">
      <w:pPr>
        <w:spacing w:line="440" w:lineRule="exact"/>
        <w:ind w:firstLine="420" w:firstLineChars="200"/>
        <w:rPr>
          <w:rFonts w:hint="eastAsia" w:ascii="宋体" w:cs="宋体"/>
          <w:szCs w:val="21"/>
        </w:rPr>
      </w:pPr>
      <w:r>
        <w:rPr>
          <w:rFonts w:hint="eastAsia" w:ascii="宋体" w:cs="宋体"/>
          <w:szCs w:val="21"/>
        </w:rPr>
        <w:t>计划竣工日期：</w:t>
      </w:r>
      <w:r>
        <w:rPr>
          <w:rFonts w:hint="eastAsia" w:ascii="宋体" w:cs="宋体"/>
          <w:szCs w:val="21"/>
          <w:u w:val="single"/>
        </w:rPr>
        <w:t xml:space="preserve">       </w:t>
      </w:r>
      <w:r>
        <w:rPr>
          <w:rFonts w:hint="eastAsia" w:ascii="宋体" w:cs="宋体"/>
          <w:szCs w:val="21"/>
        </w:rPr>
        <w:t>年</w:t>
      </w:r>
      <w:r>
        <w:rPr>
          <w:rFonts w:hint="eastAsia" w:ascii="宋体" w:cs="宋体"/>
          <w:szCs w:val="21"/>
          <w:u w:val="single"/>
        </w:rPr>
        <w:t xml:space="preserve">          </w:t>
      </w:r>
      <w:r>
        <w:rPr>
          <w:rFonts w:hint="eastAsia" w:ascii="宋体" w:cs="宋体"/>
          <w:szCs w:val="21"/>
        </w:rPr>
        <w:t>月</w:t>
      </w:r>
      <w:r>
        <w:rPr>
          <w:rFonts w:hint="eastAsia" w:ascii="宋体" w:cs="宋体"/>
          <w:szCs w:val="21"/>
          <w:u w:val="single"/>
        </w:rPr>
        <w:t xml:space="preserve">       </w:t>
      </w:r>
      <w:r>
        <w:rPr>
          <w:rFonts w:hint="eastAsia" w:ascii="宋体" w:cs="宋体"/>
          <w:szCs w:val="21"/>
        </w:rPr>
        <w:t>日。</w:t>
      </w:r>
    </w:p>
    <w:p w14:paraId="1FB9E0BE">
      <w:pPr>
        <w:spacing w:line="440" w:lineRule="exact"/>
        <w:ind w:firstLine="420" w:firstLineChars="200"/>
        <w:rPr>
          <w:rFonts w:hint="eastAsia" w:ascii="宋体" w:cs="宋体"/>
          <w:szCs w:val="21"/>
        </w:rPr>
      </w:pPr>
      <w:r>
        <w:rPr>
          <w:rFonts w:hint="eastAsia" w:ascii="宋体" w:cs="宋体"/>
          <w:szCs w:val="21"/>
        </w:rPr>
        <w:t>工期总日历天数：</w:t>
      </w:r>
      <w:r>
        <w:rPr>
          <w:rFonts w:hint="eastAsia" w:ascii="宋体" w:cs="宋体"/>
          <w:szCs w:val="21"/>
          <w:u w:val="single"/>
        </w:rPr>
        <w:t xml:space="preserve">  </w:t>
      </w:r>
      <w:r>
        <w:rPr>
          <w:rFonts w:hint="eastAsia" w:ascii="宋体" w:cs="宋体"/>
          <w:szCs w:val="21"/>
          <w:u w:val="single"/>
          <w:lang w:val="en-US" w:eastAsia="zh-CN"/>
        </w:rPr>
        <w:t xml:space="preserve">  </w:t>
      </w:r>
      <w:r>
        <w:rPr>
          <w:rFonts w:hint="eastAsia" w:ascii="宋体" w:cs="宋体"/>
          <w:szCs w:val="21"/>
          <w:u w:val="single"/>
        </w:rPr>
        <w:t xml:space="preserve">  </w:t>
      </w:r>
      <w:r>
        <w:rPr>
          <w:rFonts w:hint="eastAsia" w:ascii="宋体" w:cs="宋体"/>
          <w:szCs w:val="21"/>
        </w:rPr>
        <w:t>天</w:t>
      </w:r>
      <w:r>
        <w:rPr>
          <w:rFonts w:hint="eastAsia" w:ascii="宋体" w:cs="宋体"/>
          <w:szCs w:val="21"/>
          <w:lang w:eastAsia="zh-CN"/>
        </w:rPr>
        <w:t>。</w:t>
      </w:r>
      <w:r>
        <w:rPr>
          <w:rFonts w:hint="eastAsia" w:ascii="宋体" w:cs="宋体"/>
          <w:szCs w:val="21"/>
        </w:rPr>
        <w:t>工期总日历天数与根据前述计划开竣工日期计算的工期天数不一致的，以工期总日历天数为准。</w:t>
      </w:r>
    </w:p>
    <w:p w14:paraId="5131FFEB">
      <w:pPr>
        <w:pStyle w:val="5"/>
        <w:spacing w:before="0" w:after="0" w:line="440" w:lineRule="exact"/>
        <w:ind w:firstLine="420" w:firstLineChars="200"/>
        <w:rPr>
          <w:rFonts w:hint="eastAsia" w:ascii="宋体" w:eastAsia="宋体" w:cs="宋体"/>
          <w:bCs w:val="0"/>
          <w:sz w:val="21"/>
          <w:szCs w:val="21"/>
        </w:rPr>
      </w:pPr>
      <w:r>
        <w:rPr>
          <w:rFonts w:hint="eastAsia" w:ascii="宋体" w:eastAsia="宋体" w:cs="宋体"/>
          <w:b w:val="0"/>
          <w:sz w:val="21"/>
          <w:szCs w:val="21"/>
        </w:rPr>
        <w:t>三、质量标准</w:t>
      </w:r>
    </w:p>
    <w:p w14:paraId="6380E96E">
      <w:pPr>
        <w:spacing w:line="440" w:lineRule="exact"/>
        <w:ind w:firstLine="420" w:firstLineChars="200"/>
        <w:rPr>
          <w:rFonts w:hint="eastAsia" w:ascii="宋体" w:cs="宋体"/>
          <w:szCs w:val="21"/>
        </w:rPr>
      </w:pPr>
      <w:r>
        <w:rPr>
          <w:rFonts w:hint="eastAsia"/>
          <w:szCs w:val="21"/>
        </w:rPr>
        <w:t>工程质量必须达到国家工程施工质量验收</w:t>
      </w:r>
      <w:r>
        <w:rPr>
          <w:rFonts w:hint="eastAsia"/>
          <w:b/>
          <w:szCs w:val="21"/>
          <w:u w:val="single"/>
        </w:rPr>
        <w:t xml:space="preserve">  合格  </w:t>
      </w:r>
      <w:r>
        <w:rPr>
          <w:rFonts w:hint="eastAsia"/>
          <w:szCs w:val="21"/>
        </w:rPr>
        <w:t>标准。</w:t>
      </w:r>
    </w:p>
    <w:p w14:paraId="5A41FA8D">
      <w:pPr>
        <w:pStyle w:val="5"/>
        <w:pageBreakBefore w:val="0"/>
        <w:widowControl w:val="0"/>
        <w:kinsoku/>
        <w:wordWrap/>
        <w:overflowPunct/>
        <w:topLinePunct w:val="0"/>
        <w:autoSpaceDE/>
        <w:autoSpaceDN/>
        <w:bidi w:val="0"/>
        <w:adjustRightInd/>
        <w:snapToGrid/>
        <w:spacing w:before="0" w:after="0" w:line="440" w:lineRule="exact"/>
        <w:ind w:firstLine="420" w:firstLineChars="200"/>
        <w:textAlignment w:val="auto"/>
        <w:rPr>
          <w:rFonts w:hint="eastAsia" w:ascii="宋体" w:eastAsia="宋体" w:cs="宋体"/>
          <w:bCs w:val="0"/>
          <w:sz w:val="21"/>
          <w:szCs w:val="21"/>
        </w:rPr>
      </w:pPr>
      <w:r>
        <w:rPr>
          <w:rFonts w:hint="eastAsia" w:ascii="宋体" w:eastAsia="宋体" w:cs="宋体"/>
          <w:b w:val="0"/>
          <w:sz w:val="21"/>
          <w:szCs w:val="21"/>
        </w:rPr>
        <w:t>四、签约合同价与合同价格形式</w:t>
      </w:r>
      <w:r>
        <w:rPr>
          <w:rFonts w:hint="eastAsia" w:ascii="宋体" w:eastAsia="宋体" w:cs="宋体"/>
          <w:b w:val="0"/>
          <w:sz w:val="21"/>
          <w:szCs w:val="21"/>
        </w:rPr>
        <w:tab/>
      </w:r>
    </w:p>
    <w:p w14:paraId="2A2832C0">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highlight w:val="none"/>
          <w:u w:val="single"/>
          <w:lang w:val="en-US" w:eastAsia="zh-CN"/>
        </w:rPr>
      </w:pPr>
      <w:r>
        <w:rPr>
          <w:rFonts w:hint="eastAsia" w:ascii="宋体" w:hAnsi="宋体" w:cs="宋体"/>
          <w:color w:val="000000"/>
          <w:szCs w:val="21"/>
          <w:highlight w:val="none"/>
          <w:u w:val="single"/>
        </w:rPr>
        <w:t>1. 签约合同价为：人民币（大写）                 (¥          元)；</w:t>
      </w:r>
      <w:r>
        <w:rPr>
          <w:rFonts w:hint="eastAsia" w:ascii="宋体" w:hAnsi="宋体" w:cs="宋体"/>
          <w:color w:val="000000"/>
          <w:szCs w:val="21"/>
          <w:highlight w:val="none"/>
          <w:u w:val="single"/>
          <w:lang w:eastAsia="zh-CN"/>
        </w:rPr>
        <w:t>其中不含税价为　　　元，税费　　　　元。</w:t>
      </w:r>
    </w:p>
    <w:p w14:paraId="2319A16F">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000000"/>
          <w:szCs w:val="21"/>
          <w:highlight w:val="none"/>
        </w:rPr>
      </w:pPr>
      <w:r>
        <w:rPr>
          <w:rFonts w:hint="eastAsia" w:ascii="宋体" w:hAnsi="宋体" w:cs="宋体"/>
          <w:color w:val="000000"/>
          <w:szCs w:val="21"/>
          <w:highlight w:val="none"/>
        </w:rPr>
        <w:t>2. 合同价格形式：</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eastAsia="zh-CN"/>
        </w:rPr>
        <w:t>固定单价合同</w:t>
      </w:r>
      <w:r>
        <w:rPr>
          <w:rFonts w:hint="eastAsia" w:ascii="宋体" w:hAnsi="宋体" w:cs="宋体"/>
          <w:color w:val="000000"/>
          <w:szCs w:val="21"/>
          <w:highlight w:val="none"/>
          <w:u w:val="single"/>
          <w:lang w:val="en-US" w:eastAsia="zh-CN"/>
        </w:rPr>
        <w:t xml:space="preserve">  </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14:paraId="6952254A">
      <w:pPr>
        <w:pStyle w:val="5"/>
        <w:spacing w:before="0" w:after="0" w:line="440" w:lineRule="exact"/>
        <w:ind w:firstLine="420" w:firstLineChars="200"/>
        <w:rPr>
          <w:rFonts w:hint="eastAsia" w:ascii="宋体" w:eastAsia="宋体" w:cs="宋体"/>
          <w:b w:val="0"/>
          <w:sz w:val="21"/>
          <w:szCs w:val="21"/>
        </w:rPr>
      </w:pPr>
      <w:r>
        <w:rPr>
          <w:rFonts w:hint="eastAsia" w:ascii="宋体" w:eastAsia="宋体" w:cs="宋体"/>
          <w:b w:val="0"/>
          <w:sz w:val="21"/>
          <w:szCs w:val="21"/>
        </w:rPr>
        <w:t>五、项目</w:t>
      </w:r>
      <w:r>
        <w:rPr>
          <w:rFonts w:hint="eastAsia" w:ascii="宋体" w:eastAsia="宋体" w:cs="宋体"/>
          <w:b w:val="0"/>
          <w:sz w:val="21"/>
          <w:szCs w:val="21"/>
          <w:lang w:val="en-US" w:eastAsia="zh-CN"/>
        </w:rPr>
        <w:t>经理</w:t>
      </w:r>
    </w:p>
    <w:p w14:paraId="71CB4DD1">
      <w:pPr>
        <w:spacing w:line="440" w:lineRule="exact"/>
        <w:ind w:firstLine="420" w:firstLineChars="200"/>
        <w:rPr>
          <w:rFonts w:hint="eastAsia" w:ascii="宋体" w:cs="宋体"/>
          <w:szCs w:val="21"/>
        </w:rPr>
      </w:pPr>
      <w:r>
        <w:rPr>
          <w:rFonts w:hint="eastAsia" w:ascii="宋体" w:cs="宋体"/>
          <w:szCs w:val="21"/>
        </w:rPr>
        <w:t>承包人项目经理：</w:t>
      </w:r>
      <w:r>
        <w:rPr>
          <w:rFonts w:hint="eastAsia" w:ascii="宋体" w:cs="宋体"/>
          <w:szCs w:val="21"/>
          <w:u w:val="single"/>
        </w:rPr>
        <w:t xml:space="preserve">               </w:t>
      </w:r>
      <w:r>
        <w:rPr>
          <w:rFonts w:hint="eastAsia" w:ascii="宋体" w:cs="宋体"/>
          <w:szCs w:val="21"/>
        </w:rPr>
        <w:t>。</w:t>
      </w:r>
    </w:p>
    <w:p w14:paraId="32977BEF">
      <w:pPr>
        <w:pStyle w:val="5"/>
        <w:spacing w:before="0" w:after="0" w:line="440" w:lineRule="exact"/>
        <w:ind w:firstLine="420" w:firstLineChars="200"/>
        <w:rPr>
          <w:rFonts w:hint="eastAsia" w:ascii="宋体" w:eastAsia="宋体" w:cs="宋体"/>
          <w:bCs w:val="0"/>
          <w:sz w:val="21"/>
          <w:szCs w:val="21"/>
        </w:rPr>
      </w:pPr>
      <w:r>
        <w:rPr>
          <w:rFonts w:hint="eastAsia" w:ascii="宋体" w:eastAsia="宋体" w:cs="宋体"/>
          <w:b w:val="0"/>
          <w:sz w:val="21"/>
          <w:szCs w:val="21"/>
        </w:rPr>
        <w:t>六、合同文件构成</w:t>
      </w:r>
    </w:p>
    <w:p w14:paraId="3F438B89">
      <w:pPr>
        <w:spacing w:line="440" w:lineRule="exact"/>
        <w:ind w:firstLine="420" w:firstLineChars="200"/>
        <w:rPr>
          <w:rFonts w:hint="eastAsia" w:ascii="宋体" w:cs="宋体"/>
          <w:bCs/>
          <w:szCs w:val="21"/>
        </w:rPr>
      </w:pPr>
      <w:r>
        <w:rPr>
          <w:rFonts w:hint="eastAsia" w:ascii="宋体" w:cs="宋体"/>
          <w:bCs/>
          <w:szCs w:val="21"/>
        </w:rPr>
        <w:t>本协议书与下列文件一起构成合同文件：</w:t>
      </w:r>
    </w:p>
    <w:p w14:paraId="45E7BAD1">
      <w:pPr>
        <w:autoSpaceDE w:val="0"/>
        <w:autoSpaceDN w:val="0"/>
        <w:adjustRightInd w:val="0"/>
        <w:snapToGrid w:val="0"/>
        <w:spacing w:line="440" w:lineRule="exact"/>
        <w:ind w:firstLine="420" w:firstLineChars="200"/>
        <w:jc w:val="left"/>
        <w:rPr>
          <w:rFonts w:hint="eastAsia" w:ascii="宋体" w:cs="宋体"/>
          <w:szCs w:val="21"/>
        </w:rPr>
      </w:pPr>
      <w:r>
        <w:rPr>
          <w:rFonts w:hint="eastAsia" w:ascii="宋体" w:cs="宋体"/>
          <w:szCs w:val="21"/>
        </w:rPr>
        <w:t>（1）中</w:t>
      </w:r>
      <w:r>
        <w:rPr>
          <w:rFonts w:hint="eastAsia" w:ascii="宋体" w:cs="宋体"/>
          <w:szCs w:val="21"/>
          <w:lang w:val="en-US" w:eastAsia="zh-CN"/>
        </w:rPr>
        <w:t>标</w:t>
      </w:r>
      <w:r>
        <w:rPr>
          <w:rFonts w:hint="eastAsia" w:ascii="宋体" w:cs="宋体"/>
          <w:szCs w:val="21"/>
        </w:rPr>
        <w:t>通知书；</w:t>
      </w:r>
    </w:p>
    <w:p w14:paraId="53227739">
      <w:pPr>
        <w:autoSpaceDE w:val="0"/>
        <w:autoSpaceDN w:val="0"/>
        <w:adjustRightInd w:val="0"/>
        <w:snapToGrid w:val="0"/>
        <w:spacing w:line="440" w:lineRule="exact"/>
        <w:ind w:firstLine="420" w:firstLineChars="200"/>
        <w:jc w:val="left"/>
        <w:rPr>
          <w:rFonts w:hint="eastAsia" w:ascii="宋体" w:cs="宋体"/>
          <w:szCs w:val="21"/>
        </w:rPr>
      </w:pPr>
      <w:r>
        <w:rPr>
          <w:rFonts w:hint="eastAsia" w:ascii="宋体" w:cs="宋体"/>
          <w:szCs w:val="21"/>
        </w:rPr>
        <w:t xml:space="preserve">（2）确认函及其附录； </w:t>
      </w:r>
    </w:p>
    <w:p w14:paraId="46087623">
      <w:pPr>
        <w:autoSpaceDE w:val="0"/>
        <w:autoSpaceDN w:val="0"/>
        <w:adjustRightInd w:val="0"/>
        <w:snapToGrid w:val="0"/>
        <w:spacing w:line="440" w:lineRule="exact"/>
        <w:ind w:firstLine="420" w:firstLineChars="200"/>
        <w:jc w:val="left"/>
        <w:rPr>
          <w:rFonts w:hint="eastAsia" w:ascii="宋体" w:cs="宋体"/>
          <w:szCs w:val="21"/>
        </w:rPr>
      </w:pPr>
      <w:r>
        <w:rPr>
          <w:rFonts w:hint="eastAsia" w:ascii="宋体" w:cs="宋体"/>
          <w:szCs w:val="21"/>
        </w:rPr>
        <w:t>（3）专用合同条款及其附件；</w:t>
      </w:r>
    </w:p>
    <w:p w14:paraId="39FFA3B8">
      <w:pPr>
        <w:autoSpaceDE w:val="0"/>
        <w:autoSpaceDN w:val="0"/>
        <w:adjustRightInd w:val="0"/>
        <w:snapToGrid w:val="0"/>
        <w:spacing w:line="440" w:lineRule="exact"/>
        <w:ind w:firstLine="420" w:firstLineChars="200"/>
        <w:jc w:val="left"/>
        <w:rPr>
          <w:rFonts w:hint="eastAsia" w:ascii="宋体" w:cs="宋体"/>
          <w:szCs w:val="21"/>
        </w:rPr>
      </w:pPr>
      <w:r>
        <w:rPr>
          <w:rFonts w:hint="eastAsia" w:ascii="宋体" w:cs="宋体"/>
          <w:szCs w:val="21"/>
        </w:rPr>
        <w:t>（4）通用合同条款；</w:t>
      </w:r>
    </w:p>
    <w:p w14:paraId="36334CD8">
      <w:pPr>
        <w:autoSpaceDE w:val="0"/>
        <w:autoSpaceDN w:val="0"/>
        <w:adjustRightInd w:val="0"/>
        <w:snapToGrid w:val="0"/>
        <w:spacing w:line="440" w:lineRule="exact"/>
        <w:ind w:firstLine="420" w:firstLineChars="200"/>
        <w:jc w:val="left"/>
        <w:rPr>
          <w:rFonts w:hint="eastAsia" w:ascii="宋体" w:cs="宋体"/>
          <w:szCs w:val="21"/>
        </w:rPr>
      </w:pPr>
      <w:r>
        <w:rPr>
          <w:rFonts w:hint="eastAsia" w:ascii="宋体" w:cs="宋体"/>
          <w:szCs w:val="21"/>
        </w:rPr>
        <w:t>（5）技术标准和要求；</w:t>
      </w:r>
    </w:p>
    <w:p w14:paraId="30225A2D">
      <w:pPr>
        <w:autoSpaceDE w:val="0"/>
        <w:autoSpaceDN w:val="0"/>
        <w:adjustRightInd w:val="0"/>
        <w:snapToGrid w:val="0"/>
        <w:spacing w:line="440" w:lineRule="exact"/>
        <w:ind w:firstLine="420" w:firstLineChars="200"/>
        <w:jc w:val="left"/>
        <w:rPr>
          <w:rFonts w:hint="eastAsia" w:ascii="宋体" w:cs="宋体"/>
          <w:szCs w:val="21"/>
        </w:rPr>
      </w:pPr>
      <w:r>
        <w:rPr>
          <w:rFonts w:hint="eastAsia" w:ascii="宋体" w:cs="宋体"/>
          <w:szCs w:val="21"/>
        </w:rPr>
        <w:t>（6）图纸；</w:t>
      </w:r>
    </w:p>
    <w:p w14:paraId="0F8AFA18">
      <w:pPr>
        <w:autoSpaceDE w:val="0"/>
        <w:autoSpaceDN w:val="0"/>
        <w:adjustRightInd w:val="0"/>
        <w:snapToGrid w:val="0"/>
        <w:spacing w:line="440" w:lineRule="exact"/>
        <w:ind w:firstLine="420" w:firstLineChars="200"/>
        <w:jc w:val="left"/>
        <w:rPr>
          <w:rFonts w:hint="eastAsia" w:ascii="宋体" w:cs="宋体"/>
          <w:szCs w:val="21"/>
        </w:rPr>
      </w:pPr>
      <w:r>
        <w:rPr>
          <w:rFonts w:hint="eastAsia" w:ascii="宋体" w:cs="宋体"/>
          <w:szCs w:val="21"/>
        </w:rPr>
        <w:t>（7）已标价工程量清单或预算书；</w:t>
      </w:r>
    </w:p>
    <w:p w14:paraId="5EB9179B">
      <w:pPr>
        <w:spacing w:line="440" w:lineRule="exact"/>
        <w:ind w:firstLine="420" w:firstLineChars="200"/>
        <w:rPr>
          <w:rFonts w:hint="eastAsia" w:ascii="宋体" w:hAnsi="Times New Roman" w:eastAsia="宋体" w:cs="宋体"/>
          <w:szCs w:val="21"/>
        </w:rPr>
      </w:pPr>
      <w:r>
        <w:rPr>
          <w:rFonts w:hint="eastAsia" w:ascii="宋体" w:hAnsi="Times New Roman" w:eastAsia="宋体" w:cs="宋体"/>
          <w:szCs w:val="21"/>
        </w:rPr>
        <w:t>（8）其他合同文件。</w:t>
      </w:r>
    </w:p>
    <w:p w14:paraId="6BD3A458">
      <w:pPr>
        <w:spacing w:line="440" w:lineRule="exact"/>
        <w:ind w:firstLine="420" w:firstLineChars="200"/>
        <w:rPr>
          <w:rFonts w:hint="eastAsia" w:ascii="宋体" w:hAnsi="Times New Roman" w:eastAsia="宋体" w:cs="宋体"/>
          <w:szCs w:val="21"/>
        </w:rPr>
      </w:pPr>
      <w:r>
        <w:rPr>
          <w:rFonts w:hint="eastAsia" w:ascii="宋体" w:hAnsi="Times New Roman" w:eastAsia="宋体" w:cs="宋体"/>
          <w:szCs w:val="21"/>
        </w:rPr>
        <w:t>在合同订立及履行过程中形成的与合同有关的文件均构成合同文件组成部分。</w:t>
      </w:r>
    </w:p>
    <w:p w14:paraId="7E9714A5">
      <w:pPr>
        <w:spacing w:line="440" w:lineRule="exact"/>
        <w:ind w:firstLine="420" w:firstLineChars="200"/>
        <w:rPr>
          <w:rFonts w:hint="eastAsia" w:ascii="宋体" w:hAnsi="Times New Roman" w:eastAsia="宋体" w:cs="宋体"/>
          <w:szCs w:val="21"/>
        </w:rPr>
      </w:pPr>
      <w:r>
        <w:rPr>
          <w:rFonts w:hint="eastAsia" w:ascii="宋体" w:hAnsi="Times New Roman" w:eastAsia="宋体" w:cs="宋体"/>
          <w:szCs w:val="21"/>
        </w:rPr>
        <w:t>上述各项合同文件包括合同当事人就该项合同文件所作出的补充和修改，属于同一类内容的文件，应以最新签署的为准。专用合同条款及其附件须经合同当事人签字或盖章。</w:t>
      </w:r>
    </w:p>
    <w:p w14:paraId="16010B41">
      <w:pPr>
        <w:pStyle w:val="5"/>
        <w:spacing w:before="0" w:after="0" w:line="440" w:lineRule="exact"/>
        <w:ind w:firstLine="420" w:firstLineChars="200"/>
        <w:rPr>
          <w:rFonts w:hint="eastAsia" w:ascii="宋体" w:eastAsia="宋体" w:cs="宋体"/>
          <w:b w:val="0"/>
          <w:bCs w:val="0"/>
          <w:sz w:val="21"/>
          <w:szCs w:val="21"/>
        </w:rPr>
      </w:pPr>
      <w:r>
        <w:rPr>
          <w:rFonts w:hint="eastAsia" w:ascii="宋体" w:eastAsia="宋体" w:cs="宋体"/>
          <w:b w:val="0"/>
          <w:sz w:val="21"/>
          <w:szCs w:val="21"/>
        </w:rPr>
        <w:t>七、承诺</w:t>
      </w:r>
    </w:p>
    <w:p w14:paraId="4EB03A8A">
      <w:pPr>
        <w:spacing w:line="440" w:lineRule="exact"/>
        <w:ind w:firstLine="420" w:firstLineChars="200"/>
        <w:rPr>
          <w:rFonts w:hint="eastAsia" w:ascii="宋体" w:cs="宋体"/>
          <w:bCs/>
          <w:szCs w:val="21"/>
        </w:rPr>
      </w:pPr>
      <w:r>
        <w:rPr>
          <w:rFonts w:hint="eastAsia" w:ascii="宋体" w:cs="宋体"/>
          <w:bCs/>
          <w:szCs w:val="21"/>
        </w:rPr>
        <w:t>1.发包人承诺按照法律规定履行项目审批手续、筹集工程建设资金并按照合同约定的期限和方式支付合同价款。</w:t>
      </w:r>
    </w:p>
    <w:p w14:paraId="3C0F0D61">
      <w:pPr>
        <w:spacing w:line="440" w:lineRule="exact"/>
        <w:ind w:firstLine="420" w:firstLineChars="200"/>
        <w:rPr>
          <w:rFonts w:hint="eastAsia" w:ascii="宋体" w:cs="宋体"/>
          <w:bCs/>
          <w:szCs w:val="21"/>
        </w:rPr>
      </w:pPr>
      <w:r>
        <w:rPr>
          <w:rFonts w:hint="eastAsia" w:ascii="宋体" w:cs="宋体"/>
          <w:bCs/>
          <w:szCs w:val="21"/>
        </w:rPr>
        <w:t>2.承包人承诺按照法律规定及合同约定组织完成工程施工，确保工程质量和安全，不进行转包及违法分包，并在缺陷责任期及保修期内承担相应的工程维修责任。</w:t>
      </w:r>
    </w:p>
    <w:p w14:paraId="2928C31B">
      <w:pPr>
        <w:spacing w:line="440" w:lineRule="exact"/>
        <w:ind w:firstLine="420" w:firstLineChars="200"/>
        <w:rPr>
          <w:rFonts w:hint="eastAsia" w:ascii="宋体" w:cs="宋体"/>
          <w:bCs/>
          <w:szCs w:val="21"/>
        </w:rPr>
      </w:pPr>
      <w:r>
        <w:rPr>
          <w:rFonts w:hint="eastAsia" w:ascii="宋体" w:cs="宋体"/>
          <w:bCs/>
          <w:szCs w:val="21"/>
        </w:rPr>
        <w:t>3.发包人和承包人通过招投标形式签订合同的，双方理解并承诺不再就同一工程另行签订与合同实质性内容相背离的协议。</w:t>
      </w:r>
    </w:p>
    <w:p w14:paraId="08E1DCA2">
      <w:pPr>
        <w:spacing w:line="440" w:lineRule="exact"/>
        <w:ind w:firstLine="420" w:firstLineChars="200"/>
        <w:rPr>
          <w:rFonts w:hint="eastAsia" w:ascii="宋体" w:cs="宋体"/>
          <w:bCs/>
          <w:szCs w:val="21"/>
        </w:rPr>
      </w:pPr>
      <w:r>
        <w:rPr>
          <w:rFonts w:hint="eastAsia" w:ascii="宋体" w:cs="宋体"/>
          <w:szCs w:val="21"/>
        </w:rPr>
        <w:t>八、词语含义</w:t>
      </w:r>
    </w:p>
    <w:p w14:paraId="31689870">
      <w:pPr>
        <w:spacing w:line="440" w:lineRule="exact"/>
        <w:ind w:firstLine="420" w:firstLineChars="200"/>
        <w:rPr>
          <w:rFonts w:hint="eastAsia" w:ascii="宋体" w:cs="宋体"/>
          <w:bCs/>
          <w:szCs w:val="21"/>
        </w:rPr>
      </w:pPr>
      <w:r>
        <w:rPr>
          <w:rFonts w:hint="eastAsia" w:ascii="宋体" w:cs="宋体"/>
          <w:bCs/>
          <w:szCs w:val="21"/>
        </w:rPr>
        <w:t>本协议书中词语含义与第二部分通用合同条款中赋予的含义相同。</w:t>
      </w:r>
    </w:p>
    <w:p w14:paraId="31603E32">
      <w:pPr>
        <w:pStyle w:val="5"/>
        <w:spacing w:before="0" w:after="0" w:line="440" w:lineRule="exact"/>
        <w:ind w:firstLine="420" w:firstLineChars="200"/>
        <w:rPr>
          <w:rFonts w:hint="eastAsia" w:ascii="宋体" w:eastAsia="宋体" w:cs="宋体"/>
          <w:bCs w:val="0"/>
          <w:sz w:val="21"/>
          <w:szCs w:val="21"/>
        </w:rPr>
      </w:pPr>
      <w:r>
        <w:rPr>
          <w:rFonts w:hint="eastAsia" w:ascii="宋体" w:eastAsia="宋体" w:cs="宋体"/>
          <w:b w:val="0"/>
          <w:sz w:val="21"/>
          <w:szCs w:val="21"/>
        </w:rPr>
        <w:t>九、签订时间</w:t>
      </w:r>
    </w:p>
    <w:p w14:paraId="168B7B41">
      <w:pPr>
        <w:spacing w:line="440" w:lineRule="exact"/>
        <w:ind w:firstLine="420" w:firstLineChars="200"/>
        <w:rPr>
          <w:rFonts w:hint="eastAsia" w:ascii="宋体" w:cs="宋体"/>
          <w:bCs/>
          <w:szCs w:val="21"/>
        </w:rPr>
      </w:pPr>
      <w:r>
        <w:rPr>
          <w:rFonts w:hint="eastAsia" w:ascii="宋体" w:cs="宋体"/>
          <w:bCs/>
          <w:szCs w:val="21"/>
        </w:rPr>
        <w:t>本合同于</w:t>
      </w:r>
      <w:r>
        <w:rPr>
          <w:rFonts w:hint="eastAsia" w:ascii="宋体" w:cs="宋体"/>
          <w:bCs/>
          <w:szCs w:val="21"/>
          <w:u w:val="single"/>
        </w:rPr>
        <w:t xml:space="preserve">         </w:t>
      </w:r>
      <w:r>
        <w:rPr>
          <w:rFonts w:hint="eastAsia" w:ascii="宋体" w:cs="宋体"/>
          <w:bCs/>
          <w:szCs w:val="21"/>
        </w:rPr>
        <w:t>年</w:t>
      </w:r>
      <w:r>
        <w:rPr>
          <w:rFonts w:hint="eastAsia" w:ascii="宋体" w:cs="宋体"/>
          <w:bCs/>
          <w:szCs w:val="21"/>
          <w:u w:val="single"/>
        </w:rPr>
        <w:t xml:space="preserve">       </w:t>
      </w:r>
      <w:r>
        <w:rPr>
          <w:rFonts w:hint="eastAsia" w:ascii="宋体" w:cs="宋体"/>
          <w:bCs/>
          <w:szCs w:val="21"/>
        </w:rPr>
        <w:t>月</w:t>
      </w:r>
      <w:r>
        <w:rPr>
          <w:rFonts w:hint="eastAsia" w:ascii="宋体" w:cs="宋体"/>
          <w:bCs/>
          <w:szCs w:val="21"/>
          <w:u w:val="single"/>
        </w:rPr>
        <w:t xml:space="preserve">        </w:t>
      </w:r>
      <w:r>
        <w:rPr>
          <w:rFonts w:hint="eastAsia" w:ascii="宋体" w:cs="宋体"/>
          <w:bCs/>
          <w:szCs w:val="21"/>
        </w:rPr>
        <w:t>日签订。</w:t>
      </w:r>
    </w:p>
    <w:p w14:paraId="6A42F258">
      <w:pPr>
        <w:pStyle w:val="5"/>
        <w:spacing w:before="0" w:after="0" w:line="440" w:lineRule="exact"/>
        <w:ind w:firstLine="420" w:firstLineChars="200"/>
        <w:rPr>
          <w:rFonts w:hint="eastAsia" w:ascii="宋体" w:eastAsia="宋体" w:cs="宋体"/>
          <w:bCs w:val="0"/>
          <w:sz w:val="21"/>
          <w:szCs w:val="21"/>
        </w:rPr>
      </w:pPr>
      <w:r>
        <w:rPr>
          <w:rFonts w:hint="eastAsia" w:ascii="宋体" w:eastAsia="宋体" w:cs="宋体"/>
          <w:b w:val="0"/>
          <w:sz w:val="21"/>
          <w:szCs w:val="21"/>
        </w:rPr>
        <w:t>十、签订地点</w:t>
      </w:r>
    </w:p>
    <w:p w14:paraId="6BF73051">
      <w:pPr>
        <w:spacing w:line="440" w:lineRule="exact"/>
        <w:ind w:firstLine="420" w:firstLineChars="200"/>
        <w:rPr>
          <w:rFonts w:hint="eastAsia" w:ascii="宋体" w:cs="宋体"/>
          <w:bCs/>
          <w:szCs w:val="21"/>
          <w:highlight w:val="none"/>
        </w:rPr>
      </w:pPr>
      <w:r>
        <w:rPr>
          <w:rFonts w:hint="eastAsia" w:ascii="宋体" w:cs="宋体"/>
          <w:bCs/>
          <w:szCs w:val="21"/>
          <w:highlight w:val="none"/>
        </w:rPr>
        <w:t>本合同在</w:t>
      </w:r>
      <w:r>
        <w:rPr>
          <w:rFonts w:hint="eastAsia" w:ascii="宋体" w:cs="宋体"/>
          <w:bCs/>
          <w:szCs w:val="21"/>
          <w:highlight w:val="none"/>
          <w:u w:val="single"/>
        </w:rPr>
        <w:t xml:space="preserve">              </w:t>
      </w:r>
      <w:r>
        <w:rPr>
          <w:rFonts w:hint="eastAsia" w:ascii="宋体" w:cs="宋体"/>
          <w:bCs/>
          <w:szCs w:val="21"/>
          <w:highlight w:val="none"/>
        </w:rPr>
        <w:t>签订。</w:t>
      </w:r>
    </w:p>
    <w:p w14:paraId="12148FBD">
      <w:pPr>
        <w:pStyle w:val="5"/>
        <w:spacing w:before="0" w:after="0" w:line="440" w:lineRule="exact"/>
        <w:ind w:firstLine="420" w:firstLineChars="200"/>
        <w:rPr>
          <w:rFonts w:hint="eastAsia" w:ascii="宋体" w:eastAsia="宋体" w:cs="宋体"/>
          <w:bCs w:val="0"/>
          <w:sz w:val="21"/>
          <w:szCs w:val="21"/>
        </w:rPr>
      </w:pPr>
      <w:r>
        <w:rPr>
          <w:rFonts w:hint="eastAsia" w:ascii="宋体" w:eastAsia="宋体" w:cs="宋体"/>
          <w:b w:val="0"/>
          <w:sz w:val="21"/>
          <w:szCs w:val="21"/>
        </w:rPr>
        <w:t>十一、补充协议</w:t>
      </w:r>
    </w:p>
    <w:p w14:paraId="55238B76">
      <w:pPr>
        <w:spacing w:line="440" w:lineRule="exact"/>
        <w:ind w:firstLine="420" w:firstLineChars="200"/>
        <w:rPr>
          <w:rFonts w:hint="eastAsia" w:ascii="宋体" w:cs="宋体"/>
          <w:b/>
          <w:bCs/>
          <w:szCs w:val="21"/>
        </w:rPr>
      </w:pPr>
      <w:r>
        <w:rPr>
          <w:rFonts w:hint="eastAsia" w:ascii="宋体" w:cs="宋体"/>
          <w:bCs/>
          <w:szCs w:val="21"/>
        </w:rPr>
        <w:t>合同未尽事宜，合同当事人另行签订补充协议，补充协议是合同的组成部分。</w:t>
      </w:r>
    </w:p>
    <w:p w14:paraId="0C8BEAE8">
      <w:pPr>
        <w:pStyle w:val="5"/>
        <w:spacing w:before="0" w:after="0" w:line="440" w:lineRule="exact"/>
        <w:ind w:firstLine="420" w:firstLineChars="200"/>
        <w:rPr>
          <w:rFonts w:hint="eastAsia" w:ascii="宋体" w:eastAsia="宋体" w:cs="宋体"/>
          <w:bCs w:val="0"/>
          <w:sz w:val="21"/>
          <w:szCs w:val="21"/>
        </w:rPr>
      </w:pPr>
      <w:r>
        <w:rPr>
          <w:rFonts w:hint="eastAsia" w:ascii="宋体" w:eastAsia="宋体" w:cs="宋体"/>
          <w:b w:val="0"/>
          <w:sz w:val="21"/>
          <w:szCs w:val="21"/>
        </w:rPr>
        <w:t>十二、合同生效</w:t>
      </w:r>
    </w:p>
    <w:p w14:paraId="5BF34A4F">
      <w:pPr>
        <w:spacing w:line="440" w:lineRule="exact"/>
        <w:ind w:firstLine="420" w:firstLineChars="200"/>
        <w:rPr>
          <w:rFonts w:hint="eastAsia" w:ascii="宋体" w:cs="宋体"/>
          <w:bCs/>
          <w:szCs w:val="21"/>
        </w:rPr>
      </w:pPr>
      <w:r>
        <w:rPr>
          <w:rFonts w:hint="eastAsia" w:ascii="宋体" w:cs="宋体"/>
          <w:bCs/>
          <w:szCs w:val="21"/>
        </w:rPr>
        <w:t>本合同自</w:t>
      </w:r>
      <w:r>
        <w:rPr>
          <w:rFonts w:hint="eastAsia" w:ascii="宋体" w:cs="宋体"/>
          <w:bCs/>
          <w:szCs w:val="21"/>
          <w:u w:val="single"/>
        </w:rPr>
        <w:t xml:space="preserve">  </w:t>
      </w:r>
      <w:r>
        <w:rPr>
          <w:rFonts w:hint="eastAsia" w:ascii="宋体" w:hAnsi="宋体"/>
          <w:szCs w:val="21"/>
          <w:u w:val="single"/>
        </w:rPr>
        <w:t xml:space="preserve">  </w:t>
      </w:r>
      <w:r>
        <w:rPr>
          <w:rFonts w:hint="eastAsia" w:ascii="宋体" w:hAnsi="宋体" w:eastAsia="宋体" w:cs="宋体"/>
          <w:color w:val="auto"/>
          <w:sz w:val="21"/>
          <w:szCs w:val="21"/>
          <w:highlight w:val="none"/>
          <w:u w:val="single"/>
          <w:shd w:val="clear" w:color="auto" w:fill="auto"/>
        </w:rPr>
        <w:t>双方签字盖章后</w:t>
      </w:r>
      <w:r>
        <w:rPr>
          <w:rFonts w:hint="eastAsia" w:ascii="宋体" w:cs="宋体"/>
          <w:szCs w:val="21"/>
          <w:u w:val="single"/>
        </w:rPr>
        <w:t xml:space="preserve">   </w:t>
      </w:r>
      <w:r>
        <w:rPr>
          <w:rFonts w:hint="eastAsia" w:ascii="宋体" w:cs="宋体"/>
          <w:bCs/>
          <w:szCs w:val="21"/>
        </w:rPr>
        <w:t>生效。</w:t>
      </w:r>
    </w:p>
    <w:p w14:paraId="0CD88474">
      <w:pPr>
        <w:pStyle w:val="5"/>
        <w:spacing w:before="0" w:after="0" w:line="440" w:lineRule="exact"/>
        <w:ind w:firstLine="420" w:firstLineChars="200"/>
        <w:rPr>
          <w:rFonts w:hint="eastAsia" w:ascii="宋体" w:eastAsia="宋体" w:cs="宋体"/>
          <w:bCs w:val="0"/>
          <w:sz w:val="21"/>
          <w:szCs w:val="21"/>
        </w:rPr>
      </w:pPr>
      <w:r>
        <w:rPr>
          <w:rFonts w:hint="eastAsia" w:ascii="宋体" w:eastAsia="宋体" w:cs="宋体"/>
          <w:b w:val="0"/>
          <w:sz w:val="21"/>
          <w:szCs w:val="21"/>
        </w:rPr>
        <w:t>十三、合同份数</w:t>
      </w:r>
    </w:p>
    <w:p w14:paraId="5C5834D4">
      <w:pPr>
        <w:spacing w:line="440" w:lineRule="exact"/>
        <w:ind w:firstLine="420" w:firstLineChars="200"/>
        <w:rPr>
          <w:rFonts w:hint="eastAsia" w:ascii="宋体" w:cs="宋体"/>
          <w:bCs/>
          <w:szCs w:val="21"/>
        </w:rPr>
      </w:pPr>
      <w:r>
        <w:rPr>
          <w:rFonts w:hint="eastAsia" w:ascii="宋体" w:cs="宋体"/>
          <w:bCs/>
          <w:szCs w:val="21"/>
          <w:highlight w:val="none"/>
        </w:rPr>
        <w:t>本合同一式</w:t>
      </w:r>
      <w:r>
        <w:rPr>
          <w:rFonts w:hint="eastAsia" w:ascii="宋体" w:cs="宋体"/>
          <w:bCs/>
          <w:szCs w:val="21"/>
          <w:highlight w:val="none"/>
          <w:lang w:eastAsia="zh-CN"/>
        </w:rPr>
        <w:t>肆</w:t>
      </w:r>
      <w:r>
        <w:rPr>
          <w:rFonts w:hint="eastAsia" w:ascii="宋体" w:cs="宋体"/>
          <w:bCs/>
          <w:szCs w:val="21"/>
          <w:highlight w:val="none"/>
        </w:rPr>
        <w:t>份，正本贰份、副本贰份，</w:t>
      </w:r>
      <w:r>
        <w:rPr>
          <w:rFonts w:hint="eastAsia" w:ascii="宋体" w:cs="宋体"/>
          <w:bCs/>
          <w:szCs w:val="21"/>
        </w:rPr>
        <w:t>均具有同等法律效力，发包人执正本壹份、副本叁份，承包人执正本壹份、副本叁份。</w:t>
      </w:r>
    </w:p>
    <w:tbl>
      <w:tblPr>
        <w:tblStyle w:val="47"/>
        <w:tblpPr w:leftFromText="180" w:rightFromText="180" w:vertAnchor="text" w:horzAnchor="page" w:tblpX="1702" w:tblpY="119"/>
        <w:tblW w:w="9072" w:type="dxa"/>
        <w:tblInd w:w="0" w:type="dxa"/>
        <w:tblLayout w:type="fixed"/>
        <w:tblCellMar>
          <w:top w:w="0" w:type="dxa"/>
          <w:left w:w="108" w:type="dxa"/>
          <w:bottom w:w="0" w:type="dxa"/>
          <w:right w:w="108" w:type="dxa"/>
        </w:tblCellMar>
      </w:tblPr>
      <w:tblGrid>
        <w:gridCol w:w="4507"/>
        <w:gridCol w:w="4565"/>
      </w:tblGrid>
      <w:tr w14:paraId="3C620217">
        <w:tblPrEx>
          <w:tblCellMar>
            <w:top w:w="0" w:type="dxa"/>
            <w:left w:w="108" w:type="dxa"/>
            <w:bottom w:w="0" w:type="dxa"/>
            <w:right w:w="108" w:type="dxa"/>
          </w:tblCellMar>
        </w:tblPrEx>
        <w:trPr>
          <w:trHeight w:val="535" w:hRule="atLeast"/>
        </w:trPr>
        <w:tc>
          <w:tcPr>
            <w:tcW w:w="4507" w:type="dxa"/>
            <w:noWrap w:val="0"/>
            <w:vAlign w:val="center"/>
          </w:tcPr>
          <w:p w14:paraId="767BB201">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发包人：（公章）</w:t>
            </w:r>
          </w:p>
        </w:tc>
        <w:tc>
          <w:tcPr>
            <w:tcW w:w="4565" w:type="dxa"/>
            <w:noWrap w:val="0"/>
            <w:vAlign w:val="center"/>
          </w:tcPr>
          <w:p w14:paraId="2E70C625">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承包人：（公章）</w:t>
            </w:r>
          </w:p>
        </w:tc>
      </w:tr>
      <w:tr w14:paraId="39CCE870">
        <w:tblPrEx>
          <w:tblCellMar>
            <w:top w:w="0" w:type="dxa"/>
            <w:left w:w="108" w:type="dxa"/>
            <w:bottom w:w="0" w:type="dxa"/>
            <w:right w:w="108" w:type="dxa"/>
          </w:tblCellMar>
        </w:tblPrEx>
        <w:trPr>
          <w:trHeight w:val="930" w:hRule="atLeast"/>
        </w:trPr>
        <w:tc>
          <w:tcPr>
            <w:tcW w:w="4507" w:type="dxa"/>
            <w:noWrap w:val="0"/>
            <w:vAlign w:val="center"/>
          </w:tcPr>
          <w:p w14:paraId="325670F8">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法定代表人或其委托代理人：</w:t>
            </w:r>
          </w:p>
          <w:p w14:paraId="37B501DF">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（签字）</w:t>
            </w:r>
          </w:p>
        </w:tc>
        <w:tc>
          <w:tcPr>
            <w:tcW w:w="4565" w:type="dxa"/>
            <w:noWrap w:val="0"/>
            <w:vAlign w:val="center"/>
          </w:tcPr>
          <w:p w14:paraId="0B928B4C">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法定代表人或其委托代理人：</w:t>
            </w:r>
          </w:p>
          <w:p w14:paraId="6300316E">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（签字）</w:t>
            </w:r>
          </w:p>
        </w:tc>
      </w:tr>
      <w:tr w14:paraId="49D26254">
        <w:tblPrEx>
          <w:tblCellMar>
            <w:top w:w="0" w:type="dxa"/>
            <w:left w:w="108" w:type="dxa"/>
            <w:bottom w:w="0" w:type="dxa"/>
            <w:right w:w="108" w:type="dxa"/>
          </w:tblCellMar>
        </w:tblPrEx>
        <w:trPr>
          <w:trHeight w:val="4445" w:hRule="atLeast"/>
        </w:trPr>
        <w:tc>
          <w:tcPr>
            <w:tcW w:w="4507" w:type="dxa"/>
            <w:noWrap w:val="0"/>
            <w:vAlign w:val="top"/>
          </w:tcPr>
          <w:p w14:paraId="41BA7F06">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统一社会信用代码：</w:t>
            </w:r>
            <w:r>
              <w:rPr>
                <w:rFonts w:hint="eastAsia" w:hAnsi="宋体" w:cs="宋体"/>
                <w:color w:val="auto"/>
                <w:kern w:val="0"/>
                <w:sz w:val="21"/>
                <w:szCs w:val="21"/>
                <w:highlight w:val="none"/>
                <w:u w:val="single"/>
              </w:rPr>
              <w:t xml:space="preserve">            </w:t>
            </w:r>
          </w:p>
          <w:p w14:paraId="58297E91">
            <w:pPr>
              <w:keepNext w:val="0"/>
              <w:keepLines w:val="0"/>
              <w:widowControl/>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0"/>
                <w:sz w:val="21"/>
                <w:szCs w:val="21"/>
                <w:highlight w:val="none"/>
                <w:u w:val="single"/>
                <w:lang w:val="en-US" w:eastAsia="zh-CN" w:bidi="ar-SA"/>
              </w:rPr>
            </w:pPr>
            <w:r>
              <w:rPr>
                <w:rFonts w:hint="eastAsia" w:hAnsi="宋体" w:cs="宋体"/>
                <w:color w:val="auto"/>
                <w:sz w:val="21"/>
                <w:szCs w:val="21"/>
                <w:highlight w:val="none"/>
              </w:rPr>
              <w:t>地址：</w:t>
            </w:r>
            <w:r>
              <w:rPr>
                <w:rFonts w:hint="eastAsia" w:ascii="宋体" w:hAnsi="宋体" w:eastAsia="宋体" w:cs="宋体"/>
                <w:color w:val="auto"/>
                <w:kern w:val="0"/>
                <w:sz w:val="21"/>
                <w:szCs w:val="21"/>
                <w:highlight w:val="none"/>
                <w:u w:val="single"/>
                <w:lang w:val="en-US" w:eastAsia="zh-CN" w:bidi="ar-SA"/>
              </w:rPr>
              <w:t>安徽省滁州市南谯区中都大道1598号15层</w:t>
            </w:r>
          </w:p>
          <w:p w14:paraId="00A439A8">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邮政编码：</w:t>
            </w:r>
            <w:r>
              <w:rPr>
                <w:rFonts w:hint="eastAsia" w:hAnsi="宋体" w:cs="宋体"/>
                <w:color w:val="auto"/>
                <w:kern w:val="0"/>
                <w:sz w:val="21"/>
                <w:szCs w:val="21"/>
                <w:highlight w:val="none"/>
                <w:u w:val="single"/>
                <w:lang w:val="en-US" w:eastAsia="zh-CN"/>
              </w:rPr>
              <w:t>239000</w:t>
            </w:r>
          </w:p>
          <w:p w14:paraId="5FD42647">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法定代表人：</w:t>
            </w:r>
            <w:r>
              <w:rPr>
                <w:rFonts w:hint="eastAsia" w:hAnsi="宋体" w:cs="宋体"/>
                <w:color w:val="auto"/>
                <w:kern w:val="0"/>
                <w:sz w:val="21"/>
                <w:szCs w:val="21"/>
                <w:highlight w:val="none"/>
                <w:u w:val="single"/>
              </w:rPr>
              <w:t xml:space="preserve">                 </w:t>
            </w:r>
          </w:p>
          <w:p w14:paraId="084F11C0">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委托代理人：</w:t>
            </w:r>
            <w:r>
              <w:rPr>
                <w:rFonts w:hint="eastAsia" w:hAnsi="宋体" w:cs="宋体"/>
                <w:color w:val="auto"/>
                <w:kern w:val="0"/>
                <w:sz w:val="21"/>
                <w:szCs w:val="21"/>
                <w:highlight w:val="none"/>
                <w:u w:val="single"/>
              </w:rPr>
              <w:t xml:space="preserve">                 </w:t>
            </w:r>
          </w:p>
          <w:p w14:paraId="2D04A8F9">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电话：</w:t>
            </w:r>
            <w:r>
              <w:rPr>
                <w:rFonts w:hint="eastAsia" w:hAnsi="宋体" w:cs="宋体"/>
                <w:color w:val="auto"/>
                <w:kern w:val="0"/>
                <w:sz w:val="21"/>
                <w:szCs w:val="21"/>
                <w:highlight w:val="none"/>
                <w:u w:val="single"/>
                <w:lang w:eastAsia="zh-CN"/>
              </w:rPr>
              <w:t>0550-2350288</w:t>
            </w:r>
          </w:p>
          <w:p w14:paraId="79FA4523">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lang w:val="en-US" w:eastAsia="zh-CN"/>
              </w:rPr>
            </w:pPr>
            <w:r>
              <w:rPr>
                <w:rFonts w:hint="eastAsia" w:hAnsi="宋体" w:cs="宋体"/>
                <w:color w:val="auto"/>
                <w:sz w:val="21"/>
                <w:szCs w:val="21"/>
                <w:highlight w:val="none"/>
              </w:rPr>
              <w:t>传真：</w:t>
            </w:r>
            <w:r>
              <w:rPr>
                <w:rFonts w:hint="eastAsia" w:hAnsi="宋体" w:cs="宋体"/>
                <w:color w:val="auto"/>
                <w:kern w:val="0"/>
                <w:sz w:val="21"/>
                <w:szCs w:val="21"/>
                <w:highlight w:val="none"/>
                <w:u w:val="single"/>
                <w:lang w:val="en-US" w:eastAsia="zh-CN"/>
              </w:rPr>
              <w:t>/</w:t>
            </w:r>
          </w:p>
          <w:p w14:paraId="28C533FD">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eastAsia="宋体" w:cs="宋体"/>
                <w:color w:val="auto"/>
                <w:sz w:val="21"/>
                <w:szCs w:val="21"/>
                <w:highlight w:val="none"/>
                <w:lang w:eastAsia="zh-CN"/>
              </w:rPr>
            </w:pPr>
            <w:r>
              <w:rPr>
                <w:rFonts w:hint="eastAsia" w:hAnsi="宋体" w:cs="宋体"/>
                <w:color w:val="auto"/>
                <w:sz w:val="21"/>
                <w:szCs w:val="21"/>
                <w:highlight w:val="none"/>
              </w:rPr>
              <w:t>电子信箱：</w:t>
            </w:r>
            <w:r>
              <w:rPr>
                <w:rFonts w:hint="eastAsia" w:hAnsi="宋体" w:cs="宋体"/>
                <w:color w:val="auto"/>
                <w:kern w:val="0"/>
                <w:sz w:val="21"/>
                <w:szCs w:val="21"/>
                <w:highlight w:val="none"/>
                <w:u w:val="single"/>
                <w:lang w:val="en-US" w:eastAsia="zh-CN"/>
              </w:rPr>
              <w:t>/</w:t>
            </w:r>
          </w:p>
          <w:p w14:paraId="456C2D50">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eastAsia="宋体" w:cs="宋体"/>
                <w:color w:val="auto"/>
                <w:sz w:val="21"/>
                <w:szCs w:val="21"/>
                <w:highlight w:val="none"/>
                <w:lang w:eastAsia="zh-CN"/>
              </w:rPr>
            </w:pPr>
            <w:r>
              <w:rPr>
                <w:rFonts w:hint="eastAsia" w:hAnsi="宋体" w:cs="宋体"/>
                <w:color w:val="auto"/>
                <w:sz w:val="21"/>
                <w:szCs w:val="21"/>
                <w:highlight w:val="none"/>
              </w:rPr>
              <w:t>开户银行：</w:t>
            </w:r>
            <w:r>
              <w:rPr>
                <w:rFonts w:hint="eastAsia" w:hAnsi="宋体" w:cs="宋体"/>
                <w:color w:val="auto"/>
                <w:kern w:val="0"/>
                <w:sz w:val="21"/>
                <w:szCs w:val="21"/>
                <w:highlight w:val="none"/>
                <w:u w:val="single"/>
                <w:lang w:val="en-US" w:eastAsia="zh-CN"/>
              </w:rPr>
              <w:t>/</w:t>
            </w:r>
          </w:p>
          <w:p w14:paraId="7C1D1103">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eastAsia="宋体" w:cs="宋体"/>
                <w:color w:val="auto"/>
                <w:sz w:val="21"/>
                <w:szCs w:val="21"/>
                <w:highlight w:val="none"/>
                <w:lang w:eastAsia="zh-CN"/>
              </w:rPr>
            </w:pPr>
            <w:r>
              <w:rPr>
                <w:rFonts w:hint="eastAsia" w:hAnsi="宋体" w:cs="宋体"/>
                <w:color w:val="auto"/>
                <w:sz w:val="21"/>
                <w:szCs w:val="21"/>
                <w:highlight w:val="none"/>
              </w:rPr>
              <w:t>账号：</w:t>
            </w:r>
            <w:r>
              <w:rPr>
                <w:rFonts w:hint="eastAsia" w:hAnsi="宋体" w:cs="宋体"/>
                <w:color w:val="auto"/>
                <w:kern w:val="0"/>
                <w:sz w:val="21"/>
                <w:szCs w:val="21"/>
                <w:highlight w:val="none"/>
                <w:u w:val="single"/>
                <w:lang w:val="en-US" w:eastAsia="zh-CN"/>
              </w:rPr>
              <w:t>/</w:t>
            </w:r>
          </w:p>
        </w:tc>
        <w:tc>
          <w:tcPr>
            <w:tcW w:w="4565" w:type="dxa"/>
            <w:noWrap w:val="0"/>
            <w:vAlign w:val="top"/>
          </w:tcPr>
          <w:p w14:paraId="54C0FB4B">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统一社会信用代码：</w:t>
            </w:r>
            <w:r>
              <w:rPr>
                <w:rFonts w:hint="eastAsia" w:hAnsi="宋体" w:cs="宋体"/>
                <w:color w:val="auto"/>
                <w:kern w:val="0"/>
                <w:sz w:val="21"/>
                <w:szCs w:val="21"/>
                <w:highlight w:val="none"/>
                <w:u w:val="single"/>
              </w:rPr>
              <w:t xml:space="preserve">            </w:t>
            </w:r>
          </w:p>
          <w:p w14:paraId="742B4A2B">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地址：</w:t>
            </w:r>
            <w:r>
              <w:rPr>
                <w:rFonts w:hint="eastAsia" w:hAnsi="宋体" w:cs="宋体"/>
                <w:color w:val="auto"/>
                <w:kern w:val="0"/>
                <w:sz w:val="21"/>
                <w:szCs w:val="21"/>
                <w:highlight w:val="none"/>
                <w:u w:val="single"/>
              </w:rPr>
              <w:t xml:space="preserve">                        </w:t>
            </w:r>
          </w:p>
          <w:p w14:paraId="000701D5">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邮政编码：</w:t>
            </w:r>
            <w:r>
              <w:rPr>
                <w:rFonts w:hint="eastAsia" w:hAnsi="宋体" w:cs="宋体"/>
                <w:color w:val="auto"/>
                <w:kern w:val="0"/>
                <w:sz w:val="21"/>
                <w:szCs w:val="21"/>
                <w:highlight w:val="none"/>
                <w:u w:val="single"/>
              </w:rPr>
              <w:t xml:space="preserve">                      </w:t>
            </w:r>
          </w:p>
          <w:p w14:paraId="195737DB">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法定代表人：</w:t>
            </w:r>
            <w:r>
              <w:rPr>
                <w:rFonts w:hint="eastAsia" w:hAnsi="宋体" w:cs="宋体"/>
                <w:color w:val="auto"/>
                <w:kern w:val="0"/>
                <w:sz w:val="21"/>
                <w:szCs w:val="21"/>
                <w:highlight w:val="none"/>
                <w:u w:val="single"/>
              </w:rPr>
              <w:t xml:space="preserve">                  </w:t>
            </w:r>
          </w:p>
          <w:p w14:paraId="59688CFD">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委托代理人：</w:t>
            </w:r>
            <w:r>
              <w:rPr>
                <w:rFonts w:hint="eastAsia" w:hAnsi="宋体" w:cs="宋体"/>
                <w:color w:val="auto"/>
                <w:kern w:val="0"/>
                <w:sz w:val="21"/>
                <w:szCs w:val="21"/>
                <w:highlight w:val="none"/>
                <w:u w:val="single"/>
              </w:rPr>
              <w:t xml:space="preserve">                 </w:t>
            </w:r>
          </w:p>
          <w:p w14:paraId="2A24C2DC">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电话：</w:t>
            </w:r>
            <w:r>
              <w:rPr>
                <w:rFonts w:hint="eastAsia" w:hAnsi="宋体" w:cs="宋体"/>
                <w:color w:val="auto"/>
                <w:kern w:val="0"/>
                <w:sz w:val="21"/>
                <w:szCs w:val="21"/>
                <w:highlight w:val="none"/>
                <w:u w:val="single"/>
              </w:rPr>
              <w:t xml:space="preserve">                       </w:t>
            </w:r>
          </w:p>
          <w:p w14:paraId="14A94376">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传真：</w:t>
            </w:r>
            <w:r>
              <w:rPr>
                <w:rFonts w:hint="eastAsia" w:hAnsi="宋体" w:cs="宋体"/>
                <w:color w:val="auto"/>
                <w:kern w:val="0"/>
                <w:sz w:val="21"/>
                <w:szCs w:val="21"/>
                <w:highlight w:val="none"/>
                <w:u w:val="single"/>
              </w:rPr>
              <w:t xml:space="preserve">                       </w:t>
            </w:r>
          </w:p>
          <w:p w14:paraId="24EA8B29">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电子信箱：</w:t>
            </w:r>
            <w:r>
              <w:rPr>
                <w:rFonts w:hint="eastAsia" w:hAnsi="宋体" w:cs="宋体"/>
                <w:color w:val="auto"/>
                <w:kern w:val="0"/>
                <w:sz w:val="21"/>
                <w:szCs w:val="21"/>
                <w:highlight w:val="none"/>
                <w:u w:val="single"/>
              </w:rPr>
              <w:t xml:space="preserve">                   </w:t>
            </w:r>
          </w:p>
          <w:p w14:paraId="204F9C21">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开户银行：</w:t>
            </w:r>
            <w:r>
              <w:rPr>
                <w:rFonts w:hint="eastAsia" w:hAnsi="宋体" w:cs="宋体"/>
                <w:color w:val="auto"/>
                <w:kern w:val="0"/>
                <w:sz w:val="21"/>
                <w:szCs w:val="21"/>
                <w:highlight w:val="none"/>
                <w:u w:val="single"/>
              </w:rPr>
              <w:t xml:space="preserve">                   </w:t>
            </w:r>
          </w:p>
          <w:p w14:paraId="6DFD805E">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账号：</w:t>
            </w:r>
            <w:r>
              <w:rPr>
                <w:rFonts w:hint="eastAsia" w:hAnsi="宋体" w:cs="宋体"/>
                <w:color w:val="auto"/>
                <w:sz w:val="21"/>
                <w:szCs w:val="21"/>
                <w:highlight w:val="none"/>
                <w:u w:val="single"/>
              </w:rPr>
              <w:t xml:space="preserve">                       </w:t>
            </w:r>
          </w:p>
        </w:tc>
      </w:tr>
    </w:tbl>
    <w:p w14:paraId="2421115B">
      <w:pPr>
        <w:spacing w:line="440" w:lineRule="exact"/>
        <w:rPr>
          <w:rFonts w:hint="eastAsia" w:ascii="宋体" w:cs="宋体"/>
          <w:szCs w:val="21"/>
        </w:rPr>
      </w:pPr>
      <w:r>
        <w:rPr>
          <w:rFonts w:hint="eastAsia" w:ascii="宋体" w:cs="宋体"/>
          <w:szCs w:val="21"/>
        </w:rPr>
        <w:t xml:space="preserve">                     </w:t>
      </w:r>
    </w:p>
    <w:p w14:paraId="47DE9D2C">
      <w:pPr>
        <w:spacing w:line="440" w:lineRule="exact"/>
        <w:ind w:firstLine="4410" w:firstLineChars="2100"/>
        <w:rPr>
          <w:rFonts w:hint="eastAsia" w:ascii="宋体" w:cs="宋体"/>
          <w:szCs w:val="21"/>
        </w:rPr>
      </w:pPr>
    </w:p>
    <w:p w14:paraId="73F4574A">
      <w:pPr>
        <w:spacing w:line="440" w:lineRule="exact"/>
        <w:ind w:firstLine="4410" w:firstLineChars="2100"/>
        <w:rPr>
          <w:rFonts w:hint="eastAsia" w:ascii="宋体" w:cs="宋体"/>
          <w:szCs w:val="21"/>
        </w:rPr>
      </w:pPr>
    </w:p>
    <w:p w14:paraId="3943C5F0">
      <w:pPr>
        <w:spacing w:line="440" w:lineRule="exact"/>
        <w:ind w:firstLine="4410" w:firstLineChars="2100"/>
        <w:rPr>
          <w:rFonts w:hint="eastAsia" w:ascii="宋体" w:cs="宋体"/>
          <w:szCs w:val="21"/>
        </w:rPr>
      </w:pPr>
    </w:p>
    <w:p w14:paraId="7FDB86E4">
      <w:pPr>
        <w:pStyle w:val="14"/>
        <w:rPr>
          <w:rFonts w:hint="eastAsia" w:ascii="宋体" w:cs="宋体"/>
          <w:szCs w:val="21"/>
        </w:rPr>
      </w:pPr>
    </w:p>
    <w:p w14:paraId="45D8C436">
      <w:pPr>
        <w:rPr>
          <w:rFonts w:hint="eastAsia" w:ascii="宋体" w:cs="宋体"/>
          <w:szCs w:val="21"/>
        </w:rPr>
      </w:pPr>
    </w:p>
    <w:p w14:paraId="68996332">
      <w:pPr>
        <w:spacing w:line="440" w:lineRule="exact"/>
        <w:rPr>
          <w:rFonts w:hint="eastAsia" w:ascii="宋体" w:cs="宋体"/>
          <w:szCs w:val="21"/>
        </w:rPr>
      </w:pPr>
      <w:r>
        <w:rPr>
          <w:rFonts w:hint="eastAsia" w:ascii="宋体" w:cs="宋体"/>
          <w:szCs w:val="21"/>
        </w:rPr>
        <w:t xml:space="preserve">           </w:t>
      </w:r>
    </w:p>
    <w:p w14:paraId="6E6FB372">
      <w:pPr>
        <w:rPr>
          <w:rFonts w:hint="eastAsia" w:ascii="黑体" w:eastAsia="黑体" w:cs="黑体"/>
        </w:rPr>
      </w:pPr>
      <w:r>
        <w:rPr>
          <w:rFonts w:hint="eastAsia" w:ascii="黑体" w:eastAsia="黑体" w:cs="黑体"/>
        </w:rPr>
        <w:br w:type="page"/>
      </w:r>
    </w:p>
    <w:p w14:paraId="5D951C3C">
      <w:pPr>
        <w:pStyle w:val="4"/>
        <w:jc w:val="center"/>
        <w:rPr>
          <w:rFonts w:hint="eastAsia" w:ascii="黑体" w:eastAsia="黑体" w:cs="黑体"/>
        </w:rPr>
      </w:pPr>
      <w:r>
        <w:rPr>
          <w:rFonts w:hint="eastAsia" w:ascii="黑体" w:eastAsia="黑体" w:cs="黑体"/>
        </w:rPr>
        <w:t>第二节 通用合同条款</w:t>
      </w:r>
    </w:p>
    <w:p w14:paraId="3BD1B480">
      <w:pPr>
        <w:adjustRightInd w:val="0"/>
        <w:snapToGrid w:val="0"/>
        <w:spacing w:line="480" w:lineRule="auto"/>
        <w:ind w:firstLine="562" w:firstLineChars="200"/>
        <w:rPr>
          <w:rFonts w:hint="eastAsia" w:ascii="宋体" w:hAnsi="宋体" w:cs="宋体"/>
          <w:b/>
          <w:bCs/>
          <w:snapToGrid w:val="0"/>
          <w:color w:val="000000"/>
          <w:kern w:val="0"/>
          <w:sz w:val="28"/>
        </w:rPr>
      </w:pPr>
      <w:r>
        <w:rPr>
          <w:rFonts w:hint="eastAsia" w:ascii="宋体" w:hAnsi="宋体" w:cs="宋体"/>
          <w:b/>
          <w:bCs/>
          <w:snapToGrid w:val="0"/>
          <w:color w:val="000000"/>
          <w:kern w:val="0"/>
          <w:sz w:val="28"/>
        </w:rPr>
        <w:t>采用《建设工程施工合同(示范文本)》（GF-2017-0201）中通用合同条款。上述资料由</w:t>
      </w:r>
      <w:r>
        <w:rPr>
          <w:rFonts w:hint="eastAsia" w:ascii="宋体" w:hAnsi="宋体" w:cs="宋体"/>
          <w:b/>
          <w:bCs/>
          <w:snapToGrid w:val="0"/>
          <w:color w:val="000000"/>
          <w:kern w:val="0"/>
          <w:sz w:val="28"/>
          <w:lang w:val="en-US" w:eastAsia="zh-CN"/>
        </w:rPr>
        <w:t>中</w:t>
      </w:r>
      <w:r>
        <w:rPr>
          <w:rFonts w:hint="eastAsia" w:ascii="宋体" w:hAnsi="宋体" w:cs="宋体"/>
          <w:b/>
          <w:bCs/>
          <w:snapToGrid w:val="0"/>
          <w:color w:val="000000"/>
          <w:kern w:val="0"/>
          <w:sz w:val="28"/>
        </w:rPr>
        <w:t>标人自行准备。</w:t>
      </w:r>
    </w:p>
    <w:p w14:paraId="48D17398">
      <w:pPr>
        <w:spacing w:line="440" w:lineRule="exact"/>
        <w:ind w:firstLine="420" w:firstLineChars="200"/>
        <w:rPr>
          <w:rFonts w:hint="eastAsia"/>
        </w:rPr>
      </w:pPr>
    </w:p>
    <w:p w14:paraId="20A9D62C">
      <w:pPr>
        <w:pStyle w:val="4"/>
        <w:jc w:val="center"/>
        <w:rPr>
          <w:rFonts w:hint="eastAsia" w:ascii="黑体" w:eastAsia="黑体" w:cs="黑体"/>
        </w:rPr>
      </w:pPr>
      <w:r>
        <w:rPr>
          <w:rFonts w:hint="eastAsia" w:ascii="黑体" w:eastAsia="黑体" w:cs="黑体"/>
        </w:rPr>
        <w:t>第三节 专用合同条款</w:t>
      </w:r>
    </w:p>
    <w:p w14:paraId="0E66893B">
      <w:pPr>
        <w:pStyle w:val="5"/>
        <w:snapToGrid w:val="0"/>
        <w:spacing w:before="0" w:after="0" w:line="440" w:lineRule="exact"/>
        <w:ind w:firstLine="420" w:firstLineChars="200"/>
        <w:rPr>
          <w:rFonts w:hint="eastAsia" w:ascii="宋体" w:eastAsia="宋体" w:cs="宋体"/>
          <w:b w:val="0"/>
          <w:sz w:val="21"/>
          <w:szCs w:val="21"/>
        </w:rPr>
      </w:pPr>
      <w:r>
        <w:rPr>
          <w:rFonts w:hint="eastAsia" w:ascii="宋体" w:eastAsia="宋体" w:cs="宋体"/>
          <w:b w:val="0"/>
          <w:sz w:val="21"/>
          <w:szCs w:val="21"/>
        </w:rPr>
        <w:t>1. 一般约定</w:t>
      </w:r>
    </w:p>
    <w:p w14:paraId="564E7E8D">
      <w:pPr>
        <w:snapToGrid w:val="0"/>
        <w:spacing w:line="440" w:lineRule="exact"/>
        <w:ind w:firstLine="420" w:firstLineChars="200"/>
        <w:rPr>
          <w:rFonts w:hint="eastAsia" w:ascii="宋体" w:cs="宋体"/>
          <w:szCs w:val="21"/>
        </w:rPr>
      </w:pPr>
      <w:r>
        <w:rPr>
          <w:rFonts w:hint="eastAsia" w:ascii="宋体" w:cs="宋体"/>
          <w:szCs w:val="21"/>
        </w:rPr>
        <w:t>1.1 词语定义</w:t>
      </w:r>
    </w:p>
    <w:p w14:paraId="0352C5D3">
      <w:pPr>
        <w:snapToGrid w:val="0"/>
        <w:spacing w:line="440" w:lineRule="exact"/>
        <w:ind w:firstLine="420" w:firstLineChars="200"/>
        <w:rPr>
          <w:rFonts w:hint="eastAsia" w:ascii="宋体" w:cs="宋体"/>
          <w:kern w:val="0"/>
          <w:szCs w:val="21"/>
        </w:rPr>
      </w:pPr>
      <w:r>
        <w:rPr>
          <w:rFonts w:hint="eastAsia" w:ascii="宋体" w:cs="宋体"/>
          <w:kern w:val="0"/>
          <w:szCs w:val="21"/>
        </w:rPr>
        <w:t>1.1.1合同</w:t>
      </w:r>
    </w:p>
    <w:p w14:paraId="6EA12D57">
      <w:pPr>
        <w:snapToGrid w:val="0"/>
        <w:spacing w:line="440" w:lineRule="exact"/>
        <w:ind w:firstLine="420" w:firstLineChars="200"/>
        <w:rPr>
          <w:rFonts w:hint="eastAsia" w:ascii="宋体" w:cs="宋体"/>
          <w:kern w:val="0"/>
          <w:szCs w:val="21"/>
        </w:rPr>
      </w:pPr>
      <w:r>
        <w:rPr>
          <w:rFonts w:hint="eastAsia" w:ascii="宋体" w:cs="宋体"/>
          <w:kern w:val="0"/>
          <w:szCs w:val="21"/>
        </w:rPr>
        <w:t>1.1.1.1其他合同文件包括：</w:t>
      </w:r>
      <w:r>
        <w:rPr>
          <w:rFonts w:hint="eastAsia" w:ascii="宋体" w:cs="宋体"/>
          <w:szCs w:val="21"/>
          <w:u w:val="single"/>
        </w:rPr>
        <w:t xml:space="preserve">本项目招标文件、在合同订立及履行过程中形成的与合同有关的文件均构成合同文件组成部分。 </w:t>
      </w:r>
    </w:p>
    <w:p w14:paraId="3A8F2FC2">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cs="宋体"/>
          <w:szCs w:val="21"/>
          <w:lang w:eastAsia="zh-CN"/>
        </w:rPr>
      </w:pPr>
      <w:r>
        <w:rPr>
          <w:rFonts w:hint="eastAsia" w:ascii="宋体" w:cs="宋体"/>
          <w:szCs w:val="21"/>
        </w:rPr>
        <w:t>1.1.2 合同其他相关方</w:t>
      </w:r>
      <w:r>
        <w:rPr>
          <w:rFonts w:hint="eastAsia" w:ascii="宋体" w:cs="宋体"/>
          <w:szCs w:val="21"/>
          <w:lang w:eastAsia="zh-CN"/>
        </w:rPr>
        <w:t>：</w:t>
      </w:r>
    </w:p>
    <w:p w14:paraId="6FC2FD5D">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1.1.2.4 监理人：</w:t>
      </w:r>
    </w:p>
    <w:p w14:paraId="77E42711">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名    称：</w:t>
      </w:r>
      <w:r>
        <w:rPr>
          <w:rFonts w:hint="eastAsia" w:ascii="宋体" w:hAnsi="宋体" w:cs="宋体"/>
          <w:color w:val="000000"/>
          <w:highlight w:val="none"/>
          <w:u w:val="single"/>
        </w:rPr>
        <w:t xml:space="preserve">  </w:t>
      </w:r>
      <w:r>
        <w:rPr>
          <w:rFonts w:hint="eastAsia" w:ascii="宋体" w:hAnsi="宋体" w:cs="宋体"/>
          <w:color w:val="000000"/>
          <w:highlight w:val="none"/>
          <w:u w:val="single"/>
          <w:lang w:val="en-US" w:eastAsia="zh-CN"/>
        </w:rPr>
        <w:t xml:space="preserve">                                         </w:t>
      </w:r>
      <w:r>
        <w:rPr>
          <w:rFonts w:hint="eastAsia" w:ascii="宋体" w:hAnsi="宋体" w:cs="宋体"/>
          <w:color w:val="000000"/>
          <w:highlight w:val="none"/>
          <w:u w:val="single"/>
        </w:rPr>
        <w:t xml:space="preserve">  </w:t>
      </w:r>
      <w:r>
        <w:rPr>
          <w:rFonts w:hint="eastAsia" w:ascii="宋体" w:hAnsi="宋体" w:cs="宋体"/>
          <w:color w:val="000000"/>
          <w:highlight w:val="none"/>
        </w:rPr>
        <w:t>；</w:t>
      </w:r>
    </w:p>
    <w:p w14:paraId="1DF6448A">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资质类别和等级：</w:t>
      </w:r>
      <w:r>
        <w:rPr>
          <w:rFonts w:hint="eastAsia" w:ascii="宋体" w:hAnsi="宋体" w:cs="宋体"/>
          <w:color w:val="000000"/>
          <w:highlight w:val="none"/>
          <w:u w:val="single"/>
        </w:rPr>
        <w:t xml:space="preserve">    </w:t>
      </w:r>
      <w:r>
        <w:rPr>
          <w:rFonts w:hint="eastAsia" w:ascii="宋体" w:hAnsi="宋体" w:cs="宋体"/>
          <w:color w:val="000000"/>
          <w:highlight w:val="none"/>
          <w:u w:val="single"/>
          <w:lang w:val="en-US" w:eastAsia="zh-CN"/>
        </w:rPr>
        <w:t xml:space="preserve">                                 </w:t>
      </w:r>
      <w:r>
        <w:rPr>
          <w:rFonts w:hint="eastAsia" w:ascii="宋体" w:hAnsi="宋体" w:cs="宋体"/>
          <w:color w:val="000000"/>
          <w:highlight w:val="none"/>
          <w:u w:val="single"/>
        </w:rPr>
        <w:t></w:t>
      </w:r>
      <w:r>
        <w:rPr>
          <w:rFonts w:hint="eastAsia" w:ascii="宋体" w:hAnsi="宋体" w:cs="宋体"/>
          <w:color w:val="000000"/>
          <w:highlight w:val="none"/>
        </w:rPr>
        <w:t>；</w:t>
      </w:r>
    </w:p>
    <w:p w14:paraId="05C8B7B2">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联系电话：</w:t>
      </w:r>
      <w:r>
        <w:rPr>
          <w:rFonts w:hint="eastAsia" w:ascii="宋体" w:hAnsi="宋体" w:cs="宋体"/>
          <w:color w:val="000000"/>
          <w:highlight w:val="none"/>
          <w:u w:val="single"/>
        </w:rPr>
        <w:t xml:space="preserve">                                             </w:t>
      </w:r>
      <w:r>
        <w:rPr>
          <w:rFonts w:hint="eastAsia" w:ascii="宋体" w:hAnsi="宋体" w:cs="宋体"/>
          <w:color w:val="000000"/>
          <w:highlight w:val="none"/>
        </w:rPr>
        <w:t>；</w:t>
      </w:r>
    </w:p>
    <w:p w14:paraId="281D6EB5">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电子信箱：</w:t>
      </w:r>
      <w:r>
        <w:rPr>
          <w:rFonts w:hint="eastAsia" w:ascii="宋体" w:hAnsi="宋体" w:cs="宋体"/>
          <w:color w:val="000000"/>
          <w:highlight w:val="none"/>
          <w:u w:val="single"/>
        </w:rPr>
        <w:t xml:space="preserve">                                             </w:t>
      </w:r>
      <w:r>
        <w:rPr>
          <w:rFonts w:hint="eastAsia" w:ascii="宋体" w:hAnsi="宋体" w:cs="宋体"/>
          <w:color w:val="000000"/>
          <w:highlight w:val="none"/>
        </w:rPr>
        <w:t>；</w:t>
      </w:r>
    </w:p>
    <w:p w14:paraId="08AA5962">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通信地址：</w:t>
      </w:r>
      <w:r>
        <w:rPr>
          <w:rFonts w:hint="eastAsia" w:ascii="宋体" w:hAnsi="宋体" w:cs="宋体"/>
          <w:color w:val="000000"/>
          <w:highlight w:val="none"/>
          <w:u w:val="single"/>
        </w:rPr>
        <w:t xml:space="preserve">                                             </w:t>
      </w:r>
      <w:r>
        <w:rPr>
          <w:rFonts w:hint="eastAsia" w:ascii="宋体" w:hAnsi="宋体" w:cs="宋体"/>
          <w:color w:val="000000"/>
          <w:highlight w:val="none"/>
        </w:rPr>
        <w:t>。</w:t>
      </w:r>
    </w:p>
    <w:p w14:paraId="43B9DEF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1.1.2.5 设计人：</w:t>
      </w:r>
    </w:p>
    <w:p w14:paraId="18D24B2F">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名    称：</w:t>
      </w:r>
      <w:r>
        <w:rPr>
          <w:rFonts w:hint="eastAsia" w:ascii="宋体" w:hAnsi="宋体" w:cs="宋体"/>
          <w:color w:val="000000"/>
          <w:highlight w:val="none"/>
          <w:u w:val="single"/>
        </w:rPr>
        <w:t xml:space="preserve">     </w:t>
      </w:r>
      <w:r>
        <w:rPr>
          <w:rFonts w:hint="eastAsia" w:ascii="宋体" w:hAnsi="宋体" w:cs="宋体"/>
          <w:color w:val="000000"/>
          <w:highlight w:val="none"/>
          <w:u w:val="single"/>
          <w:lang w:val="en-US" w:eastAsia="zh-CN"/>
        </w:rPr>
        <w:t xml:space="preserve">                                   </w:t>
      </w:r>
      <w:r>
        <w:rPr>
          <w:rFonts w:hint="eastAsia" w:ascii="宋体" w:hAnsi="宋体" w:cs="宋体"/>
          <w:color w:val="000000"/>
          <w:highlight w:val="none"/>
          <w:u w:val="single"/>
        </w:rPr>
        <w:t xml:space="preserve">    </w:t>
      </w:r>
      <w:r>
        <w:rPr>
          <w:rFonts w:hint="eastAsia" w:ascii="宋体" w:hAnsi="宋体" w:cs="宋体"/>
          <w:color w:val="000000"/>
          <w:highlight w:val="none"/>
        </w:rPr>
        <w:t>；</w:t>
      </w:r>
    </w:p>
    <w:p w14:paraId="08FA030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资质类别和等级：</w:t>
      </w:r>
      <w:r>
        <w:rPr>
          <w:rFonts w:hint="eastAsia" w:ascii="宋体" w:hAnsi="宋体" w:cs="宋体"/>
          <w:color w:val="000000"/>
          <w:highlight w:val="none"/>
          <w:u w:val="single"/>
        </w:rPr>
        <w:t></w:t>
      </w:r>
      <w:r>
        <w:rPr>
          <w:rFonts w:hint="eastAsia" w:ascii="宋体" w:hAnsi="宋体" w:cs="宋体"/>
          <w:color w:val="000000"/>
          <w:highlight w:val="none"/>
          <w:u w:val="single"/>
          <w:lang w:val="en-US" w:eastAsia="zh-CN"/>
        </w:rPr>
        <w:t xml:space="preserve">                                  </w:t>
      </w:r>
      <w:r>
        <w:rPr>
          <w:rFonts w:hint="eastAsia" w:ascii="宋体" w:hAnsi="宋体" w:cs="宋体"/>
          <w:color w:val="000000"/>
          <w:highlight w:val="none"/>
          <w:u w:val="single"/>
        </w:rPr>
        <w:t></w:t>
      </w:r>
      <w:r>
        <w:rPr>
          <w:rFonts w:hint="eastAsia" w:ascii="宋体" w:hAnsi="宋体" w:cs="宋体"/>
          <w:color w:val="000000"/>
          <w:highlight w:val="none"/>
        </w:rPr>
        <w:t>；</w:t>
      </w:r>
    </w:p>
    <w:p w14:paraId="30AB8948">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联系电话：</w:t>
      </w:r>
      <w:r>
        <w:rPr>
          <w:rFonts w:hint="eastAsia" w:ascii="宋体" w:hAnsi="宋体" w:cs="宋体"/>
          <w:color w:val="000000"/>
          <w:highlight w:val="none"/>
          <w:u w:val="single"/>
        </w:rPr>
        <w:t xml:space="preserve">                                           </w:t>
      </w:r>
      <w:r>
        <w:rPr>
          <w:rFonts w:hint="eastAsia" w:ascii="宋体" w:hAnsi="宋体" w:cs="宋体"/>
          <w:color w:val="000000"/>
          <w:highlight w:val="none"/>
        </w:rPr>
        <w:t>；</w:t>
      </w:r>
    </w:p>
    <w:p w14:paraId="1C7D3A05">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电子信箱：</w:t>
      </w:r>
      <w:r>
        <w:rPr>
          <w:rFonts w:hint="eastAsia" w:ascii="宋体" w:hAnsi="宋体" w:cs="宋体"/>
          <w:color w:val="000000"/>
          <w:highlight w:val="none"/>
          <w:u w:val="single"/>
        </w:rPr>
        <w:t xml:space="preserve">                                           </w:t>
      </w:r>
      <w:r>
        <w:rPr>
          <w:rFonts w:hint="eastAsia" w:ascii="宋体" w:hAnsi="宋体" w:cs="宋体"/>
          <w:color w:val="000000"/>
          <w:highlight w:val="none"/>
        </w:rPr>
        <w:t>；</w:t>
      </w:r>
    </w:p>
    <w:p w14:paraId="0F3F02F6">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通信地址：</w:t>
      </w:r>
      <w:r>
        <w:rPr>
          <w:rFonts w:hint="eastAsia" w:ascii="宋体" w:hAnsi="宋体" w:cs="宋体"/>
          <w:color w:val="000000"/>
          <w:highlight w:val="none"/>
          <w:u w:val="single"/>
        </w:rPr>
        <w:t xml:space="preserve">                                         </w:t>
      </w:r>
      <w:r>
        <w:rPr>
          <w:rFonts w:hint="eastAsia" w:ascii="宋体" w:hAnsi="宋体" w:cs="宋体"/>
          <w:color w:val="000000"/>
          <w:highlight w:val="none"/>
        </w:rPr>
        <w:t>。</w:t>
      </w:r>
    </w:p>
    <w:p w14:paraId="72FB9889">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1.1.3 工程和设备</w:t>
      </w:r>
    </w:p>
    <w:p w14:paraId="3185AED4">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1.1.3.7 作为施工现场组成部分的其他场所包括：</w:t>
      </w:r>
      <w:r>
        <w:rPr>
          <w:rFonts w:hint="eastAsia" w:ascii="宋体" w:hAnsi="宋体" w:cs="宋体"/>
          <w:color w:val="000000"/>
          <w:u w:val="single"/>
        </w:rPr>
        <w:t xml:space="preserve">  </w:t>
      </w:r>
      <w:r>
        <w:rPr>
          <w:rFonts w:hint="eastAsia" w:ascii="宋体" w:hAnsi="宋体" w:eastAsia="宋体" w:cs="宋体"/>
          <w:color w:val="auto"/>
          <w:szCs w:val="21"/>
          <w:highlight w:val="none"/>
          <w:u w:val="single"/>
        </w:rPr>
        <w:t>见施工图纸并现场确定</w:t>
      </w:r>
      <w:r>
        <w:rPr>
          <w:rFonts w:hint="eastAsia" w:ascii="宋体" w:hAnsi="宋体" w:cs="宋体"/>
          <w:color w:val="000000"/>
          <w:u w:val="single"/>
        </w:rPr>
        <w:t xml:space="preserve">  </w:t>
      </w:r>
      <w:r>
        <w:rPr>
          <w:rFonts w:hint="eastAsia" w:ascii="宋体" w:hAnsi="宋体" w:cs="宋体"/>
          <w:color w:val="000000"/>
        </w:rPr>
        <w:t>。</w:t>
      </w:r>
    </w:p>
    <w:p w14:paraId="3AF81C8A">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kern w:val="0"/>
        </w:rPr>
      </w:pPr>
      <w:r>
        <w:rPr>
          <w:rFonts w:hint="eastAsia" w:ascii="宋体" w:hAnsi="宋体" w:cs="宋体"/>
          <w:color w:val="000000"/>
          <w:kern w:val="0"/>
        </w:rPr>
        <w:t>1.1.3.9 永久占地包括：</w:t>
      </w:r>
      <w:r>
        <w:rPr>
          <w:rFonts w:hint="eastAsia" w:ascii="宋体" w:hAnsi="宋体" w:cs="宋体"/>
          <w:color w:val="000000"/>
          <w:u w:val="single"/>
        </w:rPr>
        <w:t xml:space="preserve">     </w:t>
      </w:r>
      <w:r>
        <w:rPr>
          <w:rFonts w:hint="eastAsia" w:ascii="宋体" w:hAnsi="宋体" w:eastAsia="宋体" w:cs="宋体"/>
          <w:color w:val="auto"/>
          <w:szCs w:val="21"/>
          <w:highlight w:val="none"/>
          <w:u w:val="single"/>
        </w:rPr>
        <w:t>见施工图纸</w:t>
      </w:r>
      <w:r>
        <w:rPr>
          <w:rFonts w:hint="eastAsia" w:ascii="宋体" w:hAnsi="宋体" w:cs="宋体"/>
          <w:color w:val="000000"/>
          <w:u w:val="single"/>
        </w:rPr>
        <w:t xml:space="preserve">       </w:t>
      </w:r>
      <w:r>
        <w:rPr>
          <w:rFonts w:hint="eastAsia" w:ascii="宋体" w:hAnsi="宋体" w:cs="宋体"/>
          <w:color w:val="000000"/>
          <w:kern w:val="0"/>
        </w:rPr>
        <w:t>。</w:t>
      </w:r>
    </w:p>
    <w:p w14:paraId="02E584D3">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kern w:val="0"/>
        </w:rPr>
        <w:t>1.1.3.10 临时占地包括：</w:t>
      </w:r>
      <w:r>
        <w:rPr>
          <w:rFonts w:hint="eastAsia" w:ascii="宋体" w:hAnsi="宋体" w:cs="宋体"/>
          <w:color w:val="000000"/>
          <w:u w:val="single"/>
        </w:rPr>
        <w:t xml:space="preserve">     </w:t>
      </w:r>
      <w:r>
        <w:rPr>
          <w:rFonts w:hint="eastAsia" w:ascii="宋体" w:hAnsi="宋体" w:eastAsia="宋体" w:cs="宋体"/>
          <w:color w:val="auto"/>
          <w:szCs w:val="21"/>
          <w:highlight w:val="none"/>
          <w:u w:val="single"/>
          <w:lang w:val="en-US" w:eastAsia="zh-CN"/>
        </w:rPr>
        <w:t>自行解决</w:t>
      </w:r>
      <w:r>
        <w:rPr>
          <w:rFonts w:hint="eastAsia" w:ascii="宋体" w:hAnsi="宋体" w:cs="宋体"/>
          <w:color w:val="000000"/>
          <w:u w:val="single"/>
        </w:rPr>
        <w:t>  </w:t>
      </w:r>
      <w:r>
        <w:rPr>
          <w:rFonts w:hint="eastAsia" w:ascii="宋体" w:hAnsi="宋体" w:cs="宋体"/>
          <w:color w:val="000000"/>
          <w:kern w:val="0"/>
        </w:rPr>
        <w:t>。</w:t>
      </w:r>
    </w:p>
    <w:p w14:paraId="3C9BD105">
      <w:pPr>
        <w:snapToGrid w:val="0"/>
        <w:spacing w:line="440" w:lineRule="exact"/>
        <w:ind w:firstLine="420" w:firstLineChars="200"/>
        <w:rPr>
          <w:rFonts w:hint="eastAsia" w:ascii="宋体" w:cs="宋体"/>
          <w:szCs w:val="21"/>
        </w:rPr>
      </w:pPr>
      <w:r>
        <w:rPr>
          <w:rFonts w:hint="eastAsia" w:ascii="宋体" w:cs="宋体"/>
          <w:szCs w:val="21"/>
        </w:rPr>
        <w:t xml:space="preserve">1.3法律 </w:t>
      </w:r>
    </w:p>
    <w:p w14:paraId="606A4442">
      <w:pPr>
        <w:autoSpaceDE w:val="0"/>
        <w:autoSpaceDN w:val="0"/>
        <w:adjustRightInd w:val="0"/>
        <w:snapToGrid w:val="0"/>
        <w:spacing w:line="440" w:lineRule="exact"/>
        <w:ind w:firstLine="420" w:firstLineChars="200"/>
        <w:jc w:val="left"/>
        <w:rPr>
          <w:rFonts w:hint="eastAsia" w:ascii="宋体" w:eastAsia="宋体" w:cs="宋体"/>
          <w:szCs w:val="21"/>
          <w:highlight w:val="none"/>
          <w:u w:val="none"/>
          <w:lang w:eastAsia="zh-CN"/>
        </w:rPr>
      </w:pPr>
      <w:r>
        <w:rPr>
          <w:rFonts w:hint="eastAsia" w:ascii="宋体" w:cs="宋体"/>
          <w:szCs w:val="21"/>
          <w:highlight w:val="none"/>
        </w:rPr>
        <w:t>适用于合同的其他规范性文件：</w:t>
      </w:r>
      <w:r>
        <w:rPr>
          <w:rFonts w:hint="eastAsia" w:ascii="宋体" w:cs="宋体"/>
          <w:szCs w:val="21"/>
          <w:highlight w:val="none"/>
          <w:u w:val="single"/>
        </w:rPr>
        <w:t xml:space="preserve"> </w:t>
      </w:r>
      <w:r>
        <w:rPr>
          <w:rFonts w:hint="eastAsia" w:ascii="宋体" w:hAnsi="宋体" w:cs="宋体"/>
          <w:color w:val="000000"/>
          <w:szCs w:val="21"/>
          <w:highlight w:val="none"/>
          <w:u w:val="single"/>
        </w:rPr>
        <w:t>《中华人民共和国民法典》、《中华人民共和国建筑法》、《中华人民共和国招标投标法》、《建设工程质量管理条例》、《建设工程安全生产管理条例》等国家及工程所在地现行有效的法律法规和规章</w:t>
      </w:r>
      <w:r>
        <w:rPr>
          <w:rFonts w:hint="eastAsia" w:ascii="宋体" w:hAnsi="宋体" w:cs="宋体"/>
          <w:color w:val="000000"/>
          <w:szCs w:val="21"/>
          <w:highlight w:val="none"/>
          <w:u w:val="none"/>
          <w:lang w:eastAsia="zh-CN"/>
        </w:rPr>
        <w:t>。</w:t>
      </w:r>
    </w:p>
    <w:p w14:paraId="2E3CF4FF">
      <w:pPr>
        <w:snapToGrid w:val="0"/>
        <w:spacing w:line="440" w:lineRule="exact"/>
        <w:ind w:firstLine="420" w:firstLineChars="200"/>
        <w:rPr>
          <w:rFonts w:hint="eastAsia" w:ascii="宋体" w:cs="宋体"/>
          <w:szCs w:val="21"/>
        </w:rPr>
      </w:pPr>
      <w:r>
        <w:rPr>
          <w:rFonts w:hint="eastAsia" w:ascii="宋体" w:cs="宋体"/>
          <w:szCs w:val="21"/>
        </w:rPr>
        <w:t>1.4 标准和规范</w:t>
      </w:r>
    </w:p>
    <w:p w14:paraId="2A881762">
      <w:pPr>
        <w:snapToGrid w:val="0"/>
        <w:spacing w:line="440" w:lineRule="exact"/>
        <w:ind w:firstLine="420" w:firstLineChars="200"/>
        <w:rPr>
          <w:rFonts w:hint="eastAsia" w:ascii="宋体" w:cs="宋体"/>
          <w:szCs w:val="21"/>
        </w:rPr>
      </w:pPr>
      <w:r>
        <w:rPr>
          <w:rFonts w:hint="eastAsia" w:ascii="宋体" w:cs="宋体"/>
          <w:szCs w:val="21"/>
        </w:rPr>
        <w:t>1.4.1适用于工程的标准规范包括：</w:t>
      </w:r>
      <w:r>
        <w:rPr>
          <w:rFonts w:hint="eastAsia" w:ascii="宋体" w:cs="宋体"/>
          <w:szCs w:val="21"/>
          <w:u w:val="single"/>
        </w:rPr>
        <w:t>中华人民共和国住房和城乡建设部等部门及省、市发布的有关文件</w:t>
      </w:r>
      <w:r>
        <w:rPr>
          <w:rFonts w:hint="eastAsia" w:ascii="宋体" w:cs="宋体"/>
          <w:szCs w:val="21"/>
        </w:rPr>
        <w:t>。</w:t>
      </w:r>
    </w:p>
    <w:p w14:paraId="17E50D49">
      <w:pPr>
        <w:snapToGrid w:val="0"/>
        <w:spacing w:line="440" w:lineRule="exact"/>
        <w:ind w:firstLine="420" w:firstLineChars="200"/>
        <w:rPr>
          <w:rFonts w:hint="eastAsia" w:ascii="宋体" w:cs="宋体"/>
          <w:kern w:val="0"/>
          <w:szCs w:val="21"/>
        </w:rPr>
      </w:pPr>
      <w:r>
        <w:rPr>
          <w:rFonts w:hint="eastAsia" w:ascii="宋体" w:cs="宋体"/>
          <w:kern w:val="0"/>
          <w:szCs w:val="21"/>
        </w:rPr>
        <w:t>1.4.2 发包人提供国外标准、规范的名称：</w:t>
      </w:r>
      <w:r>
        <w:rPr>
          <w:rFonts w:hint="eastAsia" w:ascii="宋体" w:cs="宋体"/>
          <w:kern w:val="0"/>
          <w:szCs w:val="21"/>
          <w:u w:val="single"/>
        </w:rPr>
        <w:t xml:space="preserve"> </w:t>
      </w:r>
      <w:r>
        <w:rPr>
          <w:rFonts w:hint="eastAsia" w:ascii="宋体" w:cs="宋体"/>
          <w:szCs w:val="21"/>
          <w:u w:val="single"/>
        </w:rPr>
        <w:t>承包人自备国内现行适用的标准、规范</w:t>
      </w:r>
      <w:r>
        <w:rPr>
          <w:rFonts w:hint="eastAsia" w:ascii="宋体" w:cs="宋体"/>
          <w:kern w:val="0"/>
          <w:szCs w:val="21"/>
          <w:u w:val="single"/>
        </w:rPr>
        <w:t xml:space="preserve"> </w:t>
      </w:r>
      <w:r>
        <w:rPr>
          <w:rFonts w:hint="eastAsia" w:ascii="宋体" w:cs="宋体"/>
          <w:kern w:val="0"/>
          <w:szCs w:val="21"/>
        </w:rPr>
        <w:t>；</w:t>
      </w:r>
    </w:p>
    <w:p w14:paraId="5628EBE8">
      <w:pPr>
        <w:snapToGrid w:val="0"/>
        <w:spacing w:line="440" w:lineRule="exact"/>
        <w:ind w:firstLine="420" w:firstLineChars="200"/>
        <w:rPr>
          <w:rFonts w:hint="eastAsia" w:ascii="宋体" w:cs="宋体"/>
          <w:kern w:val="0"/>
          <w:szCs w:val="21"/>
        </w:rPr>
      </w:pPr>
      <w:r>
        <w:rPr>
          <w:rFonts w:hint="eastAsia" w:ascii="宋体" w:cs="宋体"/>
          <w:kern w:val="0"/>
          <w:szCs w:val="21"/>
        </w:rPr>
        <w:t>发包人提供国外标准、规范的份数：</w:t>
      </w:r>
      <w:r>
        <w:rPr>
          <w:rFonts w:hint="eastAsia" w:ascii="宋体" w:cs="宋体"/>
          <w:kern w:val="0"/>
          <w:szCs w:val="21"/>
          <w:u w:val="single"/>
        </w:rPr>
        <w:t xml:space="preserve">   无   </w:t>
      </w:r>
      <w:r>
        <w:rPr>
          <w:rFonts w:hint="eastAsia" w:ascii="宋体" w:cs="宋体"/>
          <w:kern w:val="0"/>
          <w:szCs w:val="21"/>
        </w:rPr>
        <w:t>；</w:t>
      </w:r>
    </w:p>
    <w:p w14:paraId="51E7E4F3">
      <w:pPr>
        <w:snapToGrid w:val="0"/>
        <w:spacing w:line="440" w:lineRule="exact"/>
        <w:ind w:firstLine="420" w:firstLineChars="200"/>
        <w:rPr>
          <w:rFonts w:hint="eastAsia" w:ascii="宋体" w:cs="宋体"/>
          <w:szCs w:val="21"/>
        </w:rPr>
      </w:pPr>
      <w:r>
        <w:rPr>
          <w:rFonts w:hint="eastAsia" w:ascii="宋体" w:cs="宋体"/>
          <w:kern w:val="0"/>
          <w:szCs w:val="21"/>
        </w:rPr>
        <w:t>发包人提供国外标准、规范的名称：</w:t>
      </w:r>
      <w:r>
        <w:rPr>
          <w:rFonts w:hint="eastAsia" w:ascii="宋体" w:cs="宋体"/>
          <w:kern w:val="0"/>
          <w:szCs w:val="21"/>
          <w:u w:val="single"/>
        </w:rPr>
        <w:t xml:space="preserve">   无   </w:t>
      </w:r>
      <w:r>
        <w:rPr>
          <w:rFonts w:hint="eastAsia" w:ascii="宋体" w:cs="宋体"/>
          <w:kern w:val="0"/>
          <w:szCs w:val="21"/>
        </w:rPr>
        <w:t>。</w:t>
      </w:r>
    </w:p>
    <w:p w14:paraId="111A04CD">
      <w:pPr>
        <w:snapToGrid w:val="0"/>
        <w:spacing w:line="440" w:lineRule="exact"/>
        <w:ind w:firstLine="420" w:firstLineChars="200"/>
        <w:rPr>
          <w:rFonts w:hint="eastAsia" w:ascii="宋体" w:cs="宋体"/>
          <w:szCs w:val="21"/>
        </w:rPr>
      </w:pPr>
      <w:r>
        <w:rPr>
          <w:rFonts w:hint="eastAsia" w:ascii="宋体" w:cs="宋体"/>
          <w:szCs w:val="21"/>
        </w:rPr>
        <w:t>1.4.3发包人对工程的技术标准和功能要求的特殊要求：</w:t>
      </w:r>
      <w:r>
        <w:rPr>
          <w:rFonts w:hint="eastAsia" w:ascii="宋体" w:cs="宋体"/>
          <w:szCs w:val="21"/>
          <w:u w:val="single"/>
        </w:rPr>
        <w:t xml:space="preserve">按现行规范执行  </w:t>
      </w:r>
      <w:r>
        <w:rPr>
          <w:rFonts w:hint="eastAsia" w:ascii="宋体" w:cs="宋体"/>
          <w:szCs w:val="21"/>
        </w:rPr>
        <w:t>。</w:t>
      </w:r>
    </w:p>
    <w:p w14:paraId="55F86147">
      <w:pPr>
        <w:snapToGrid w:val="0"/>
        <w:spacing w:line="440" w:lineRule="exact"/>
        <w:ind w:firstLine="420" w:firstLineChars="200"/>
        <w:rPr>
          <w:rFonts w:hint="eastAsia" w:ascii="宋体" w:cs="宋体"/>
          <w:szCs w:val="21"/>
        </w:rPr>
      </w:pPr>
      <w:r>
        <w:rPr>
          <w:rFonts w:hint="eastAsia" w:ascii="宋体" w:cs="宋体"/>
          <w:szCs w:val="21"/>
        </w:rPr>
        <w:t>1.5 合同文件的优先顺序</w:t>
      </w:r>
    </w:p>
    <w:p w14:paraId="07F18978">
      <w:pPr>
        <w:snapToGrid w:val="0"/>
        <w:spacing w:line="440" w:lineRule="exact"/>
        <w:ind w:firstLine="420" w:firstLineChars="200"/>
      </w:pPr>
      <w:r>
        <w:rPr>
          <w:rFonts w:hint="eastAsia" w:ascii="宋体" w:cs="宋体"/>
          <w:szCs w:val="21"/>
        </w:rPr>
        <w:t>合同文件组成及优先顺序为：</w:t>
      </w:r>
      <w:r>
        <w:rPr>
          <w:rFonts w:hint="eastAsia" w:ascii="宋体" w:cs="宋体"/>
          <w:szCs w:val="21"/>
          <w:u w:val="single"/>
        </w:rPr>
        <w:t>（1）合同协议书；（2）中</w:t>
      </w:r>
      <w:r>
        <w:rPr>
          <w:rFonts w:hint="eastAsia" w:ascii="宋体" w:cs="宋体"/>
          <w:szCs w:val="21"/>
          <w:u w:val="single"/>
          <w:lang w:val="en-US" w:eastAsia="zh-CN"/>
        </w:rPr>
        <w:t>标</w:t>
      </w:r>
      <w:r>
        <w:rPr>
          <w:rFonts w:hint="eastAsia" w:ascii="宋体" w:cs="宋体"/>
          <w:szCs w:val="21"/>
          <w:u w:val="single"/>
        </w:rPr>
        <w:t>通知书；（3）确认函及其附录；（4）招标文件；（</w:t>
      </w:r>
      <w:r>
        <w:rPr>
          <w:rFonts w:hint="eastAsia" w:ascii="宋体" w:cs="宋体"/>
          <w:szCs w:val="21"/>
          <w:u w:val="single"/>
          <w:lang w:val="en-US" w:eastAsia="zh-CN"/>
        </w:rPr>
        <w:t>5</w:t>
      </w:r>
      <w:r>
        <w:rPr>
          <w:rFonts w:hint="eastAsia" w:ascii="宋体" w:cs="宋体"/>
          <w:szCs w:val="21"/>
          <w:u w:val="single"/>
        </w:rPr>
        <w:t>）技术标准和要求；（</w:t>
      </w:r>
      <w:r>
        <w:rPr>
          <w:rFonts w:hint="eastAsia" w:ascii="宋体" w:cs="宋体"/>
          <w:szCs w:val="21"/>
          <w:u w:val="single"/>
          <w:lang w:val="en-US" w:eastAsia="zh-CN"/>
        </w:rPr>
        <w:t>6</w:t>
      </w:r>
      <w:r>
        <w:rPr>
          <w:rFonts w:hint="eastAsia" w:ascii="宋体" w:cs="宋体"/>
          <w:szCs w:val="21"/>
          <w:u w:val="single"/>
        </w:rPr>
        <w:t>）图纸；（</w:t>
      </w:r>
      <w:r>
        <w:rPr>
          <w:rFonts w:hint="eastAsia" w:ascii="宋体" w:cs="宋体"/>
          <w:szCs w:val="21"/>
          <w:u w:val="single"/>
          <w:lang w:val="en-US" w:eastAsia="zh-CN"/>
        </w:rPr>
        <w:t>7</w:t>
      </w:r>
      <w:r>
        <w:rPr>
          <w:rFonts w:hint="eastAsia" w:ascii="宋体" w:cs="宋体"/>
          <w:szCs w:val="21"/>
          <w:u w:val="single"/>
        </w:rPr>
        <w:t>）已标价工程量清单或预算书；（</w:t>
      </w:r>
      <w:r>
        <w:rPr>
          <w:rFonts w:hint="eastAsia" w:ascii="宋体" w:cs="宋体"/>
          <w:szCs w:val="21"/>
          <w:u w:val="single"/>
          <w:lang w:val="en-US" w:eastAsia="zh-CN"/>
        </w:rPr>
        <w:t>8</w:t>
      </w:r>
      <w:r>
        <w:rPr>
          <w:rFonts w:hint="eastAsia" w:ascii="宋体" w:cs="宋体"/>
          <w:szCs w:val="21"/>
          <w:u w:val="single"/>
        </w:rPr>
        <w:t>）其他合同文件。</w:t>
      </w:r>
    </w:p>
    <w:p w14:paraId="2514E7E6">
      <w:pPr>
        <w:pStyle w:val="14"/>
        <w:spacing w:after="0" w:line="440" w:lineRule="exact"/>
        <w:ind w:left="0" w:leftChars="0"/>
      </w:pPr>
      <w:r>
        <w:t>上述各项合同文件包括合同当事人就该项合同文件所作出的补充和修改，属于同一类内容的文件，应以最新签署的为准。</w:t>
      </w:r>
    </w:p>
    <w:p w14:paraId="3FF7D5E3">
      <w:pPr>
        <w:pStyle w:val="14"/>
        <w:spacing w:after="0" w:line="440" w:lineRule="exact"/>
        <w:ind w:left="0" w:leftChars="0"/>
      </w:pPr>
      <w:r>
        <w:t>在合同订立及履行过程中形成的与合同有关的文件均构成合同文件组成部分，并根据其性质确定优先解释顺序。</w:t>
      </w:r>
    </w:p>
    <w:p w14:paraId="6CE4F3DC">
      <w:pPr>
        <w:snapToGrid w:val="0"/>
        <w:spacing w:line="440" w:lineRule="exact"/>
        <w:ind w:firstLine="420" w:firstLineChars="200"/>
        <w:rPr>
          <w:rFonts w:hint="eastAsia" w:ascii="宋体" w:cs="宋体"/>
          <w:szCs w:val="21"/>
        </w:rPr>
      </w:pPr>
      <w:r>
        <w:rPr>
          <w:rFonts w:hint="eastAsia" w:ascii="宋体" w:cs="宋体"/>
          <w:szCs w:val="21"/>
        </w:rPr>
        <w:t>1.6 图纸和承包人文件</w:t>
      </w:r>
      <w:r>
        <w:rPr>
          <w:rFonts w:hint="eastAsia" w:ascii="宋体" w:cs="宋体"/>
          <w:szCs w:val="21"/>
        </w:rPr>
        <w:tab/>
      </w:r>
    </w:p>
    <w:p w14:paraId="49AE4B8A">
      <w:pPr>
        <w:snapToGrid w:val="0"/>
        <w:spacing w:line="440" w:lineRule="exact"/>
        <w:ind w:firstLine="420" w:firstLineChars="200"/>
        <w:rPr>
          <w:rFonts w:hint="eastAsia" w:ascii="宋体" w:cs="宋体"/>
          <w:szCs w:val="21"/>
        </w:rPr>
      </w:pPr>
      <w:r>
        <w:rPr>
          <w:rFonts w:hint="eastAsia" w:ascii="宋体" w:cs="宋体"/>
          <w:szCs w:val="21"/>
        </w:rPr>
        <w:t>1.6.1 图纸的提供</w:t>
      </w:r>
    </w:p>
    <w:p w14:paraId="4006C2E0">
      <w:pPr>
        <w:snapToGrid w:val="0"/>
        <w:spacing w:line="440" w:lineRule="exact"/>
        <w:ind w:firstLine="420" w:firstLineChars="200"/>
        <w:rPr>
          <w:rFonts w:hint="eastAsia" w:ascii="宋体" w:cs="宋体"/>
          <w:szCs w:val="21"/>
        </w:rPr>
      </w:pPr>
      <w:r>
        <w:rPr>
          <w:rFonts w:hint="eastAsia" w:ascii="宋体" w:cs="宋体"/>
          <w:szCs w:val="21"/>
        </w:rPr>
        <w:t>发包人向承包人提供图纸的期限：</w:t>
      </w:r>
      <w:r>
        <w:rPr>
          <w:rFonts w:hint="eastAsia" w:ascii="宋体" w:cs="宋体"/>
          <w:szCs w:val="21"/>
          <w:u w:val="single"/>
        </w:rPr>
        <w:t xml:space="preserve"> 开工前</w:t>
      </w:r>
      <w:r>
        <w:rPr>
          <w:rFonts w:hint="eastAsia" w:ascii="宋体" w:cs="宋体"/>
          <w:szCs w:val="21"/>
          <w:u w:val="single"/>
          <w:lang w:val="en-US" w:eastAsia="zh-CN"/>
        </w:rPr>
        <w:t>14</w:t>
      </w:r>
      <w:r>
        <w:rPr>
          <w:rFonts w:hint="eastAsia" w:ascii="宋体" w:cs="宋体"/>
          <w:szCs w:val="21"/>
          <w:u w:val="single"/>
        </w:rPr>
        <w:t>天</w:t>
      </w:r>
      <w:r>
        <w:rPr>
          <w:rFonts w:hint="eastAsia" w:ascii="宋体" w:cs="宋体"/>
          <w:szCs w:val="21"/>
        </w:rPr>
        <w:t>；</w:t>
      </w:r>
    </w:p>
    <w:p w14:paraId="0DB10BD2">
      <w:pPr>
        <w:snapToGrid w:val="0"/>
        <w:spacing w:line="440" w:lineRule="exact"/>
        <w:ind w:firstLine="420" w:firstLineChars="200"/>
        <w:rPr>
          <w:rFonts w:hint="eastAsia" w:ascii="宋体" w:cs="宋体"/>
          <w:szCs w:val="21"/>
        </w:rPr>
      </w:pPr>
      <w:r>
        <w:rPr>
          <w:rFonts w:hint="eastAsia" w:ascii="宋体" w:cs="宋体"/>
          <w:szCs w:val="21"/>
        </w:rPr>
        <w:t>发包人向承包人提供图纸的数量：</w:t>
      </w:r>
      <w:r>
        <w:rPr>
          <w:rFonts w:hint="eastAsia" w:ascii="宋体" w:cs="宋体"/>
          <w:szCs w:val="21"/>
          <w:u w:val="single"/>
        </w:rPr>
        <w:t>3份</w:t>
      </w:r>
      <w:r>
        <w:rPr>
          <w:rFonts w:hint="eastAsia" w:ascii="宋体" w:cs="宋体"/>
          <w:szCs w:val="21"/>
          <w:u w:val="single"/>
          <w:lang w:eastAsia="zh-CN"/>
        </w:rPr>
        <w:t>，</w:t>
      </w:r>
      <w:r>
        <w:rPr>
          <w:rFonts w:hint="eastAsia" w:ascii="宋体" w:hAnsi="宋体" w:cs="宋体"/>
          <w:color w:val="000000"/>
          <w:szCs w:val="21"/>
          <w:u w:val="single"/>
        </w:rPr>
        <w:t>不足的由承包人自行复制，费用自理</w:t>
      </w:r>
      <w:r>
        <w:rPr>
          <w:rFonts w:hint="eastAsia" w:ascii="宋体" w:cs="宋体"/>
          <w:szCs w:val="21"/>
          <w:u w:val="single"/>
        </w:rPr>
        <w:t xml:space="preserve"> </w:t>
      </w:r>
      <w:r>
        <w:rPr>
          <w:rFonts w:hint="eastAsia" w:ascii="宋体" w:cs="宋体"/>
          <w:szCs w:val="21"/>
        </w:rPr>
        <w:t>；</w:t>
      </w:r>
    </w:p>
    <w:p w14:paraId="6F027253">
      <w:pPr>
        <w:snapToGrid w:val="0"/>
        <w:spacing w:line="440" w:lineRule="exact"/>
        <w:ind w:firstLine="420" w:firstLineChars="200"/>
        <w:rPr>
          <w:rFonts w:hint="eastAsia" w:ascii="宋体" w:cs="宋体"/>
          <w:szCs w:val="21"/>
        </w:rPr>
      </w:pPr>
      <w:r>
        <w:rPr>
          <w:rFonts w:hint="eastAsia" w:ascii="宋体" w:cs="宋体"/>
          <w:szCs w:val="21"/>
        </w:rPr>
        <w:t>发包人向承包人提供图纸的内容：</w:t>
      </w:r>
      <w:r>
        <w:rPr>
          <w:rFonts w:hint="eastAsia" w:ascii="宋体" w:cs="宋体"/>
          <w:szCs w:val="21"/>
          <w:u w:val="single"/>
        </w:rPr>
        <w:t>全套施工图 </w:t>
      </w:r>
      <w:r>
        <w:rPr>
          <w:rFonts w:hint="eastAsia" w:ascii="宋体" w:cs="宋体"/>
          <w:szCs w:val="21"/>
        </w:rPr>
        <w:t>。</w:t>
      </w:r>
    </w:p>
    <w:p w14:paraId="0FFF32E7">
      <w:pPr>
        <w:snapToGrid w:val="0"/>
        <w:spacing w:line="440" w:lineRule="exact"/>
        <w:ind w:firstLine="420" w:firstLineChars="200"/>
        <w:rPr>
          <w:rFonts w:hint="eastAsia" w:ascii="宋体" w:cs="宋体"/>
          <w:szCs w:val="21"/>
        </w:rPr>
      </w:pPr>
      <w:r>
        <w:rPr>
          <w:rFonts w:hint="eastAsia" w:ascii="宋体" w:cs="宋体"/>
          <w:szCs w:val="21"/>
        </w:rPr>
        <w:t>1.6.4 承包人文件</w:t>
      </w:r>
    </w:p>
    <w:p w14:paraId="4D3450EB">
      <w:pPr>
        <w:snapToGrid w:val="0"/>
        <w:spacing w:line="440" w:lineRule="exact"/>
        <w:ind w:firstLine="420" w:firstLineChars="200"/>
        <w:jc w:val="left"/>
        <w:rPr>
          <w:rFonts w:hint="eastAsia" w:ascii="宋体" w:cs="宋体"/>
          <w:szCs w:val="21"/>
          <w:u w:val="single"/>
        </w:rPr>
      </w:pPr>
      <w:r>
        <w:rPr>
          <w:rFonts w:hint="eastAsia" w:ascii="宋体" w:cs="宋体"/>
          <w:szCs w:val="21"/>
        </w:rPr>
        <w:t>需要由承包人提供的文件，包括：</w:t>
      </w:r>
      <w:r>
        <w:rPr>
          <w:rFonts w:hint="eastAsia" w:ascii="宋体" w:cs="宋体"/>
          <w:szCs w:val="21"/>
          <w:u w:val="single"/>
        </w:rPr>
        <w:t></w:t>
      </w:r>
      <w:r>
        <w:rPr>
          <w:rFonts w:hint="eastAsia" w:ascii="宋体" w:hAnsi="宋体" w:eastAsia="宋体" w:cs="宋体"/>
          <w:color w:val="auto"/>
          <w:szCs w:val="21"/>
          <w:highlight w:val="none"/>
          <w:u w:val="single"/>
        </w:rPr>
        <w:t>按监理要求执行，包括但不限于项目部人员证书、项目部任命文、实施性施工组织设计等</w:t>
      </w:r>
      <w:r>
        <w:rPr>
          <w:rFonts w:hint="eastAsia" w:ascii="宋体" w:cs="宋体"/>
          <w:szCs w:val="21"/>
          <w:u w:val="single"/>
        </w:rPr>
        <w:t xml:space="preserve">  </w:t>
      </w:r>
      <w:r>
        <w:rPr>
          <w:rFonts w:hint="eastAsia" w:ascii="宋体" w:cs="宋体"/>
          <w:szCs w:val="21"/>
        </w:rPr>
        <w:t>；</w:t>
      </w:r>
    </w:p>
    <w:p w14:paraId="7F094FB9">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承包人提供的文件的期限为：</w:t>
      </w:r>
      <w:r>
        <w:rPr>
          <w:rFonts w:hint="eastAsia" w:ascii="宋体" w:cs="宋体"/>
          <w:szCs w:val="21"/>
          <w:highlight w:val="none"/>
          <w:u w:val="single"/>
        </w:rPr>
        <w:t xml:space="preserve">按监理要求执行    </w:t>
      </w:r>
      <w:r>
        <w:rPr>
          <w:rFonts w:hint="eastAsia" w:ascii="宋体" w:cs="宋体"/>
          <w:szCs w:val="21"/>
          <w:highlight w:val="none"/>
        </w:rPr>
        <w:t>；</w:t>
      </w:r>
    </w:p>
    <w:p w14:paraId="4FDFFB2E">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承包人提供的文件的数量为：</w:t>
      </w:r>
      <w:r>
        <w:rPr>
          <w:rFonts w:hint="eastAsia" w:ascii="宋体" w:cs="宋体"/>
          <w:szCs w:val="21"/>
          <w:highlight w:val="none"/>
          <w:u w:val="single"/>
        </w:rPr>
        <w:t>  按</w:t>
      </w:r>
      <w:r>
        <w:rPr>
          <w:rFonts w:hint="eastAsia" w:ascii="宋体" w:hAnsi="Times New Roman" w:eastAsia="宋体" w:cs="宋体"/>
          <w:szCs w:val="21"/>
          <w:highlight w:val="none"/>
          <w:u w:val="single"/>
        </w:rPr>
        <w:t>监理</w:t>
      </w:r>
      <w:r>
        <w:rPr>
          <w:rFonts w:hint="eastAsia" w:ascii="宋体" w:cs="宋体"/>
          <w:szCs w:val="21"/>
          <w:highlight w:val="none"/>
          <w:u w:val="single"/>
        </w:rPr>
        <w:t xml:space="preserve">要求执行    </w:t>
      </w:r>
      <w:r>
        <w:rPr>
          <w:rFonts w:hint="eastAsia" w:ascii="宋体" w:cs="宋体"/>
          <w:szCs w:val="21"/>
          <w:highlight w:val="none"/>
        </w:rPr>
        <w:t>；</w:t>
      </w:r>
    </w:p>
    <w:p w14:paraId="0D7ADC33">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承包人提供的文件的形式为：</w:t>
      </w:r>
      <w:r>
        <w:rPr>
          <w:rFonts w:hint="eastAsia" w:ascii="宋体" w:cs="宋体"/>
          <w:szCs w:val="21"/>
          <w:highlight w:val="none"/>
          <w:u w:val="single"/>
        </w:rPr>
        <w:t>按</w:t>
      </w:r>
      <w:r>
        <w:rPr>
          <w:rFonts w:hint="eastAsia" w:ascii="宋体" w:hAnsi="Times New Roman" w:eastAsia="宋体" w:cs="宋体"/>
          <w:szCs w:val="21"/>
          <w:highlight w:val="none"/>
          <w:u w:val="single"/>
        </w:rPr>
        <w:t>监理</w:t>
      </w:r>
      <w:r>
        <w:rPr>
          <w:rFonts w:hint="eastAsia" w:ascii="宋体" w:cs="宋体"/>
          <w:szCs w:val="21"/>
          <w:highlight w:val="none"/>
          <w:u w:val="single"/>
        </w:rPr>
        <w:t>要求执行  </w:t>
      </w:r>
      <w:r>
        <w:rPr>
          <w:rFonts w:hint="eastAsia" w:ascii="宋体" w:cs="宋体"/>
          <w:szCs w:val="21"/>
          <w:highlight w:val="none"/>
        </w:rPr>
        <w:t>；</w:t>
      </w:r>
    </w:p>
    <w:p w14:paraId="46811BDE">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发包人审批承包人文件的期限：</w:t>
      </w:r>
      <w:r>
        <w:rPr>
          <w:rFonts w:hint="eastAsia" w:ascii="宋体" w:cs="宋体"/>
          <w:szCs w:val="21"/>
          <w:highlight w:val="none"/>
          <w:u w:val="single"/>
        </w:rPr>
        <w:t></w:t>
      </w:r>
      <w:r>
        <w:rPr>
          <w:rFonts w:ascii="宋体" w:hAnsi="宋体" w:eastAsia="宋体" w:cs="宋体"/>
          <w:spacing w:val="-1"/>
          <w:sz w:val="21"/>
          <w:szCs w:val="21"/>
          <w:highlight w:val="none"/>
          <w:u w:val="single" w:color="auto"/>
        </w:rPr>
        <w:t>收到文件后七日内</w:t>
      </w:r>
      <w:r>
        <w:rPr>
          <w:rFonts w:hint="eastAsia" w:ascii="宋体" w:cs="宋体"/>
          <w:szCs w:val="21"/>
          <w:highlight w:val="none"/>
          <w:u w:val="single"/>
        </w:rPr>
        <w:t xml:space="preserve"> </w:t>
      </w:r>
      <w:r>
        <w:rPr>
          <w:rFonts w:hint="eastAsia" w:ascii="宋体" w:cs="宋体"/>
          <w:szCs w:val="21"/>
          <w:highlight w:val="none"/>
        </w:rPr>
        <w:t>。</w:t>
      </w:r>
    </w:p>
    <w:p w14:paraId="459C45CB">
      <w:pPr>
        <w:snapToGrid w:val="0"/>
        <w:spacing w:line="440" w:lineRule="exact"/>
        <w:ind w:firstLine="420" w:firstLineChars="200"/>
        <w:rPr>
          <w:rFonts w:hint="eastAsia" w:ascii="宋体" w:cs="宋体"/>
          <w:szCs w:val="21"/>
        </w:rPr>
      </w:pPr>
      <w:r>
        <w:rPr>
          <w:rFonts w:hint="eastAsia" w:ascii="宋体" w:cs="宋体"/>
          <w:szCs w:val="21"/>
        </w:rPr>
        <w:t>1.6.5 图纸和承包人文件的保管</w:t>
      </w:r>
    </w:p>
    <w:p w14:paraId="31BDD3BA">
      <w:pPr>
        <w:snapToGrid w:val="0"/>
        <w:spacing w:line="440" w:lineRule="exact"/>
        <w:ind w:firstLine="420" w:firstLineChars="200"/>
        <w:rPr>
          <w:rFonts w:hint="eastAsia" w:ascii="宋体" w:cs="宋体"/>
          <w:szCs w:val="21"/>
          <w:highlight w:val="none"/>
        </w:rPr>
      </w:pPr>
      <w:r>
        <w:rPr>
          <w:rFonts w:hint="eastAsia" w:ascii="宋体" w:cs="宋体"/>
          <w:szCs w:val="21"/>
        </w:rPr>
        <w:t>关于图纸和承包人文件的保管的约定：</w:t>
      </w:r>
      <w:r>
        <w:rPr>
          <w:rFonts w:hint="eastAsia" w:ascii="宋体" w:cs="宋体"/>
          <w:szCs w:val="21"/>
          <w:u w:val="single"/>
        </w:rPr>
        <w:t>除专用合同条款另有约定外，承包人应在施工现场另外</w:t>
      </w:r>
      <w:r>
        <w:rPr>
          <w:rFonts w:hint="eastAsia" w:ascii="宋体" w:cs="宋体"/>
          <w:szCs w:val="21"/>
          <w:highlight w:val="none"/>
          <w:u w:val="single"/>
        </w:rPr>
        <w:t>保存一套完整的图纸和承包人文件，供发包人、</w:t>
      </w:r>
      <w:r>
        <w:rPr>
          <w:rFonts w:hint="eastAsia" w:ascii="宋体" w:hAnsi="Times New Roman" w:eastAsia="宋体" w:cs="宋体"/>
          <w:szCs w:val="21"/>
          <w:highlight w:val="none"/>
          <w:u w:val="single"/>
        </w:rPr>
        <w:t>监理人</w:t>
      </w:r>
      <w:r>
        <w:rPr>
          <w:rFonts w:hint="eastAsia" w:ascii="宋体" w:cs="宋体"/>
          <w:szCs w:val="21"/>
          <w:highlight w:val="none"/>
          <w:u w:val="single"/>
        </w:rPr>
        <w:t>及有关人员进行工程检查时使用</w:t>
      </w:r>
      <w:r>
        <w:rPr>
          <w:rFonts w:hint="eastAsia" w:ascii="宋体" w:cs="宋体"/>
          <w:szCs w:val="21"/>
          <w:highlight w:val="none"/>
        </w:rPr>
        <w:t>。</w:t>
      </w:r>
    </w:p>
    <w:p w14:paraId="1B98A67A">
      <w:pPr>
        <w:snapToGrid w:val="0"/>
        <w:spacing w:line="440" w:lineRule="exact"/>
        <w:ind w:firstLine="420" w:firstLineChars="200"/>
        <w:rPr>
          <w:rFonts w:hint="eastAsia" w:ascii="宋体" w:cs="宋体"/>
          <w:szCs w:val="21"/>
        </w:rPr>
      </w:pPr>
      <w:r>
        <w:rPr>
          <w:rFonts w:hint="eastAsia" w:ascii="宋体" w:cs="宋体"/>
          <w:szCs w:val="21"/>
        </w:rPr>
        <w:t>1.7 联络</w:t>
      </w:r>
    </w:p>
    <w:p w14:paraId="5082B600">
      <w:pPr>
        <w:snapToGrid w:val="0"/>
        <w:spacing w:line="440" w:lineRule="exact"/>
        <w:ind w:firstLine="420" w:firstLineChars="200"/>
        <w:jc w:val="left"/>
        <w:rPr>
          <w:rFonts w:hint="eastAsia" w:ascii="宋体" w:cs="宋体"/>
          <w:kern w:val="0"/>
          <w:szCs w:val="21"/>
        </w:rPr>
      </w:pPr>
      <w:r>
        <w:rPr>
          <w:rFonts w:hint="eastAsia" w:ascii="宋体" w:cs="宋体"/>
          <w:kern w:val="0"/>
          <w:szCs w:val="21"/>
        </w:rPr>
        <w:t>1.7.1发包人和承包人应当在</w:t>
      </w:r>
      <w:r>
        <w:rPr>
          <w:rFonts w:hint="eastAsia" w:ascii="宋体" w:cs="宋体"/>
          <w:szCs w:val="21"/>
          <w:u w:val="single"/>
        </w:rPr>
        <w:t xml:space="preserve">7  </w:t>
      </w:r>
      <w:r>
        <w:rPr>
          <w:rFonts w:hint="eastAsia" w:ascii="宋体" w:cs="宋体"/>
          <w:kern w:val="0"/>
          <w:szCs w:val="21"/>
        </w:rPr>
        <w:t>天内将与合同有关的通知、批准、证明、证书、指示、指令、要求、请求、同意、意见、确定和决定等书面函件送达对方当事人。</w:t>
      </w:r>
    </w:p>
    <w:p w14:paraId="49589ADB">
      <w:pPr>
        <w:snapToGrid w:val="0"/>
        <w:spacing w:line="440" w:lineRule="exact"/>
        <w:ind w:firstLine="420" w:firstLineChars="200"/>
        <w:rPr>
          <w:rFonts w:hint="eastAsia" w:ascii="宋体" w:cs="宋体"/>
          <w:kern w:val="0"/>
          <w:szCs w:val="21"/>
          <w:highlight w:val="none"/>
        </w:rPr>
      </w:pPr>
      <w:r>
        <w:rPr>
          <w:rFonts w:hint="eastAsia" w:ascii="宋体" w:cs="宋体"/>
          <w:kern w:val="0"/>
          <w:szCs w:val="21"/>
          <w:highlight w:val="none"/>
        </w:rPr>
        <w:t>1.7.2 发包人接收文件的地点：</w:t>
      </w:r>
      <w:r>
        <w:rPr>
          <w:rFonts w:hint="eastAsia" w:ascii="宋体" w:cs="宋体"/>
          <w:szCs w:val="21"/>
          <w:highlight w:val="none"/>
          <w:u w:val="single"/>
        </w:rPr>
        <w:t></w:t>
      </w:r>
      <w:r>
        <w:rPr>
          <w:rFonts w:hint="eastAsia" w:ascii="宋体" w:hAnsi="Times New Roman" w:eastAsia="宋体" w:cs="宋体"/>
          <w:szCs w:val="21"/>
          <w:highlight w:val="none"/>
          <w:u w:val="single"/>
          <w:lang w:val="en-US" w:eastAsia="zh-CN"/>
        </w:rPr>
        <w:t>安徽省滁州市南谯区中都大道1598号15层</w:t>
      </w:r>
      <w:r>
        <w:rPr>
          <w:rFonts w:hint="eastAsia" w:ascii="宋体" w:cs="宋体"/>
          <w:szCs w:val="21"/>
          <w:highlight w:val="none"/>
          <w:u w:val="single"/>
        </w:rPr>
        <w:t></w:t>
      </w:r>
      <w:r>
        <w:rPr>
          <w:rFonts w:hint="eastAsia" w:ascii="宋体" w:cs="宋体"/>
          <w:kern w:val="0"/>
          <w:szCs w:val="21"/>
          <w:highlight w:val="none"/>
        </w:rPr>
        <w:t>；</w:t>
      </w:r>
    </w:p>
    <w:p w14:paraId="7F9F8532">
      <w:pPr>
        <w:snapToGrid w:val="0"/>
        <w:spacing w:line="440" w:lineRule="exact"/>
        <w:ind w:firstLine="420" w:firstLineChars="200"/>
        <w:rPr>
          <w:rFonts w:hint="eastAsia" w:ascii="宋体" w:cs="宋体"/>
          <w:kern w:val="0"/>
          <w:szCs w:val="21"/>
          <w:highlight w:val="none"/>
        </w:rPr>
      </w:pPr>
      <w:r>
        <w:rPr>
          <w:rFonts w:hint="eastAsia" w:ascii="宋体" w:cs="宋体"/>
          <w:kern w:val="0"/>
          <w:szCs w:val="21"/>
          <w:highlight w:val="none"/>
        </w:rPr>
        <w:t>发包人指定的接收人为：</w:t>
      </w:r>
      <w:r>
        <w:rPr>
          <w:rFonts w:hint="eastAsia" w:ascii="宋体" w:cs="宋体"/>
          <w:szCs w:val="21"/>
          <w:highlight w:val="none"/>
          <w:u w:val="single"/>
        </w:rPr>
        <w:t>发包人代表</w:t>
      </w:r>
      <w:r>
        <w:rPr>
          <w:rFonts w:hint="eastAsia" w:ascii="宋体" w:cs="宋体"/>
          <w:kern w:val="0"/>
          <w:szCs w:val="21"/>
          <w:highlight w:val="none"/>
        </w:rPr>
        <w:t>；</w:t>
      </w:r>
    </w:p>
    <w:p w14:paraId="1AB726B2">
      <w:pPr>
        <w:snapToGrid w:val="0"/>
        <w:spacing w:line="440" w:lineRule="exact"/>
        <w:ind w:firstLine="420" w:firstLineChars="200"/>
        <w:rPr>
          <w:rFonts w:hint="eastAsia" w:ascii="宋体" w:cs="宋体"/>
          <w:kern w:val="0"/>
          <w:szCs w:val="21"/>
          <w:highlight w:val="none"/>
        </w:rPr>
      </w:pPr>
      <w:r>
        <w:rPr>
          <w:rFonts w:hint="eastAsia" w:ascii="宋体" w:cs="宋体"/>
          <w:kern w:val="0"/>
          <w:szCs w:val="21"/>
          <w:highlight w:val="none"/>
        </w:rPr>
        <w:t>承包人接收文件的地点：</w:t>
      </w:r>
      <w:r>
        <w:rPr>
          <w:rFonts w:hint="eastAsia" w:ascii="宋体" w:cs="宋体"/>
          <w:szCs w:val="21"/>
          <w:highlight w:val="none"/>
          <w:u w:val="single"/>
        </w:rPr>
        <w:t></w:t>
      </w:r>
      <w:r>
        <w:rPr>
          <w:rFonts w:hint="eastAsia"/>
          <w:color w:val="auto"/>
          <w:highlight w:val="none"/>
          <w:u w:val="single"/>
        </w:rPr>
        <w:t>项目所在地承包人项目部</w:t>
      </w:r>
      <w:r>
        <w:rPr>
          <w:rFonts w:hint="eastAsia" w:ascii="宋体" w:cs="宋体"/>
          <w:szCs w:val="21"/>
          <w:highlight w:val="none"/>
          <w:u w:val="single"/>
        </w:rPr>
        <w:t></w:t>
      </w:r>
      <w:r>
        <w:rPr>
          <w:rFonts w:hint="eastAsia" w:ascii="宋体" w:cs="宋体"/>
          <w:kern w:val="0"/>
          <w:szCs w:val="21"/>
          <w:highlight w:val="none"/>
        </w:rPr>
        <w:t>；</w:t>
      </w:r>
    </w:p>
    <w:p w14:paraId="07356DA8">
      <w:pPr>
        <w:snapToGrid w:val="0"/>
        <w:spacing w:line="440" w:lineRule="exact"/>
        <w:ind w:firstLine="420" w:firstLineChars="200"/>
        <w:rPr>
          <w:rFonts w:hint="eastAsia" w:ascii="宋体" w:cs="宋体"/>
          <w:kern w:val="0"/>
          <w:szCs w:val="21"/>
          <w:highlight w:val="none"/>
        </w:rPr>
      </w:pPr>
      <w:r>
        <w:rPr>
          <w:rFonts w:hint="eastAsia" w:ascii="宋体" w:cs="宋体"/>
          <w:kern w:val="0"/>
          <w:szCs w:val="21"/>
          <w:highlight w:val="none"/>
        </w:rPr>
        <w:t>承包人指定的接收人为：</w:t>
      </w:r>
      <w:r>
        <w:rPr>
          <w:rFonts w:hint="eastAsia" w:ascii="宋体" w:cs="宋体"/>
          <w:szCs w:val="21"/>
          <w:highlight w:val="none"/>
          <w:u w:val="single"/>
        </w:rPr>
        <w:t>项目负责人</w:t>
      </w:r>
      <w:r>
        <w:rPr>
          <w:rFonts w:hint="eastAsia" w:ascii="宋体" w:cs="宋体"/>
          <w:kern w:val="0"/>
          <w:szCs w:val="21"/>
          <w:highlight w:val="none"/>
        </w:rPr>
        <w:t>。</w:t>
      </w:r>
    </w:p>
    <w:p w14:paraId="4C410AE1">
      <w:pPr>
        <w:snapToGrid w:val="0"/>
        <w:spacing w:line="440" w:lineRule="exact"/>
        <w:ind w:firstLine="420" w:firstLineChars="200"/>
        <w:rPr>
          <w:rFonts w:hint="eastAsia" w:ascii="宋体" w:cs="宋体"/>
          <w:kern w:val="0"/>
          <w:szCs w:val="21"/>
          <w:highlight w:val="none"/>
        </w:rPr>
      </w:pPr>
      <w:r>
        <w:rPr>
          <w:rFonts w:hint="eastAsia" w:ascii="宋体" w:cs="宋体"/>
          <w:kern w:val="0"/>
          <w:szCs w:val="21"/>
          <w:highlight w:val="none"/>
        </w:rPr>
        <w:t>监理人接收文件的地点：</w:t>
      </w:r>
      <w:r>
        <w:rPr>
          <w:rFonts w:hint="eastAsia" w:ascii="宋体" w:cs="宋体"/>
          <w:szCs w:val="21"/>
          <w:highlight w:val="none"/>
          <w:u w:val="single"/>
        </w:rPr>
        <w:t xml:space="preserve"> </w:t>
      </w:r>
      <w:r>
        <w:rPr>
          <w:rFonts w:hint="eastAsia"/>
          <w:color w:val="auto"/>
          <w:highlight w:val="none"/>
          <w:u w:val="single"/>
        </w:rPr>
        <w:t>项目所在地监理人</w:t>
      </w:r>
      <w:r>
        <w:rPr>
          <w:rFonts w:hint="eastAsia"/>
          <w:color w:val="auto"/>
          <w:highlight w:val="none"/>
          <w:u w:val="single"/>
          <w:lang w:eastAsia="zh-CN"/>
        </w:rPr>
        <w:t>办公处</w:t>
      </w:r>
      <w:r>
        <w:rPr>
          <w:rFonts w:hint="eastAsia" w:ascii="宋体" w:cs="宋体"/>
          <w:szCs w:val="21"/>
          <w:highlight w:val="none"/>
          <w:u w:val="single"/>
        </w:rPr>
        <w:t></w:t>
      </w:r>
      <w:r>
        <w:rPr>
          <w:rFonts w:hint="eastAsia" w:ascii="宋体" w:cs="宋体"/>
          <w:kern w:val="0"/>
          <w:szCs w:val="21"/>
          <w:highlight w:val="none"/>
        </w:rPr>
        <w:t>；</w:t>
      </w:r>
    </w:p>
    <w:p w14:paraId="3E8F5999">
      <w:pPr>
        <w:snapToGrid w:val="0"/>
        <w:spacing w:line="440" w:lineRule="exact"/>
        <w:ind w:firstLine="420" w:firstLineChars="200"/>
        <w:rPr>
          <w:rFonts w:hint="eastAsia" w:ascii="宋体" w:cs="宋体"/>
          <w:kern w:val="0"/>
          <w:szCs w:val="21"/>
          <w:highlight w:val="none"/>
        </w:rPr>
      </w:pPr>
      <w:r>
        <w:rPr>
          <w:rFonts w:hint="eastAsia" w:ascii="宋体" w:cs="宋体"/>
          <w:kern w:val="0"/>
          <w:szCs w:val="21"/>
          <w:highlight w:val="none"/>
        </w:rPr>
        <w:t>监理人指定的接收人为：</w:t>
      </w:r>
      <w:r>
        <w:rPr>
          <w:rFonts w:hint="eastAsia" w:ascii="宋体" w:cs="宋体"/>
          <w:szCs w:val="21"/>
          <w:highlight w:val="none"/>
          <w:u w:val="single"/>
        </w:rPr>
        <w:t></w:t>
      </w:r>
      <w:r>
        <w:rPr>
          <w:rFonts w:hint="eastAsia" w:ascii="宋体" w:hAnsi="Times New Roman" w:eastAsia="宋体" w:cs="宋体"/>
          <w:szCs w:val="21"/>
          <w:highlight w:val="none"/>
          <w:u w:val="single"/>
        </w:rPr>
        <w:t xml:space="preserve">总监理工程师或总监代表 </w:t>
      </w:r>
      <w:r>
        <w:rPr>
          <w:rFonts w:hint="eastAsia" w:ascii="宋体" w:cs="宋体"/>
          <w:szCs w:val="21"/>
          <w:highlight w:val="none"/>
          <w:u w:val="single"/>
        </w:rPr>
        <w:t></w:t>
      </w:r>
      <w:r>
        <w:rPr>
          <w:rFonts w:hint="eastAsia" w:ascii="宋体" w:cs="宋体"/>
          <w:kern w:val="0"/>
          <w:szCs w:val="21"/>
          <w:highlight w:val="none"/>
        </w:rPr>
        <w:t>。</w:t>
      </w:r>
    </w:p>
    <w:p w14:paraId="4F9B4DB7">
      <w:pPr>
        <w:snapToGrid w:val="0"/>
        <w:spacing w:line="440" w:lineRule="exact"/>
        <w:ind w:firstLine="420" w:firstLineChars="200"/>
        <w:rPr>
          <w:rFonts w:hint="eastAsia" w:ascii="宋体" w:cs="宋体"/>
          <w:szCs w:val="21"/>
        </w:rPr>
      </w:pPr>
      <w:r>
        <w:rPr>
          <w:rFonts w:hint="eastAsia" w:ascii="宋体" w:cs="宋体"/>
          <w:szCs w:val="21"/>
        </w:rPr>
        <w:t>1.10 交通运输</w:t>
      </w:r>
    </w:p>
    <w:p w14:paraId="617E6E39">
      <w:pPr>
        <w:snapToGrid w:val="0"/>
        <w:spacing w:line="440" w:lineRule="exact"/>
        <w:ind w:firstLine="420" w:firstLineChars="200"/>
        <w:rPr>
          <w:rFonts w:hint="eastAsia" w:ascii="宋体" w:cs="宋体"/>
          <w:szCs w:val="21"/>
        </w:rPr>
      </w:pPr>
      <w:r>
        <w:rPr>
          <w:rFonts w:hint="eastAsia" w:ascii="宋体" w:cs="宋体"/>
          <w:szCs w:val="21"/>
        </w:rPr>
        <w:t>1.10.1 出入现场的权利</w:t>
      </w:r>
    </w:p>
    <w:p w14:paraId="634FADF8">
      <w:pPr>
        <w:snapToGrid w:val="0"/>
        <w:spacing w:line="440" w:lineRule="exact"/>
        <w:ind w:firstLine="420" w:firstLineChars="200"/>
        <w:rPr>
          <w:rFonts w:hint="eastAsia" w:ascii="宋体" w:cs="宋体"/>
          <w:szCs w:val="21"/>
          <w:u w:val="single"/>
        </w:rPr>
      </w:pPr>
      <w:r>
        <w:rPr>
          <w:rFonts w:hint="eastAsia" w:ascii="宋体" w:cs="宋体"/>
          <w:szCs w:val="21"/>
        </w:rPr>
        <w:t>关于出入现场的权利的约定：</w:t>
      </w:r>
      <w:r>
        <w:rPr>
          <w:rFonts w:hint="eastAsia" w:ascii="宋体" w:hAnsi="宋体" w:cs="宋体"/>
          <w:color w:val="auto"/>
          <w:szCs w:val="21"/>
          <w:u w:val="single"/>
          <w:lang w:val="en-US" w:eastAsia="zh-CN"/>
        </w:rPr>
        <w:t>承包人</w:t>
      </w:r>
      <w:r>
        <w:rPr>
          <w:rFonts w:hint="eastAsia" w:ascii="宋体" w:hAnsi="宋体" w:eastAsia="宋体" w:cs="宋体"/>
          <w:color w:val="auto"/>
          <w:szCs w:val="21"/>
          <w:highlight w:val="none"/>
          <w:u w:val="single"/>
        </w:rPr>
        <w:t>应根据施工需要，</w:t>
      </w:r>
      <w:r>
        <w:rPr>
          <w:rFonts w:hint="eastAsia" w:ascii="宋体" w:hAnsi="宋体" w:eastAsia="宋体" w:cs="宋体"/>
          <w:color w:val="auto"/>
          <w:szCs w:val="21"/>
          <w:highlight w:val="none"/>
          <w:u w:val="single"/>
          <w:lang w:val="en-US" w:eastAsia="zh-CN"/>
        </w:rPr>
        <w:t>自行</w:t>
      </w:r>
      <w:r>
        <w:rPr>
          <w:rFonts w:hint="eastAsia" w:ascii="宋体" w:hAnsi="宋体" w:eastAsia="宋体" w:cs="宋体"/>
          <w:color w:val="auto"/>
          <w:szCs w:val="21"/>
          <w:highlight w:val="none"/>
          <w:u w:val="single"/>
        </w:rPr>
        <w:t>负责取得出入施工现场所需的批准手续，以及取得因施工所需修建道路、桥梁以及其他基础设施并承担相关手续费用和建设费用</w:t>
      </w:r>
      <w:r>
        <w:rPr>
          <w:rFonts w:hint="eastAsia" w:ascii="宋体" w:cs="宋体"/>
          <w:szCs w:val="21"/>
          <w:u w:val="single"/>
        </w:rPr>
        <w:t>。</w:t>
      </w:r>
    </w:p>
    <w:p w14:paraId="38163A1B">
      <w:pPr>
        <w:widowControl/>
        <w:snapToGrid w:val="0"/>
        <w:spacing w:line="440" w:lineRule="exact"/>
        <w:ind w:firstLine="420" w:firstLineChars="200"/>
        <w:rPr>
          <w:rFonts w:hint="eastAsia" w:ascii="宋体" w:cs="宋体"/>
          <w:szCs w:val="21"/>
        </w:rPr>
      </w:pPr>
      <w:r>
        <w:rPr>
          <w:rFonts w:hint="eastAsia" w:ascii="宋体" w:cs="宋体"/>
          <w:szCs w:val="21"/>
        </w:rPr>
        <w:t>1.10.3 场内交通</w:t>
      </w:r>
    </w:p>
    <w:p w14:paraId="77E56A02">
      <w:pPr>
        <w:snapToGrid w:val="0"/>
        <w:spacing w:line="440" w:lineRule="exact"/>
        <w:ind w:firstLine="420" w:firstLineChars="200"/>
        <w:jc w:val="left"/>
        <w:rPr>
          <w:rFonts w:hint="eastAsia" w:ascii="宋体" w:cs="宋体"/>
          <w:szCs w:val="21"/>
          <w:u w:val="single"/>
        </w:rPr>
      </w:pPr>
      <w:r>
        <w:rPr>
          <w:rFonts w:hint="eastAsia" w:ascii="宋体" w:cs="宋体"/>
          <w:kern w:val="0"/>
          <w:szCs w:val="21"/>
        </w:rPr>
        <w:t>关于场外交通和场内交通的边界的约定：</w:t>
      </w:r>
      <w:r>
        <w:rPr>
          <w:rFonts w:hint="eastAsia" w:ascii="宋体" w:hAnsi="宋体" w:eastAsia="宋体" w:cs="宋体"/>
          <w:color w:val="auto"/>
          <w:szCs w:val="21"/>
          <w:highlight w:val="none"/>
          <w:u w:val="single"/>
        </w:rPr>
        <w:t>场内交通设施和道路由承包人负责建设，发包人不另支付费用，场内交通边界现场确定</w:t>
      </w:r>
      <w:r>
        <w:rPr>
          <w:rFonts w:hint="eastAsia" w:ascii="宋体" w:cs="宋体"/>
          <w:szCs w:val="21"/>
        </w:rPr>
        <w:t>。</w:t>
      </w:r>
    </w:p>
    <w:p w14:paraId="214E44E9">
      <w:pPr>
        <w:snapToGrid w:val="0"/>
        <w:spacing w:line="440" w:lineRule="exact"/>
        <w:ind w:firstLine="420" w:firstLineChars="200"/>
        <w:jc w:val="left"/>
        <w:rPr>
          <w:rFonts w:hint="eastAsia" w:ascii="宋体" w:cs="宋体"/>
          <w:szCs w:val="21"/>
        </w:rPr>
      </w:pPr>
      <w:r>
        <w:rPr>
          <w:rFonts w:hint="eastAsia" w:ascii="宋体" w:cs="宋体"/>
          <w:szCs w:val="21"/>
        </w:rPr>
        <w:t>关于发包人向承包人免费提供满足工程施工需要的场内道路和交通设施的约定：</w:t>
      </w:r>
      <w:r>
        <w:rPr>
          <w:rFonts w:hint="eastAsia" w:ascii="宋体" w:cs="宋体"/>
          <w:szCs w:val="21"/>
          <w:u w:val="single"/>
        </w:rPr>
        <w:t xml:space="preserve">自行踏勘，自行解决 </w:t>
      </w:r>
      <w:r>
        <w:rPr>
          <w:rFonts w:hint="eastAsia" w:ascii="宋体" w:cs="宋体"/>
          <w:szCs w:val="21"/>
        </w:rPr>
        <w:t>。</w:t>
      </w:r>
    </w:p>
    <w:p w14:paraId="7078FB7B">
      <w:pPr>
        <w:snapToGrid w:val="0"/>
        <w:spacing w:line="440" w:lineRule="exact"/>
        <w:ind w:firstLine="420" w:firstLineChars="200"/>
        <w:jc w:val="left"/>
        <w:rPr>
          <w:rFonts w:hint="eastAsia" w:ascii="宋体" w:cs="宋体"/>
          <w:szCs w:val="21"/>
        </w:rPr>
      </w:pPr>
      <w:r>
        <w:rPr>
          <w:rFonts w:hint="eastAsia" w:ascii="宋体" w:cs="宋体"/>
          <w:szCs w:val="21"/>
        </w:rPr>
        <w:t>1.10.4超大件和超重件的运输</w:t>
      </w:r>
    </w:p>
    <w:p w14:paraId="6D788909">
      <w:pPr>
        <w:snapToGrid w:val="0"/>
        <w:spacing w:line="440" w:lineRule="exact"/>
        <w:ind w:firstLine="420" w:firstLineChars="200"/>
        <w:jc w:val="left"/>
        <w:rPr>
          <w:rFonts w:hint="eastAsia" w:ascii="宋体" w:cs="宋体"/>
          <w:szCs w:val="21"/>
        </w:rPr>
      </w:pPr>
      <w:r>
        <w:rPr>
          <w:rFonts w:hint="eastAsia" w:ascii="宋体" w:cs="宋体"/>
          <w:szCs w:val="21"/>
        </w:rPr>
        <w:t>运输超大件或超重件所需的道路和桥梁临时加固改造费用和其他有关费用由</w:t>
      </w:r>
      <w:r>
        <w:rPr>
          <w:rFonts w:hint="eastAsia" w:ascii="宋体" w:cs="宋体"/>
          <w:szCs w:val="21"/>
          <w:u w:val="single"/>
        </w:rPr>
        <w:t xml:space="preserve">  承包</w:t>
      </w:r>
      <w:r>
        <w:rPr>
          <w:rFonts w:hint="eastAsia" w:ascii="宋体" w:cs="宋体"/>
          <w:szCs w:val="21"/>
          <w:u w:val="single"/>
          <w:lang w:val="en-US" w:eastAsia="zh-CN"/>
        </w:rPr>
        <w:t>人</w:t>
      </w:r>
      <w:r>
        <w:rPr>
          <w:rFonts w:hint="eastAsia" w:ascii="宋体" w:cs="宋体"/>
          <w:szCs w:val="21"/>
          <w:u w:val="single"/>
        </w:rPr>
        <w:t xml:space="preserve"> </w:t>
      </w:r>
      <w:r>
        <w:rPr>
          <w:rFonts w:hint="eastAsia" w:ascii="宋体" w:cs="宋体"/>
          <w:szCs w:val="21"/>
        </w:rPr>
        <w:t>承担。</w:t>
      </w:r>
    </w:p>
    <w:p w14:paraId="35C87F96">
      <w:pPr>
        <w:snapToGrid w:val="0"/>
        <w:spacing w:line="440" w:lineRule="exact"/>
        <w:ind w:firstLine="420" w:firstLineChars="200"/>
        <w:rPr>
          <w:rFonts w:hint="eastAsia" w:ascii="宋体" w:cs="宋体"/>
          <w:szCs w:val="21"/>
        </w:rPr>
      </w:pPr>
      <w:r>
        <w:rPr>
          <w:rFonts w:hint="eastAsia" w:ascii="宋体" w:cs="宋体"/>
          <w:szCs w:val="21"/>
        </w:rPr>
        <w:t>1.11 知识产权</w:t>
      </w:r>
    </w:p>
    <w:p w14:paraId="544F09B6">
      <w:pPr>
        <w:snapToGrid w:val="0"/>
        <w:spacing w:line="440" w:lineRule="exact"/>
        <w:ind w:firstLine="420" w:firstLineChars="200"/>
        <w:rPr>
          <w:rFonts w:hint="eastAsia" w:ascii="宋体" w:cs="宋体"/>
          <w:szCs w:val="21"/>
          <w:u w:val="single"/>
        </w:rPr>
      </w:pPr>
      <w:r>
        <w:rPr>
          <w:rFonts w:hint="eastAsia" w:ascii="宋体" w:cs="宋体"/>
          <w:szCs w:val="21"/>
        </w:rPr>
        <w:t>1.11.1关于发包人提供给承包人的图纸、发包人为实施工程自行编制或委托编制的技术规范以及反映发包人关于合同要求或其他类似性质的文件的著作权的归属：</w:t>
      </w:r>
      <w:r>
        <w:rPr>
          <w:rFonts w:hint="eastAsia" w:ascii="宋体" w:cs="宋体"/>
          <w:szCs w:val="21"/>
          <w:u w:val="single"/>
        </w:rPr>
        <w:t xml:space="preserve">发包人 </w:t>
      </w:r>
      <w:r>
        <w:rPr>
          <w:rFonts w:hint="eastAsia" w:ascii="宋体" w:cs="宋体"/>
          <w:szCs w:val="21"/>
        </w:rPr>
        <w:t>。</w:t>
      </w:r>
    </w:p>
    <w:p w14:paraId="577765A7">
      <w:pPr>
        <w:snapToGrid w:val="0"/>
        <w:spacing w:line="440" w:lineRule="exact"/>
        <w:ind w:firstLine="420" w:firstLineChars="200"/>
        <w:rPr>
          <w:rFonts w:hint="eastAsia" w:ascii="宋体" w:cs="宋体"/>
          <w:szCs w:val="21"/>
        </w:rPr>
      </w:pPr>
      <w:r>
        <w:rPr>
          <w:rFonts w:hint="eastAsia" w:ascii="宋体" w:cs="宋体"/>
          <w:szCs w:val="21"/>
        </w:rPr>
        <w:t>关于发包人提供的上述文件的使用限制的要求：</w:t>
      </w:r>
      <w:r>
        <w:rPr>
          <w:rFonts w:hint="eastAsia" w:ascii="宋体" w:hAnsi="宋体" w:eastAsia="宋体" w:cs="宋体"/>
          <w:color w:val="auto"/>
          <w:szCs w:val="21"/>
          <w:highlight w:val="none"/>
          <w:u w:val="single"/>
        </w:rPr>
        <w:t>未经发包人书面同意，承包人不得为了合同以外的目的而复制、使用上述文件或将之提供给任何第三方</w:t>
      </w:r>
      <w:r>
        <w:rPr>
          <w:rFonts w:hint="eastAsia" w:ascii="宋体" w:cs="宋体"/>
          <w:szCs w:val="21"/>
          <w:u w:val="single"/>
        </w:rPr>
        <w:t>。</w:t>
      </w:r>
    </w:p>
    <w:p w14:paraId="0A5E29E5">
      <w:pPr>
        <w:snapToGrid w:val="0"/>
        <w:spacing w:line="440" w:lineRule="exact"/>
        <w:ind w:firstLine="420" w:firstLineChars="200"/>
        <w:rPr>
          <w:rFonts w:hint="eastAsia" w:ascii="宋体" w:cs="宋体"/>
          <w:szCs w:val="21"/>
        </w:rPr>
      </w:pPr>
      <w:r>
        <w:rPr>
          <w:rFonts w:hint="eastAsia" w:ascii="宋体" w:cs="宋体"/>
          <w:szCs w:val="21"/>
        </w:rPr>
        <w:t>1.11.2 关于承包人为实施工程所编制文件的著作权的归属：</w:t>
      </w:r>
      <w:r>
        <w:rPr>
          <w:rFonts w:hint="eastAsia" w:ascii="宋体" w:cs="宋体"/>
          <w:szCs w:val="21"/>
          <w:u w:val="single"/>
        </w:rPr>
        <w:t xml:space="preserve"> 发包人  </w:t>
      </w:r>
      <w:r>
        <w:rPr>
          <w:rFonts w:hint="eastAsia" w:ascii="宋体" w:cs="宋体"/>
          <w:szCs w:val="21"/>
        </w:rPr>
        <w:t>。</w:t>
      </w:r>
    </w:p>
    <w:p w14:paraId="0A376C87">
      <w:pPr>
        <w:snapToGrid w:val="0"/>
        <w:spacing w:line="440" w:lineRule="exact"/>
        <w:ind w:firstLine="420" w:firstLineChars="200"/>
        <w:rPr>
          <w:rFonts w:hint="eastAsia" w:ascii="宋体" w:cs="宋体"/>
          <w:szCs w:val="21"/>
          <w:u w:val="single"/>
        </w:rPr>
      </w:pPr>
      <w:r>
        <w:rPr>
          <w:rFonts w:hint="eastAsia" w:ascii="宋体" w:cs="宋体"/>
          <w:szCs w:val="21"/>
        </w:rPr>
        <w:t>关于承包人提供的上述文件的使用限制的要求：</w:t>
      </w:r>
      <w:r>
        <w:rPr>
          <w:rFonts w:hint="eastAsia" w:ascii="宋体" w:cs="宋体"/>
          <w:szCs w:val="21"/>
          <w:u w:val="single"/>
        </w:rPr>
        <w:t xml:space="preserve">承包人可因实施工程的运行、调试、维修、改造等目的而复制、使用此类文件，但不能用于与合同无关的其他事项。未经发包人书面同意，承包人不得为了合同以外的目的而复制、使用上述文件或将之提供给任何第三方。 </w:t>
      </w:r>
    </w:p>
    <w:p w14:paraId="595F448B">
      <w:pPr>
        <w:snapToGrid w:val="0"/>
        <w:spacing w:line="440" w:lineRule="exact"/>
        <w:ind w:firstLine="420" w:firstLineChars="200"/>
        <w:rPr>
          <w:rFonts w:hint="eastAsia" w:ascii="宋体" w:cs="宋体"/>
          <w:kern w:val="0"/>
          <w:szCs w:val="21"/>
        </w:rPr>
      </w:pPr>
      <w:r>
        <w:rPr>
          <w:rFonts w:hint="eastAsia" w:ascii="宋体" w:cs="宋体"/>
          <w:szCs w:val="21"/>
        </w:rPr>
        <w:t>1.11.4 承包人在施工过程中所采用的专利、专有技术、技术秘密的使用费的承担方式：</w:t>
      </w:r>
      <w:r>
        <w:rPr>
          <w:rFonts w:hint="eastAsia" w:ascii="宋体" w:cs="宋体"/>
          <w:szCs w:val="21"/>
          <w:u w:val="single"/>
        </w:rPr>
        <w:t>该费用已包含在签约合同价中。</w:t>
      </w:r>
    </w:p>
    <w:p w14:paraId="64136266">
      <w:pPr>
        <w:snapToGrid w:val="0"/>
        <w:spacing w:line="440" w:lineRule="exact"/>
        <w:ind w:firstLine="420" w:firstLineChars="200"/>
        <w:rPr>
          <w:rFonts w:hint="eastAsia" w:ascii="宋体" w:hAnsi="宋体" w:cs="宋体"/>
          <w:szCs w:val="21"/>
        </w:rPr>
      </w:pPr>
      <w:r>
        <w:rPr>
          <w:rFonts w:hint="eastAsia" w:ascii="宋体" w:hAnsi="宋体" w:cs="宋体"/>
          <w:szCs w:val="21"/>
        </w:rPr>
        <w:t>1.13工程量清单错误的修正</w:t>
      </w:r>
    </w:p>
    <w:p w14:paraId="092541A9">
      <w:pPr>
        <w:snapToGrid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出现工程量清单错误时，是否调整合同价格：</w:t>
      </w:r>
      <w:r>
        <w:rPr>
          <w:rFonts w:hint="eastAsia" w:ascii="宋体" w:hAnsi="宋体" w:cs="宋体"/>
          <w:szCs w:val="21"/>
          <w:highlight w:val="none"/>
          <w:u w:val="single"/>
        </w:rPr>
        <w:t xml:space="preserve">  是，具体调整方式见下款  </w:t>
      </w:r>
      <w:r>
        <w:rPr>
          <w:rFonts w:hint="eastAsia" w:ascii="宋体" w:hAnsi="宋体" w:cs="宋体"/>
          <w:szCs w:val="21"/>
          <w:highlight w:val="none"/>
        </w:rPr>
        <w:t>。</w:t>
      </w:r>
    </w:p>
    <w:p w14:paraId="3BDB4DB3">
      <w:pPr>
        <w:snapToGrid w:val="0"/>
        <w:spacing w:line="440" w:lineRule="exact"/>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rPr>
        <w:t>允许调整合同价格的工程量偏差范围：</w:t>
      </w:r>
      <w:r>
        <w:rPr>
          <w:rFonts w:hint="eastAsia" w:ascii="宋体" w:hAnsi="宋体" w:cs="宋体"/>
          <w:color w:val="auto"/>
          <w:szCs w:val="21"/>
          <w:highlight w:val="none"/>
          <w:lang w:eastAsia="zh-CN"/>
        </w:rPr>
        <w:t>招标发布的施工图纸以外的，在施工过程中工程量。</w:t>
      </w:r>
    </w:p>
    <w:p w14:paraId="4F56EEE7">
      <w:pPr>
        <w:spacing w:line="440" w:lineRule="exact"/>
        <w:ind w:firstLine="420" w:firstLineChars="200"/>
        <w:rPr>
          <w:rFonts w:hint="eastAsia"/>
          <w:highlight w:val="none"/>
          <w:lang w:eastAsia="zh-CN"/>
        </w:rPr>
      </w:pPr>
      <w:r>
        <w:rPr>
          <w:rFonts w:hint="eastAsia" w:ascii="宋体" w:hAnsi="Times New Roman" w:eastAsia="宋体" w:cs="宋体"/>
          <w:b w:val="0"/>
          <w:bCs w:val="0"/>
          <w:color w:val="auto"/>
          <w:kern w:val="2"/>
          <w:sz w:val="21"/>
          <w:szCs w:val="21"/>
          <w:highlight w:val="none"/>
          <w:u w:val="single"/>
          <w:lang w:val="en-US" w:eastAsia="zh-CN" w:bidi="ar-SA"/>
        </w:rPr>
        <w:t>施工过程出现招标发布的施工设计文件范围以外的项目，以及业主新增工作要求，通过变更方式计入暂列金进行结算。</w:t>
      </w:r>
    </w:p>
    <w:p w14:paraId="1265A23C">
      <w:pPr>
        <w:snapToGrid w:val="0"/>
        <w:spacing w:line="440" w:lineRule="exact"/>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u w:val="single"/>
        </w:rPr>
        <w:t>承包人拒绝实施因</w:t>
      </w:r>
      <w:r>
        <w:rPr>
          <w:rFonts w:hint="eastAsia" w:ascii="宋体" w:hAnsi="宋体" w:eastAsia="宋体" w:cs="宋体"/>
          <w:b/>
          <w:bCs/>
          <w:color w:val="auto"/>
          <w:spacing w:val="-6"/>
          <w:kern w:val="0"/>
          <w:szCs w:val="21"/>
          <w:highlight w:val="none"/>
          <w:u w:val="single"/>
        </w:rPr>
        <w:t>此产生变化的施工内容或范围</w:t>
      </w:r>
      <w:r>
        <w:rPr>
          <w:rFonts w:hint="eastAsia" w:ascii="宋体" w:hAnsi="宋体" w:eastAsia="宋体" w:cs="宋体"/>
          <w:b/>
          <w:bCs/>
          <w:color w:val="auto"/>
          <w:szCs w:val="21"/>
          <w:highlight w:val="none"/>
          <w:u w:val="single"/>
        </w:rPr>
        <w:t>，将被视为违约，发包人视情节轻重给予违约处罚。结算时，工程量按实计算。结算工程量减少或增加</w:t>
      </w:r>
      <w:r>
        <w:rPr>
          <w:rFonts w:hint="eastAsia" w:ascii="宋体" w:hAnsi="宋体" w:cs="宋体"/>
          <w:b/>
          <w:bCs/>
          <w:color w:val="auto"/>
          <w:szCs w:val="21"/>
          <w:highlight w:val="none"/>
          <w:u w:val="single"/>
          <w:lang w:val="en-US" w:eastAsia="zh-CN"/>
        </w:rPr>
        <w:t>的</w:t>
      </w:r>
      <w:r>
        <w:rPr>
          <w:rFonts w:hint="eastAsia" w:ascii="宋体" w:hAnsi="宋体" w:eastAsia="宋体" w:cs="宋体"/>
          <w:b/>
          <w:bCs/>
          <w:color w:val="auto"/>
          <w:szCs w:val="21"/>
          <w:highlight w:val="none"/>
          <w:u w:val="single"/>
        </w:rPr>
        <w:t>部分，</w:t>
      </w:r>
      <w:r>
        <w:rPr>
          <w:rFonts w:hint="eastAsia" w:ascii="宋体" w:hAnsi="宋体" w:eastAsia="宋体" w:cs="宋体"/>
          <w:b/>
          <w:bCs/>
          <w:color w:val="auto"/>
          <w:szCs w:val="21"/>
          <w:highlight w:val="none"/>
        </w:rPr>
        <w:t>执行</w:t>
      </w:r>
      <w:r>
        <w:rPr>
          <w:rFonts w:hint="eastAsia" w:ascii="宋体" w:hAnsi="宋体" w:cs="宋体"/>
          <w:b/>
          <w:bCs/>
          <w:color w:val="auto"/>
          <w:szCs w:val="21"/>
          <w:highlight w:val="none"/>
          <w:lang w:val="en-US" w:eastAsia="zh-CN"/>
        </w:rPr>
        <w:t>下列</w:t>
      </w:r>
      <w:r>
        <w:rPr>
          <w:rFonts w:hint="eastAsia" w:ascii="宋体" w:hAnsi="宋体" w:eastAsia="宋体" w:cs="宋体"/>
          <w:b/>
          <w:bCs/>
          <w:color w:val="auto"/>
          <w:szCs w:val="21"/>
          <w:highlight w:val="none"/>
        </w:rPr>
        <w:t>第（1）款或第（2）款</w:t>
      </w:r>
      <w:r>
        <w:rPr>
          <w:rFonts w:hint="eastAsia" w:ascii="宋体" w:hAnsi="宋体" w:cs="宋体"/>
          <w:b/>
          <w:bCs/>
          <w:color w:val="auto"/>
          <w:szCs w:val="21"/>
          <w:highlight w:val="none"/>
          <w:lang w:val="en-US" w:eastAsia="zh-CN"/>
        </w:rPr>
        <w:t>或第</w:t>
      </w:r>
      <w:r>
        <w:rPr>
          <w:rFonts w:hint="eastAsia" w:ascii="宋体" w:hAnsi="宋体" w:eastAsia="宋体" w:cs="宋体"/>
          <w:b/>
          <w:bCs/>
          <w:color w:val="auto"/>
          <w:szCs w:val="21"/>
          <w:highlight w:val="none"/>
        </w:rPr>
        <w:t>（</w:t>
      </w:r>
      <w:r>
        <w:rPr>
          <w:rFonts w:hint="eastAsia" w:ascii="宋体" w:hAnsi="宋体" w:cs="宋体"/>
          <w:b/>
          <w:bCs/>
          <w:color w:val="auto"/>
          <w:szCs w:val="21"/>
          <w:highlight w:val="none"/>
          <w:lang w:val="en-US" w:eastAsia="zh-CN"/>
        </w:rPr>
        <w:t>3</w:t>
      </w:r>
      <w:r>
        <w:rPr>
          <w:rFonts w:hint="eastAsia" w:ascii="宋体" w:hAnsi="宋体" w:eastAsia="宋体" w:cs="宋体"/>
          <w:b/>
          <w:bCs/>
          <w:color w:val="auto"/>
          <w:szCs w:val="21"/>
          <w:highlight w:val="none"/>
        </w:rPr>
        <w:t>）款确定的单价</w:t>
      </w:r>
      <w:r>
        <w:rPr>
          <w:rFonts w:hint="eastAsia" w:ascii="宋体" w:hAnsi="宋体" w:cs="宋体"/>
          <w:b/>
          <w:color w:val="auto"/>
          <w:highlight w:val="none"/>
          <w:u w:val="none"/>
          <w:lang w:eastAsia="zh-CN"/>
        </w:rPr>
        <w:t>。</w:t>
      </w:r>
    </w:p>
    <w:p w14:paraId="2D0E079E">
      <w:pPr>
        <w:snapToGrid w:val="0"/>
        <w:spacing w:line="440" w:lineRule="exact"/>
        <w:ind w:firstLine="422" w:firstLineChars="200"/>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1.13.1</w:t>
      </w:r>
    </w:p>
    <w:p w14:paraId="34D5324B">
      <w:pPr>
        <w:snapToGrid w:val="0"/>
        <w:spacing w:line="440" w:lineRule="exact"/>
        <w:ind w:firstLine="422" w:firstLineChars="200"/>
        <w:rPr>
          <w:rFonts w:hint="eastAsia" w:ascii="宋体" w:eastAsia="宋体" w:cs="宋体"/>
          <w:b w:val="0"/>
          <w:color w:val="auto"/>
          <w:sz w:val="21"/>
          <w:szCs w:val="21"/>
          <w:highlight w:val="none"/>
        </w:rPr>
      </w:pPr>
      <w:r>
        <w:rPr>
          <w:rFonts w:hint="eastAsia" w:ascii="宋体" w:hAnsi="宋体" w:eastAsia="宋体" w:cs="宋体"/>
          <w:b/>
          <w:color w:val="auto"/>
          <w:highlight w:val="none"/>
          <w:u w:val="none"/>
        </w:rPr>
        <w:t>（1）已标价工程量清单或预算书有相同项目的，按照相同项目单价认定；（2）已标价工程量清单或预算书中无相同项目，但有类似项目的，参照类似项目的单价认定</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rPr>
        <w:t>类似项目的单价是指其采用的材料、施工工艺和方法基本相似的项目</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lang w:val="en-US" w:eastAsia="zh-CN"/>
        </w:rPr>
        <w:t>3</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rPr>
        <w:t>已标价工程量清单或预算书</w:t>
      </w:r>
      <w:r>
        <w:rPr>
          <w:rFonts w:hint="eastAsia" w:ascii="宋体" w:hAnsi="宋体" w:eastAsia="宋体" w:cs="宋体"/>
          <w:b/>
          <w:color w:val="auto"/>
          <w:highlight w:val="none"/>
          <w:u w:val="none"/>
          <w:lang w:val="en-US" w:eastAsia="zh-CN"/>
        </w:rPr>
        <w:t>既无</w:t>
      </w:r>
      <w:r>
        <w:rPr>
          <w:rFonts w:hint="eastAsia" w:ascii="宋体" w:hAnsi="宋体" w:eastAsia="宋体" w:cs="宋体"/>
          <w:b/>
          <w:color w:val="auto"/>
          <w:highlight w:val="none"/>
          <w:u w:val="none"/>
        </w:rPr>
        <w:t>相同项目</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lang w:val="en-US" w:eastAsia="zh-CN"/>
        </w:rPr>
        <w:t>也无类似项目的单价</w:t>
      </w:r>
      <w:r>
        <w:rPr>
          <w:rFonts w:hint="eastAsia" w:ascii="宋体" w:hAnsi="宋体" w:eastAsia="宋体" w:cs="宋体"/>
          <w:b/>
          <w:color w:val="auto"/>
          <w:highlight w:val="none"/>
          <w:u w:val="none"/>
        </w:rPr>
        <w:t>按照最高投标限价的编制原则重新组价×投标让利幅度（上述投标让利幅度为中标价/最高投标限价，其中中标价和最高投标限价均扣除暂列金额、暂估价及相应税金</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rPr>
        <w:t>材料</w:t>
      </w:r>
      <w:r>
        <w:rPr>
          <w:rFonts w:hint="eastAsia" w:ascii="宋体" w:hAnsi="宋体" w:eastAsia="宋体" w:cs="宋体"/>
          <w:b/>
          <w:color w:val="auto"/>
          <w:highlight w:val="none"/>
          <w:u w:val="none"/>
          <w:lang w:val="en-US" w:eastAsia="zh-CN"/>
        </w:rPr>
        <w:t>价</w:t>
      </w:r>
      <w:r>
        <w:rPr>
          <w:rFonts w:hint="eastAsia" w:ascii="宋体" w:hAnsi="宋体" w:eastAsia="宋体" w:cs="宋体"/>
          <w:b/>
          <w:color w:val="auto"/>
          <w:highlight w:val="none"/>
          <w:u w:val="none"/>
        </w:rPr>
        <w:t>按施工当期《</w:t>
      </w:r>
      <w:r>
        <w:rPr>
          <w:rFonts w:hint="eastAsia" w:ascii="宋体" w:hAnsi="宋体" w:eastAsia="宋体" w:cs="宋体"/>
          <w:b/>
          <w:color w:val="auto"/>
          <w:highlight w:val="none"/>
          <w:u w:val="none"/>
          <w:lang w:val="en-US" w:eastAsia="zh-CN"/>
        </w:rPr>
        <w:t>滁</w:t>
      </w:r>
      <w:r>
        <w:rPr>
          <w:rFonts w:hint="eastAsia" w:ascii="宋体" w:hAnsi="宋体" w:eastAsia="宋体" w:cs="宋体"/>
          <w:b/>
          <w:color w:val="auto"/>
          <w:highlight w:val="none"/>
          <w:u w:val="none"/>
        </w:rPr>
        <w:t>州</w:t>
      </w:r>
      <w:r>
        <w:rPr>
          <w:rFonts w:hint="eastAsia" w:ascii="宋体" w:hAnsi="宋体" w:eastAsia="宋体" w:cs="宋体"/>
          <w:b/>
          <w:color w:val="auto"/>
          <w:highlight w:val="none"/>
          <w:u w:val="none"/>
          <w:lang w:val="en-US" w:eastAsia="zh-CN"/>
        </w:rPr>
        <w:t>市</w:t>
      </w:r>
      <w:r>
        <w:rPr>
          <w:rFonts w:hint="eastAsia" w:ascii="宋体" w:hAnsi="宋体" w:eastAsia="宋体" w:cs="宋体"/>
          <w:b/>
          <w:color w:val="auto"/>
          <w:highlight w:val="none"/>
          <w:u w:val="none"/>
        </w:rPr>
        <w:t>建设工程</w:t>
      </w:r>
      <w:r>
        <w:rPr>
          <w:rFonts w:hint="eastAsia" w:ascii="宋体" w:hAnsi="宋体" w:eastAsia="宋体" w:cs="宋体"/>
          <w:b/>
          <w:color w:val="auto"/>
          <w:highlight w:val="none"/>
          <w:u w:val="none"/>
          <w:lang w:val="en-US" w:eastAsia="zh-CN"/>
        </w:rPr>
        <w:t>材料市场价格</w:t>
      </w:r>
      <w:r>
        <w:rPr>
          <w:rFonts w:hint="eastAsia" w:ascii="宋体" w:hAnsi="宋体" w:eastAsia="宋体" w:cs="宋体"/>
          <w:b/>
          <w:color w:val="auto"/>
          <w:highlight w:val="none"/>
          <w:u w:val="none"/>
        </w:rPr>
        <w:t>信息》确定：若信息价为区间价的，则按区间价的算术平均值计取；信息价中没有的材料，由业主、监理、施工三方核定后确定，认价材料不参与下浮</w:t>
      </w:r>
      <w:r>
        <w:rPr>
          <w:rFonts w:hint="eastAsia" w:ascii="宋体" w:hAnsi="宋体" w:cs="宋体"/>
          <w:b/>
          <w:color w:val="auto"/>
          <w:highlight w:val="none"/>
          <w:u w:val="none"/>
          <w:lang w:eastAsia="zh-CN"/>
        </w:rPr>
        <w:t>；</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lang w:val="en-US" w:eastAsia="zh-CN"/>
        </w:rPr>
        <w:t>4</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rPr>
        <w:t>若取消某工程项目，则该项目的价款不予支付</w:t>
      </w:r>
      <w:r>
        <w:rPr>
          <w:rFonts w:hint="eastAsia" w:ascii="宋体" w:hAnsi="宋体" w:cs="宋体"/>
          <w:b/>
          <w:color w:val="auto"/>
          <w:highlight w:val="none"/>
          <w:u w:val="none"/>
          <w:lang w:eastAsia="zh-CN"/>
        </w:rPr>
        <w:t>。</w:t>
      </w:r>
    </w:p>
    <w:p w14:paraId="0E87E501">
      <w:pPr>
        <w:pStyle w:val="5"/>
        <w:pageBreakBefore w:val="0"/>
        <w:widowControl w:val="0"/>
        <w:kinsoku/>
        <w:wordWrap/>
        <w:overflowPunct/>
        <w:topLinePunct w:val="0"/>
        <w:autoSpaceDE/>
        <w:autoSpaceDN/>
        <w:bidi w:val="0"/>
        <w:snapToGrid w:val="0"/>
        <w:spacing w:before="0" w:after="0" w:line="440" w:lineRule="exact"/>
        <w:ind w:firstLine="420" w:firstLineChars="200"/>
        <w:textAlignment w:val="auto"/>
        <w:rPr>
          <w:rFonts w:hint="eastAsia" w:ascii="宋体" w:eastAsia="宋体" w:cs="宋体"/>
          <w:b w:val="0"/>
          <w:color w:val="auto"/>
          <w:sz w:val="21"/>
          <w:szCs w:val="21"/>
        </w:rPr>
      </w:pPr>
      <w:r>
        <w:rPr>
          <w:rFonts w:hint="eastAsia" w:ascii="宋体" w:eastAsia="宋体" w:cs="宋体"/>
          <w:b w:val="0"/>
          <w:color w:val="auto"/>
          <w:sz w:val="21"/>
          <w:szCs w:val="21"/>
        </w:rPr>
        <w:t>2. 发包人</w:t>
      </w:r>
    </w:p>
    <w:p w14:paraId="2B2D6BFC">
      <w:pPr>
        <w:keepNext/>
        <w:keepLines/>
        <w:pageBreakBefore w:val="0"/>
        <w:widowControl w:val="0"/>
        <w:kinsoku/>
        <w:wordWrap/>
        <w:overflowPunct/>
        <w:topLinePunct w:val="0"/>
        <w:autoSpaceDE/>
        <w:autoSpaceDN/>
        <w:bidi w:val="0"/>
        <w:adjustRightInd w:val="0"/>
        <w:snapToGrid w:val="0"/>
        <w:spacing w:line="440" w:lineRule="exact"/>
        <w:ind w:firstLine="420" w:firstLineChars="200"/>
        <w:textAlignment w:val="auto"/>
        <w:outlineLvl w:val="3"/>
        <w:rPr>
          <w:rFonts w:hint="eastAsia" w:ascii="宋体" w:hAnsi="宋体" w:cs="宋体"/>
          <w:bCs/>
          <w:color w:val="000000"/>
          <w:szCs w:val="28"/>
        </w:rPr>
      </w:pPr>
      <w:r>
        <w:rPr>
          <w:rFonts w:hint="eastAsia" w:ascii="宋体" w:hAnsi="宋体" w:cs="宋体"/>
          <w:bCs/>
          <w:color w:val="000000"/>
          <w:szCs w:val="28"/>
        </w:rPr>
        <w:t>2.2 发包人代表</w:t>
      </w:r>
    </w:p>
    <w:p w14:paraId="01AD4559">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发包人代表：</w:t>
      </w:r>
    </w:p>
    <w:p w14:paraId="410A721D">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姓    名：</w:t>
      </w:r>
      <w:r>
        <w:rPr>
          <w:rFonts w:hint="eastAsia" w:ascii="宋体" w:hAnsi="宋体" w:cs="宋体"/>
          <w:color w:val="000000"/>
          <w:highlight w:val="none"/>
          <w:u w:val="single"/>
        </w:rPr>
        <w:t xml:space="preserve">                                 </w:t>
      </w:r>
      <w:r>
        <w:rPr>
          <w:rFonts w:hint="eastAsia" w:ascii="宋体" w:hAnsi="宋体" w:cs="宋体"/>
          <w:color w:val="000000"/>
          <w:highlight w:val="none"/>
        </w:rPr>
        <w:t>；</w:t>
      </w:r>
    </w:p>
    <w:p w14:paraId="7F53E848">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身份证号：</w:t>
      </w:r>
      <w:r>
        <w:rPr>
          <w:rFonts w:hint="eastAsia" w:ascii="宋体" w:hAnsi="宋体" w:cs="宋体"/>
          <w:color w:val="000000"/>
          <w:highlight w:val="none"/>
          <w:u w:val="single"/>
        </w:rPr>
        <w:t xml:space="preserve">                                   </w:t>
      </w:r>
      <w:r>
        <w:rPr>
          <w:rFonts w:hint="eastAsia" w:ascii="宋体" w:hAnsi="宋体" w:cs="宋体"/>
          <w:color w:val="000000"/>
          <w:highlight w:val="none"/>
        </w:rPr>
        <w:t>；</w:t>
      </w:r>
    </w:p>
    <w:p w14:paraId="1D1A7BF2">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职    务：</w:t>
      </w:r>
      <w:r>
        <w:rPr>
          <w:rFonts w:hint="eastAsia" w:ascii="宋体" w:hAnsi="宋体" w:cs="宋体"/>
          <w:color w:val="000000"/>
          <w:highlight w:val="none"/>
          <w:u w:val="single"/>
        </w:rPr>
        <w:t xml:space="preserve">                                 </w:t>
      </w:r>
      <w:r>
        <w:rPr>
          <w:rFonts w:hint="eastAsia" w:ascii="宋体" w:hAnsi="宋体" w:cs="宋体"/>
          <w:color w:val="000000"/>
          <w:highlight w:val="none"/>
        </w:rPr>
        <w:t>；</w:t>
      </w:r>
    </w:p>
    <w:p w14:paraId="7DDD61B6">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联系电话：</w:t>
      </w:r>
      <w:r>
        <w:rPr>
          <w:rFonts w:hint="eastAsia" w:ascii="宋体" w:hAnsi="宋体" w:cs="宋体"/>
          <w:color w:val="000000"/>
          <w:highlight w:val="none"/>
          <w:u w:val="single"/>
        </w:rPr>
        <w:t xml:space="preserve">                                     </w:t>
      </w:r>
      <w:r>
        <w:rPr>
          <w:rFonts w:hint="eastAsia" w:ascii="宋体" w:hAnsi="宋体" w:cs="宋体"/>
          <w:color w:val="000000"/>
          <w:highlight w:val="none"/>
        </w:rPr>
        <w:t>；</w:t>
      </w:r>
    </w:p>
    <w:p w14:paraId="1124C25A">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电子信箱：</w:t>
      </w:r>
      <w:r>
        <w:rPr>
          <w:rFonts w:hint="eastAsia" w:ascii="宋体" w:hAnsi="宋体" w:cs="宋体"/>
          <w:color w:val="000000"/>
          <w:highlight w:val="none"/>
          <w:u w:val="single"/>
        </w:rPr>
        <w:t xml:space="preserve">                                   </w:t>
      </w:r>
      <w:r>
        <w:rPr>
          <w:rFonts w:hint="eastAsia" w:ascii="宋体" w:hAnsi="宋体" w:cs="宋体"/>
          <w:color w:val="000000"/>
          <w:highlight w:val="none"/>
        </w:rPr>
        <w:t>；</w:t>
      </w:r>
    </w:p>
    <w:p w14:paraId="0906ABFF">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通信地址：</w:t>
      </w:r>
      <w:r>
        <w:rPr>
          <w:rFonts w:hint="eastAsia" w:ascii="宋体" w:hAnsi="宋体" w:cs="宋体"/>
          <w:color w:val="000000"/>
          <w:highlight w:val="none"/>
          <w:u w:val="single"/>
        </w:rPr>
        <w:t xml:space="preserve">                                 </w:t>
      </w:r>
      <w:r>
        <w:rPr>
          <w:rFonts w:hint="eastAsia" w:ascii="宋体" w:hAnsi="宋体" w:cs="宋体"/>
          <w:color w:val="000000"/>
          <w:highlight w:val="none"/>
        </w:rPr>
        <w:t>。</w:t>
      </w:r>
    </w:p>
    <w:p w14:paraId="6137865A">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b/>
          <w:color w:val="000000"/>
          <w:highlight w:val="none"/>
        </w:rPr>
      </w:pPr>
      <w:r>
        <w:rPr>
          <w:rFonts w:hint="eastAsia" w:ascii="宋体" w:hAnsi="宋体" w:cs="宋体"/>
          <w:color w:val="000000"/>
          <w:highlight w:val="none"/>
        </w:rPr>
        <w:t>发包人对发包人代表的授权范围如下：</w:t>
      </w:r>
      <w:r>
        <w:rPr>
          <w:rFonts w:hint="eastAsia" w:ascii="宋体" w:hAnsi="宋体" w:cs="宋体"/>
          <w:color w:val="000000"/>
          <w:highlight w:val="none"/>
          <w:u w:val="single"/>
        </w:rPr>
        <w:t xml:space="preserve">             </w:t>
      </w:r>
      <w:r>
        <w:rPr>
          <w:rFonts w:hint="eastAsia" w:ascii="宋体" w:hAnsi="宋体" w:cs="宋体"/>
          <w:color w:val="000000"/>
          <w:highlight w:val="none"/>
        </w:rPr>
        <w:t>。</w:t>
      </w:r>
    </w:p>
    <w:p w14:paraId="31BD9F5C">
      <w:pPr>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cs="宋体"/>
          <w:szCs w:val="21"/>
        </w:rPr>
      </w:pPr>
      <w:r>
        <w:rPr>
          <w:rFonts w:hint="eastAsia" w:ascii="宋体" w:cs="宋体"/>
          <w:szCs w:val="21"/>
        </w:rPr>
        <w:t>2.4 施工现场、施工条件和基础资料的提供</w:t>
      </w:r>
    </w:p>
    <w:p w14:paraId="05BCD48F">
      <w:pPr>
        <w:snapToGrid w:val="0"/>
        <w:spacing w:line="440" w:lineRule="exact"/>
        <w:ind w:firstLine="420" w:firstLineChars="200"/>
        <w:rPr>
          <w:rFonts w:hint="eastAsia" w:ascii="宋体" w:cs="宋体"/>
          <w:szCs w:val="21"/>
        </w:rPr>
      </w:pPr>
      <w:r>
        <w:rPr>
          <w:rFonts w:hint="eastAsia" w:ascii="宋体" w:cs="宋体"/>
          <w:szCs w:val="21"/>
        </w:rPr>
        <w:t>2.4.1 提供施工现场</w:t>
      </w:r>
    </w:p>
    <w:p w14:paraId="11142D30">
      <w:pPr>
        <w:snapToGrid w:val="0"/>
        <w:spacing w:line="440" w:lineRule="exact"/>
        <w:ind w:firstLine="420" w:firstLineChars="200"/>
        <w:jc w:val="left"/>
        <w:rPr>
          <w:rFonts w:hint="eastAsia" w:ascii="宋体" w:cs="宋体"/>
          <w:szCs w:val="21"/>
        </w:rPr>
      </w:pPr>
      <w:r>
        <w:rPr>
          <w:rFonts w:hint="eastAsia" w:ascii="宋体" w:cs="宋体"/>
          <w:szCs w:val="21"/>
        </w:rPr>
        <w:t>关于发包人移交施工现场的期限要求：</w:t>
      </w:r>
      <w:r>
        <w:rPr>
          <w:rFonts w:hint="eastAsia" w:ascii="宋体" w:cs="宋体"/>
          <w:szCs w:val="21"/>
          <w:u w:val="single"/>
        </w:rPr>
        <w:t>发包人应最迟于开工日期7天前向承包人移交施工现场。</w:t>
      </w:r>
    </w:p>
    <w:p w14:paraId="586AEF0C">
      <w:pPr>
        <w:snapToGrid w:val="0"/>
        <w:spacing w:line="440" w:lineRule="exact"/>
        <w:ind w:firstLine="420" w:firstLineChars="200"/>
        <w:rPr>
          <w:rFonts w:hint="eastAsia" w:ascii="宋体" w:cs="宋体"/>
          <w:szCs w:val="21"/>
        </w:rPr>
      </w:pPr>
      <w:r>
        <w:rPr>
          <w:rFonts w:hint="eastAsia" w:ascii="宋体" w:cs="宋体"/>
          <w:szCs w:val="21"/>
        </w:rPr>
        <w:t>2.4.2 提供施工条件</w:t>
      </w:r>
    </w:p>
    <w:p w14:paraId="694C47BD">
      <w:pPr>
        <w:snapToGrid w:val="0"/>
        <w:spacing w:line="440" w:lineRule="exact"/>
        <w:ind w:firstLine="420" w:firstLineChars="200"/>
        <w:rPr>
          <w:rFonts w:hint="eastAsia" w:ascii="宋体" w:cs="宋体"/>
          <w:szCs w:val="21"/>
          <w:u w:val="single"/>
        </w:rPr>
      </w:pPr>
      <w:r>
        <w:rPr>
          <w:rFonts w:hint="eastAsia" w:ascii="宋体" w:cs="宋体"/>
          <w:szCs w:val="21"/>
        </w:rPr>
        <w:t>关于发包人应负责提供施工所需要的条件，包括：</w:t>
      </w:r>
      <w:r>
        <w:rPr>
          <w:rFonts w:hint="eastAsia" w:ascii="宋体" w:hAnsi="宋体" w:eastAsia="宋体" w:cs="宋体"/>
          <w:color w:val="auto"/>
          <w:szCs w:val="21"/>
          <w:highlight w:val="none"/>
          <w:u w:val="single"/>
          <w:lang w:val="en-US" w:eastAsia="zh-CN"/>
        </w:rPr>
        <w:t>现场所需所有施工条件均由承包人自行解决并承担相关费用。</w:t>
      </w:r>
    </w:p>
    <w:p w14:paraId="6143E00C">
      <w:pPr>
        <w:snapToGrid w:val="0"/>
        <w:spacing w:line="440" w:lineRule="exact"/>
        <w:ind w:firstLine="420" w:firstLineChars="200"/>
        <w:rPr>
          <w:rFonts w:hint="eastAsia" w:ascii="宋体" w:cs="宋体"/>
          <w:szCs w:val="21"/>
        </w:rPr>
      </w:pPr>
      <w:r>
        <w:rPr>
          <w:rFonts w:hint="eastAsia" w:ascii="宋体" w:cs="宋体"/>
          <w:szCs w:val="21"/>
        </w:rPr>
        <w:t>2.5 资金来源证明及支付担保</w:t>
      </w:r>
    </w:p>
    <w:p w14:paraId="7F5C1413">
      <w:pPr>
        <w:snapToGrid w:val="0"/>
        <w:spacing w:line="440" w:lineRule="exact"/>
        <w:ind w:firstLine="420" w:firstLineChars="200"/>
        <w:rPr>
          <w:rFonts w:hint="eastAsia" w:ascii="宋体" w:cs="宋体"/>
          <w:szCs w:val="21"/>
        </w:rPr>
      </w:pPr>
      <w:r>
        <w:rPr>
          <w:rFonts w:hint="eastAsia" w:ascii="宋体" w:cs="宋体"/>
          <w:szCs w:val="21"/>
        </w:rPr>
        <w:t>发包人提供资金来源证明的期限要求：</w:t>
      </w:r>
      <w:r>
        <w:rPr>
          <w:rFonts w:hint="eastAsia" w:ascii="宋体" w:cs="宋体"/>
          <w:szCs w:val="21"/>
          <w:u w:val="single"/>
        </w:rPr>
        <w:t></w:t>
      </w:r>
      <w:r>
        <w:rPr>
          <w:rFonts w:hint="eastAsia" w:ascii="宋体" w:cs="宋体"/>
          <w:szCs w:val="21"/>
          <w:u w:val="single"/>
          <w:lang w:val="en-US" w:eastAsia="zh-CN"/>
        </w:rPr>
        <w:t>自筹</w:t>
      </w:r>
      <w:r>
        <w:rPr>
          <w:rFonts w:hint="eastAsia" w:ascii="宋体" w:cs="宋体"/>
          <w:szCs w:val="21"/>
          <w:u w:val="single"/>
        </w:rPr>
        <w:t xml:space="preserve">资金   </w:t>
      </w:r>
      <w:r>
        <w:rPr>
          <w:rFonts w:hint="eastAsia" w:ascii="宋体" w:cs="宋体"/>
          <w:szCs w:val="21"/>
        </w:rPr>
        <w:t>。</w:t>
      </w:r>
    </w:p>
    <w:p w14:paraId="3FB71AC4">
      <w:pPr>
        <w:snapToGrid w:val="0"/>
        <w:spacing w:line="440" w:lineRule="exact"/>
        <w:ind w:firstLine="420" w:firstLineChars="200"/>
        <w:rPr>
          <w:rFonts w:hint="eastAsia" w:ascii="宋体" w:cs="宋体"/>
          <w:szCs w:val="21"/>
        </w:rPr>
      </w:pPr>
      <w:r>
        <w:rPr>
          <w:rFonts w:hint="eastAsia" w:ascii="宋体" w:cs="宋体"/>
          <w:szCs w:val="21"/>
        </w:rPr>
        <w:t>发包人是否提供支付担保：</w:t>
      </w:r>
      <w:r>
        <w:rPr>
          <w:rFonts w:hint="eastAsia" w:ascii="宋体" w:cs="宋体"/>
          <w:szCs w:val="21"/>
          <w:u w:val="single"/>
        </w:rPr>
        <w:t xml:space="preserve">不提供   </w:t>
      </w:r>
      <w:r>
        <w:rPr>
          <w:rFonts w:hint="eastAsia" w:ascii="宋体" w:cs="宋体"/>
          <w:szCs w:val="21"/>
        </w:rPr>
        <w:t>。</w:t>
      </w:r>
    </w:p>
    <w:p w14:paraId="3C6886CB">
      <w:pPr>
        <w:snapToGrid w:val="0"/>
        <w:spacing w:line="440" w:lineRule="exact"/>
        <w:ind w:firstLine="420" w:firstLineChars="200"/>
        <w:rPr>
          <w:rFonts w:hint="eastAsia" w:ascii="宋体" w:cs="宋体"/>
          <w:szCs w:val="21"/>
          <w:u w:val="single"/>
        </w:rPr>
      </w:pPr>
      <w:r>
        <w:rPr>
          <w:rFonts w:hint="eastAsia" w:ascii="宋体" w:cs="宋体"/>
          <w:szCs w:val="21"/>
        </w:rPr>
        <w:t>发包人提供支付担保的形式：</w:t>
      </w:r>
      <w:r>
        <w:rPr>
          <w:rFonts w:hint="eastAsia" w:ascii="宋体" w:cs="宋体"/>
          <w:szCs w:val="21"/>
          <w:u w:val="single"/>
        </w:rPr>
        <w:t>无  </w:t>
      </w:r>
      <w:r>
        <w:rPr>
          <w:rFonts w:hint="eastAsia" w:ascii="宋体" w:cs="宋体"/>
          <w:szCs w:val="21"/>
        </w:rPr>
        <w:t>。</w:t>
      </w:r>
    </w:p>
    <w:p w14:paraId="05ABEF29">
      <w:pPr>
        <w:pStyle w:val="5"/>
        <w:snapToGrid w:val="0"/>
        <w:spacing w:before="0" w:after="0" w:line="440" w:lineRule="exact"/>
        <w:ind w:firstLine="420" w:firstLineChars="200"/>
        <w:rPr>
          <w:rFonts w:hint="eastAsia" w:ascii="宋体" w:eastAsia="宋体" w:cs="宋体"/>
          <w:b w:val="0"/>
          <w:sz w:val="21"/>
          <w:szCs w:val="21"/>
        </w:rPr>
      </w:pPr>
      <w:r>
        <w:rPr>
          <w:rFonts w:hint="eastAsia" w:ascii="宋体" w:eastAsia="宋体" w:cs="宋体"/>
          <w:b w:val="0"/>
          <w:sz w:val="21"/>
          <w:szCs w:val="21"/>
        </w:rPr>
        <w:t>3. 承包人</w:t>
      </w:r>
    </w:p>
    <w:p w14:paraId="4941BCD2">
      <w:pPr>
        <w:snapToGrid w:val="0"/>
        <w:spacing w:line="440" w:lineRule="exact"/>
        <w:ind w:firstLine="420" w:firstLineChars="200"/>
        <w:rPr>
          <w:rFonts w:hint="eastAsia" w:ascii="宋体" w:cs="宋体"/>
          <w:szCs w:val="21"/>
        </w:rPr>
      </w:pPr>
      <w:r>
        <w:rPr>
          <w:rFonts w:hint="eastAsia" w:ascii="宋体" w:cs="宋体"/>
          <w:szCs w:val="21"/>
        </w:rPr>
        <w:t>3.1 承包人的一般义务</w:t>
      </w:r>
    </w:p>
    <w:p w14:paraId="2240B1EC">
      <w:pPr>
        <w:snapToGrid w:val="0"/>
        <w:spacing w:line="440" w:lineRule="exact"/>
        <w:ind w:firstLine="420" w:firstLineChars="200"/>
        <w:jc w:val="left"/>
        <w:rPr>
          <w:rFonts w:hint="eastAsia" w:ascii="宋体" w:cs="宋体"/>
          <w:szCs w:val="21"/>
          <w:u w:val="single"/>
        </w:rPr>
      </w:pPr>
      <w:r>
        <w:rPr>
          <w:rFonts w:hint="eastAsia" w:ascii="宋体" w:cs="宋体"/>
          <w:kern w:val="0"/>
          <w:szCs w:val="21"/>
        </w:rPr>
        <w:t>（9）</w:t>
      </w:r>
      <w:r>
        <w:rPr>
          <w:rFonts w:hint="eastAsia" w:ascii="宋体" w:cs="宋体"/>
          <w:szCs w:val="21"/>
        </w:rPr>
        <w:t>承包人提交的竣工资料的内容：</w:t>
      </w:r>
      <w:r>
        <w:rPr>
          <w:rFonts w:hint="eastAsia" w:ascii="宋体" w:cs="宋体"/>
          <w:szCs w:val="21"/>
          <w:u w:val="single"/>
        </w:rPr>
        <w:t xml:space="preserve">   按相关要求执行，包括但不限于竣工图、竣工报告、项目质检资料、结算资料等  </w:t>
      </w:r>
      <w:r>
        <w:rPr>
          <w:rFonts w:hint="eastAsia" w:ascii="宋体" w:cs="宋体"/>
          <w:szCs w:val="21"/>
        </w:rPr>
        <w:t>。</w:t>
      </w:r>
    </w:p>
    <w:p w14:paraId="1CA1DB90">
      <w:pPr>
        <w:snapToGrid w:val="0"/>
        <w:spacing w:line="440" w:lineRule="exact"/>
        <w:ind w:firstLine="420" w:firstLineChars="200"/>
        <w:jc w:val="left"/>
        <w:rPr>
          <w:rFonts w:hint="eastAsia" w:ascii="宋体" w:cs="宋体"/>
          <w:szCs w:val="21"/>
        </w:rPr>
      </w:pPr>
      <w:r>
        <w:rPr>
          <w:rFonts w:hint="eastAsia" w:ascii="宋体" w:cs="宋体"/>
          <w:szCs w:val="21"/>
        </w:rPr>
        <w:t>承包人需要提交的竣工资料套数：</w:t>
      </w:r>
      <w:r>
        <w:rPr>
          <w:rFonts w:hint="eastAsia" w:ascii="宋体" w:cs="宋体"/>
          <w:szCs w:val="21"/>
          <w:u w:val="single"/>
        </w:rPr>
        <w:t xml:space="preserve">      按相关要求执行，且不少于3套    </w:t>
      </w:r>
      <w:r>
        <w:rPr>
          <w:rFonts w:hint="eastAsia" w:ascii="宋体" w:cs="宋体"/>
          <w:szCs w:val="21"/>
        </w:rPr>
        <w:t>。</w:t>
      </w:r>
    </w:p>
    <w:p w14:paraId="5FF31C14">
      <w:pPr>
        <w:snapToGrid w:val="0"/>
        <w:spacing w:line="440" w:lineRule="exact"/>
        <w:ind w:firstLine="420" w:firstLineChars="200"/>
        <w:jc w:val="left"/>
        <w:rPr>
          <w:rFonts w:hint="eastAsia" w:ascii="宋体" w:cs="宋体"/>
          <w:szCs w:val="21"/>
        </w:rPr>
      </w:pPr>
      <w:r>
        <w:rPr>
          <w:rFonts w:hint="eastAsia" w:ascii="宋体" w:cs="宋体"/>
          <w:szCs w:val="21"/>
        </w:rPr>
        <w:t>承包人提交的竣工资料的费用承担：</w:t>
      </w:r>
      <w:r>
        <w:rPr>
          <w:rFonts w:hint="eastAsia" w:ascii="宋体" w:cs="宋体"/>
          <w:szCs w:val="21"/>
          <w:u w:val="single"/>
        </w:rPr>
        <w:t xml:space="preserve">   承包人           </w:t>
      </w:r>
      <w:r>
        <w:rPr>
          <w:rFonts w:hint="eastAsia" w:ascii="宋体" w:cs="宋体"/>
          <w:szCs w:val="21"/>
        </w:rPr>
        <w:t>。</w:t>
      </w:r>
    </w:p>
    <w:p w14:paraId="3670ED4C">
      <w:pPr>
        <w:snapToGrid w:val="0"/>
        <w:spacing w:line="440" w:lineRule="exact"/>
        <w:ind w:firstLine="420" w:firstLineChars="200"/>
        <w:jc w:val="left"/>
        <w:rPr>
          <w:rFonts w:hint="eastAsia" w:ascii="宋体" w:cs="宋体"/>
          <w:szCs w:val="21"/>
        </w:rPr>
      </w:pPr>
      <w:r>
        <w:rPr>
          <w:rFonts w:hint="eastAsia" w:ascii="宋体" w:cs="宋体"/>
          <w:szCs w:val="21"/>
        </w:rPr>
        <w:t>承包人提交的竣工资料移交时间：</w:t>
      </w:r>
      <w:r>
        <w:rPr>
          <w:rFonts w:hint="eastAsia" w:ascii="宋体" w:cs="宋体"/>
          <w:szCs w:val="21"/>
          <w:u w:val="single"/>
        </w:rPr>
        <w:t xml:space="preserve">     竣工验收合格后</w:t>
      </w:r>
      <w:r>
        <w:rPr>
          <w:rFonts w:hint="eastAsia" w:ascii="宋体" w:cs="宋体"/>
          <w:szCs w:val="21"/>
          <w:u w:val="single"/>
          <w:lang w:val="en-US" w:eastAsia="zh-CN"/>
        </w:rPr>
        <w:t>30</w:t>
      </w:r>
      <w:r>
        <w:rPr>
          <w:rFonts w:hint="eastAsia" w:ascii="宋体" w:cs="宋体"/>
          <w:szCs w:val="21"/>
          <w:u w:val="single"/>
        </w:rPr>
        <w:t xml:space="preserve">日内   </w:t>
      </w:r>
      <w:r>
        <w:rPr>
          <w:rFonts w:hint="eastAsia" w:ascii="宋体" w:cs="宋体"/>
          <w:szCs w:val="21"/>
        </w:rPr>
        <w:t>。</w:t>
      </w:r>
    </w:p>
    <w:p w14:paraId="0DFB5EF9">
      <w:pPr>
        <w:snapToGrid w:val="0"/>
        <w:spacing w:line="440" w:lineRule="exact"/>
        <w:ind w:firstLine="420" w:firstLineChars="200"/>
        <w:jc w:val="left"/>
        <w:rPr>
          <w:rFonts w:hint="eastAsia" w:ascii="宋体" w:cs="宋体"/>
          <w:szCs w:val="21"/>
        </w:rPr>
      </w:pPr>
      <w:r>
        <w:rPr>
          <w:rFonts w:hint="eastAsia" w:ascii="宋体" w:cs="宋体"/>
          <w:szCs w:val="21"/>
        </w:rPr>
        <w:t>承包人提交的竣工资料形式要求：</w:t>
      </w:r>
      <w:r>
        <w:rPr>
          <w:rFonts w:hint="eastAsia" w:ascii="宋体" w:cs="宋体"/>
          <w:szCs w:val="21"/>
          <w:u w:val="single"/>
        </w:rPr>
        <w:t xml:space="preserve">     纸质及电子形式   </w:t>
      </w:r>
      <w:r>
        <w:rPr>
          <w:rFonts w:hint="eastAsia" w:ascii="宋体" w:cs="宋体"/>
          <w:szCs w:val="21"/>
        </w:rPr>
        <w:t>。</w:t>
      </w:r>
    </w:p>
    <w:p w14:paraId="57AC80D3">
      <w:pPr>
        <w:snapToGrid w:val="0"/>
        <w:spacing w:line="440" w:lineRule="exact"/>
        <w:ind w:firstLine="420" w:firstLineChars="200"/>
        <w:jc w:val="left"/>
        <w:rPr>
          <w:rFonts w:hint="eastAsia" w:ascii="宋体" w:cs="宋体"/>
          <w:szCs w:val="21"/>
        </w:rPr>
      </w:pPr>
      <w:r>
        <w:rPr>
          <w:rFonts w:hint="eastAsia" w:ascii="宋体" w:cs="宋体"/>
          <w:szCs w:val="21"/>
          <w:lang w:eastAsia="zh-CN"/>
        </w:rPr>
        <w:t>（</w:t>
      </w:r>
      <w:r>
        <w:rPr>
          <w:rFonts w:hint="eastAsia" w:ascii="宋体" w:cs="宋体"/>
          <w:szCs w:val="21"/>
          <w:lang w:val="en-US" w:eastAsia="zh-CN"/>
        </w:rPr>
        <w:t>10）</w:t>
      </w:r>
      <w:r>
        <w:rPr>
          <w:rFonts w:hint="eastAsia" w:ascii="宋体" w:cs="宋体"/>
          <w:kern w:val="0"/>
          <w:szCs w:val="21"/>
        </w:rPr>
        <w:t>承包人应履行的其他义务：</w:t>
      </w:r>
      <w:r>
        <w:rPr>
          <w:rFonts w:hint="eastAsia" w:ascii="宋体" w:cs="宋体"/>
          <w:strike w:val="0"/>
          <w:dstrike w:val="0"/>
          <w:szCs w:val="21"/>
          <w:highlight w:val="none"/>
          <w:u w:val="single"/>
        </w:rPr>
        <w:t>①工程竣工半年</w:t>
      </w:r>
      <w:r>
        <w:rPr>
          <w:rFonts w:hint="eastAsia" w:ascii="宋体" w:cs="宋体"/>
          <w:strike w:val="0"/>
          <w:dstrike w:val="0"/>
          <w:szCs w:val="21"/>
          <w:highlight w:val="none"/>
          <w:u w:val="single"/>
          <w:lang w:eastAsia="zh-CN"/>
        </w:rPr>
        <w:t>（</w:t>
      </w:r>
      <w:r>
        <w:rPr>
          <w:rFonts w:hint="eastAsia" w:ascii="宋体" w:cs="宋体"/>
          <w:strike w:val="0"/>
          <w:dstrike w:val="0"/>
          <w:szCs w:val="21"/>
          <w:highlight w:val="none"/>
          <w:u w:val="single"/>
        </w:rPr>
        <w:t>含</w:t>
      </w:r>
      <w:r>
        <w:rPr>
          <w:rFonts w:hint="eastAsia" w:ascii="宋体" w:cs="宋体"/>
          <w:strike w:val="0"/>
          <w:dstrike w:val="0"/>
          <w:szCs w:val="21"/>
          <w:highlight w:val="none"/>
          <w:u w:val="single"/>
          <w:lang w:eastAsia="zh-CN"/>
        </w:rPr>
        <w:t>）</w:t>
      </w:r>
      <w:r>
        <w:rPr>
          <w:rFonts w:hint="eastAsia" w:ascii="宋体" w:cs="宋体"/>
          <w:strike w:val="0"/>
          <w:dstrike w:val="0"/>
          <w:szCs w:val="21"/>
          <w:highlight w:val="none"/>
          <w:u w:val="single"/>
        </w:rPr>
        <w:t>内完成竣工结算；</w:t>
      </w:r>
      <w:r>
        <w:rPr>
          <w:rFonts w:hint="eastAsia" w:ascii="宋体" w:cs="宋体"/>
          <w:szCs w:val="21"/>
          <w:u w:val="single"/>
        </w:rPr>
        <w:t>②无合同纠纷等原因拖欠农民工工资、材料款，出现群访及时处理；③质量无缺陷，及时整改到位，处理及时；④施工现场服从调度或工程进度不超过合同工期或按合同期限按时移交的；⑤月工程量进度及时完成；⑥按规定提供工程资料并及时归档的；</w:t>
      </w:r>
    </w:p>
    <w:p w14:paraId="083F7B13">
      <w:pPr>
        <w:snapToGrid w:val="0"/>
        <w:spacing w:line="440" w:lineRule="exact"/>
        <w:ind w:firstLine="420" w:firstLineChars="200"/>
        <w:rPr>
          <w:rFonts w:hint="eastAsia" w:ascii="宋体" w:cs="宋体"/>
          <w:szCs w:val="21"/>
        </w:rPr>
      </w:pPr>
      <w:r>
        <w:rPr>
          <w:rFonts w:hint="eastAsia" w:ascii="宋体" w:cs="宋体"/>
          <w:szCs w:val="21"/>
        </w:rPr>
        <w:t>3.2 项目经理</w:t>
      </w:r>
    </w:p>
    <w:p w14:paraId="13611687">
      <w:pPr>
        <w:snapToGrid w:val="0"/>
        <w:spacing w:line="440" w:lineRule="exact"/>
        <w:ind w:firstLine="420" w:firstLineChars="200"/>
        <w:rPr>
          <w:rFonts w:hint="eastAsia" w:ascii="宋体" w:cs="宋体"/>
          <w:szCs w:val="21"/>
        </w:rPr>
      </w:pPr>
      <w:r>
        <w:rPr>
          <w:rFonts w:hint="eastAsia" w:ascii="宋体" w:cs="宋体"/>
          <w:kern w:val="0"/>
          <w:szCs w:val="21"/>
        </w:rPr>
        <w:t xml:space="preserve">3.2.1 </w:t>
      </w:r>
      <w:r>
        <w:rPr>
          <w:rFonts w:hint="eastAsia" w:ascii="宋体" w:cs="宋体"/>
          <w:szCs w:val="21"/>
        </w:rPr>
        <w:t>项目经理：</w:t>
      </w:r>
    </w:p>
    <w:p w14:paraId="14770DDB">
      <w:pPr>
        <w:snapToGrid w:val="0"/>
        <w:spacing w:line="440" w:lineRule="exact"/>
        <w:ind w:firstLine="420" w:firstLineChars="200"/>
        <w:rPr>
          <w:rFonts w:hint="eastAsia" w:ascii="宋体" w:cs="宋体"/>
          <w:szCs w:val="21"/>
        </w:rPr>
      </w:pPr>
      <w:r>
        <w:rPr>
          <w:rFonts w:hint="eastAsia" w:ascii="宋体" w:cs="宋体"/>
          <w:szCs w:val="21"/>
        </w:rPr>
        <w:t>姓    名：</w:t>
      </w:r>
      <w:r>
        <w:rPr>
          <w:rFonts w:hint="eastAsia" w:ascii="宋体" w:cs="宋体"/>
          <w:szCs w:val="21"/>
          <w:u w:val="single"/>
        </w:rPr>
        <w:t>         </w:t>
      </w:r>
      <w:r>
        <w:rPr>
          <w:rFonts w:hint="eastAsia" w:ascii="宋体" w:cs="宋体"/>
          <w:szCs w:val="21"/>
        </w:rPr>
        <w:t>；</w:t>
      </w:r>
    </w:p>
    <w:p w14:paraId="3BA17073">
      <w:pPr>
        <w:snapToGrid w:val="0"/>
        <w:spacing w:line="440" w:lineRule="exact"/>
        <w:ind w:firstLine="420" w:firstLineChars="200"/>
        <w:rPr>
          <w:rFonts w:hint="eastAsia" w:ascii="宋体" w:cs="宋体"/>
          <w:szCs w:val="21"/>
        </w:rPr>
      </w:pPr>
      <w:r>
        <w:rPr>
          <w:rFonts w:hint="eastAsia" w:ascii="宋体" w:cs="宋体"/>
          <w:szCs w:val="21"/>
        </w:rPr>
        <w:t>身份证号：</w:t>
      </w:r>
      <w:r>
        <w:rPr>
          <w:rFonts w:hint="eastAsia" w:ascii="宋体" w:cs="宋体"/>
          <w:szCs w:val="21"/>
          <w:u w:val="single"/>
        </w:rPr>
        <w:t>         </w:t>
      </w:r>
      <w:r>
        <w:rPr>
          <w:rFonts w:hint="eastAsia" w:ascii="宋体" w:cs="宋体"/>
          <w:szCs w:val="21"/>
        </w:rPr>
        <w:t>；</w:t>
      </w:r>
    </w:p>
    <w:p w14:paraId="47204064">
      <w:pPr>
        <w:snapToGrid w:val="0"/>
        <w:spacing w:line="440" w:lineRule="exact"/>
        <w:ind w:firstLine="420" w:firstLineChars="200"/>
        <w:rPr>
          <w:rFonts w:hint="eastAsia" w:ascii="宋体" w:cs="宋体"/>
          <w:szCs w:val="21"/>
        </w:rPr>
      </w:pPr>
      <w:r>
        <w:rPr>
          <w:rFonts w:hint="eastAsia" w:ascii="宋体" w:cs="宋体"/>
          <w:szCs w:val="21"/>
        </w:rPr>
        <w:t>建造师执业资格等级：</w:t>
      </w:r>
      <w:r>
        <w:rPr>
          <w:rFonts w:hint="eastAsia" w:ascii="宋体" w:cs="宋体"/>
          <w:szCs w:val="21"/>
          <w:u w:val="single"/>
        </w:rPr>
        <w:t>   </w:t>
      </w:r>
      <w:r>
        <w:rPr>
          <w:rFonts w:hint="eastAsia" w:ascii="宋体" w:cs="宋体"/>
          <w:szCs w:val="21"/>
        </w:rPr>
        <w:t>；</w:t>
      </w:r>
    </w:p>
    <w:p w14:paraId="60174993">
      <w:pPr>
        <w:snapToGrid w:val="0"/>
        <w:spacing w:line="440" w:lineRule="exact"/>
        <w:ind w:firstLine="420" w:firstLineChars="200"/>
        <w:rPr>
          <w:rFonts w:hint="eastAsia" w:ascii="宋体" w:cs="宋体"/>
          <w:szCs w:val="21"/>
        </w:rPr>
      </w:pPr>
      <w:r>
        <w:rPr>
          <w:rFonts w:hint="eastAsia" w:ascii="宋体" w:cs="宋体"/>
          <w:szCs w:val="21"/>
        </w:rPr>
        <w:t>建造师注册证书号：</w:t>
      </w:r>
      <w:r>
        <w:rPr>
          <w:rFonts w:hint="eastAsia" w:ascii="宋体" w:cs="宋体"/>
          <w:szCs w:val="21"/>
          <w:u w:val="single"/>
        </w:rPr>
        <w:t> </w:t>
      </w:r>
      <w:r>
        <w:rPr>
          <w:rFonts w:hint="eastAsia" w:ascii="宋体" w:cs="宋体"/>
          <w:szCs w:val="21"/>
        </w:rPr>
        <w:t>；</w:t>
      </w:r>
    </w:p>
    <w:p w14:paraId="433B24F4">
      <w:pPr>
        <w:snapToGrid w:val="0"/>
        <w:spacing w:line="440" w:lineRule="exact"/>
        <w:ind w:firstLine="420" w:firstLineChars="200"/>
        <w:rPr>
          <w:rFonts w:hint="eastAsia" w:ascii="宋体" w:cs="宋体"/>
          <w:szCs w:val="21"/>
        </w:rPr>
      </w:pPr>
      <w:r>
        <w:rPr>
          <w:rFonts w:hint="eastAsia" w:ascii="宋体" w:cs="宋体"/>
          <w:szCs w:val="21"/>
        </w:rPr>
        <w:t>建造师执业印章号：</w:t>
      </w:r>
      <w:r>
        <w:rPr>
          <w:rFonts w:hint="eastAsia" w:ascii="宋体" w:cs="宋体"/>
          <w:szCs w:val="21"/>
          <w:u w:val="single"/>
        </w:rPr>
        <w:t> </w:t>
      </w:r>
      <w:r>
        <w:rPr>
          <w:rFonts w:hint="eastAsia" w:ascii="宋体" w:cs="宋体"/>
          <w:szCs w:val="21"/>
        </w:rPr>
        <w:t>；</w:t>
      </w:r>
    </w:p>
    <w:p w14:paraId="61D36B67">
      <w:pPr>
        <w:snapToGrid w:val="0"/>
        <w:spacing w:line="440" w:lineRule="exact"/>
        <w:ind w:firstLine="420" w:firstLineChars="200"/>
        <w:rPr>
          <w:rFonts w:hint="eastAsia" w:ascii="宋体" w:cs="宋体"/>
          <w:szCs w:val="21"/>
        </w:rPr>
      </w:pPr>
      <w:r>
        <w:rPr>
          <w:rFonts w:hint="eastAsia" w:ascii="宋体" w:cs="宋体"/>
          <w:szCs w:val="21"/>
        </w:rPr>
        <w:t>安全生产考核合格证书号：</w:t>
      </w:r>
      <w:r>
        <w:rPr>
          <w:rFonts w:hint="eastAsia" w:ascii="宋体" w:cs="宋体"/>
          <w:szCs w:val="21"/>
          <w:u w:val="single"/>
        </w:rPr>
        <w:t> </w:t>
      </w:r>
      <w:r>
        <w:rPr>
          <w:rFonts w:hint="eastAsia" w:ascii="宋体" w:cs="宋体"/>
          <w:szCs w:val="21"/>
        </w:rPr>
        <w:t>；</w:t>
      </w:r>
    </w:p>
    <w:p w14:paraId="7E9E6C57">
      <w:pPr>
        <w:snapToGrid w:val="0"/>
        <w:spacing w:line="440" w:lineRule="exact"/>
        <w:ind w:firstLine="420" w:firstLineChars="200"/>
        <w:rPr>
          <w:rFonts w:hint="eastAsia" w:ascii="宋体" w:cs="宋体"/>
          <w:szCs w:val="21"/>
        </w:rPr>
      </w:pPr>
      <w:r>
        <w:rPr>
          <w:rFonts w:hint="eastAsia" w:ascii="宋体" w:cs="宋体"/>
          <w:szCs w:val="21"/>
        </w:rPr>
        <w:t>联系电话：</w:t>
      </w:r>
      <w:r>
        <w:rPr>
          <w:rFonts w:hint="eastAsia" w:ascii="宋体" w:cs="宋体"/>
          <w:szCs w:val="21"/>
          <w:u w:val="single"/>
        </w:rPr>
        <w:t>         </w:t>
      </w:r>
      <w:r>
        <w:rPr>
          <w:rFonts w:hint="eastAsia" w:ascii="宋体" w:cs="宋体"/>
          <w:szCs w:val="21"/>
        </w:rPr>
        <w:t>；</w:t>
      </w:r>
    </w:p>
    <w:p w14:paraId="3F583591">
      <w:pPr>
        <w:snapToGrid w:val="0"/>
        <w:spacing w:line="440" w:lineRule="exact"/>
        <w:ind w:firstLine="420" w:firstLineChars="200"/>
        <w:rPr>
          <w:rFonts w:hint="eastAsia" w:ascii="宋体" w:cs="宋体"/>
          <w:szCs w:val="21"/>
        </w:rPr>
      </w:pPr>
      <w:r>
        <w:rPr>
          <w:rFonts w:hint="eastAsia" w:ascii="宋体" w:cs="宋体"/>
          <w:szCs w:val="21"/>
        </w:rPr>
        <w:t>电子信箱：</w:t>
      </w:r>
      <w:r>
        <w:rPr>
          <w:rFonts w:hint="eastAsia" w:ascii="宋体" w:cs="宋体"/>
          <w:szCs w:val="21"/>
          <w:u w:val="single"/>
        </w:rPr>
        <w:t>         </w:t>
      </w:r>
      <w:r>
        <w:rPr>
          <w:rFonts w:hint="eastAsia" w:ascii="宋体" w:cs="宋体"/>
          <w:szCs w:val="21"/>
        </w:rPr>
        <w:t>；</w:t>
      </w:r>
    </w:p>
    <w:p w14:paraId="1099BF5D">
      <w:pPr>
        <w:snapToGrid w:val="0"/>
        <w:spacing w:line="440" w:lineRule="exact"/>
        <w:ind w:firstLine="420" w:firstLineChars="200"/>
        <w:rPr>
          <w:rFonts w:hint="eastAsia" w:ascii="宋体" w:cs="宋体"/>
          <w:szCs w:val="21"/>
        </w:rPr>
      </w:pPr>
      <w:r>
        <w:rPr>
          <w:rFonts w:hint="eastAsia" w:ascii="宋体" w:cs="宋体"/>
          <w:szCs w:val="21"/>
        </w:rPr>
        <w:t>通信地址：</w:t>
      </w:r>
      <w:r>
        <w:rPr>
          <w:rFonts w:hint="eastAsia" w:ascii="宋体" w:cs="宋体"/>
          <w:szCs w:val="21"/>
          <w:u w:val="single"/>
        </w:rPr>
        <w:t>         </w:t>
      </w:r>
      <w:r>
        <w:rPr>
          <w:rFonts w:hint="eastAsia" w:ascii="宋体" w:cs="宋体"/>
          <w:szCs w:val="21"/>
        </w:rPr>
        <w:t>；</w:t>
      </w:r>
    </w:p>
    <w:p w14:paraId="037BD6D9">
      <w:pPr>
        <w:snapToGrid w:val="0"/>
        <w:spacing w:line="440" w:lineRule="exact"/>
        <w:ind w:firstLine="420" w:firstLineChars="200"/>
        <w:rPr>
          <w:rFonts w:hint="eastAsia" w:ascii="宋体" w:cs="宋体"/>
          <w:szCs w:val="21"/>
        </w:rPr>
      </w:pPr>
      <w:r>
        <w:rPr>
          <w:rFonts w:hint="eastAsia" w:ascii="宋体" w:cs="宋体"/>
          <w:szCs w:val="21"/>
        </w:rPr>
        <w:t>承包人对项目负责人的授权范围如下：</w:t>
      </w:r>
      <w:r>
        <w:rPr>
          <w:rFonts w:hint="eastAsia" w:ascii="宋体" w:cs="宋体"/>
          <w:szCs w:val="21"/>
          <w:u w:val="single"/>
        </w:rPr>
        <w:t xml:space="preserve">由承包人明确授权范围  </w:t>
      </w:r>
      <w:r>
        <w:rPr>
          <w:rFonts w:hint="eastAsia" w:ascii="宋体" w:cs="宋体"/>
          <w:szCs w:val="21"/>
        </w:rPr>
        <w:t>。</w:t>
      </w:r>
    </w:p>
    <w:p w14:paraId="0B02DEDD">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kern w:val="0"/>
          <w:szCs w:val="21"/>
        </w:rPr>
        <w:t>关于项目负责人每月在施工现场的时间</w:t>
      </w:r>
      <w:r>
        <w:rPr>
          <w:rFonts w:hint="eastAsia" w:ascii="宋体" w:cs="宋体"/>
          <w:kern w:val="0"/>
          <w:szCs w:val="21"/>
          <w:highlight w:val="none"/>
        </w:rPr>
        <w:t>要求：</w:t>
      </w:r>
      <w:r>
        <w:rPr>
          <w:rFonts w:hint="eastAsia" w:ascii="宋体" w:cs="宋体"/>
          <w:szCs w:val="21"/>
          <w:highlight w:val="none"/>
          <w:u w:val="single"/>
        </w:rPr>
        <w:t>项目经理每月在岗时间</w:t>
      </w:r>
      <w:r>
        <w:rPr>
          <w:rFonts w:hint="eastAsia" w:ascii="宋体" w:cs="宋体"/>
          <w:color w:val="auto"/>
          <w:szCs w:val="21"/>
          <w:highlight w:val="none"/>
          <w:u w:val="single"/>
        </w:rPr>
        <w:t>不得少于2</w:t>
      </w:r>
      <w:r>
        <w:rPr>
          <w:rFonts w:hint="eastAsia" w:ascii="宋体" w:cs="宋体"/>
          <w:color w:val="auto"/>
          <w:szCs w:val="21"/>
          <w:highlight w:val="none"/>
          <w:u w:val="single"/>
          <w:lang w:val="en-US" w:eastAsia="zh-CN"/>
        </w:rPr>
        <w:t>2</w:t>
      </w:r>
      <w:r>
        <w:rPr>
          <w:rFonts w:hint="eastAsia" w:ascii="宋体" w:cs="宋体"/>
          <w:color w:val="auto"/>
          <w:szCs w:val="21"/>
          <w:highlight w:val="none"/>
          <w:u w:val="single"/>
        </w:rPr>
        <w:t>天。</w:t>
      </w:r>
    </w:p>
    <w:p w14:paraId="5C830A13">
      <w:pPr>
        <w:snapToGrid w:val="0"/>
        <w:spacing w:line="440" w:lineRule="exact"/>
        <w:ind w:firstLine="420" w:firstLineChars="200"/>
        <w:rPr>
          <w:rFonts w:hint="eastAsia" w:ascii="宋体" w:cs="宋体"/>
          <w:kern w:val="0"/>
          <w:szCs w:val="21"/>
          <w:highlight w:val="none"/>
        </w:rPr>
      </w:pPr>
      <w:r>
        <w:rPr>
          <w:rFonts w:hint="eastAsia" w:ascii="宋体" w:cs="宋体"/>
          <w:kern w:val="0"/>
          <w:szCs w:val="21"/>
          <w:highlight w:val="none"/>
        </w:rPr>
        <w:t>承包人未提交劳动合同，以及没有为建造师缴纳社会保险证明的违约责任：</w:t>
      </w:r>
      <w:r>
        <w:rPr>
          <w:rFonts w:hint="eastAsia" w:ascii="宋体" w:cs="宋体"/>
          <w:kern w:val="0"/>
          <w:szCs w:val="21"/>
          <w:highlight w:val="none"/>
          <w:u w:val="single"/>
        </w:rPr>
        <w:t xml:space="preserve"> </w:t>
      </w:r>
      <w:r>
        <w:rPr>
          <w:rFonts w:hint="eastAsia" w:ascii="宋体" w:cs="宋体"/>
          <w:szCs w:val="21"/>
          <w:highlight w:val="none"/>
          <w:u w:val="single"/>
        </w:rPr>
        <w:t>签订本合同前提供，资格审查时已提供的，不再重复提供</w:t>
      </w:r>
      <w:r>
        <w:rPr>
          <w:rFonts w:hint="eastAsia" w:ascii="宋体" w:cs="宋体"/>
          <w:szCs w:val="21"/>
          <w:highlight w:val="none"/>
        </w:rPr>
        <w:t>。</w:t>
      </w:r>
    </w:p>
    <w:p w14:paraId="4B079E8B">
      <w:pPr>
        <w:snapToGrid w:val="0"/>
        <w:spacing w:line="440" w:lineRule="exact"/>
        <w:ind w:firstLine="420" w:firstLineChars="200"/>
        <w:rPr>
          <w:rFonts w:hint="eastAsia" w:ascii="宋体" w:hAnsi="宋体" w:eastAsia="宋体" w:cs="宋体"/>
          <w:color w:val="auto"/>
          <w:szCs w:val="21"/>
          <w:highlight w:val="none"/>
          <w:u w:val="single"/>
        </w:rPr>
      </w:pPr>
      <w:r>
        <w:rPr>
          <w:rFonts w:hint="eastAsia" w:ascii="宋体" w:cs="宋体"/>
          <w:kern w:val="0"/>
          <w:szCs w:val="21"/>
          <w:highlight w:val="none"/>
        </w:rPr>
        <w:t>项目负责人未经批准，擅自离开施工现场的违约责任：</w:t>
      </w:r>
      <w:r>
        <w:rPr>
          <w:rFonts w:hint="eastAsia" w:ascii="宋体" w:hAnsi="宋体" w:eastAsia="宋体" w:cs="宋体"/>
          <w:color w:val="auto"/>
          <w:szCs w:val="21"/>
          <w:highlight w:val="none"/>
          <w:u w:val="single"/>
        </w:rPr>
        <w:t>发包人、监理人将对项目经理、</w:t>
      </w:r>
      <w:r>
        <w:rPr>
          <w:rFonts w:hint="default" w:ascii="宋体" w:hAnsi="宋体" w:eastAsia="宋体" w:cs="宋体"/>
          <w:color w:val="auto"/>
          <w:szCs w:val="21"/>
          <w:highlight w:val="none"/>
          <w:u w:val="single"/>
          <w:lang w:val="en-US" w:eastAsia="zh-CN"/>
        </w:rPr>
        <w:t>其他管理和技术人员</w:t>
      </w:r>
      <w:r>
        <w:rPr>
          <w:rFonts w:hint="eastAsia" w:ascii="宋体" w:hAnsi="宋体" w:eastAsia="宋体" w:cs="宋体"/>
          <w:color w:val="auto"/>
          <w:szCs w:val="21"/>
          <w:highlight w:val="none"/>
          <w:u w:val="single"/>
        </w:rPr>
        <w:t>实行考勤制度，必须保证上述人员每月至少有22天在本项目工地现场，短期离开施工场地，应事先征得监理人、发包人书面同意，并委派代表代行其职责。在工程实施期间，项目经理未经批准离开工地的或月考勤不足22天的，按</w:t>
      </w:r>
      <w:r>
        <w:rPr>
          <w:rFonts w:hint="eastAsia" w:ascii="宋体" w:hAnsi="宋体" w:cs="宋体"/>
          <w:color w:val="auto"/>
          <w:szCs w:val="21"/>
          <w:highlight w:val="none"/>
          <w:u w:val="single"/>
          <w:lang w:val="en-US" w:eastAsia="zh-CN"/>
        </w:rPr>
        <w:t>2</w:t>
      </w:r>
      <w:r>
        <w:rPr>
          <w:rFonts w:hint="eastAsia" w:ascii="宋体" w:hAnsi="宋体" w:eastAsia="宋体" w:cs="宋体"/>
          <w:color w:val="auto"/>
          <w:szCs w:val="21"/>
          <w:highlight w:val="none"/>
          <w:u w:val="single"/>
        </w:rPr>
        <w:t>000元/人•天</w:t>
      </w:r>
      <w:r>
        <w:rPr>
          <w:rFonts w:hint="eastAsia" w:ascii="宋体" w:hAnsi="宋体" w:eastAsia="宋体" w:cs="宋体"/>
          <w:color w:val="auto"/>
          <w:szCs w:val="21"/>
          <w:highlight w:val="none"/>
          <w:u w:val="single"/>
          <w:lang w:val="en-US" w:eastAsia="zh-CN"/>
        </w:rPr>
        <w:t>处以</w:t>
      </w:r>
      <w:r>
        <w:rPr>
          <w:rFonts w:hint="eastAsia" w:ascii="宋体" w:hAnsi="宋体" w:eastAsia="宋体" w:cs="宋体"/>
          <w:color w:val="auto"/>
          <w:szCs w:val="21"/>
          <w:highlight w:val="none"/>
          <w:u w:val="single"/>
        </w:rPr>
        <w:t>违约金。</w:t>
      </w:r>
    </w:p>
    <w:p w14:paraId="5B2257F3">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3.2.3 承包人擅自更换项目负责人的违约责任：</w:t>
      </w:r>
      <w:r>
        <w:rPr>
          <w:rFonts w:hint="eastAsia" w:ascii="宋体" w:hAnsi="宋体" w:cs="宋体"/>
          <w:color w:val="000000"/>
          <w:szCs w:val="21"/>
          <w:highlight w:val="none"/>
          <w:u w:val="single"/>
        </w:rPr>
        <w:t>承包人不得擅自更换投标时所报项目经理,否则发包人有权解除合同，由此造成的损失由承包人自行承担，承包人还应赔偿由此造成发包人的全部损失。确需更换的须在签订合同后，报经发包人同意后按相关规定办理，</w:t>
      </w:r>
      <w:r>
        <w:rPr>
          <w:rFonts w:hint="eastAsia" w:ascii="宋体" w:hAnsi="宋体" w:cs="宋体"/>
          <w:b/>
          <w:bCs/>
          <w:color w:val="000000"/>
          <w:szCs w:val="21"/>
          <w:highlight w:val="none"/>
          <w:u w:val="single"/>
        </w:rPr>
        <w:t>并</w:t>
      </w:r>
      <w:r>
        <w:rPr>
          <w:rFonts w:hint="eastAsia" w:ascii="宋体" w:hAnsi="宋体" w:cs="宋体"/>
          <w:b/>
          <w:bCs/>
          <w:color w:val="auto"/>
          <w:szCs w:val="21"/>
          <w:highlight w:val="none"/>
          <w:u w:val="single"/>
        </w:rPr>
        <w:t>支付</w:t>
      </w:r>
      <w:r>
        <w:rPr>
          <w:rFonts w:hint="eastAsia" w:ascii="宋体" w:hAnsi="宋体" w:cs="宋体"/>
          <w:b/>
          <w:bCs/>
          <w:color w:val="auto"/>
          <w:szCs w:val="21"/>
          <w:highlight w:val="none"/>
          <w:u w:val="single"/>
          <w:lang w:val="en-US" w:eastAsia="zh-CN"/>
        </w:rPr>
        <w:t>10</w:t>
      </w:r>
      <w:r>
        <w:rPr>
          <w:rFonts w:hint="eastAsia" w:ascii="宋体" w:hAnsi="宋体" w:cs="宋体"/>
          <w:b/>
          <w:bCs/>
          <w:color w:val="auto"/>
          <w:szCs w:val="21"/>
          <w:highlight w:val="none"/>
          <w:u w:val="single"/>
        </w:rPr>
        <w:t>万元的</w:t>
      </w:r>
      <w:r>
        <w:rPr>
          <w:rFonts w:hint="eastAsia" w:ascii="宋体" w:hAnsi="宋体" w:cs="宋体"/>
          <w:b/>
          <w:bCs/>
          <w:color w:val="000000"/>
          <w:szCs w:val="21"/>
          <w:highlight w:val="none"/>
          <w:u w:val="single"/>
        </w:rPr>
        <w:t>违约金</w:t>
      </w:r>
      <w:r>
        <w:rPr>
          <w:rFonts w:hint="eastAsia" w:ascii="宋体" w:hAnsi="宋体" w:cs="宋体"/>
          <w:color w:val="000000"/>
          <w:szCs w:val="21"/>
          <w:highlight w:val="none"/>
          <w:u w:val="single"/>
        </w:rPr>
        <w:t>，更换后的人员不得低于承包人投标时所报人员资质和技术水平</w:t>
      </w:r>
      <w:r>
        <w:rPr>
          <w:rFonts w:hint="eastAsia" w:ascii="宋体" w:cs="宋体"/>
          <w:szCs w:val="21"/>
          <w:highlight w:val="none"/>
          <w:u w:val="single"/>
        </w:rPr>
        <w:t>。</w:t>
      </w:r>
    </w:p>
    <w:p w14:paraId="3B022719">
      <w:pPr>
        <w:snapToGrid w:val="0"/>
        <w:spacing w:line="440" w:lineRule="exact"/>
        <w:ind w:firstLine="420" w:firstLineChars="200"/>
        <w:rPr>
          <w:rFonts w:hint="eastAsia" w:ascii="宋体" w:eastAsia="宋体" w:cs="宋体"/>
          <w:szCs w:val="21"/>
          <w:highlight w:val="none"/>
          <w:u w:val="single"/>
          <w:lang w:eastAsia="zh-CN"/>
        </w:rPr>
      </w:pPr>
      <w:r>
        <w:rPr>
          <w:rFonts w:hint="eastAsia" w:ascii="宋体" w:cs="宋体"/>
          <w:szCs w:val="21"/>
          <w:highlight w:val="none"/>
        </w:rPr>
        <w:t>3.2.4 承包人无正当理由拒绝更换项目经理的违约责任：</w:t>
      </w:r>
      <w:r>
        <w:rPr>
          <w:rFonts w:hint="eastAsia" w:ascii="宋体" w:hAnsi="宋体" w:eastAsia="宋体" w:cs="宋体"/>
          <w:color w:val="auto"/>
          <w:szCs w:val="21"/>
          <w:highlight w:val="none"/>
          <w:u w:val="single"/>
        </w:rPr>
        <w:t>发包人将组织对项目经理进行业务能力考核，对未按投标文件配备或经考核不合格要求更换人员的，承包人7日内必须整改调整到位。否则，对于项目经理和技术负责人，按照</w:t>
      </w:r>
      <w:r>
        <w:rPr>
          <w:rFonts w:hint="eastAsia" w:ascii="宋体" w:hAnsi="宋体" w:cs="宋体"/>
          <w:color w:val="auto"/>
          <w:szCs w:val="21"/>
          <w:highlight w:val="none"/>
          <w:u w:val="single"/>
          <w:lang w:val="en-US" w:eastAsia="zh-CN"/>
        </w:rPr>
        <w:t>2</w:t>
      </w:r>
      <w:r>
        <w:rPr>
          <w:rFonts w:hint="eastAsia" w:ascii="宋体" w:hAnsi="宋体" w:eastAsia="宋体" w:cs="宋体"/>
          <w:color w:val="auto"/>
          <w:szCs w:val="21"/>
          <w:highlight w:val="none"/>
          <w:u w:val="single"/>
        </w:rPr>
        <w:t>000元/人·天</w:t>
      </w:r>
      <w:r>
        <w:rPr>
          <w:rFonts w:hint="eastAsia" w:ascii="宋体" w:hAnsi="宋体" w:eastAsia="宋体" w:cs="宋体"/>
          <w:color w:val="auto"/>
          <w:szCs w:val="21"/>
          <w:highlight w:val="none"/>
          <w:u w:val="single"/>
          <w:lang w:val="en-US" w:eastAsia="zh-CN"/>
        </w:rPr>
        <w:t>处以</w:t>
      </w:r>
      <w:r>
        <w:rPr>
          <w:rFonts w:hint="eastAsia" w:ascii="宋体" w:hAnsi="宋体" w:eastAsia="宋体" w:cs="宋体"/>
          <w:color w:val="auto"/>
          <w:szCs w:val="21"/>
          <w:highlight w:val="none"/>
          <w:u w:val="single"/>
        </w:rPr>
        <w:t>违约金，28日内未整改调整到位的，发包人有权终止合同，并提请相关行政主管部门对企业和人员进行“黑名单”处罚</w:t>
      </w:r>
      <w:r>
        <w:rPr>
          <w:rFonts w:hint="eastAsia" w:ascii="宋体" w:hAnsi="宋体" w:eastAsia="宋体" w:cs="宋体"/>
          <w:color w:val="000000"/>
          <w:highlight w:val="none"/>
          <w:u w:val="single"/>
          <w:lang w:eastAsia="zh-CN"/>
        </w:rPr>
        <w:t>。</w:t>
      </w:r>
    </w:p>
    <w:p w14:paraId="6E545C3E">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cs="宋体"/>
          <w:szCs w:val="21"/>
          <w:highlight w:val="none"/>
        </w:rPr>
      </w:pPr>
      <w:r>
        <w:rPr>
          <w:rFonts w:hint="eastAsia" w:ascii="宋体" w:cs="宋体"/>
          <w:szCs w:val="21"/>
          <w:highlight w:val="none"/>
        </w:rPr>
        <w:t>3.3 承包人人员</w:t>
      </w:r>
    </w:p>
    <w:p w14:paraId="255F90F6">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cs="宋体"/>
          <w:szCs w:val="21"/>
          <w:highlight w:val="none"/>
        </w:rPr>
      </w:pPr>
      <w:r>
        <w:rPr>
          <w:rFonts w:hint="eastAsia" w:ascii="宋体" w:cs="宋体"/>
          <w:szCs w:val="21"/>
          <w:highlight w:val="none"/>
        </w:rPr>
        <w:t>3.3.1 承包人提交项目管理机构及施工现场管理人员安排报告的期限：</w:t>
      </w:r>
      <w:r>
        <w:rPr>
          <w:rFonts w:hint="eastAsia" w:ascii="宋体" w:cs="宋体"/>
          <w:szCs w:val="21"/>
          <w:highlight w:val="none"/>
          <w:u w:val="single"/>
        </w:rPr>
        <w:t>承包人应在</w:t>
      </w:r>
      <w:r>
        <w:rPr>
          <w:rFonts w:hint="eastAsia"/>
          <w:highlight w:val="none"/>
          <w:u w:val="single"/>
        </w:rPr>
        <w:t>合同签订</w:t>
      </w:r>
      <w:r>
        <w:rPr>
          <w:rFonts w:hint="eastAsia" w:ascii="宋体" w:cs="宋体"/>
          <w:szCs w:val="21"/>
          <w:highlight w:val="none"/>
          <w:u w:val="single"/>
        </w:rPr>
        <w:t>后7日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0ABFF03D">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cs="宋体"/>
          <w:szCs w:val="21"/>
          <w:u w:val="single"/>
        </w:rPr>
      </w:pPr>
      <w:r>
        <w:rPr>
          <w:rFonts w:hint="eastAsia" w:ascii="宋体" w:cs="宋体"/>
          <w:szCs w:val="21"/>
          <w:highlight w:val="none"/>
        </w:rPr>
        <w:t>3.3.3 承包人无正当理由拒绝撤换主要施工管理人员的违约责任：</w:t>
      </w:r>
      <w:r>
        <w:rPr>
          <w:rFonts w:hint="eastAsia" w:ascii="宋体" w:cs="宋体"/>
          <w:szCs w:val="21"/>
          <w:highlight w:val="none"/>
          <w:u w:val="single"/>
        </w:rPr>
        <w:t xml:space="preserve"> </w:t>
      </w:r>
      <w:r>
        <w:rPr>
          <w:rFonts w:hint="eastAsia" w:ascii="宋体" w:hAnsi="宋体" w:eastAsia="宋体" w:cs="宋体"/>
          <w:color w:val="auto"/>
          <w:szCs w:val="21"/>
          <w:highlight w:val="none"/>
          <w:u w:val="single"/>
        </w:rPr>
        <w:t>发包人将组织对人员进行业务能力考核，对未按投标文件配备或经考核不合格要求更换人员的，承包人7日内必须整改调整到位。否则，对于施工现场其他管理人员按照1000元/人·天</w:t>
      </w:r>
      <w:r>
        <w:rPr>
          <w:rFonts w:hint="eastAsia" w:ascii="宋体" w:hAnsi="宋体" w:eastAsia="宋体" w:cs="宋体"/>
          <w:color w:val="auto"/>
          <w:szCs w:val="21"/>
          <w:highlight w:val="none"/>
          <w:u w:val="single"/>
          <w:lang w:val="en-US" w:eastAsia="zh-CN"/>
        </w:rPr>
        <w:t>处以</w:t>
      </w:r>
      <w:r>
        <w:rPr>
          <w:rFonts w:hint="eastAsia" w:ascii="宋体" w:hAnsi="宋体" w:eastAsia="宋体" w:cs="宋体"/>
          <w:color w:val="auto"/>
          <w:szCs w:val="21"/>
          <w:highlight w:val="none"/>
          <w:u w:val="single"/>
        </w:rPr>
        <w:t>违约金。28日内未整改调整到位的，发包人有权终止合同，并提请相关行政主管部门对企业和人员进行“黑名单”处罚</w:t>
      </w:r>
      <w:r>
        <w:rPr>
          <w:rFonts w:hint="eastAsia" w:ascii="宋体" w:cs="宋体"/>
          <w:szCs w:val="21"/>
          <w:u w:val="single"/>
        </w:rPr>
        <w:t>。</w:t>
      </w:r>
    </w:p>
    <w:p w14:paraId="0D17F701">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color w:val="auto"/>
          <w:szCs w:val="21"/>
          <w:u w:val="single"/>
        </w:rPr>
      </w:pPr>
      <w:r>
        <w:rPr>
          <w:rFonts w:hint="eastAsia" w:ascii="宋体" w:cs="宋体"/>
          <w:szCs w:val="21"/>
        </w:rPr>
        <w:t>3.3.4 承包人主要施工管理人员离开施工现场的批准要求：</w:t>
      </w:r>
      <w:r>
        <w:rPr>
          <w:rFonts w:hint="eastAsia" w:ascii="宋体" w:hAnsi="宋体" w:eastAsia="宋体" w:cs="宋体"/>
          <w:color w:val="auto"/>
          <w:szCs w:val="21"/>
          <w:u w:val="single"/>
        </w:rPr>
        <w:t>发包人、监理人将对项目经理、</w:t>
      </w:r>
      <w:r>
        <w:rPr>
          <w:rFonts w:hint="default" w:ascii="宋体" w:hAnsi="宋体" w:eastAsia="宋体" w:cs="宋体"/>
          <w:color w:val="auto"/>
          <w:szCs w:val="21"/>
          <w:u w:val="single"/>
          <w:lang w:val="en-US" w:eastAsia="zh-CN"/>
        </w:rPr>
        <w:t>其他管理和技术人员</w:t>
      </w:r>
      <w:r>
        <w:rPr>
          <w:rFonts w:hint="eastAsia" w:ascii="宋体" w:hAnsi="宋体" w:eastAsia="宋体" w:cs="宋体"/>
          <w:color w:val="auto"/>
          <w:szCs w:val="21"/>
          <w:u w:val="single"/>
        </w:rPr>
        <w:t>实行考勤制度，必须保证上述人员每月至少有22天在本项目工地现场，短期离开施工场地，应事先征得监理人、发包人书面同意，并委派代表代行其职责。在工程实施期间，项目经理、总工未经批准离开工地的或月考勤不足22天的，</w:t>
      </w:r>
      <w:r>
        <w:rPr>
          <w:rFonts w:hint="eastAsia" w:ascii="宋体" w:hAnsi="宋体" w:eastAsia="宋体" w:cs="宋体"/>
          <w:color w:val="auto"/>
          <w:szCs w:val="21"/>
          <w:highlight w:val="none"/>
          <w:u w:val="single"/>
        </w:rPr>
        <w:t>按</w:t>
      </w:r>
      <w:r>
        <w:rPr>
          <w:rFonts w:hint="eastAsia" w:ascii="宋体" w:hAnsi="宋体" w:cs="宋体"/>
          <w:color w:val="auto"/>
          <w:szCs w:val="21"/>
          <w:highlight w:val="none"/>
          <w:u w:val="single"/>
          <w:lang w:val="en-US" w:eastAsia="zh-CN"/>
        </w:rPr>
        <w:t>2</w:t>
      </w:r>
      <w:r>
        <w:rPr>
          <w:rFonts w:hint="eastAsia" w:ascii="宋体" w:hAnsi="宋体" w:eastAsia="宋体" w:cs="宋体"/>
          <w:color w:val="auto"/>
          <w:szCs w:val="21"/>
          <w:highlight w:val="none"/>
          <w:u w:val="single"/>
        </w:rPr>
        <w:t>000元/人•天</w:t>
      </w:r>
      <w:r>
        <w:rPr>
          <w:rFonts w:hint="eastAsia" w:ascii="宋体" w:hAnsi="宋体" w:eastAsia="宋体" w:cs="宋体"/>
          <w:color w:val="auto"/>
          <w:szCs w:val="21"/>
          <w:highlight w:val="none"/>
          <w:u w:val="single"/>
          <w:lang w:val="en-US" w:eastAsia="zh-CN"/>
        </w:rPr>
        <w:t>处以</w:t>
      </w:r>
      <w:r>
        <w:rPr>
          <w:rFonts w:hint="eastAsia" w:ascii="宋体" w:hAnsi="宋体" w:eastAsia="宋体" w:cs="宋体"/>
          <w:color w:val="auto"/>
          <w:szCs w:val="21"/>
          <w:highlight w:val="none"/>
          <w:u w:val="single"/>
        </w:rPr>
        <w:t>违约金</w:t>
      </w:r>
      <w:r>
        <w:rPr>
          <w:rFonts w:hint="eastAsia" w:ascii="宋体" w:hAnsi="宋体" w:eastAsia="宋体" w:cs="宋体"/>
          <w:color w:val="auto"/>
          <w:szCs w:val="21"/>
          <w:u w:val="single"/>
        </w:rPr>
        <w:t>，同时将作为承包人信誉评价的不良行为，上报</w:t>
      </w:r>
      <w:r>
        <w:rPr>
          <w:rFonts w:hint="eastAsia" w:ascii="宋体" w:hAnsi="宋体" w:eastAsia="宋体" w:cs="宋体"/>
          <w:color w:val="auto"/>
          <w:szCs w:val="21"/>
          <w:u w:val="single"/>
          <w:lang w:val="en-US" w:eastAsia="zh-CN"/>
        </w:rPr>
        <w:t>行政</w:t>
      </w:r>
      <w:r>
        <w:rPr>
          <w:rFonts w:hint="eastAsia" w:ascii="宋体" w:hAnsi="宋体" w:eastAsia="宋体" w:cs="宋体"/>
          <w:color w:val="auto"/>
          <w:szCs w:val="21"/>
          <w:u w:val="single"/>
        </w:rPr>
        <w:t>主管部门。</w:t>
      </w:r>
    </w:p>
    <w:p w14:paraId="4EEE0B3C">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cs="宋体"/>
          <w:szCs w:val="21"/>
          <w:u w:val="single"/>
        </w:rPr>
      </w:pPr>
      <w:r>
        <w:rPr>
          <w:rFonts w:hint="eastAsia" w:ascii="宋体" w:cs="宋体"/>
          <w:szCs w:val="21"/>
        </w:rPr>
        <w:t>3.3.5承包人擅自更换主要施工管理人员的违约责任：</w:t>
      </w:r>
      <w:r>
        <w:rPr>
          <w:rFonts w:hint="eastAsia" w:ascii="宋体" w:cs="宋体"/>
          <w:szCs w:val="21"/>
          <w:u w:val="single"/>
        </w:rPr>
        <w:t>按照未按规定在岗履责进行处罚。</w:t>
      </w:r>
    </w:p>
    <w:p w14:paraId="3A806AB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承包人主要施工管理人员擅自离开施工现场的违约责任：</w:t>
      </w:r>
      <w:r>
        <w:rPr>
          <w:rFonts w:hint="eastAsia" w:ascii="宋体" w:hAnsi="宋体" w:cs="宋体"/>
          <w:color w:val="000000"/>
          <w:u w:val="single"/>
        </w:rPr>
        <w:t xml:space="preserve"> </w:t>
      </w:r>
      <w:r>
        <w:rPr>
          <w:rFonts w:hint="eastAsia" w:ascii="宋体" w:hAnsi="宋体" w:cs="宋体"/>
          <w:color w:val="000000"/>
          <w:szCs w:val="21"/>
          <w:u w:val="single"/>
          <w:lang w:val="en-US" w:eastAsia="zh-CN"/>
        </w:rPr>
        <w:t>按照</w:t>
      </w:r>
      <w:r>
        <w:rPr>
          <w:rFonts w:hint="eastAsia" w:ascii="宋体" w:hAnsi="宋体" w:eastAsia="宋体" w:cs="宋体"/>
          <w:color w:val="auto"/>
          <w:szCs w:val="21"/>
          <w:highlight w:val="none"/>
          <w:u w:val="single"/>
        </w:rPr>
        <w:t>未按规定在岗履责进行处罚</w:t>
      </w:r>
      <w:r>
        <w:rPr>
          <w:rFonts w:hint="eastAsia" w:ascii="宋体" w:hAnsi="宋体" w:cs="宋体"/>
          <w:color w:val="000000"/>
          <w:u w:val="single"/>
        </w:rPr>
        <w:t xml:space="preserve"> </w:t>
      </w:r>
      <w:r>
        <w:rPr>
          <w:rFonts w:hint="eastAsia" w:ascii="宋体" w:hAnsi="宋体" w:cs="宋体"/>
          <w:color w:val="000000"/>
        </w:rPr>
        <w:t>。</w:t>
      </w:r>
    </w:p>
    <w:p w14:paraId="36036898">
      <w:pPr>
        <w:snapToGrid w:val="0"/>
        <w:spacing w:line="440" w:lineRule="exact"/>
        <w:ind w:firstLine="420" w:firstLineChars="200"/>
        <w:rPr>
          <w:rFonts w:hint="eastAsia" w:ascii="宋体" w:cs="宋体"/>
          <w:szCs w:val="21"/>
        </w:rPr>
      </w:pPr>
      <w:r>
        <w:rPr>
          <w:rFonts w:hint="eastAsia" w:ascii="宋体" w:cs="宋体"/>
          <w:szCs w:val="21"/>
        </w:rPr>
        <w:t>3.5 分包</w:t>
      </w:r>
    </w:p>
    <w:p w14:paraId="75D5498A">
      <w:pPr>
        <w:snapToGrid w:val="0"/>
        <w:spacing w:line="440" w:lineRule="exact"/>
        <w:ind w:firstLine="420" w:firstLineChars="200"/>
        <w:rPr>
          <w:rFonts w:hint="eastAsia" w:ascii="宋体" w:cs="宋体"/>
          <w:szCs w:val="21"/>
        </w:rPr>
      </w:pPr>
      <w:r>
        <w:rPr>
          <w:rFonts w:hint="eastAsia" w:ascii="宋体" w:cs="宋体"/>
          <w:szCs w:val="21"/>
        </w:rPr>
        <w:t>3.5.1 分包的一般约定</w:t>
      </w:r>
    </w:p>
    <w:p w14:paraId="179597DD">
      <w:pPr>
        <w:snapToGrid w:val="0"/>
        <w:spacing w:line="440" w:lineRule="exact"/>
        <w:ind w:firstLine="420" w:firstLineChars="200"/>
        <w:jc w:val="left"/>
        <w:rPr>
          <w:rFonts w:hint="eastAsia" w:ascii="宋体" w:cs="宋体"/>
          <w:szCs w:val="21"/>
          <w:u w:val="single"/>
        </w:rPr>
      </w:pPr>
      <w:r>
        <w:rPr>
          <w:rFonts w:hint="eastAsia" w:ascii="宋体" w:cs="宋体"/>
          <w:szCs w:val="21"/>
        </w:rPr>
        <w:t>禁止分包的工程包括：</w:t>
      </w:r>
      <w:r>
        <w:rPr>
          <w:rFonts w:hint="eastAsia" w:ascii="宋体" w:cs="宋体"/>
          <w:szCs w:val="21"/>
          <w:u w:val="single"/>
        </w:rPr>
        <w:t>承包人不得将其承包的全部工程转包给第三人，或将其承包的全部工程肢解后以分包的名义转包给第三人。承包人不得将工程主体结构、关键性工作及合同条款中禁止分包的专业工程分包给第三人，主体结构、关键性工作的范围由合同当事人按照法律规定在专用合同条款中予以明确。</w:t>
      </w:r>
    </w:p>
    <w:p w14:paraId="1BD0FF18">
      <w:pPr>
        <w:snapToGrid w:val="0"/>
        <w:spacing w:line="440" w:lineRule="exact"/>
        <w:ind w:firstLine="420" w:firstLineChars="200"/>
        <w:jc w:val="left"/>
        <w:rPr>
          <w:rFonts w:hint="eastAsia" w:ascii="宋体" w:cs="宋体"/>
          <w:szCs w:val="21"/>
          <w:highlight w:val="none"/>
          <w:u w:val="single"/>
        </w:rPr>
      </w:pPr>
      <w:r>
        <w:rPr>
          <w:rFonts w:hint="eastAsia" w:ascii="宋体" w:cs="宋体"/>
          <w:szCs w:val="21"/>
          <w:highlight w:val="none"/>
        </w:rPr>
        <w:t>主体结构、关键性工作的范围：</w:t>
      </w:r>
      <w:r>
        <w:rPr>
          <w:rFonts w:hint="eastAsia" w:ascii="宋体" w:cs="宋体"/>
          <w:szCs w:val="21"/>
          <w:highlight w:val="none"/>
          <w:u w:val="single"/>
          <w:lang w:val="en-US" w:eastAsia="zh-CN"/>
        </w:rPr>
        <w:t>/</w:t>
      </w:r>
      <w:r>
        <w:rPr>
          <w:rFonts w:hint="eastAsia" w:ascii="宋体" w:cs="宋体"/>
          <w:szCs w:val="21"/>
          <w:highlight w:val="none"/>
        </w:rPr>
        <w:t>。</w:t>
      </w:r>
    </w:p>
    <w:p w14:paraId="604036AC">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3.5.2分包的确定</w:t>
      </w:r>
    </w:p>
    <w:p w14:paraId="61D1440D">
      <w:pPr>
        <w:snapToGrid w:val="0"/>
        <w:spacing w:line="440" w:lineRule="exact"/>
        <w:ind w:firstLine="420" w:firstLineChars="200"/>
        <w:rPr>
          <w:rFonts w:hint="eastAsia" w:ascii="宋体" w:cs="宋体"/>
          <w:szCs w:val="21"/>
          <w:highlight w:val="yellow"/>
          <w:u w:val="single"/>
        </w:rPr>
      </w:pPr>
      <w:r>
        <w:rPr>
          <w:rFonts w:hint="eastAsia" w:ascii="宋体" w:cs="宋体"/>
          <w:szCs w:val="21"/>
          <w:highlight w:val="none"/>
        </w:rPr>
        <w:t>允许分包的专业工程包括：</w:t>
      </w:r>
      <w:r>
        <w:rPr>
          <w:rFonts w:hint="eastAsia" w:ascii="宋体" w:cs="宋体"/>
          <w:szCs w:val="21"/>
          <w:highlight w:val="none"/>
          <w:u w:val="single"/>
        </w:rPr>
        <w:t>主体结构、关键性工作的范围以外的专业工程。 承包人应按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0F098825">
      <w:pPr>
        <w:snapToGrid w:val="0"/>
        <w:spacing w:line="440" w:lineRule="exact"/>
        <w:ind w:firstLine="420" w:firstLineChars="200"/>
        <w:rPr>
          <w:rFonts w:hint="eastAsia" w:ascii="宋体" w:cs="宋体"/>
          <w:szCs w:val="21"/>
          <w:highlight w:val="none"/>
          <w:u w:val="single"/>
        </w:rPr>
      </w:pPr>
      <w:r>
        <w:rPr>
          <w:rFonts w:hint="eastAsia" w:ascii="宋体" w:cs="宋体"/>
          <w:szCs w:val="21"/>
          <w:highlight w:val="none"/>
        </w:rPr>
        <w:t>其他关于分包的约定：</w:t>
      </w:r>
      <w:r>
        <w:rPr>
          <w:rFonts w:hint="eastAsia" w:ascii="宋体" w:cs="宋体"/>
          <w:szCs w:val="21"/>
          <w:highlight w:val="none"/>
          <w:u w:val="single"/>
        </w:rPr>
        <w:t xml:space="preserve"> 承包人不得以劳务分包的名义转包或违法分包工程。</w:t>
      </w:r>
      <w:r>
        <w:rPr>
          <w:rFonts w:hint="eastAsia" w:ascii="宋体" w:hAnsi="宋体" w:cs="宋体"/>
          <w:b/>
          <w:bCs/>
          <w:szCs w:val="21"/>
          <w:highlight w:val="none"/>
          <w:u w:val="single"/>
        </w:rPr>
        <w:t>发包人在施工进场第一个月或施工过程中发现承包人转包、挂靠等行为的，发包人立即解除合同，清退出场，承包人已完合格工程量按合同价款60%进行结算。</w:t>
      </w:r>
    </w:p>
    <w:p w14:paraId="6D539E9D">
      <w:pPr>
        <w:snapToGrid w:val="0"/>
        <w:spacing w:line="440" w:lineRule="exact"/>
        <w:ind w:firstLine="420" w:firstLineChars="200"/>
        <w:rPr>
          <w:rFonts w:hint="eastAsia" w:ascii="宋体" w:cs="宋体"/>
          <w:szCs w:val="21"/>
        </w:rPr>
      </w:pPr>
      <w:r>
        <w:rPr>
          <w:rFonts w:hint="eastAsia" w:ascii="宋体" w:cs="宋体"/>
          <w:szCs w:val="21"/>
        </w:rPr>
        <w:t>3.5.4 分包合同价款</w:t>
      </w:r>
    </w:p>
    <w:p w14:paraId="2AB133F9">
      <w:pPr>
        <w:snapToGrid w:val="0"/>
        <w:spacing w:line="440" w:lineRule="exact"/>
        <w:ind w:firstLine="420" w:firstLineChars="200"/>
        <w:rPr>
          <w:rFonts w:hint="eastAsia" w:ascii="宋体" w:cs="宋体"/>
          <w:szCs w:val="21"/>
          <w:u w:val="single"/>
        </w:rPr>
      </w:pPr>
      <w:r>
        <w:rPr>
          <w:rFonts w:hint="eastAsia" w:ascii="宋体" w:cs="宋体"/>
          <w:szCs w:val="21"/>
        </w:rPr>
        <w:t>关于分包合同价款支付的约定：</w:t>
      </w:r>
      <w:r>
        <w:rPr>
          <w:rFonts w:hint="eastAsia" w:ascii="宋体" w:cs="宋体"/>
          <w:szCs w:val="21"/>
          <w:u w:val="single"/>
        </w:rPr>
        <w:t>（1）除本项第（2）目约定的情况外，分包合同价款由承包人与分包人结算，未经承包人同意，发包人不得向分包人支付分包工程价款；（2）生效法律文书要求发包人向分包人支付分包合同价款的，发包人有权从应付承包人工程款中扣除该部分款项</w:t>
      </w:r>
      <w:r>
        <w:rPr>
          <w:rFonts w:hint="eastAsia" w:ascii="宋体" w:cs="宋体"/>
          <w:szCs w:val="21"/>
        </w:rPr>
        <w:t>。</w:t>
      </w:r>
    </w:p>
    <w:p w14:paraId="3890FC7F">
      <w:pPr>
        <w:snapToGrid w:val="0"/>
        <w:spacing w:line="440" w:lineRule="exact"/>
        <w:ind w:firstLine="420" w:firstLineChars="200"/>
        <w:rPr>
          <w:rFonts w:hint="eastAsia" w:ascii="宋体" w:cs="宋体"/>
          <w:szCs w:val="21"/>
        </w:rPr>
      </w:pPr>
      <w:r>
        <w:rPr>
          <w:rFonts w:hint="eastAsia" w:ascii="宋体" w:cs="宋体"/>
          <w:szCs w:val="21"/>
        </w:rPr>
        <w:t>3.6 工程照管与成品、半成品保护</w:t>
      </w:r>
    </w:p>
    <w:p w14:paraId="2F3165FC">
      <w:pPr>
        <w:snapToGrid w:val="0"/>
        <w:spacing w:line="440" w:lineRule="exact"/>
        <w:ind w:firstLine="420" w:firstLineChars="200"/>
        <w:rPr>
          <w:rFonts w:hint="eastAsia" w:ascii="宋体" w:cs="宋体"/>
          <w:kern w:val="0"/>
          <w:szCs w:val="21"/>
          <w:u w:val="single"/>
        </w:rPr>
      </w:pPr>
      <w:r>
        <w:rPr>
          <w:rFonts w:hint="eastAsia" w:ascii="宋体" w:cs="宋体"/>
          <w:kern w:val="0"/>
          <w:szCs w:val="21"/>
        </w:rPr>
        <w:t>承包人负责照管工程及工程相关的材料、工程设备的起始时间：</w:t>
      </w:r>
      <w:r>
        <w:rPr>
          <w:rFonts w:hint="eastAsia" w:ascii="宋体" w:hAnsi="宋体" w:cs="宋体"/>
          <w:color w:val="000000"/>
          <w:szCs w:val="21"/>
          <w:u w:val="single"/>
        </w:rPr>
        <w:t>自发包人向承包人移交施工现场之日起，承包人应负责照管工程及工程相关的材料、工程设备，直到颁发工程</w:t>
      </w:r>
      <w:r>
        <w:rPr>
          <w:rFonts w:hint="eastAsia" w:ascii="宋体" w:hAnsi="宋体" w:cs="宋体"/>
          <w:color w:val="auto"/>
          <w:szCs w:val="21"/>
          <w:u w:val="single"/>
          <w:lang w:val="en-US" w:eastAsia="zh-CN"/>
        </w:rPr>
        <w:t>移交</w:t>
      </w:r>
      <w:r>
        <w:rPr>
          <w:rFonts w:hint="eastAsia" w:ascii="宋体" w:hAnsi="宋体" w:cs="宋体"/>
          <w:color w:val="auto"/>
          <w:szCs w:val="21"/>
          <w:u w:val="single"/>
        </w:rPr>
        <w:t>之</w:t>
      </w:r>
      <w:r>
        <w:rPr>
          <w:rFonts w:hint="eastAsia" w:ascii="宋体" w:hAnsi="宋体" w:cs="宋体"/>
          <w:color w:val="000000"/>
          <w:szCs w:val="21"/>
          <w:u w:val="single"/>
        </w:rPr>
        <w:t>日止</w:t>
      </w:r>
      <w:r>
        <w:rPr>
          <w:rFonts w:hint="eastAsia" w:ascii="宋体" w:cs="宋体"/>
          <w:kern w:val="0"/>
          <w:szCs w:val="21"/>
          <w:u w:val="single"/>
        </w:rPr>
        <w:t>。</w:t>
      </w:r>
    </w:p>
    <w:p w14:paraId="7F366C5E">
      <w:pPr>
        <w:tabs>
          <w:tab w:val="left" w:pos="7740"/>
        </w:tabs>
        <w:snapToGrid w:val="0"/>
        <w:spacing w:line="440" w:lineRule="exact"/>
        <w:ind w:firstLine="420" w:firstLineChars="200"/>
        <w:rPr>
          <w:rFonts w:hint="eastAsia" w:ascii="宋体" w:cs="宋体"/>
          <w:szCs w:val="21"/>
        </w:rPr>
      </w:pPr>
      <w:r>
        <w:rPr>
          <w:rFonts w:hint="eastAsia" w:ascii="宋体" w:cs="宋体"/>
          <w:szCs w:val="21"/>
        </w:rPr>
        <w:t>3.7 履约担保</w:t>
      </w:r>
    </w:p>
    <w:p w14:paraId="214B02E2">
      <w:pPr>
        <w:tabs>
          <w:tab w:val="left" w:pos="7740"/>
        </w:tabs>
        <w:snapToGrid w:val="0"/>
        <w:spacing w:line="440" w:lineRule="exact"/>
        <w:ind w:firstLine="420" w:firstLineChars="200"/>
        <w:rPr>
          <w:rFonts w:hint="eastAsia" w:ascii="宋体" w:cs="宋体"/>
          <w:szCs w:val="21"/>
          <w:highlight w:val="none"/>
        </w:rPr>
      </w:pPr>
      <w:r>
        <w:rPr>
          <w:rFonts w:hint="eastAsia" w:ascii="宋体" w:cs="宋体"/>
          <w:szCs w:val="21"/>
          <w:highlight w:val="none"/>
        </w:rPr>
        <w:t>承包人是否提供履约担保：</w:t>
      </w:r>
      <w:r>
        <w:rPr>
          <w:rFonts w:hint="eastAsia" w:ascii="宋体" w:cs="宋体"/>
          <w:szCs w:val="21"/>
          <w:highlight w:val="none"/>
          <w:u w:val="single"/>
        </w:rPr>
        <w:t xml:space="preserve"> </w:t>
      </w:r>
      <w:r>
        <w:rPr>
          <w:rFonts w:hint="eastAsia" w:ascii="宋体" w:hAnsi="宋体" w:cs="宋体"/>
          <w:color w:val="000000"/>
          <w:szCs w:val="21"/>
          <w:highlight w:val="none"/>
          <w:u w:val="single"/>
        </w:rPr>
        <w:t>提供</w:t>
      </w:r>
      <w:r>
        <w:rPr>
          <w:rFonts w:hint="eastAsia" w:ascii="宋体" w:cs="宋体"/>
          <w:szCs w:val="21"/>
          <w:highlight w:val="none"/>
          <w:u w:val="single"/>
        </w:rPr>
        <w:t xml:space="preserve">  </w:t>
      </w:r>
      <w:r>
        <w:rPr>
          <w:rFonts w:hint="eastAsia" w:ascii="宋体" w:cs="宋体"/>
          <w:szCs w:val="21"/>
          <w:highlight w:val="none"/>
        </w:rPr>
        <w:t>。</w:t>
      </w:r>
    </w:p>
    <w:p w14:paraId="683A46A0">
      <w:pPr>
        <w:tabs>
          <w:tab w:val="left" w:pos="7740"/>
        </w:tabs>
        <w:snapToGrid w:val="0"/>
        <w:spacing w:line="440" w:lineRule="exact"/>
        <w:ind w:firstLine="420" w:firstLineChars="200"/>
        <w:rPr>
          <w:rFonts w:hint="eastAsia" w:ascii="宋体" w:cs="宋体"/>
          <w:szCs w:val="21"/>
          <w:highlight w:val="none"/>
        </w:rPr>
      </w:pPr>
      <w:r>
        <w:rPr>
          <w:rFonts w:hint="eastAsia" w:ascii="宋体" w:cs="宋体"/>
          <w:szCs w:val="21"/>
          <w:highlight w:val="none"/>
        </w:rPr>
        <w:t>承包人提供履约担保的形式、金额及期限的：</w:t>
      </w:r>
      <w:r>
        <w:rPr>
          <w:rFonts w:hint="eastAsia" w:ascii="宋体" w:cs="宋体"/>
          <w:szCs w:val="21"/>
          <w:highlight w:val="none"/>
          <w:lang w:val="en-US" w:eastAsia="zh-CN"/>
        </w:rPr>
        <w:t>具体要求详见投标人须知前附表</w:t>
      </w:r>
      <w:r>
        <w:rPr>
          <w:rFonts w:hint="eastAsia" w:ascii="宋体" w:cs="宋体"/>
          <w:szCs w:val="21"/>
          <w:highlight w:val="none"/>
        </w:rPr>
        <w:t>。</w:t>
      </w:r>
    </w:p>
    <w:p w14:paraId="38296A20">
      <w:pPr>
        <w:tabs>
          <w:tab w:val="left" w:pos="7740"/>
        </w:tabs>
        <w:snapToGrid w:val="0"/>
        <w:spacing w:line="440" w:lineRule="exact"/>
        <w:ind w:firstLine="420" w:firstLineChars="200"/>
        <w:rPr>
          <w:rFonts w:hint="eastAsia" w:ascii="宋体" w:cs="宋体"/>
          <w:szCs w:val="21"/>
          <w:highlight w:val="none"/>
        </w:rPr>
      </w:pPr>
      <w:r>
        <w:rPr>
          <w:rFonts w:hint="eastAsia" w:ascii="宋体" w:cs="宋体"/>
          <w:szCs w:val="21"/>
          <w:highlight w:val="none"/>
        </w:rPr>
        <w:t>4. 监理人</w:t>
      </w:r>
    </w:p>
    <w:p w14:paraId="007344C9">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4.1监理人的一般规定</w:t>
      </w:r>
    </w:p>
    <w:p w14:paraId="09044A47">
      <w:pPr>
        <w:snapToGrid w:val="0"/>
        <w:spacing w:line="440" w:lineRule="exact"/>
        <w:ind w:firstLine="420" w:firstLineChars="200"/>
        <w:jc w:val="left"/>
        <w:rPr>
          <w:rFonts w:hint="eastAsia" w:ascii="宋体" w:cs="宋体"/>
          <w:szCs w:val="21"/>
          <w:highlight w:val="none"/>
        </w:rPr>
      </w:pPr>
      <w:r>
        <w:rPr>
          <w:rFonts w:hint="eastAsia" w:ascii="宋体" w:cs="宋体"/>
          <w:szCs w:val="21"/>
          <w:highlight w:val="none"/>
        </w:rPr>
        <w:t>关于监理人的监理内容：</w:t>
      </w:r>
      <w:r>
        <w:rPr>
          <w:rFonts w:hint="eastAsia" w:ascii="宋体" w:cs="宋体"/>
          <w:szCs w:val="21"/>
          <w:highlight w:val="none"/>
          <w:u w:val="single"/>
        </w:rPr>
        <w:t xml:space="preserve">  详见监理合同 </w:t>
      </w:r>
      <w:r>
        <w:rPr>
          <w:rFonts w:hint="eastAsia" w:ascii="宋体" w:cs="宋体"/>
          <w:szCs w:val="21"/>
          <w:highlight w:val="none"/>
        </w:rPr>
        <w:t>。</w:t>
      </w:r>
    </w:p>
    <w:p w14:paraId="7F628324">
      <w:pPr>
        <w:snapToGrid w:val="0"/>
        <w:spacing w:line="440" w:lineRule="exact"/>
        <w:ind w:firstLine="420" w:firstLineChars="200"/>
        <w:jc w:val="left"/>
        <w:rPr>
          <w:rFonts w:hint="eastAsia" w:ascii="宋体" w:cs="宋体"/>
          <w:szCs w:val="21"/>
          <w:highlight w:val="none"/>
        </w:rPr>
      </w:pPr>
      <w:r>
        <w:rPr>
          <w:rFonts w:hint="eastAsia" w:ascii="宋体" w:cs="宋体"/>
          <w:szCs w:val="21"/>
          <w:highlight w:val="none"/>
        </w:rPr>
        <w:t>关于监理人的监理权限：</w:t>
      </w:r>
      <w:r>
        <w:rPr>
          <w:rFonts w:hint="eastAsia" w:ascii="宋体" w:cs="宋体"/>
          <w:szCs w:val="21"/>
          <w:highlight w:val="none"/>
          <w:u w:val="single"/>
        </w:rPr>
        <w:t xml:space="preserve"> 发布开工令、停工令、复工令权；工程质量的监督权；工程上使用的材料和施工质量检验权、确认权；工程施工进度、安全的检查、监督权、发包人授权的处罚权；工程款支付的审核权；向承包人提出施工组织设计和技术方案的建议权；发包人和承包人间的组织协调的主持权；撤换不合格的工程建设分包单位和项目负责人及有关人员的建议权；分包单位资质及能力的审查权；等等  </w:t>
      </w:r>
      <w:r>
        <w:rPr>
          <w:rFonts w:hint="eastAsia" w:ascii="宋体" w:cs="宋体"/>
          <w:szCs w:val="21"/>
          <w:highlight w:val="none"/>
        </w:rPr>
        <w:t xml:space="preserve">。 </w:t>
      </w:r>
    </w:p>
    <w:p w14:paraId="2993D52B">
      <w:pPr>
        <w:snapToGrid w:val="0"/>
        <w:spacing w:line="440" w:lineRule="exact"/>
        <w:ind w:firstLine="420" w:firstLineChars="200"/>
        <w:rPr>
          <w:rFonts w:hint="eastAsia" w:ascii="宋体" w:cs="宋体"/>
          <w:szCs w:val="21"/>
          <w:highlight w:val="none"/>
          <w:u w:val="single"/>
        </w:rPr>
      </w:pPr>
      <w:r>
        <w:rPr>
          <w:rFonts w:hint="eastAsia" w:ascii="宋体" w:cs="宋体"/>
          <w:szCs w:val="21"/>
          <w:highlight w:val="none"/>
        </w:rPr>
        <w:t>关于监理人在施工现场的办公场所、生活场所的提供和费用承担的约定：</w:t>
      </w:r>
      <w:r>
        <w:rPr>
          <w:rFonts w:hint="eastAsia" w:ascii="宋体" w:cs="宋体"/>
          <w:szCs w:val="21"/>
          <w:highlight w:val="none"/>
          <w:u w:val="single"/>
        </w:rPr>
        <w:t>办公场所由承包人提供和承担，生活场所由监理人自行解决和承担 。</w:t>
      </w:r>
    </w:p>
    <w:p w14:paraId="68744750">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4.2 监理人员</w:t>
      </w:r>
    </w:p>
    <w:p w14:paraId="1A37E990">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总监理工程师：</w:t>
      </w:r>
    </w:p>
    <w:p w14:paraId="4683FF8C">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姓    名：</w:t>
      </w:r>
      <w:r>
        <w:rPr>
          <w:rFonts w:hint="eastAsia" w:ascii="宋体" w:cs="宋体"/>
          <w:szCs w:val="21"/>
          <w:highlight w:val="none"/>
          <w:u w:val="single"/>
        </w:rPr>
        <w:t>   </w:t>
      </w:r>
      <w:r>
        <w:rPr>
          <w:rFonts w:hint="eastAsia" w:ascii="宋体" w:cs="宋体"/>
          <w:szCs w:val="21"/>
          <w:highlight w:val="none"/>
        </w:rPr>
        <w:t>；</w:t>
      </w:r>
    </w:p>
    <w:p w14:paraId="5904DAFE">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职    务：</w:t>
      </w:r>
      <w:r>
        <w:rPr>
          <w:rFonts w:hint="eastAsia" w:ascii="宋体" w:cs="宋体"/>
          <w:szCs w:val="21"/>
          <w:highlight w:val="none"/>
          <w:u w:val="single"/>
        </w:rPr>
        <w:t>   </w:t>
      </w:r>
      <w:r>
        <w:rPr>
          <w:rFonts w:hint="eastAsia" w:ascii="宋体" w:cs="宋体"/>
          <w:szCs w:val="21"/>
          <w:highlight w:val="none"/>
        </w:rPr>
        <w:t>；</w:t>
      </w:r>
    </w:p>
    <w:p w14:paraId="58C9F6F8">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监理工程师执业资格证书号：</w:t>
      </w:r>
      <w:r>
        <w:rPr>
          <w:rFonts w:hint="eastAsia" w:ascii="宋体" w:cs="宋体"/>
          <w:szCs w:val="21"/>
          <w:highlight w:val="none"/>
          <w:u w:val="single"/>
        </w:rPr>
        <w:t> </w:t>
      </w:r>
      <w:r>
        <w:rPr>
          <w:rFonts w:hint="eastAsia" w:ascii="宋体" w:cs="宋体"/>
          <w:szCs w:val="21"/>
          <w:highlight w:val="none"/>
        </w:rPr>
        <w:t>；</w:t>
      </w:r>
    </w:p>
    <w:p w14:paraId="56E09EDD">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联系电话：</w:t>
      </w:r>
      <w:r>
        <w:rPr>
          <w:rFonts w:hint="eastAsia" w:ascii="宋体" w:cs="宋体"/>
          <w:szCs w:val="21"/>
          <w:highlight w:val="none"/>
          <w:u w:val="single"/>
        </w:rPr>
        <w:t>   </w:t>
      </w:r>
      <w:r>
        <w:rPr>
          <w:rFonts w:hint="eastAsia" w:ascii="宋体" w:cs="宋体"/>
          <w:szCs w:val="21"/>
          <w:highlight w:val="none"/>
        </w:rPr>
        <w:t>；</w:t>
      </w:r>
    </w:p>
    <w:p w14:paraId="44319910">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电子信箱：</w:t>
      </w:r>
      <w:r>
        <w:rPr>
          <w:rFonts w:hint="eastAsia" w:ascii="宋体" w:cs="宋体"/>
          <w:szCs w:val="21"/>
          <w:highlight w:val="none"/>
          <w:u w:val="single"/>
        </w:rPr>
        <w:t>   </w:t>
      </w:r>
      <w:r>
        <w:rPr>
          <w:rFonts w:hint="eastAsia" w:ascii="宋体" w:cs="宋体"/>
          <w:szCs w:val="21"/>
          <w:highlight w:val="none"/>
        </w:rPr>
        <w:t>；</w:t>
      </w:r>
    </w:p>
    <w:p w14:paraId="7B91E098">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通信地址：</w:t>
      </w:r>
      <w:r>
        <w:rPr>
          <w:rFonts w:hint="eastAsia" w:ascii="宋体" w:cs="宋体"/>
          <w:szCs w:val="21"/>
          <w:highlight w:val="none"/>
          <w:u w:val="single"/>
        </w:rPr>
        <w:t>   </w:t>
      </w:r>
      <w:r>
        <w:rPr>
          <w:rFonts w:hint="eastAsia" w:ascii="宋体" w:cs="宋体"/>
          <w:szCs w:val="21"/>
          <w:highlight w:val="none"/>
        </w:rPr>
        <w:t>；</w:t>
      </w:r>
    </w:p>
    <w:p w14:paraId="7C3A346F">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关于监理人的其他约定：</w:t>
      </w:r>
      <w:r>
        <w:rPr>
          <w:rFonts w:hint="eastAsia" w:ascii="宋体" w:cs="宋体"/>
          <w:szCs w:val="21"/>
          <w:highlight w:val="none"/>
          <w:u w:val="single"/>
        </w:rPr>
        <w:t>   </w:t>
      </w:r>
      <w:r>
        <w:rPr>
          <w:rFonts w:hint="eastAsia" w:ascii="宋体" w:cs="宋体"/>
          <w:szCs w:val="21"/>
          <w:highlight w:val="none"/>
        </w:rPr>
        <w:t>。</w:t>
      </w:r>
    </w:p>
    <w:p w14:paraId="436AC609">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4.4 商定或确定</w:t>
      </w:r>
    </w:p>
    <w:p w14:paraId="25D9F5A9">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在发包人和承包人不能通过协商达成一致意见时，发包人授权监理人对以下事项进行确定：</w:t>
      </w:r>
    </w:p>
    <w:p w14:paraId="5D80E276">
      <w:pPr>
        <w:autoSpaceDE w:val="0"/>
        <w:autoSpaceDN w:val="0"/>
        <w:adjustRightInd w:val="0"/>
        <w:snapToGrid w:val="0"/>
        <w:spacing w:line="440" w:lineRule="exact"/>
        <w:ind w:firstLine="420" w:firstLineChars="200"/>
        <w:jc w:val="left"/>
        <w:rPr>
          <w:rFonts w:hint="eastAsia" w:ascii="宋体" w:cs="宋体"/>
          <w:kern w:val="0"/>
          <w:szCs w:val="21"/>
          <w:highlight w:val="none"/>
        </w:rPr>
      </w:pPr>
      <w:r>
        <w:rPr>
          <w:rFonts w:hint="eastAsia" w:ascii="宋体" w:cs="宋体"/>
          <w:kern w:val="0"/>
          <w:szCs w:val="21"/>
          <w:highlight w:val="none"/>
        </w:rPr>
        <w:t>（1）</w:t>
      </w:r>
      <w:r>
        <w:rPr>
          <w:rFonts w:hint="eastAsia" w:ascii="宋体" w:cs="宋体"/>
          <w:szCs w:val="21"/>
          <w:highlight w:val="none"/>
          <w:u w:val="single"/>
        </w:rPr>
        <w:t xml:space="preserve">   施工方案    </w:t>
      </w:r>
      <w:r>
        <w:rPr>
          <w:rFonts w:hint="eastAsia" w:ascii="宋体" w:cs="宋体"/>
          <w:szCs w:val="21"/>
          <w:highlight w:val="none"/>
        </w:rPr>
        <w:t>；</w:t>
      </w:r>
    </w:p>
    <w:p w14:paraId="47EE63B8">
      <w:pPr>
        <w:autoSpaceDE w:val="0"/>
        <w:autoSpaceDN w:val="0"/>
        <w:adjustRightInd w:val="0"/>
        <w:snapToGrid w:val="0"/>
        <w:spacing w:line="440" w:lineRule="exact"/>
        <w:ind w:firstLine="420" w:firstLineChars="200"/>
        <w:jc w:val="left"/>
        <w:rPr>
          <w:rFonts w:hint="eastAsia" w:ascii="宋体" w:cs="宋体"/>
          <w:kern w:val="0"/>
          <w:szCs w:val="21"/>
          <w:highlight w:val="none"/>
        </w:rPr>
      </w:pPr>
      <w:r>
        <w:rPr>
          <w:rFonts w:hint="eastAsia" w:ascii="宋体" w:cs="宋体"/>
          <w:kern w:val="0"/>
          <w:szCs w:val="21"/>
          <w:highlight w:val="none"/>
        </w:rPr>
        <w:t>（2）</w:t>
      </w:r>
      <w:r>
        <w:rPr>
          <w:rFonts w:hint="eastAsia" w:ascii="宋体" w:cs="宋体"/>
          <w:szCs w:val="21"/>
          <w:highlight w:val="none"/>
          <w:u w:val="single"/>
        </w:rPr>
        <w:t xml:space="preserve">   索赔事项等    </w:t>
      </w:r>
      <w:r>
        <w:rPr>
          <w:rFonts w:hint="eastAsia" w:ascii="宋体" w:cs="宋体"/>
          <w:szCs w:val="21"/>
          <w:highlight w:val="none"/>
        </w:rPr>
        <w:t>；</w:t>
      </w:r>
    </w:p>
    <w:p w14:paraId="0B4B73F6">
      <w:pPr>
        <w:pStyle w:val="5"/>
        <w:snapToGrid w:val="0"/>
        <w:spacing w:before="0" w:after="0" w:line="440" w:lineRule="exact"/>
        <w:ind w:firstLine="420" w:firstLineChars="200"/>
        <w:rPr>
          <w:rFonts w:hint="eastAsia" w:ascii="宋体" w:eastAsia="宋体" w:cs="宋体"/>
          <w:b w:val="0"/>
          <w:sz w:val="21"/>
          <w:szCs w:val="21"/>
        </w:rPr>
      </w:pPr>
      <w:r>
        <w:rPr>
          <w:rFonts w:hint="eastAsia" w:ascii="宋体" w:eastAsia="宋体" w:cs="宋体"/>
          <w:b w:val="0"/>
          <w:sz w:val="21"/>
          <w:szCs w:val="21"/>
        </w:rPr>
        <w:t>5. 工程质量</w:t>
      </w:r>
    </w:p>
    <w:p w14:paraId="725B46FA">
      <w:pPr>
        <w:snapToGrid w:val="0"/>
        <w:spacing w:line="440" w:lineRule="exact"/>
        <w:ind w:firstLine="420" w:firstLineChars="200"/>
        <w:rPr>
          <w:rFonts w:hint="eastAsia" w:ascii="宋体" w:cs="宋体"/>
          <w:szCs w:val="21"/>
        </w:rPr>
      </w:pPr>
      <w:r>
        <w:rPr>
          <w:rFonts w:hint="eastAsia" w:ascii="宋体" w:cs="宋体"/>
          <w:szCs w:val="21"/>
        </w:rPr>
        <w:t>5.1 质量要求</w:t>
      </w:r>
    </w:p>
    <w:p w14:paraId="7F8BE9EA">
      <w:pPr>
        <w:snapToGrid w:val="0"/>
        <w:spacing w:line="440" w:lineRule="exact"/>
        <w:ind w:firstLine="420" w:firstLineChars="200"/>
        <w:jc w:val="left"/>
        <w:rPr>
          <w:rFonts w:hint="eastAsia" w:ascii="宋体" w:cs="宋体"/>
          <w:szCs w:val="21"/>
        </w:rPr>
      </w:pPr>
      <w:r>
        <w:rPr>
          <w:rFonts w:hint="eastAsia" w:ascii="宋体" w:cs="宋体"/>
          <w:szCs w:val="21"/>
        </w:rPr>
        <w:t>5.1.1 特殊质量标准和要求：</w:t>
      </w:r>
      <w:r>
        <w:rPr>
          <w:rFonts w:hint="eastAsia" w:ascii="宋体" w:cs="宋体"/>
          <w:szCs w:val="21"/>
          <w:u w:val="single"/>
        </w:rPr>
        <w:t xml:space="preserve"> 工程质量必须达到国家工程施工质量验收 合格 标准。 </w:t>
      </w:r>
    </w:p>
    <w:p w14:paraId="52928622">
      <w:pPr>
        <w:snapToGrid w:val="0"/>
        <w:spacing w:line="440" w:lineRule="exact"/>
        <w:ind w:firstLine="420" w:firstLineChars="200"/>
        <w:jc w:val="left"/>
        <w:rPr>
          <w:rFonts w:hint="eastAsia" w:ascii="宋体" w:cs="宋体"/>
          <w:szCs w:val="21"/>
          <w:u w:val="single"/>
        </w:rPr>
      </w:pPr>
      <w:r>
        <w:rPr>
          <w:rFonts w:hint="eastAsia" w:ascii="宋体" w:cs="宋体"/>
          <w:szCs w:val="21"/>
        </w:rPr>
        <w:t>关于工程奖项的约定：</w:t>
      </w:r>
      <w:r>
        <w:rPr>
          <w:rFonts w:hint="eastAsia" w:ascii="宋体" w:cs="宋体"/>
          <w:szCs w:val="21"/>
          <w:u w:val="single"/>
        </w:rPr>
        <w:t xml:space="preserve"> / </w:t>
      </w:r>
      <w:r>
        <w:rPr>
          <w:rFonts w:hint="eastAsia" w:ascii="宋体" w:cs="宋体"/>
          <w:szCs w:val="21"/>
        </w:rPr>
        <w:t>。</w:t>
      </w:r>
    </w:p>
    <w:p w14:paraId="36944099">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cs="宋体"/>
          <w:szCs w:val="21"/>
        </w:rPr>
      </w:pPr>
      <w:r>
        <w:rPr>
          <w:rFonts w:hint="eastAsia" w:ascii="宋体" w:cs="宋体"/>
          <w:szCs w:val="21"/>
        </w:rPr>
        <w:t>5.3 隐蔽工程检查</w:t>
      </w:r>
    </w:p>
    <w:p w14:paraId="749E1B7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Cs w:val="21"/>
          <w:highlight w:val="none"/>
          <w:u w:val="single"/>
          <w:lang w:eastAsia="zh-CN"/>
        </w:rPr>
      </w:pPr>
      <w:r>
        <w:rPr>
          <w:rFonts w:hint="eastAsia" w:ascii="宋体" w:hAnsi="宋体" w:cs="宋体"/>
          <w:color w:val="000000"/>
          <w:highlight w:val="none"/>
        </w:rPr>
        <w:t>5.3.2 承包人提前通知监理人隐蔽工程检查的期限的约定：</w:t>
      </w:r>
      <w:r>
        <w:rPr>
          <w:rFonts w:hint="eastAsia" w:ascii="宋体" w:hAnsi="宋体" w:cs="宋体"/>
          <w:color w:val="000000"/>
          <w:szCs w:val="21"/>
          <w:highlight w:val="none"/>
          <w:u w:val="single"/>
        </w:rPr>
        <w:t xml:space="preserve">  </w:t>
      </w:r>
      <w:r>
        <w:rPr>
          <w:rFonts w:hint="eastAsia" w:ascii="宋体" w:hAnsi="宋体" w:eastAsia="宋体" w:cs="宋体"/>
          <w:color w:val="auto"/>
          <w:szCs w:val="21"/>
          <w:highlight w:val="none"/>
          <w:u w:val="single"/>
        </w:rPr>
        <w:t>工程隐蔽部位经承包人自检确认具备覆盖条件的，承包人应在共同检查前6小时书面通知监理人检查，通知中应载明隐蔽检查的内容、时间和地点，并应附有自检记录和必要的检查资料</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包含不限于影像等相关资料</w:t>
      </w:r>
      <w:r>
        <w:rPr>
          <w:rFonts w:hint="eastAsia" w:ascii="宋体" w:hAnsi="宋体" w:eastAsia="宋体" w:cs="宋体"/>
          <w:color w:val="auto"/>
          <w:szCs w:val="21"/>
          <w:highlight w:val="none"/>
          <w:u w:val="single"/>
          <w:lang w:eastAsia="zh-CN"/>
        </w:rPr>
        <w:t>）。</w:t>
      </w:r>
    </w:p>
    <w:p w14:paraId="0C38704B">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4B4DE381">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u w:val="single"/>
        </w:rPr>
      </w:pPr>
      <w:r>
        <w:rPr>
          <w:rFonts w:hint="eastAsia" w:ascii="宋体" w:hAnsi="宋体" w:eastAsia="宋体" w:cs="宋体"/>
          <w:color w:val="auto"/>
          <w:szCs w:val="21"/>
          <w:highlight w:val="none"/>
          <w:u w:val="single"/>
        </w:rPr>
        <w:t>监理人不能按时进行检查的，应在检查前3小时向承包人提交书面延期要求，但延期不能超过6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r>
        <w:rPr>
          <w:rFonts w:hint="eastAsia" w:ascii="宋体" w:hAnsi="宋体" w:cs="宋体"/>
          <w:color w:val="000000"/>
          <w:szCs w:val="21"/>
          <w:highlight w:val="none"/>
          <w:u w:val="single"/>
        </w:rPr>
        <w:t xml:space="preserve">  </w:t>
      </w:r>
      <w:r>
        <w:rPr>
          <w:rFonts w:hint="eastAsia" w:ascii="宋体" w:hAnsi="宋体" w:cs="宋体"/>
          <w:color w:val="000000"/>
          <w:highlight w:val="none"/>
        </w:rPr>
        <w:t>。</w:t>
      </w:r>
    </w:p>
    <w:p w14:paraId="63C243DF">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监理人不能按时进行检查时，应提前</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3</w:t>
      </w:r>
      <w:r>
        <w:rPr>
          <w:rFonts w:hint="eastAsia" w:ascii="宋体" w:hAnsi="宋体" w:cs="宋体"/>
          <w:color w:val="000000"/>
          <w:szCs w:val="21"/>
          <w:u w:val="single"/>
        </w:rPr>
        <w:t xml:space="preserve"> </w:t>
      </w:r>
      <w:r>
        <w:rPr>
          <w:rFonts w:hint="eastAsia" w:ascii="宋体" w:hAnsi="宋体" w:cs="宋体"/>
          <w:color w:val="000000"/>
        </w:rPr>
        <w:t>小时提交书面延期要求。</w:t>
      </w:r>
    </w:p>
    <w:p w14:paraId="1A5BDEE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关于延期最长不得超过：</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6</w:t>
      </w:r>
      <w:r>
        <w:rPr>
          <w:rFonts w:hint="eastAsia" w:ascii="宋体" w:hAnsi="宋体" w:cs="宋体"/>
          <w:color w:val="000000"/>
          <w:szCs w:val="21"/>
          <w:u w:val="single"/>
        </w:rPr>
        <w:t xml:space="preserve"> </w:t>
      </w:r>
      <w:r>
        <w:rPr>
          <w:rFonts w:hint="eastAsia" w:ascii="宋体" w:hAnsi="宋体" w:cs="宋体"/>
          <w:color w:val="000000"/>
        </w:rPr>
        <w:t>小时。</w:t>
      </w:r>
    </w:p>
    <w:p w14:paraId="1F4986B0">
      <w:pPr>
        <w:pStyle w:val="5"/>
        <w:tabs>
          <w:tab w:val="left" w:pos="3315"/>
        </w:tabs>
        <w:snapToGrid w:val="0"/>
        <w:spacing w:before="0" w:after="0" w:line="440" w:lineRule="exact"/>
        <w:ind w:firstLine="420" w:firstLineChars="200"/>
        <w:rPr>
          <w:rFonts w:hint="eastAsia" w:ascii="宋体" w:eastAsia="宋体" w:cs="宋体"/>
          <w:b w:val="0"/>
          <w:sz w:val="21"/>
          <w:szCs w:val="21"/>
        </w:rPr>
      </w:pPr>
      <w:r>
        <w:rPr>
          <w:rFonts w:hint="eastAsia" w:ascii="宋体" w:eastAsia="宋体" w:cs="宋体"/>
          <w:b w:val="0"/>
          <w:sz w:val="21"/>
          <w:szCs w:val="21"/>
        </w:rPr>
        <w:t>6. 安全文明施工与环境保护</w:t>
      </w:r>
      <w:r>
        <w:rPr>
          <w:rFonts w:hint="eastAsia" w:ascii="宋体" w:eastAsia="宋体" w:cs="宋体"/>
          <w:b w:val="0"/>
          <w:sz w:val="21"/>
          <w:szCs w:val="21"/>
        </w:rPr>
        <w:tab/>
      </w:r>
    </w:p>
    <w:p w14:paraId="09FD88B5">
      <w:pPr>
        <w:snapToGrid w:val="0"/>
        <w:spacing w:line="440" w:lineRule="exact"/>
        <w:ind w:firstLine="420" w:firstLineChars="200"/>
        <w:rPr>
          <w:rFonts w:hint="eastAsia" w:ascii="宋体" w:cs="宋体"/>
          <w:szCs w:val="21"/>
        </w:rPr>
      </w:pPr>
      <w:r>
        <w:rPr>
          <w:rFonts w:hint="eastAsia" w:ascii="宋体" w:cs="宋体"/>
          <w:szCs w:val="21"/>
        </w:rPr>
        <w:t>6.1安全文明施工</w:t>
      </w:r>
    </w:p>
    <w:p w14:paraId="7B5AA553">
      <w:pPr>
        <w:snapToGrid w:val="0"/>
        <w:spacing w:line="440" w:lineRule="exact"/>
        <w:ind w:firstLine="420" w:firstLineChars="200"/>
        <w:jc w:val="left"/>
        <w:rPr>
          <w:rFonts w:hint="eastAsia" w:ascii="宋体" w:cs="宋体"/>
          <w:szCs w:val="21"/>
        </w:rPr>
      </w:pPr>
      <w:r>
        <w:rPr>
          <w:rFonts w:hint="eastAsia" w:ascii="宋体" w:cs="宋体"/>
          <w:szCs w:val="21"/>
        </w:rPr>
        <w:t>6.1.1 项目安全生产的达标目标及相应事项的约定</w:t>
      </w:r>
      <w:r>
        <w:rPr>
          <w:rFonts w:hint="eastAsia" w:ascii="宋体" w:cs="宋体"/>
          <w:szCs w:val="21"/>
          <w:u w:val="single"/>
        </w:rPr>
        <w:t xml:space="preserve">  </w:t>
      </w:r>
      <w:r>
        <w:rPr>
          <w:rFonts w:hint="eastAsia" w:ascii="宋体" w:cs="宋体"/>
          <w:szCs w:val="21"/>
          <w:u w:val="single"/>
          <w:lang w:val="en-US" w:eastAsia="zh-CN"/>
        </w:rPr>
        <w:t xml:space="preserve">  </w:t>
      </w:r>
      <w:r>
        <w:rPr>
          <w:rFonts w:hint="eastAsia" w:ascii="宋体" w:cs="宋体"/>
          <w:szCs w:val="21"/>
          <w:u w:val="single"/>
        </w:rPr>
        <w:t xml:space="preserve">    。</w:t>
      </w:r>
    </w:p>
    <w:p w14:paraId="4907B10C">
      <w:pPr>
        <w:snapToGrid w:val="0"/>
        <w:spacing w:line="440" w:lineRule="exact"/>
        <w:ind w:firstLine="420" w:firstLineChars="200"/>
        <w:jc w:val="left"/>
        <w:rPr>
          <w:rFonts w:hint="eastAsia" w:ascii="宋体" w:cs="宋体"/>
          <w:szCs w:val="21"/>
          <w:u w:val="single"/>
        </w:rPr>
      </w:pPr>
      <w:r>
        <w:rPr>
          <w:rFonts w:hint="eastAsia" w:ascii="宋体" w:cs="宋体"/>
          <w:szCs w:val="21"/>
        </w:rPr>
        <w:t>6.1.4 关于治安保卫的特别约定：</w:t>
      </w:r>
      <w:r>
        <w:rPr>
          <w:rFonts w:hint="eastAsia" w:ascii="宋体" w:cs="宋体"/>
          <w:szCs w:val="21"/>
          <w:u w:val="single"/>
        </w:rPr>
        <w:t xml:space="preserve"> </w:t>
      </w:r>
      <w:r>
        <w:rPr>
          <w:rFonts w:hint="eastAsia" w:ascii="宋体" w:cs="宋体"/>
          <w:szCs w:val="21"/>
          <w:u w:val="single"/>
          <w:lang w:val="en-US" w:eastAsia="zh-CN"/>
        </w:rPr>
        <w:t xml:space="preserve">     </w:t>
      </w:r>
      <w:r>
        <w:rPr>
          <w:rFonts w:hint="eastAsia" w:ascii="宋体" w:cs="宋体"/>
          <w:szCs w:val="21"/>
          <w:u w:val="single"/>
        </w:rPr>
        <w:t>。</w:t>
      </w:r>
    </w:p>
    <w:p w14:paraId="75767E2F">
      <w:pPr>
        <w:snapToGrid w:val="0"/>
        <w:spacing w:line="440" w:lineRule="exact"/>
        <w:ind w:firstLine="420" w:firstLineChars="200"/>
        <w:jc w:val="left"/>
        <w:rPr>
          <w:rFonts w:hint="eastAsia" w:ascii="宋体" w:cs="宋体"/>
          <w:szCs w:val="21"/>
        </w:rPr>
      </w:pPr>
      <w:r>
        <w:rPr>
          <w:rFonts w:hint="eastAsia" w:ascii="宋体" w:cs="宋体"/>
          <w:szCs w:val="21"/>
        </w:rPr>
        <w:t>关于编制施工场地治安管理计划的约定：</w:t>
      </w:r>
      <w:r>
        <w:rPr>
          <w:rFonts w:hint="eastAsia" w:ascii="宋体" w:cs="宋体"/>
          <w:szCs w:val="21"/>
          <w:u w:val="single"/>
        </w:rPr>
        <w:t xml:space="preserve">   由承包人负责       </w:t>
      </w:r>
      <w:r>
        <w:rPr>
          <w:rFonts w:hint="eastAsia" w:ascii="宋体" w:cs="宋体"/>
          <w:szCs w:val="21"/>
        </w:rPr>
        <w:t>。</w:t>
      </w:r>
    </w:p>
    <w:p w14:paraId="471254C5">
      <w:pPr>
        <w:snapToGrid w:val="0"/>
        <w:spacing w:line="440" w:lineRule="exact"/>
        <w:ind w:firstLine="420" w:firstLineChars="200"/>
        <w:jc w:val="left"/>
        <w:rPr>
          <w:rFonts w:hint="eastAsia" w:ascii="宋体" w:cs="宋体"/>
          <w:szCs w:val="21"/>
        </w:rPr>
      </w:pPr>
      <w:r>
        <w:rPr>
          <w:rFonts w:hint="eastAsia" w:ascii="宋体" w:cs="宋体"/>
          <w:szCs w:val="21"/>
        </w:rPr>
        <w:t>6.1.5 文明施工</w:t>
      </w:r>
    </w:p>
    <w:p w14:paraId="531A3B2F">
      <w:pPr>
        <w:snapToGrid w:val="0"/>
        <w:spacing w:line="440" w:lineRule="exact"/>
        <w:ind w:firstLine="420" w:firstLineChars="200"/>
        <w:jc w:val="left"/>
        <w:rPr>
          <w:rFonts w:hint="eastAsia" w:ascii="宋体" w:cs="宋体"/>
          <w:szCs w:val="21"/>
          <w:u w:val="single"/>
        </w:rPr>
      </w:pPr>
      <w:r>
        <w:rPr>
          <w:rFonts w:hint="eastAsia" w:ascii="宋体" w:cs="宋体"/>
          <w:szCs w:val="21"/>
        </w:rPr>
        <w:t>合同当事人对文明施工的要求：</w:t>
      </w:r>
      <w:r>
        <w:rPr>
          <w:rFonts w:hint="eastAsia" w:ascii="宋体" w:cs="宋体"/>
          <w:szCs w:val="21"/>
          <w:u w:val="single"/>
        </w:rPr>
        <w:t xml:space="preserve">   执行</w:t>
      </w:r>
      <w:r>
        <w:rPr>
          <w:rFonts w:hint="eastAsia" w:ascii="宋体" w:cs="宋体"/>
          <w:szCs w:val="21"/>
          <w:u w:val="single"/>
          <w:lang w:val="en-US" w:eastAsia="zh-CN"/>
        </w:rPr>
        <w:t>招标</w:t>
      </w:r>
      <w:r>
        <w:rPr>
          <w:rFonts w:hint="eastAsia" w:ascii="宋体" w:cs="宋体"/>
          <w:szCs w:val="21"/>
          <w:u w:val="single"/>
        </w:rPr>
        <w:t xml:space="preserve">文件   </w:t>
      </w:r>
      <w:r>
        <w:rPr>
          <w:rFonts w:hint="eastAsia" w:ascii="宋体" w:cs="宋体"/>
          <w:szCs w:val="21"/>
        </w:rPr>
        <w:t>。</w:t>
      </w:r>
    </w:p>
    <w:p w14:paraId="2873FDB8">
      <w:pPr>
        <w:snapToGrid w:val="0"/>
        <w:spacing w:line="440" w:lineRule="exact"/>
        <w:ind w:firstLine="420" w:firstLineChars="200"/>
        <w:jc w:val="left"/>
        <w:rPr>
          <w:rFonts w:hint="eastAsia" w:ascii="宋体" w:hAnsi="宋体" w:cs="宋体"/>
          <w:bCs/>
          <w:szCs w:val="21"/>
          <w:highlight w:val="none"/>
          <w:u w:val="single"/>
        </w:rPr>
      </w:pPr>
      <w:r>
        <w:rPr>
          <w:rFonts w:hint="eastAsia" w:ascii="宋体" w:hAnsi="宋体" w:cs="宋体"/>
          <w:bCs/>
          <w:szCs w:val="21"/>
        </w:rPr>
        <w:t>6.1.6 关于安全文明施工费支付比例和支付期限的约定：</w:t>
      </w:r>
      <w:r>
        <w:rPr>
          <w:rFonts w:hint="eastAsia" w:ascii="宋体" w:hAnsi="宋体" w:cs="宋体"/>
          <w:bCs/>
          <w:szCs w:val="21"/>
          <w:u w:val="single"/>
          <w:lang w:val="en-US" w:eastAsia="zh-CN"/>
        </w:rPr>
        <w:t xml:space="preserve">              </w:t>
      </w:r>
      <w:r>
        <w:rPr>
          <w:rFonts w:hint="eastAsia" w:ascii="宋体" w:hAnsi="宋体" w:cs="宋体"/>
          <w:bCs/>
          <w:szCs w:val="21"/>
          <w:highlight w:val="none"/>
          <w:u w:val="single"/>
        </w:rPr>
        <w:t>。</w:t>
      </w:r>
    </w:p>
    <w:p w14:paraId="7B42C225">
      <w:pPr>
        <w:pStyle w:val="5"/>
        <w:snapToGrid w:val="0"/>
        <w:spacing w:before="0" w:after="0" w:line="440" w:lineRule="exact"/>
        <w:ind w:firstLine="420" w:firstLineChars="200"/>
        <w:rPr>
          <w:rFonts w:hint="eastAsia" w:ascii="宋体" w:eastAsia="宋体" w:cs="宋体"/>
          <w:b w:val="0"/>
          <w:sz w:val="21"/>
          <w:szCs w:val="21"/>
          <w:highlight w:val="none"/>
        </w:rPr>
      </w:pPr>
      <w:r>
        <w:rPr>
          <w:rFonts w:hint="eastAsia" w:ascii="宋体" w:eastAsia="宋体" w:cs="宋体"/>
          <w:b w:val="0"/>
          <w:sz w:val="21"/>
          <w:szCs w:val="21"/>
          <w:highlight w:val="none"/>
        </w:rPr>
        <w:t>7. 工期和进度</w:t>
      </w:r>
    </w:p>
    <w:p w14:paraId="31B76BC6">
      <w:pPr>
        <w:tabs>
          <w:tab w:val="left" w:pos="3240"/>
        </w:tabs>
        <w:snapToGrid w:val="0"/>
        <w:spacing w:line="440" w:lineRule="exact"/>
        <w:ind w:firstLine="420" w:firstLineChars="200"/>
        <w:rPr>
          <w:rFonts w:hint="eastAsia" w:ascii="宋体" w:cs="宋体"/>
          <w:szCs w:val="21"/>
          <w:highlight w:val="none"/>
        </w:rPr>
      </w:pPr>
      <w:r>
        <w:rPr>
          <w:rFonts w:hint="eastAsia" w:ascii="宋体" w:cs="宋体"/>
          <w:szCs w:val="21"/>
          <w:highlight w:val="none"/>
        </w:rPr>
        <w:t>7.1 施工组织设计</w:t>
      </w:r>
      <w:r>
        <w:rPr>
          <w:rFonts w:hint="eastAsia" w:ascii="宋体" w:cs="宋体"/>
          <w:szCs w:val="21"/>
          <w:highlight w:val="none"/>
        </w:rPr>
        <w:tab/>
      </w:r>
    </w:p>
    <w:p w14:paraId="7C6BE0DC">
      <w:pPr>
        <w:autoSpaceDE w:val="0"/>
        <w:autoSpaceDN w:val="0"/>
        <w:adjustRightInd w:val="0"/>
        <w:snapToGrid w:val="0"/>
        <w:spacing w:line="440" w:lineRule="exact"/>
        <w:ind w:firstLine="420" w:firstLineChars="200"/>
        <w:jc w:val="left"/>
        <w:rPr>
          <w:rFonts w:hint="eastAsia" w:ascii="宋体" w:cs="宋体"/>
          <w:szCs w:val="21"/>
          <w:highlight w:val="none"/>
        </w:rPr>
      </w:pPr>
      <w:r>
        <w:rPr>
          <w:rFonts w:hint="eastAsia" w:ascii="宋体" w:cs="宋体"/>
          <w:szCs w:val="21"/>
          <w:highlight w:val="none"/>
        </w:rPr>
        <w:t>7.1.1 （9）合</w:t>
      </w:r>
      <w:r>
        <w:rPr>
          <w:rFonts w:hint="eastAsia" w:ascii="宋体" w:cs="宋体"/>
          <w:kern w:val="0"/>
          <w:szCs w:val="21"/>
          <w:highlight w:val="none"/>
        </w:rPr>
        <w:t>同当事人约定的施工组织设计应包括的其他内容：</w:t>
      </w:r>
      <w:r>
        <w:rPr>
          <w:rFonts w:hint="eastAsia" w:ascii="宋体" w:cs="宋体"/>
          <w:szCs w:val="21"/>
          <w:highlight w:val="none"/>
          <w:u w:val="single"/>
        </w:rPr>
        <w:t xml:space="preserve"> </w:t>
      </w:r>
      <w:r>
        <w:rPr>
          <w:rFonts w:hint="eastAsia" w:ascii="宋体" w:hAnsi="宋体" w:cs="宋体"/>
          <w:color w:val="000000"/>
          <w:szCs w:val="21"/>
          <w:highlight w:val="none"/>
          <w:u w:val="single"/>
        </w:rPr>
        <w:t>总进度计划须含网络图、横道图</w:t>
      </w:r>
      <w:r>
        <w:rPr>
          <w:rFonts w:hint="eastAsia" w:ascii="宋体" w:cs="宋体"/>
          <w:szCs w:val="21"/>
          <w:highlight w:val="none"/>
          <w:u w:val="single"/>
        </w:rPr>
        <w:t xml:space="preserve">  </w:t>
      </w:r>
      <w:r>
        <w:rPr>
          <w:rFonts w:hint="eastAsia" w:ascii="宋体" w:cs="宋体"/>
          <w:szCs w:val="21"/>
          <w:highlight w:val="none"/>
        </w:rPr>
        <w:t>。</w:t>
      </w:r>
    </w:p>
    <w:p w14:paraId="447E4154">
      <w:pPr>
        <w:autoSpaceDE w:val="0"/>
        <w:autoSpaceDN w:val="0"/>
        <w:adjustRightInd w:val="0"/>
        <w:snapToGrid w:val="0"/>
        <w:spacing w:line="440" w:lineRule="exact"/>
        <w:ind w:firstLine="420" w:firstLineChars="200"/>
        <w:jc w:val="left"/>
        <w:rPr>
          <w:rFonts w:hint="eastAsia" w:ascii="宋体" w:cs="宋体"/>
          <w:kern w:val="0"/>
          <w:szCs w:val="21"/>
          <w:highlight w:val="none"/>
        </w:rPr>
      </w:pPr>
      <w:r>
        <w:rPr>
          <w:rFonts w:hint="eastAsia" w:ascii="宋体" w:cs="宋体"/>
          <w:szCs w:val="21"/>
          <w:highlight w:val="none"/>
        </w:rPr>
        <w:t xml:space="preserve">7.1.2 </w:t>
      </w:r>
      <w:r>
        <w:rPr>
          <w:rFonts w:hint="eastAsia" w:ascii="宋体" w:cs="宋体"/>
          <w:kern w:val="0"/>
          <w:szCs w:val="21"/>
          <w:highlight w:val="none"/>
        </w:rPr>
        <w:t>施工组织设计的提交和修改</w:t>
      </w:r>
    </w:p>
    <w:p w14:paraId="34820E1B">
      <w:pPr>
        <w:autoSpaceDE w:val="0"/>
        <w:autoSpaceDN w:val="0"/>
        <w:adjustRightInd w:val="0"/>
        <w:snapToGrid w:val="0"/>
        <w:spacing w:line="440" w:lineRule="exact"/>
        <w:ind w:firstLine="420" w:firstLineChars="200"/>
        <w:jc w:val="left"/>
        <w:rPr>
          <w:rFonts w:hint="eastAsia" w:ascii="宋体" w:cs="宋体"/>
          <w:szCs w:val="21"/>
        </w:rPr>
      </w:pPr>
      <w:r>
        <w:rPr>
          <w:rFonts w:hint="eastAsia" w:ascii="宋体" w:cs="宋体"/>
          <w:kern w:val="0"/>
          <w:szCs w:val="21"/>
        </w:rPr>
        <w:t>承包人提交详细施工组织设计的期限的约定：</w:t>
      </w:r>
      <w:r>
        <w:rPr>
          <w:rFonts w:hint="eastAsia" w:ascii="宋体" w:cs="宋体"/>
          <w:szCs w:val="21"/>
          <w:u w:val="single"/>
        </w:rPr>
        <w:t xml:space="preserve">图纸会审及设计交底后一周内提供标后实施性施工组织设计 </w:t>
      </w:r>
      <w:r>
        <w:rPr>
          <w:rFonts w:hint="eastAsia" w:ascii="宋体" w:cs="宋体"/>
          <w:szCs w:val="21"/>
        </w:rPr>
        <w:t>。</w:t>
      </w:r>
    </w:p>
    <w:p w14:paraId="1D955992">
      <w:pPr>
        <w:snapToGrid w:val="0"/>
        <w:spacing w:line="440" w:lineRule="exact"/>
        <w:ind w:firstLine="420" w:firstLineChars="200"/>
        <w:jc w:val="left"/>
        <w:rPr>
          <w:rFonts w:hint="eastAsia" w:ascii="宋体" w:cs="宋体"/>
          <w:szCs w:val="21"/>
        </w:rPr>
      </w:pPr>
      <w:r>
        <w:rPr>
          <w:rFonts w:hint="eastAsia" w:ascii="宋体" w:cs="宋体"/>
          <w:szCs w:val="21"/>
        </w:rPr>
        <w:t>发包人和监理人在收到详细的施工组织设计后确认或提出修改意见的期限：</w:t>
      </w:r>
      <w:r>
        <w:rPr>
          <w:rFonts w:hint="eastAsia" w:ascii="宋体" w:cs="宋体"/>
          <w:szCs w:val="21"/>
          <w:highlight w:val="none"/>
          <w:u w:val="single"/>
        </w:rPr>
        <w:t>发包人和监理人应在</w:t>
      </w:r>
      <w:r>
        <w:rPr>
          <w:rFonts w:hint="eastAsia" w:ascii="宋体" w:hAnsi="Times New Roman" w:eastAsia="宋体" w:cs="宋体"/>
          <w:szCs w:val="21"/>
          <w:highlight w:val="none"/>
          <w:u w:val="single"/>
        </w:rPr>
        <w:t>监理人</w:t>
      </w:r>
      <w:r>
        <w:rPr>
          <w:rFonts w:hint="eastAsia" w:ascii="宋体" w:cs="宋体"/>
          <w:szCs w:val="21"/>
          <w:highlight w:val="none"/>
          <w:u w:val="single"/>
        </w:rPr>
        <w:t>收到施工组织设计后7天内确认或提出修改意见。对发包人和</w:t>
      </w:r>
      <w:r>
        <w:rPr>
          <w:rFonts w:hint="eastAsia" w:ascii="宋体" w:hAnsi="Times New Roman" w:eastAsia="宋体" w:cs="宋体"/>
          <w:szCs w:val="21"/>
          <w:highlight w:val="none"/>
          <w:u w:val="single"/>
        </w:rPr>
        <w:t>监理人</w:t>
      </w:r>
      <w:r>
        <w:rPr>
          <w:rFonts w:hint="eastAsia" w:ascii="宋体" w:cs="宋体"/>
          <w:szCs w:val="21"/>
          <w:highlight w:val="none"/>
          <w:u w:val="single"/>
        </w:rPr>
        <w:t>提出的合理意见和要求，承包人应自费修改完善。根据工程实际情况需要修改施工组织设计的，承包人应向发包人和</w:t>
      </w:r>
      <w:r>
        <w:rPr>
          <w:rFonts w:hint="eastAsia" w:ascii="宋体" w:hAnsi="Times New Roman" w:eastAsia="宋体" w:cs="宋体"/>
          <w:szCs w:val="21"/>
          <w:highlight w:val="none"/>
          <w:u w:val="single"/>
        </w:rPr>
        <w:t>监理人</w:t>
      </w:r>
      <w:r>
        <w:rPr>
          <w:rFonts w:hint="eastAsia" w:ascii="宋体" w:cs="宋体"/>
          <w:szCs w:val="21"/>
          <w:highlight w:val="none"/>
          <w:u w:val="single"/>
        </w:rPr>
        <w:t>提交修改</w:t>
      </w:r>
      <w:r>
        <w:rPr>
          <w:rFonts w:hint="eastAsia" w:ascii="宋体" w:cs="宋体"/>
          <w:szCs w:val="21"/>
          <w:u w:val="single"/>
        </w:rPr>
        <w:t>后的施工组织设计。</w:t>
      </w:r>
    </w:p>
    <w:p w14:paraId="58C52619">
      <w:pPr>
        <w:snapToGrid w:val="0"/>
        <w:spacing w:line="440" w:lineRule="exact"/>
        <w:ind w:firstLine="420" w:firstLineChars="200"/>
        <w:rPr>
          <w:rFonts w:hint="eastAsia" w:ascii="宋体" w:cs="宋体"/>
          <w:szCs w:val="21"/>
        </w:rPr>
      </w:pPr>
      <w:r>
        <w:rPr>
          <w:rFonts w:hint="eastAsia" w:ascii="宋体" w:cs="宋体"/>
          <w:szCs w:val="21"/>
        </w:rPr>
        <w:t>7.2 施工进度计划</w:t>
      </w:r>
    </w:p>
    <w:p w14:paraId="2B31F985">
      <w:pPr>
        <w:snapToGrid w:val="0"/>
        <w:spacing w:line="440" w:lineRule="exact"/>
        <w:ind w:firstLine="420" w:firstLineChars="200"/>
        <w:jc w:val="left"/>
        <w:rPr>
          <w:rFonts w:hint="eastAsia" w:ascii="宋体" w:cs="宋体"/>
          <w:szCs w:val="21"/>
        </w:rPr>
      </w:pPr>
      <w:r>
        <w:rPr>
          <w:rFonts w:hint="eastAsia" w:ascii="宋体" w:cs="宋体"/>
          <w:szCs w:val="21"/>
        </w:rPr>
        <w:t>7.2.2 施工进度计划的修订</w:t>
      </w:r>
    </w:p>
    <w:p w14:paraId="670071B5">
      <w:pPr>
        <w:snapToGrid w:val="0"/>
        <w:spacing w:line="440" w:lineRule="exact"/>
        <w:ind w:firstLine="420" w:firstLineChars="200"/>
        <w:jc w:val="left"/>
        <w:rPr>
          <w:rFonts w:hint="eastAsia" w:ascii="宋体" w:cs="宋体"/>
          <w:szCs w:val="21"/>
          <w:highlight w:val="none"/>
          <w:u w:val="single"/>
        </w:rPr>
      </w:pPr>
      <w:r>
        <w:rPr>
          <w:rFonts w:hint="eastAsia" w:ascii="宋体" w:cs="宋体"/>
          <w:szCs w:val="21"/>
        </w:rPr>
        <w:t>发包人</w:t>
      </w:r>
      <w:r>
        <w:rPr>
          <w:rFonts w:hint="eastAsia" w:ascii="宋体" w:cs="宋体"/>
          <w:szCs w:val="21"/>
          <w:highlight w:val="none"/>
        </w:rPr>
        <w:t>和</w:t>
      </w:r>
      <w:r>
        <w:rPr>
          <w:rFonts w:hint="eastAsia" w:ascii="宋体" w:hAnsi="Times New Roman" w:eastAsia="宋体" w:cs="宋体"/>
          <w:szCs w:val="21"/>
          <w:highlight w:val="none"/>
          <w:u w:val="single"/>
        </w:rPr>
        <w:t>监理人</w:t>
      </w:r>
      <w:r>
        <w:rPr>
          <w:rFonts w:hint="eastAsia" w:ascii="宋体" w:cs="宋体"/>
          <w:szCs w:val="21"/>
          <w:highlight w:val="none"/>
        </w:rPr>
        <w:t>在收到修订的施工进度计划后确认或提出修改意见的期限：</w:t>
      </w:r>
      <w:r>
        <w:rPr>
          <w:rFonts w:hint="eastAsia" w:ascii="宋体" w:cs="宋体"/>
          <w:szCs w:val="21"/>
          <w:highlight w:val="none"/>
          <w:u w:val="single"/>
        </w:rPr>
        <w:t>发包人和</w:t>
      </w:r>
      <w:r>
        <w:rPr>
          <w:rFonts w:hint="eastAsia" w:ascii="宋体" w:hAnsi="Times New Roman" w:eastAsia="宋体" w:cs="宋体"/>
          <w:szCs w:val="21"/>
          <w:highlight w:val="none"/>
          <w:u w:val="single"/>
        </w:rPr>
        <w:t>监理人</w:t>
      </w:r>
      <w:r>
        <w:rPr>
          <w:rFonts w:hint="eastAsia" w:ascii="宋体" w:cs="宋体"/>
          <w:szCs w:val="21"/>
          <w:highlight w:val="none"/>
          <w:u w:val="single"/>
        </w:rPr>
        <w:t>应在收到修订的施工进度计划后7天内完成审核和批准或提出修改意见。发包人和</w:t>
      </w:r>
      <w:r>
        <w:rPr>
          <w:rFonts w:hint="eastAsia" w:ascii="宋体" w:hAnsi="Times New Roman" w:eastAsia="宋体" w:cs="宋体"/>
          <w:szCs w:val="21"/>
          <w:highlight w:val="none"/>
          <w:u w:val="single"/>
        </w:rPr>
        <w:t>监理人</w:t>
      </w:r>
      <w:r>
        <w:rPr>
          <w:rFonts w:hint="eastAsia" w:ascii="宋体" w:cs="宋体"/>
          <w:szCs w:val="21"/>
          <w:highlight w:val="none"/>
          <w:u w:val="single"/>
        </w:rPr>
        <w:t>对承包人提交的施工进度计划的确认，不能减轻或免除承包人根据法律规定和合同约定应承担的任何责任或义务。承包人必须按照批准的进度计划组织施工，接受发包人对进度的检查、监督，工程实际进展与进度计划不符时，应提供修改，调整后的进度计划及相应的措施报发包人批准后执行。</w:t>
      </w:r>
    </w:p>
    <w:p w14:paraId="62980897">
      <w:pPr>
        <w:snapToGrid w:val="0"/>
        <w:spacing w:line="440" w:lineRule="exact"/>
        <w:ind w:firstLine="420" w:firstLineChars="200"/>
        <w:rPr>
          <w:rFonts w:hint="eastAsia" w:ascii="宋体" w:cs="宋体"/>
          <w:szCs w:val="21"/>
        </w:rPr>
      </w:pPr>
      <w:r>
        <w:rPr>
          <w:rFonts w:hint="eastAsia" w:ascii="宋体" w:cs="宋体"/>
          <w:szCs w:val="21"/>
        </w:rPr>
        <w:t>7.3 开工</w:t>
      </w:r>
    </w:p>
    <w:p w14:paraId="2B2F126F">
      <w:pPr>
        <w:snapToGrid w:val="0"/>
        <w:spacing w:line="440" w:lineRule="exact"/>
        <w:ind w:firstLine="420" w:firstLineChars="200"/>
        <w:jc w:val="left"/>
        <w:rPr>
          <w:rFonts w:hint="eastAsia" w:ascii="宋体" w:cs="宋体"/>
          <w:szCs w:val="21"/>
        </w:rPr>
      </w:pPr>
      <w:r>
        <w:rPr>
          <w:rFonts w:hint="eastAsia" w:ascii="宋体" w:cs="宋体"/>
          <w:szCs w:val="21"/>
        </w:rPr>
        <w:t>7.3.1 开工准备</w:t>
      </w:r>
    </w:p>
    <w:p w14:paraId="7A11D914">
      <w:pPr>
        <w:snapToGrid w:val="0"/>
        <w:spacing w:line="440" w:lineRule="exact"/>
        <w:ind w:firstLine="420" w:firstLineChars="200"/>
        <w:jc w:val="left"/>
        <w:rPr>
          <w:rFonts w:hint="eastAsia" w:ascii="宋体" w:cs="宋体"/>
          <w:szCs w:val="21"/>
          <w:highlight w:val="none"/>
          <w:u w:val="single"/>
        </w:rPr>
      </w:pPr>
      <w:r>
        <w:rPr>
          <w:rFonts w:hint="eastAsia" w:ascii="宋体" w:cs="宋体"/>
          <w:szCs w:val="21"/>
        </w:rPr>
        <w:t>关于承包人</w:t>
      </w:r>
      <w:r>
        <w:rPr>
          <w:rFonts w:hint="eastAsia" w:ascii="宋体" w:cs="宋体"/>
          <w:szCs w:val="21"/>
          <w:highlight w:val="none"/>
        </w:rPr>
        <w:t>提交</w:t>
      </w:r>
      <w:r>
        <w:rPr>
          <w:rFonts w:hint="eastAsia" w:ascii="宋体" w:cs="宋体"/>
          <w:kern w:val="0"/>
          <w:szCs w:val="21"/>
          <w:highlight w:val="none"/>
        </w:rPr>
        <w:t>工程开工报审表的期限：</w:t>
      </w:r>
      <w:r>
        <w:rPr>
          <w:rFonts w:hint="eastAsia" w:ascii="宋体" w:cs="宋体"/>
          <w:szCs w:val="21"/>
          <w:highlight w:val="none"/>
          <w:u w:val="single"/>
        </w:rPr>
        <w:t xml:space="preserve"> 承包人应按照第7.1款〔施工组织设计〕约定的期限，向</w:t>
      </w:r>
      <w:r>
        <w:rPr>
          <w:rFonts w:hint="eastAsia" w:ascii="宋体" w:hAnsi="Times New Roman" w:eastAsia="宋体" w:cs="宋体"/>
          <w:szCs w:val="21"/>
          <w:highlight w:val="none"/>
          <w:u w:val="single"/>
        </w:rPr>
        <w:t>监理人</w:t>
      </w:r>
      <w:r>
        <w:rPr>
          <w:rFonts w:hint="eastAsia" w:ascii="宋体" w:cs="宋体"/>
          <w:szCs w:val="21"/>
          <w:highlight w:val="none"/>
          <w:u w:val="single"/>
        </w:rPr>
        <w:t>提交工程开工报审表，经</w:t>
      </w:r>
      <w:r>
        <w:rPr>
          <w:rFonts w:hint="eastAsia" w:ascii="宋体" w:hAnsi="Times New Roman" w:eastAsia="宋体" w:cs="宋体"/>
          <w:szCs w:val="21"/>
          <w:highlight w:val="none"/>
          <w:u w:val="single"/>
        </w:rPr>
        <w:t>监理人</w:t>
      </w:r>
      <w:r>
        <w:rPr>
          <w:rFonts w:hint="eastAsia" w:ascii="宋体" w:cs="宋体"/>
          <w:szCs w:val="21"/>
          <w:highlight w:val="none"/>
          <w:u w:val="single"/>
        </w:rPr>
        <w:t>报发包人批准后执行。开工报审表应详细说明按施工进度计划正常施工所需的施工道路、临时设施、材料、工程设备、施工设备、施工人员等落实情况以及工程的进度安排。</w:t>
      </w:r>
    </w:p>
    <w:p w14:paraId="53B6030B">
      <w:pPr>
        <w:snapToGrid w:val="0"/>
        <w:spacing w:line="440" w:lineRule="exact"/>
        <w:ind w:firstLine="420" w:firstLineChars="200"/>
        <w:jc w:val="left"/>
        <w:rPr>
          <w:rFonts w:hint="eastAsia" w:ascii="宋体" w:cs="宋体"/>
          <w:szCs w:val="21"/>
          <w:highlight w:val="none"/>
          <w:u w:val="single"/>
        </w:rPr>
      </w:pPr>
      <w:r>
        <w:rPr>
          <w:rFonts w:hint="eastAsia" w:ascii="宋体" w:cs="宋体"/>
          <w:szCs w:val="21"/>
          <w:highlight w:val="none"/>
        </w:rPr>
        <w:t>关于承包人应完成的其他开工准备工作及期限：</w:t>
      </w:r>
      <w:r>
        <w:rPr>
          <w:rFonts w:hint="eastAsia" w:ascii="宋体" w:cs="宋体"/>
          <w:szCs w:val="21"/>
          <w:highlight w:val="none"/>
          <w:u w:val="single"/>
        </w:rPr>
        <w:t>合同当事人应按约定完成开工准备工作。</w:t>
      </w:r>
    </w:p>
    <w:p w14:paraId="58018775">
      <w:pPr>
        <w:snapToGrid w:val="0"/>
        <w:spacing w:line="440" w:lineRule="exact"/>
        <w:ind w:firstLine="420" w:firstLineChars="200"/>
        <w:jc w:val="left"/>
        <w:rPr>
          <w:rFonts w:hint="eastAsia" w:ascii="宋体" w:cs="宋体"/>
          <w:szCs w:val="21"/>
          <w:highlight w:val="none"/>
        </w:rPr>
      </w:pPr>
      <w:r>
        <w:rPr>
          <w:rFonts w:hint="eastAsia" w:ascii="宋体" w:cs="宋体"/>
          <w:szCs w:val="21"/>
          <w:highlight w:val="none"/>
        </w:rPr>
        <w:t>7.3.2开工通知</w:t>
      </w:r>
    </w:p>
    <w:p w14:paraId="1D19E8AF">
      <w:pPr>
        <w:snapToGrid w:val="0"/>
        <w:spacing w:line="440" w:lineRule="exact"/>
        <w:ind w:firstLine="420" w:firstLineChars="200"/>
        <w:jc w:val="left"/>
        <w:rPr>
          <w:rFonts w:hint="eastAsia" w:ascii="宋体" w:cs="宋体"/>
          <w:szCs w:val="21"/>
          <w:highlight w:val="none"/>
        </w:rPr>
      </w:pPr>
      <w:r>
        <w:rPr>
          <w:rFonts w:hint="eastAsia" w:ascii="宋体" w:cs="宋体"/>
          <w:szCs w:val="21"/>
          <w:highlight w:val="none"/>
        </w:rPr>
        <w:t>因发包人原因造成</w:t>
      </w:r>
      <w:r>
        <w:rPr>
          <w:rFonts w:hint="eastAsia" w:ascii="宋体" w:hAnsi="Times New Roman" w:eastAsia="宋体" w:cs="宋体"/>
          <w:szCs w:val="21"/>
          <w:highlight w:val="none"/>
          <w:u w:val="single"/>
        </w:rPr>
        <w:t>监理人</w:t>
      </w:r>
      <w:r>
        <w:rPr>
          <w:rFonts w:hint="eastAsia" w:ascii="宋体" w:cs="宋体"/>
          <w:szCs w:val="21"/>
          <w:highlight w:val="none"/>
        </w:rPr>
        <w:t>未能在计划开工日期之日起</w:t>
      </w:r>
      <w:r>
        <w:rPr>
          <w:rFonts w:hint="eastAsia" w:ascii="宋体" w:cs="宋体"/>
          <w:szCs w:val="21"/>
          <w:highlight w:val="none"/>
          <w:u w:val="single"/>
        </w:rPr>
        <w:t xml:space="preserve">  90  </w:t>
      </w:r>
      <w:r>
        <w:rPr>
          <w:rFonts w:hint="eastAsia" w:ascii="宋体" w:cs="宋体"/>
          <w:szCs w:val="21"/>
          <w:highlight w:val="none"/>
        </w:rPr>
        <w:t>天内发出开工通知的，承包人有权提出价格调整要求，或者解除合同。</w:t>
      </w:r>
    </w:p>
    <w:p w14:paraId="42564535">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7.4 测量放线</w:t>
      </w:r>
    </w:p>
    <w:p w14:paraId="72BAFC92">
      <w:pPr>
        <w:snapToGrid w:val="0"/>
        <w:spacing w:line="440" w:lineRule="exact"/>
        <w:ind w:firstLine="420" w:firstLineChars="200"/>
        <w:jc w:val="left"/>
        <w:rPr>
          <w:rFonts w:hint="eastAsia" w:ascii="宋体" w:hAnsi="宋体" w:cs="宋体"/>
        </w:rPr>
      </w:pPr>
      <w:r>
        <w:rPr>
          <w:rFonts w:hint="eastAsia" w:ascii="宋体" w:cs="宋体"/>
          <w:szCs w:val="21"/>
          <w:highlight w:val="none"/>
        </w:rPr>
        <w:t>7.4.1发包人通过</w:t>
      </w:r>
      <w:r>
        <w:rPr>
          <w:rFonts w:hint="eastAsia" w:ascii="宋体" w:hAnsi="Times New Roman" w:eastAsia="宋体" w:cs="宋体"/>
          <w:szCs w:val="21"/>
          <w:highlight w:val="none"/>
          <w:u w:val="single"/>
        </w:rPr>
        <w:t>监理人</w:t>
      </w:r>
      <w:r>
        <w:rPr>
          <w:rFonts w:hint="eastAsia" w:ascii="宋体" w:cs="宋体"/>
          <w:szCs w:val="21"/>
          <w:highlight w:val="none"/>
        </w:rPr>
        <w:t>向承包人提供测量基准点、基准线和水准点及其书面资料的期限：</w:t>
      </w:r>
      <w:r>
        <w:rPr>
          <w:rFonts w:hint="eastAsia" w:ascii="宋体" w:cs="宋体"/>
          <w:szCs w:val="21"/>
          <w:highlight w:val="none"/>
          <w:u w:val="single"/>
        </w:rPr>
        <w:t xml:space="preserve"> </w:t>
      </w:r>
      <w:r>
        <w:rPr>
          <w:rFonts w:hint="eastAsia" w:ascii="宋体" w:hAnsi="宋体" w:cs="宋体"/>
          <w:highlight w:val="none"/>
          <w:u w:val="single"/>
        </w:rPr>
        <w:t>发包人应在至迟不得晚于第7.3.2项〔开工通知〕载明的开工日期前7天通过</w:t>
      </w:r>
      <w:r>
        <w:rPr>
          <w:rFonts w:hint="eastAsia" w:ascii="宋体" w:hAnsi="Times New Roman" w:eastAsia="宋体" w:cs="宋体"/>
          <w:szCs w:val="21"/>
          <w:highlight w:val="none"/>
          <w:u w:val="single"/>
        </w:rPr>
        <w:t>监理人</w:t>
      </w:r>
      <w:r>
        <w:rPr>
          <w:rFonts w:hint="eastAsia" w:ascii="宋体" w:hAnsi="宋体" w:cs="宋体"/>
          <w:highlight w:val="none"/>
          <w:u w:val="single"/>
        </w:rPr>
        <w:t>向承包人提供测量基</w:t>
      </w:r>
      <w:r>
        <w:rPr>
          <w:rFonts w:hint="eastAsia" w:ascii="宋体" w:hAnsi="宋体" w:cs="宋体"/>
          <w:u w:val="single"/>
        </w:rPr>
        <w:t>准点、基准线和水准点及其书面资料。</w:t>
      </w:r>
    </w:p>
    <w:p w14:paraId="32B2DD48">
      <w:pPr>
        <w:snapToGrid w:val="0"/>
        <w:spacing w:line="440" w:lineRule="exact"/>
        <w:ind w:firstLine="420" w:firstLineChars="200"/>
        <w:rPr>
          <w:rFonts w:hint="eastAsia" w:ascii="宋体" w:cs="宋体"/>
          <w:szCs w:val="21"/>
        </w:rPr>
      </w:pPr>
      <w:r>
        <w:rPr>
          <w:rFonts w:hint="eastAsia" w:ascii="宋体" w:cs="宋体"/>
          <w:szCs w:val="21"/>
        </w:rPr>
        <w:t>7.5 工期延误</w:t>
      </w:r>
    </w:p>
    <w:p w14:paraId="11A63017">
      <w:pPr>
        <w:snapToGrid w:val="0"/>
        <w:spacing w:line="440" w:lineRule="exact"/>
        <w:ind w:firstLine="420" w:firstLineChars="200"/>
        <w:jc w:val="left"/>
        <w:rPr>
          <w:rFonts w:hint="eastAsia" w:ascii="宋体" w:cs="宋体"/>
          <w:szCs w:val="21"/>
        </w:rPr>
      </w:pPr>
      <w:r>
        <w:rPr>
          <w:rFonts w:hint="eastAsia" w:ascii="宋体" w:cs="宋体"/>
          <w:szCs w:val="21"/>
        </w:rPr>
        <w:t>7.5.1 因发包人原因导致工期延误</w:t>
      </w:r>
    </w:p>
    <w:p w14:paraId="16126CC6">
      <w:pPr>
        <w:snapToGrid w:val="0"/>
        <w:spacing w:line="440" w:lineRule="exact"/>
        <w:ind w:firstLine="420" w:firstLineChars="200"/>
        <w:jc w:val="left"/>
        <w:rPr>
          <w:rFonts w:hint="eastAsia" w:ascii="宋体" w:cs="宋体"/>
          <w:szCs w:val="21"/>
        </w:rPr>
      </w:pPr>
      <w:r>
        <w:rPr>
          <w:rFonts w:hint="eastAsia" w:ascii="宋体" w:cs="宋体"/>
          <w:szCs w:val="21"/>
        </w:rPr>
        <w:t>（7）因发包人原因导致工期延误的其他情形：</w:t>
      </w:r>
      <w:r>
        <w:rPr>
          <w:rFonts w:hint="eastAsia" w:ascii="宋体" w:cs="宋体"/>
          <w:szCs w:val="21"/>
          <w:u w:val="single"/>
        </w:rPr>
        <w:t xml:space="preserve"> 无     。</w:t>
      </w:r>
      <w:r>
        <w:rPr>
          <w:rFonts w:hint="eastAsia" w:ascii="宋体" w:cs="宋体"/>
          <w:szCs w:val="21"/>
        </w:rPr>
        <w:t xml:space="preserve">        </w:t>
      </w:r>
    </w:p>
    <w:p w14:paraId="1D361BB2">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cs="宋体"/>
          <w:color w:val="auto"/>
          <w:szCs w:val="21"/>
        </w:rPr>
      </w:pPr>
      <w:r>
        <w:rPr>
          <w:rFonts w:hint="eastAsia" w:ascii="宋体" w:cs="宋体"/>
          <w:szCs w:val="21"/>
        </w:rPr>
        <w:t>7.5.2 因</w:t>
      </w:r>
      <w:r>
        <w:rPr>
          <w:rFonts w:hint="eastAsia" w:ascii="宋体" w:cs="宋体"/>
          <w:color w:val="auto"/>
          <w:szCs w:val="21"/>
        </w:rPr>
        <w:t>承包人原因导致工期延误</w:t>
      </w:r>
    </w:p>
    <w:p w14:paraId="6AD28E21">
      <w:pPr>
        <w:pStyle w:val="14"/>
        <w:keepNext w:val="0"/>
        <w:keepLines w:val="0"/>
        <w:pageBreakBefore w:val="0"/>
        <w:widowControl w:val="0"/>
        <w:kinsoku/>
        <w:wordWrap/>
        <w:overflowPunct/>
        <w:topLinePunct w:val="0"/>
        <w:autoSpaceDE/>
        <w:autoSpaceDN/>
        <w:bidi w:val="0"/>
        <w:adjustRightInd/>
        <w:spacing w:after="0" w:line="440" w:lineRule="exact"/>
        <w:ind w:left="0" w:leftChars="0"/>
        <w:textAlignment w:val="auto"/>
        <w:rPr>
          <w:rFonts w:hint="eastAsia"/>
          <w:color w:val="auto"/>
          <w:u w:val="single"/>
          <w:lang w:val="en-US" w:eastAsia="zh-CN"/>
        </w:rPr>
      </w:pPr>
      <w:r>
        <w:rPr>
          <w:rFonts w:hint="eastAsia"/>
          <w:color w:val="auto"/>
        </w:rPr>
        <w:t>因承包人原因造成工期延误，逾期竣工违约金的计算方法为：</w:t>
      </w:r>
      <w:r>
        <w:rPr>
          <w:rFonts w:hint="eastAsia"/>
          <w:color w:val="auto"/>
          <w:u w:val="single"/>
        </w:rPr>
        <w:t xml:space="preserve"> </w:t>
      </w:r>
      <w:r>
        <w:rPr>
          <w:rFonts w:hint="eastAsia" w:ascii="宋体" w:hAnsi="宋体" w:cs="宋体"/>
          <w:color w:val="000000"/>
          <w:szCs w:val="21"/>
          <w:u w:val="single"/>
        </w:rPr>
        <w:t xml:space="preserve"> </w:t>
      </w:r>
      <w:r>
        <w:rPr>
          <w:rFonts w:hint="eastAsia" w:ascii="宋体" w:hAnsi="宋体" w:eastAsia="宋体" w:cs="宋体"/>
          <w:color w:val="auto"/>
          <w:highlight w:val="none"/>
          <w:u w:val="single"/>
        </w:rPr>
        <w:t>因承包</w:t>
      </w:r>
      <w:r>
        <w:rPr>
          <w:rFonts w:hint="eastAsia" w:ascii="宋体" w:hAnsi="宋体" w:eastAsia="宋体" w:cs="宋体"/>
          <w:color w:val="auto"/>
          <w:highlight w:val="none"/>
          <w:u w:val="single"/>
          <w:lang w:val="en-US" w:eastAsia="zh-CN"/>
        </w:rPr>
        <w:t>人</w:t>
      </w:r>
      <w:r>
        <w:rPr>
          <w:rFonts w:hint="eastAsia" w:ascii="宋体" w:hAnsi="宋体" w:eastAsia="宋体" w:cs="宋体"/>
          <w:color w:val="auto"/>
          <w:highlight w:val="none"/>
          <w:u w:val="single"/>
        </w:rPr>
        <w:t>原因造成的工期延误，</w:t>
      </w:r>
      <w:r>
        <w:rPr>
          <w:rFonts w:hint="eastAsia" w:ascii="宋体" w:hAnsi="宋体" w:eastAsia="宋体" w:cs="宋体"/>
          <w:color w:val="auto"/>
          <w:sz w:val="21"/>
          <w:szCs w:val="21"/>
          <w:highlight w:val="none"/>
          <w:u w:val="single"/>
          <w:lang w:eastAsia="zh-CN"/>
        </w:rPr>
        <w:t>工期每推迟一天，按</w:t>
      </w:r>
      <w:r>
        <w:rPr>
          <w:rFonts w:hint="eastAsia" w:hAnsi="宋体" w:cs="宋体"/>
          <w:color w:val="auto"/>
          <w:sz w:val="21"/>
          <w:szCs w:val="21"/>
          <w:highlight w:val="none"/>
          <w:u w:val="single"/>
          <w:lang w:val="en-US" w:eastAsia="zh-CN"/>
        </w:rPr>
        <w:t>3000</w:t>
      </w:r>
      <w:r>
        <w:rPr>
          <w:rFonts w:hint="eastAsia" w:ascii="宋体" w:hAnsi="宋体" w:eastAsia="宋体" w:cs="宋体"/>
          <w:color w:val="auto"/>
          <w:sz w:val="21"/>
          <w:szCs w:val="21"/>
          <w:highlight w:val="none"/>
          <w:u w:val="single"/>
        </w:rPr>
        <w:t>元/天处以违约金</w:t>
      </w:r>
      <w:r>
        <w:rPr>
          <w:rFonts w:hint="eastAsia"/>
          <w:color w:val="auto"/>
          <w:highlight w:val="none"/>
          <w:u w:val="single"/>
          <w:lang w:val="en-US" w:eastAsia="zh-CN"/>
        </w:rPr>
        <w:t>。</w:t>
      </w:r>
    </w:p>
    <w:p w14:paraId="6D2F809F">
      <w:pPr>
        <w:pStyle w:val="14"/>
        <w:keepNext w:val="0"/>
        <w:keepLines w:val="0"/>
        <w:pageBreakBefore w:val="0"/>
        <w:widowControl w:val="0"/>
        <w:kinsoku/>
        <w:wordWrap/>
        <w:overflowPunct/>
        <w:topLinePunct w:val="0"/>
        <w:autoSpaceDE/>
        <w:autoSpaceDN/>
        <w:bidi w:val="0"/>
        <w:adjustRightInd/>
        <w:spacing w:after="0" w:line="440" w:lineRule="exact"/>
        <w:ind w:left="0" w:leftChars="0"/>
        <w:textAlignment w:val="auto"/>
        <w:rPr>
          <w:rFonts w:hint="eastAsia"/>
        </w:rPr>
      </w:pPr>
      <w:r>
        <w:rPr>
          <w:rFonts w:hint="eastAsia"/>
        </w:rPr>
        <w:t>因承包人原因造成工期延误，逾期竣工违约金的上限：</w:t>
      </w:r>
      <w:r>
        <w:rPr>
          <w:rFonts w:hint="eastAsia"/>
          <w:u w:val="single"/>
        </w:rPr>
        <w:t xml:space="preserve"> 全额履约保证金 </w:t>
      </w:r>
      <w:r>
        <w:rPr>
          <w:rFonts w:hint="eastAsia"/>
        </w:rPr>
        <w:t>。</w:t>
      </w:r>
    </w:p>
    <w:p w14:paraId="18128484">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000000"/>
          <w:szCs w:val="21"/>
          <w:u w:val="single"/>
          <w:lang w:eastAsia="zh-CN"/>
        </w:rPr>
      </w:pPr>
      <w:r>
        <w:rPr>
          <w:rFonts w:hint="eastAsia" w:ascii="宋体" w:hAnsi="宋体" w:eastAsia="宋体" w:cs="宋体"/>
          <w:bCs/>
          <w:strike w:val="0"/>
          <w:dstrike w:val="0"/>
          <w:color w:val="auto"/>
          <w:szCs w:val="21"/>
          <w:highlight w:val="none"/>
          <w:u w:val="single"/>
          <w:lang w:val="en-US" w:eastAsia="zh-CN"/>
        </w:rPr>
        <w:t>发包人</w:t>
      </w:r>
      <w:r>
        <w:rPr>
          <w:rFonts w:hint="eastAsia" w:ascii="宋体" w:hAnsi="宋体" w:eastAsia="宋体" w:cs="宋体"/>
          <w:bCs/>
          <w:strike w:val="0"/>
          <w:dstrike w:val="0"/>
          <w:color w:val="auto"/>
          <w:szCs w:val="21"/>
          <w:highlight w:val="none"/>
          <w:u w:val="single"/>
        </w:rPr>
        <w:t>根据拖延工期的严重程度采用以下方法处理</w:t>
      </w:r>
      <w:r>
        <w:rPr>
          <w:rFonts w:hint="eastAsia" w:ascii="宋体" w:hAnsi="宋体" w:eastAsia="宋体" w:cs="宋体"/>
          <w:bCs/>
          <w:strike w:val="0"/>
          <w:dstrike w:val="0"/>
          <w:color w:val="auto"/>
          <w:szCs w:val="21"/>
          <w:highlight w:val="none"/>
          <w:u w:val="single"/>
          <w:lang w:eastAsia="zh-CN"/>
        </w:rPr>
        <w:t>：（</w:t>
      </w:r>
      <w:r>
        <w:rPr>
          <w:rFonts w:hint="eastAsia" w:ascii="宋体" w:hAnsi="宋体" w:eastAsia="宋体" w:cs="宋体"/>
          <w:bCs/>
          <w:strike w:val="0"/>
          <w:dstrike w:val="0"/>
          <w:color w:val="auto"/>
          <w:szCs w:val="21"/>
          <w:highlight w:val="none"/>
          <w:u w:val="single"/>
          <w:lang w:val="en-US" w:eastAsia="zh-CN"/>
        </w:rPr>
        <w:t>1</w:t>
      </w:r>
      <w:r>
        <w:rPr>
          <w:rFonts w:hint="eastAsia" w:ascii="宋体" w:hAnsi="宋体" w:eastAsia="宋体" w:cs="宋体"/>
          <w:bCs/>
          <w:strike w:val="0"/>
          <w:dstrike w:val="0"/>
          <w:color w:val="auto"/>
          <w:szCs w:val="21"/>
          <w:highlight w:val="none"/>
          <w:u w:val="single"/>
          <w:lang w:eastAsia="zh-CN"/>
        </w:rPr>
        <w:t>）</w:t>
      </w:r>
      <w:r>
        <w:rPr>
          <w:rFonts w:hint="eastAsia" w:ascii="宋体" w:hAnsi="宋体" w:eastAsia="宋体" w:cs="宋体"/>
          <w:bCs/>
          <w:strike w:val="0"/>
          <w:dstrike w:val="0"/>
          <w:color w:val="auto"/>
          <w:szCs w:val="21"/>
          <w:highlight w:val="none"/>
          <w:u w:val="single"/>
        </w:rPr>
        <w:t>督促承包人采取有效的赶工措施（费用自理）；</w:t>
      </w:r>
      <w:r>
        <w:rPr>
          <w:rFonts w:hint="eastAsia" w:ascii="宋体" w:hAnsi="宋体" w:eastAsia="宋体" w:cs="宋体"/>
          <w:strike w:val="0"/>
          <w:dstrike w:val="0"/>
          <w:color w:val="auto"/>
          <w:szCs w:val="21"/>
          <w:highlight w:val="none"/>
          <w:u w:val="single"/>
        </w:rPr>
        <w:t>（</w:t>
      </w:r>
      <w:r>
        <w:rPr>
          <w:rFonts w:hint="eastAsia" w:ascii="宋体" w:hAnsi="宋体" w:eastAsia="宋体" w:cs="宋体"/>
          <w:strike w:val="0"/>
          <w:dstrike w:val="0"/>
          <w:color w:val="auto"/>
          <w:szCs w:val="21"/>
          <w:highlight w:val="none"/>
          <w:u w:val="single"/>
          <w:lang w:val="en-US" w:eastAsia="zh-CN"/>
        </w:rPr>
        <w:t>2</w:t>
      </w:r>
      <w:r>
        <w:rPr>
          <w:rFonts w:hint="eastAsia" w:ascii="宋体" w:hAnsi="宋体" w:eastAsia="宋体" w:cs="宋体"/>
          <w:strike w:val="0"/>
          <w:dstrike w:val="0"/>
          <w:color w:val="auto"/>
          <w:szCs w:val="21"/>
          <w:highlight w:val="none"/>
          <w:u w:val="single"/>
        </w:rPr>
        <w:t>）</w:t>
      </w:r>
      <w:r>
        <w:rPr>
          <w:rFonts w:hint="eastAsia" w:ascii="宋体" w:hAnsi="宋体" w:eastAsia="宋体" w:cs="宋体"/>
          <w:bCs/>
          <w:strike w:val="0"/>
          <w:dstrike w:val="0"/>
          <w:color w:val="auto"/>
          <w:szCs w:val="21"/>
          <w:highlight w:val="none"/>
          <w:u w:val="single"/>
        </w:rPr>
        <w:t>对严重拖延工期，经发包人多次督促，承包人拒不执行的，发包人可</w:t>
      </w:r>
      <w:r>
        <w:rPr>
          <w:rFonts w:hint="eastAsia" w:ascii="宋体" w:hAnsi="宋体" w:eastAsia="宋体" w:cs="宋体"/>
          <w:strike w:val="0"/>
          <w:dstrike w:val="0"/>
          <w:color w:val="auto"/>
          <w:szCs w:val="21"/>
          <w:highlight w:val="none"/>
          <w:u w:val="single"/>
        </w:rPr>
        <w:t>终止</w:t>
      </w:r>
      <w:r>
        <w:rPr>
          <w:rFonts w:hint="eastAsia" w:ascii="宋体" w:hAnsi="宋体" w:eastAsia="宋体" w:cs="宋体"/>
          <w:bCs/>
          <w:strike w:val="0"/>
          <w:dstrike w:val="0"/>
          <w:color w:val="auto"/>
          <w:szCs w:val="21"/>
          <w:highlight w:val="none"/>
          <w:u w:val="single"/>
        </w:rPr>
        <w:t>施工合同，并和承包人进行清算。同时按原中标价格另选同样资质的施工队伍进场施工，原承包人须无条件配合，不得以任何借口阻挠另选的施工队伍施工，不得向发包人提出任何索赔要求</w:t>
      </w:r>
      <w:r>
        <w:rPr>
          <w:rFonts w:hint="eastAsia" w:ascii="宋体" w:hAnsi="宋体" w:cs="宋体"/>
          <w:color w:val="000000"/>
          <w:szCs w:val="21"/>
          <w:u w:val="single"/>
        </w:rPr>
        <w:t xml:space="preserve"> </w:t>
      </w:r>
      <w:r>
        <w:rPr>
          <w:rFonts w:hint="eastAsia" w:ascii="宋体" w:hAnsi="宋体" w:cs="宋体"/>
          <w:color w:val="000000"/>
          <w:szCs w:val="21"/>
          <w:u w:val="single"/>
          <w:lang w:eastAsia="zh-CN"/>
        </w:rPr>
        <w:t>。</w:t>
      </w:r>
    </w:p>
    <w:p w14:paraId="7BD0E645">
      <w:pPr>
        <w:snapToGrid w:val="0"/>
        <w:spacing w:line="440" w:lineRule="exact"/>
        <w:ind w:firstLine="420" w:firstLineChars="200"/>
        <w:rPr>
          <w:rFonts w:hint="eastAsia" w:ascii="宋体" w:cs="宋体"/>
          <w:szCs w:val="21"/>
        </w:rPr>
      </w:pPr>
      <w:r>
        <w:rPr>
          <w:rFonts w:hint="eastAsia" w:ascii="宋体" w:cs="宋体"/>
          <w:szCs w:val="21"/>
        </w:rPr>
        <w:t>7.6 不利物质条件</w:t>
      </w:r>
    </w:p>
    <w:p w14:paraId="2645C99D">
      <w:pPr>
        <w:snapToGrid w:val="0"/>
        <w:spacing w:line="440" w:lineRule="exact"/>
        <w:ind w:firstLine="420" w:firstLineChars="200"/>
        <w:jc w:val="left"/>
        <w:rPr>
          <w:rFonts w:ascii="宋体" w:cs="宋体"/>
          <w:szCs w:val="21"/>
          <w:u w:val="single"/>
        </w:rPr>
      </w:pPr>
      <w:r>
        <w:rPr>
          <w:rFonts w:hint="eastAsia" w:ascii="宋体" w:cs="宋体"/>
          <w:szCs w:val="21"/>
        </w:rPr>
        <w:t>不利物质条件的其他情形和有关约定：</w:t>
      </w:r>
      <w:r>
        <w:rPr>
          <w:rFonts w:hint="eastAsia" w:ascii="宋体" w:cs="宋体"/>
          <w:szCs w:val="21"/>
          <w:u w:val="single"/>
        </w:rPr>
        <w:t xml:space="preserve"> 无  。</w:t>
      </w:r>
    </w:p>
    <w:p w14:paraId="049DF00A">
      <w:pPr>
        <w:snapToGrid w:val="0"/>
        <w:spacing w:line="440" w:lineRule="exact"/>
        <w:ind w:firstLine="420" w:firstLineChars="200"/>
        <w:rPr>
          <w:rFonts w:hint="eastAsia" w:ascii="宋体" w:cs="宋体"/>
          <w:szCs w:val="21"/>
        </w:rPr>
      </w:pPr>
      <w:r>
        <w:rPr>
          <w:rFonts w:hint="eastAsia" w:ascii="宋体" w:cs="宋体"/>
          <w:szCs w:val="21"/>
        </w:rPr>
        <w:t>7.7异常恶劣的气候条件</w:t>
      </w:r>
    </w:p>
    <w:p w14:paraId="1EEDCDCF">
      <w:pPr>
        <w:snapToGrid w:val="0"/>
        <w:spacing w:line="440" w:lineRule="exact"/>
        <w:ind w:firstLine="420" w:firstLineChars="200"/>
        <w:jc w:val="left"/>
        <w:rPr>
          <w:rFonts w:hint="eastAsia" w:ascii="宋体" w:cs="宋体"/>
          <w:szCs w:val="21"/>
        </w:rPr>
      </w:pPr>
      <w:r>
        <w:rPr>
          <w:rFonts w:hint="eastAsia" w:ascii="宋体" w:cs="宋体"/>
          <w:szCs w:val="21"/>
        </w:rPr>
        <w:t>发包人和承包人同意以下情形视为异常恶劣的气候条件：</w:t>
      </w:r>
    </w:p>
    <w:p w14:paraId="06996BDA">
      <w:pPr>
        <w:numPr>
          <w:ilvl w:val="0"/>
          <w:numId w:val="3"/>
        </w:numPr>
        <w:snapToGrid w:val="0"/>
        <w:spacing w:line="440" w:lineRule="exact"/>
        <w:ind w:firstLine="420" w:firstLineChars="200"/>
        <w:jc w:val="left"/>
        <w:rPr>
          <w:rFonts w:hint="eastAsia"/>
        </w:rPr>
      </w:pPr>
      <w:r>
        <w:rPr>
          <w:rFonts w:hint="eastAsia" w:ascii="宋体" w:cs="宋体"/>
          <w:szCs w:val="21"/>
          <w:u w:val="single"/>
        </w:rPr>
        <w:t xml:space="preserve"> 无   </w:t>
      </w:r>
      <w:r>
        <w:rPr>
          <w:rFonts w:hint="eastAsia" w:ascii="宋体" w:cs="宋体"/>
          <w:szCs w:val="21"/>
        </w:rPr>
        <w:t>；</w:t>
      </w:r>
    </w:p>
    <w:p w14:paraId="419186D3">
      <w:pPr>
        <w:numPr>
          <w:ilvl w:val="0"/>
          <w:numId w:val="3"/>
        </w:numPr>
        <w:snapToGrid w:val="0"/>
        <w:spacing w:line="440" w:lineRule="exact"/>
        <w:ind w:firstLine="420" w:firstLineChars="200"/>
        <w:jc w:val="left"/>
        <w:rPr>
          <w:rFonts w:hint="eastAsia"/>
        </w:rPr>
      </w:pPr>
      <w:r>
        <w:rPr>
          <w:rFonts w:hint="eastAsia" w:ascii="宋体" w:cs="宋体"/>
          <w:szCs w:val="21"/>
          <w:u w:val="single"/>
        </w:rPr>
        <w:t xml:space="preserve"> 无   </w:t>
      </w:r>
      <w:r>
        <w:rPr>
          <w:rFonts w:hint="eastAsia" w:ascii="宋体" w:cs="宋体"/>
          <w:szCs w:val="21"/>
        </w:rPr>
        <w:t>；</w:t>
      </w:r>
    </w:p>
    <w:p w14:paraId="5A5BAC38">
      <w:pPr>
        <w:numPr>
          <w:ilvl w:val="0"/>
          <w:numId w:val="3"/>
        </w:numPr>
        <w:snapToGrid w:val="0"/>
        <w:spacing w:line="440" w:lineRule="exact"/>
        <w:ind w:firstLine="420" w:firstLineChars="200"/>
        <w:jc w:val="left"/>
        <w:rPr>
          <w:rFonts w:hint="eastAsia"/>
        </w:rPr>
      </w:pPr>
      <w:r>
        <w:rPr>
          <w:rFonts w:hint="eastAsia" w:ascii="宋体" w:cs="宋体"/>
          <w:szCs w:val="21"/>
          <w:u w:val="single"/>
        </w:rPr>
        <w:t xml:space="preserve"> 无   </w:t>
      </w:r>
      <w:r>
        <w:rPr>
          <w:rFonts w:hint="eastAsia" w:ascii="宋体" w:cs="宋体"/>
          <w:szCs w:val="21"/>
        </w:rPr>
        <w:t>；</w:t>
      </w:r>
    </w:p>
    <w:p w14:paraId="72D8DA8A">
      <w:pPr>
        <w:snapToGrid w:val="0"/>
        <w:spacing w:line="440" w:lineRule="exact"/>
        <w:ind w:firstLine="420" w:firstLineChars="200"/>
        <w:jc w:val="left"/>
        <w:rPr>
          <w:rFonts w:hint="eastAsia" w:ascii="宋体" w:hAnsi="宋体" w:cs="宋体"/>
        </w:rPr>
      </w:pPr>
      <w:r>
        <w:rPr>
          <w:rFonts w:hint="eastAsia" w:ascii="宋体" w:hAnsi="宋体" w:cs="宋体"/>
        </w:rPr>
        <w:t>7.9 提前竣工的奖励</w:t>
      </w:r>
    </w:p>
    <w:p w14:paraId="6C6ED465">
      <w:pPr>
        <w:pStyle w:val="14"/>
        <w:spacing w:after="0" w:line="440" w:lineRule="exact"/>
        <w:ind w:left="0" w:leftChars="0"/>
        <w:rPr>
          <w:rFonts w:hint="eastAsia"/>
        </w:rPr>
      </w:pPr>
      <w:r>
        <w:rPr>
          <w:rFonts w:hint="eastAsia"/>
        </w:rPr>
        <w:t>7.9.2提前竣工的奖励：</w:t>
      </w:r>
      <w:r>
        <w:rPr>
          <w:rFonts w:hint="eastAsia"/>
          <w:u w:val="single"/>
        </w:rPr>
        <w:t xml:space="preserve"> </w:t>
      </w:r>
      <w:r>
        <w:rPr>
          <w:rFonts w:hint="eastAsia" w:ascii="宋体" w:hAnsi="宋体" w:cs="宋体"/>
          <w:color w:val="auto"/>
          <w:highlight w:val="none"/>
          <w:u w:val="single"/>
          <w:lang w:val="en-US" w:eastAsia="zh-CN"/>
        </w:rPr>
        <w:t>此条不执行</w:t>
      </w:r>
      <w:r>
        <w:rPr>
          <w:rFonts w:hint="eastAsia"/>
          <w:u w:val="single"/>
        </w:rPr>
        <w:t xml:space="preserve">   </w:t>
      </w:r>
      <w:r>
        <w:rPr>
          <w:rFonts w:hint="eastAsia"/>
        </w:rPr>
        <w:t>。</w:t>
      </w:r>
    </w:p>
    <w:p w14:paraId="394DFA65">
      <w:pPr>
        <w:pStyle w:val="5"/>
        <w:snapToGrid w:val="0"/>
        <w:spacing w:before="0" w:after="0" w:line="440" w:lineRule="exact"/>
        <w:ind w:firstLine="420" w:firstLineChars="200"/>
        <w:rPr>
          <w:rFonts w:hint="eastAsia" w:ascii="宋体" w:eastAsia="宋体" w:cs="宋体"/>
          <w:b w:val="0"/>
          <w:sz w:val="21"/>
          <w:szCs w:val="21"/>
        </w:rPr>
      </w:pPr>
      <w:r>
        <w:rPr>
          <w:rFonts w:hint="eastAsia" w:ascii="宋体" w:eastAsia="宋体" w:cs="宋体"/>
          <w:b w:val="0"/>
          <w:sz w:val="21"/>
          <w:szCs w:val="21"/>
        </w:rPr>
        <w:t>8. 材料与设备</w:t>
      </w:r>
    </w:p>
    <w:p w14:paraId="2A8390C2">
      <w:pPr>
        <w:snapToGrid w:val="0"/>
        <w:spacing w:line="440" w:lineRule="exact"/>
        <w:ind w:firstLine="420" w:firstLineChars="200"/>
        <w:rPr>
          <w:rFonts w:hint="eastAsia" w:ascii="宋体" w:cs="宋体"/>
          <w:szCs w:val="21"/>
        </w:rPr>
      </w:pPr>
      <w:r>
        <w:rPr>
          <w:rFonts w:hint="eastAsia" w:ascii="宋体" w:cs="宋体"/>
          <w:szCs w:val="21"/>
        </w:rPr>
        <w:t>8.4材料与工程设备的保管与使用</w:t>
      </w:r>
    </w:p>
    <w:p w14:paraId="7406874C">
      <w:pPr>
        <w:snapToGrid w:val="0"/>
        <w:spacing w:line="440" w:lineRule="exact"/>
        <w:ind w:firstLine="420" w:firstLineChars="200"/>
        <w:jc w:val="left"/>
        <w:rPr>
          <w:rFonts w:hint="eastAsia" w:ascii="宋体" w:cs="宋体"/>
          <w:color w:val="auto"/>
          <w:szCs w:val="21"/>
          <w:u w:val="single"/>
        </w:rPr>
      </w:pPr>
      <w:r>
        <w:rPr>
          <w:rFonts w:hint="eastAsia" w:ascii="宋体" w:cs="宋体"/>
          <w:color w:val="auto"/>
          <w:szCs w:val="21"/>
        </w:rPr>
        <w:t>8.4.1发包人供应的材料设备的保管费用的承担：</w:t>
      </w:r>
      <w:r>
        <w:rPr>
          <w:rFonts w:hint="eastAsia" w:ascii="宋体" w:hAnsi="宋体" w:cs="宋体"/>
          <w:color w:val="auto"/>
          <w:highlight w:val="none"/>
          <w:u w:val="single"/>
          <w:lang w:val="en-US" w:eastAsia="zh-CN"/>
        </w:rPr>
        <w:t>此条不执行</w:t>
      </w:r>
      <w:r>
        <w:rPr>
          <w:rFonts w:hint="eastAsia" w:ascii="宋体" w:cs="宋体"/>
          <w:color w:val="auto"/>
          <w:szCs w:val="21"/>
          <w:u w:val="single"/>
        </w:rPr>
        <w:t>。</w:t>
      </w:r>
    </w:p>
    <w:p w14:paraId="44B60519">
      <w:pPr>
        <w:snapToGrid w:val="0"/>
        <w:spacing w:line="440" w:lineRule="exact"/>
        <w:ind w:firstLine="420" w:firstLineChars="200"/>
        <w:rPr>
          <w:rFonts w:hint="eastAsia" w:ascii="宋体" w:cs="宋体"/>
          <w:color w:val="auto"/>
          <w:szCs w:val="21"/>
        </w:rPr>
      </w:pPr>
      <w:r>
        <w:rPr>
          <w:rFonts w:hint="eastAsia" w:ascii="宋体" w:cs="宋体"/>
          <w:color w:val="auto"/>
          <w:szCs w:val="21"/>
        </w:rPr>
        <w:t>8.6 样品</w:t>
      </w:r>
    </w:p>
    <w:p w14:paraId="53B79BFB">
      <w:pPr>
        <w:autoSpaceDE w:val="0"/>
        <w:autoSpaceDN w:val="0"/>
        <w:adjustRightInd w:val="0"/>
        <w:snapToGrid w:val="0"/>
        <w:spacing w:line="440" w:lineRule="exact"/>
        <w:ind w:firstLine="420" w:firstLineChars="200"/>
        <w:jc w:val="left"/>
        <w:rPr>
          <w:rFonts w:hint="eastAsia" w:ascii="宋体" w:cs="宋体"/>
          <w:color w:val="auto"/>
          <w:kern w:val="0"/>
          <w:szCs w:val="21"/>
        </w:rPr>
      </w:pPr>
      <w:r>
        <w:rPr>
          <w:rFonts w:hint="eastAsia" w:ascii="宋体" w:cs="宋体"/>
          <w:color w:val="auto"/>
          <w:kern w:val="0"/>
          <w:szCs w:val="21"/>
        </w:rPr>
        <w:t>8.6.1样品的报送与封存</w:t>
      </w:r>
    </w:p>
    <w:p w14:paraId="1C7AD2DF">
      <w:pPr>
        <w:snapToGrid w:val="0"/>
        <w:spacing w:line="440" w:lineRule="exact"/>
        <w:ind w:firstLine="420" w:firstLineChars="200"/>
        <w:rPr>
          <w:rFonts w:hint="eastAsia" w:ascii="宋体" w:cs="宋体"/>
          <w:color w:val="auto"/>
          <w:szCs w:val="21"/>
          <w:u w:val="single"/>
        </w:rPr>
      </w:pPr>
      <w:r>
        <w:rPr>
          <w:rFonts w:hint="eastAsia" w:ascii="宋体" w:cs="宋体"/>
          <w:color w:val="auto"/>
          <w:szCs w:val="21"/>
        </w:rPr>
        <w:t>需要承包人报送样品的材料或工程设备，样品的种类、名称、规格、数量要求：</w:t>
      </w:r>
      <w:r>
        <w:rPr>
          <w:rFonts w:hint="eastAsia" w:ascii="宋体" w:cs="宋体"/>
          <w:color w:val="auto"/>
          <w:szCs w:val="21"/>
          <w:u w:val="single"/>
        </w:rPr>
        <w:t xml:space="preserve"> 执行</w:t>
      </w:r>
      <w:r>
        <w:rPr>
          <w:rFonts w:hint="eastAsia" w:ascii="宋体" w:cs="宋体"/>
          <w:color w:val="auto"/>
          <w:szCs w:val="21"/>
          <w:u w:val="single"/>
          <w:lang w:val="en-US" w:eastAsia="zh-CN"/>
        </w:rPr>
        <w:t>招标</w:t>
      </w:r>
      <w:r>
        <w:rPr>
          <w:rFonts w:hint="eastAsia" w:ascii="宋体" w:cs="宋体"/>
          <w:color w:val="auto"/>
          <w:szCs w:val="21"/>
          <w:u w:val="single"/>
        </w:rPr>
        <w:t xml:space="preserve">文件。 </w:t>
      </w:r>
    </w:p>
    <w:p w14:paraId="15D5C90B">
      <w:pPr>
        <w:snapToGrid w:val="0"/>
        <w:spacing w:line="440" w:lineRule="exact"/>
        <w:ind w:firstLine="420" w:firstLineChars="200"/>
        <w:rPr>
          <w:rFonts w:hint="eastAsia" w:ascii="宋体" w:cs="宋体"/>
          <w:color w:val="auto"/>
          <w:szCs w:val="21"/>
        </w:rPr>
      </w:pPr>
      <w:r>
        <w:rPr>
          <w:rFonts w:hint="eastAsia" w:ascii="宋体" w:cs="宋体"/>
          <w:color w:val="auto"/>
          <w:szCs w:val="21"/>
        </w:rPr>
        <w:t>8.8 施工设备和临时设施</w:t>
      </w:r>
    </w:p>
    <w:p w14:paraId="7E2E2EF1">
      <w:pPr>
        <w:autoSpaceDE w:val="0"/>
        <w:autoSpaceDN w:val="0"/>
        <w:adjustRightInd w:val="0"/>
        <w:snapToGrid w:val="0"/>
        <w:spacing w:line="440" w:lineRule="exact"/>
        <w:ind w:firstLine="420" w:firstLineChars="200"/>
        <w:jc w:val="left"/>
        <w:rPr>
          <w:rFonts w:hint="eastAsia" w:ascii="宋体" w:cs="宋体"/>
          <w:color w:val="auto"/>
          <w:szCs w:val="21"/>
        </w:rPr>
      </w:pPr>
      <w:r>
        <w:rPr>
          <w:rFonts w:hint="eastAsia" w:ascii="宋体" w:cs="宋体"/>
          <w:color w:val="auto"/>
          <w:szCs w:val="21"/>
        </w:rPr>
        <w:t>8.8.1 承包人提供的施工设备和临时设施</w:t>
      </w:r>
    </w:p>
    <w:p w14:paraId="52BEE37C">
      <w:pPr>
        <w:autoSpaceDE w:val="0"/>
        <w:autoSpaceDN w:val="0"/>
        <w:adjustRightInd w:val="0"/>
        <w:snapToGrid w:val="0"/>
        <w:spacing w:line="440" w:lineRule="exact"/>
        <w:ind w:firstLine="420" w:firstLineChars="200"/>
        <w:jc w:val="left"/>
        <w:rPr>
          <w:rFonts w:hint="eastAsia" w:ascii="宋体" w:cs="宋体"/>
          <w:color w:val="auto"/>
          <w:szCs w:val="21"/>
        </w:rPr>
      </w:pPr>
      <w:r>
        <w:rPr>
          <w:rFonts w:hint="eastAsia" w:ascii="宋体" w:cs="宋体"/>
          <w:color w:val="auto"/>
          <w:szCs w:val="21"/>
        </w:rPr>
        <w:t>关于修建临时设施费用承担的约定：</w:t>
      </w:r>
      <w:r>
        <w:rPr>
          <w:rFonts w:hint="eastAsia" w:ascii="宋体" w:cs="宋体"/>
          <w:color w:val="auto"/>
          <w:szCs w:val="21"/>
          <w:u w:val="single"/>
        </w:rPr>
        <w:t xml:space="preserve">  由承包人自行承担费用   </w:t>
      </w:r>
      <w:r>
        <w:rPr>
          <w:rFonts w:hint="eastAsia" w:ascii="宋体" w:cs="宋体"/>
          <w:color w:val="auto"/>
          <w:szCs w:val="21"/>
        </w:rPr>
        <w:t>。</w:t>
      </w:r>
    </w:p>
    <w:p w14:paraId="348BE2C6">
      <w:pPr>
        <w:pStyle w:val="5"/>
        <w:snapToGrid w:val="0"/>
        <w:spacing w:before="0" w:after="0" w:line="440" w:lineRule="exact"/>
        <w:ind w:firstLine="420" w:firstLineChars="200"/>
        <w:rPr>
          <w:rFonts w:hint="eastAsia" w:ascii="宋体" w:eastAsia="宋体" w:cs="宋体"/>
          <w:b w:val="0"/>
          <w:color w:val="auto"/>
          <w:sz w:val="21"/>
          <w:szCs w:val="21"/>
        </w:rPr>
      </w:pPr>
      <w:r>
        <w:rPr>
          <w:rFonts w:hint="eastAsia" w:ascii="宋体" w:eastAsia="宋体" w:cs="宋体"/>
          <w:b w:val="0"/>
          <w:color w:val="auto"/>
          <w:sz w:val="21"/>
          <w:szCs w:val="21"/>
        </w:rPr>
        <w:t>9. 试验与检验</w:t>
      </w:r>
    </w:p>
    <w:p w14:paraId="63F8F678">
      <w:pPr>
        <w:snapToGrid w:val="0"/>
        <w:spacing w:line="440" w:lineRule="exact"/>
        <w:ind w:firstLine="420" w:firstLineChars="200"/>
        <w:rPr>
          <w:rFonts w:hint="eastAsia" w:ascii="宋体" w:cs="宋体"/>
          <w:color w:val="auto"/>
          <w:szCs w:val="21"/>
        </w:rPr>
      </w:pPr>
      <w:r>
        <w:rPr>
          <w:rFonts w:hint="eastAsia" w:ascii="宋体" w:cs="宋体"/>
          <w:color w:val="auto"/>
          <w:szCs w:val="21"/>
        </w:rPr>
        <w:t>9.1试验设备与试验人员</w:t>
      </w:r>
    </w:p>
    <w:p w14:paraId="590F90A0">
      <w:pPr>
        <w:snapToGrid w:val="0"/>
        <w:spacing w:line="440" w:lineRule="exact"/>
        <w:ind w:firstLine="420" w:firstLineChars="200"/>
        <w:jc w:val="left"/>
        <w:rPr>
          <w:rFonts w:hint="eastAsia" w:ascii="宋体" w:cs="宋体"/>
          <w:color w:val="auto"/>
          <w:szCs w:val="21"/>
        </w:rPr>
      </w:pPr>
      <w:r>
        <w:rPr>
          <w:rFonts w:hint="eastAsia" w:ascii="宋体" w:cs="宋体"/>
          <w:color w:val="auto"/>
          <w:szCs w:val="21"/>
        </w:rPr>
        <w:t>9.1.2 试验设备</w:t>
      </w:r>
    </w:p>
    <w:p w14:paraId="7E98BA7C">
      <w:pPr>
        <w:snapToGrid w:val="0"/>
        <w:spacing w:line="440" w:lineRule="exact"/>
        <w:ind w:firstLine="420" w:firstLineChars="200"/>
        <w:jc w:val="left"/>
        <w:rPr>
          <w:rFonts w:hint="eastAsia" w:ascii="宋体" w:cs="宋体"/>
          <w:color w:val="auto"/>
          <w:szCs w:val="21"/>
          <w:u w:val="single"/>
        </w:rPr>
      </w:pPr>
      <w:r>
        <w:rPr>
          <w:rFonts w:hint="eastAsia" w:ascii="宋体" w:cs="宋体"/>
          <w:color w:val="auto"/>
          <w:szCs w:val="21"/>
        </w:rPr>
        <w:t>施工现场需要配置的试验场所：</w:t>
      </w:r>
      <w:r>
        <w:rPr>
          <w:rFonts w:hint="eastAsia" w:ascii="宋体" w:cs="宋体"/>
          <w:color w:val="auto"/>
          <w:szCs w:val="21"/>
          <w:u w:val="single"/>
        </w:rPr>
        <w:t xml:space="preserve">   执行</w:t>
      </w:r>
      <w:r>
        <w:rPr>
          <w:rFonts w:hint="eastAsia" w:ascii="宋体" w:cs="宋体"/>
          <w:color w:val="auto"/>
          <w:szCs w:val="21"/>
          <w:u w:val="single"/>
          <w:lang w:val="en-US" w:eastAsia="zh-CN"/>
        </w:rPr>
        <w:t>招标</w:t>
      </w:r>
      <w:r>
        <w:rPr>
          <w:rFonts w:hint="eastAsia" w:ascii="宋体" w:cs="宋体"/>
          <w:color w:val="auto"/>
          <w:szCs w:val="21"/>
          <w:u w:val="single"/>
        </w:rPr>
        <w:t xml:space="preserve">文件   </w:t>
      </w:r>
      <w:r>
        <w:rPr>
          <w:rFonts w:hint="eastAsia" w:ascii="宋体" w:cs="宋体"/>
          <w:color w:val="auto"/>
          <w:szCs w:val="21"/>
        </w:rPr>
        <w:t xml:space="preserve">。 </w:t>
      </w:r>
    </w:p>
    <w:p w14:paraId="30C3CD2D">
      <w:pPr>
        <w:snapToGrid w:val="0"/>
        <w:spacing w:line="440" w:lineRule="exact"/>
        <w:ind w:firstLine="420" w:firstLineChars="200"/>
        <w:jc w:val="left"/>
        <w:rPr>
          <w:rFonts w:hint="eastAsia" w:ascii="宋体" w:cs="宋体"/>
          <w:color w:val="auto"/>
          <w:szCs w:val="21"/>
          <w:u w:val="single"/>
        </w:rPr>
      </w:pPr>
      <w:r>
        <w:rPr>
          <w:rFonts w:hint="eastAsia" w:ascii="宋体" w:cs="宋体"/>
          <w:color w:val="auto"/>
          <w:szCs w:val="21"/>
        </w:rPr>
        <w:t>施工现场需要配备的试验设备：</w:t>
      </w:r>
      <w:r>
        <w:rPr>
          <w:rFonts w:hint="eastAsia" w:ascii="宋体" w:cs="宋体"/>
          <w:color w:val="auto"/>
          <w:szCs w:val="21"/>
          <w:u w:val="single"/>
        </w:rPr>
        <w:t xml:space="preserve">   执行</w:t>
      </w:r>
      <w:r>
        <w:rPr>
          <w:rFonts w:hint="eastAsia" w:ascii="宋体" w:cs="宋体"/>
          <w:color w:val="auto"/>
          <w:szCs w:val="21"/>
          <w:u w:val="single"/>
          <w:lang w:val="en-US" w:eastAsia="zh-CN"/>
        </w:rPr>
        <w:t>招标</w:t>
      </w:r>
      <w:r>
        <w:rPr>
          <w:rFonts w:hint="eastAsia" w:ascii="宋体" w:cs="宋体"/>
          <w:color w:val="auto"/>
          <w:szCs w:val="21"/>
          <w:u w:val="single"/>
        </w:rPr>
        <w:t xml:space="preserve">文件    </w:t>
      </w:r>
      <w:r>
        <w:rPr>
          <w:rFonts w:hint="eastAsia" w:ascii="宋体" w:cs="宋体"/>
          <w:color w:val="auto"/>
          <w:szCs w:val="21"/>
        </w:rPr>
        <w:t>。</w:t>
      </w:r>
    </w:p>
    <w:p w14:paraId="49322D05">
      <w:pPr>
        <w:snapToGrid w:val="0"/>
        <w:spacing w:line="440" w:lineRule="exact"/>
        <w:ind w:firstLine="420" w:firstLineChars="200"/>
        <w:jc w:val="left"/>
        <w:rPr>
          <w:rFonts w:hint="eastAsia" w:ascii="宋体" w:cs="宋体"/>
          <w:color w:val="auto"/>
          <w:szCs w:val="21"/>
          <w:u w:val="single"/>
        </w:rPr>
      </w:pPr>
      <w:r>
        <w:rPr>
          <w:rFonts w:hint="eastAsia" w:ascii="宋体" w:cs="宋体"/>
          <w:color w:val="auto"/>
          <w:szCs w:val="21"/>
        </w:rPr>
        <w:t>施工现场需要具备的其他试验条件：</w:t>
      </w:r>
      <w:r>
        <w:rPr>
          <w:rFonts w:hint="eastAsia" w:ascii="宋体" w:cs="宋体"/>
          <w:color w:val="auto"/>
          <w:szCs w:val="21"/>
          <w:u w:val="single"/>
        </w:rPr>
        <w:t xml:space="preserve">   执行</w:t>
      </w:r>
      <w:r>
        <w:rPr>
          <w:rFonts w:hint="eastAsia" w:ascii="宋体" w:cs="宋体"/>
          <w:color w:val="auto"/>
          <w:szCs w:val="21"/>
          <w:u w:val="single"/>
          <w:lang w:val="en-US" w:eastAsia="zh-CN"/>
        </w:rPr>
        <w:t>招标</w:t>
      </w:r>
      <w:r>
        <w:rPr>
          <w:rFonts w:hint="eastAsia" w:ascii="宋体" w:cs="宋体"/>
          <w:color w:val="auto"/>
          <w:szCs w:val="21"/>
          <w:u w:val="single"/>
        </w:rPr>
        <w:t xml:space="preserve">文件   </w:t>
      </w:r>
      <w:r>
        <w:rPr>
          <w:rFonts w:hint="eastAsia" w:ascii="宋体" w:cs="宋体"/>
          <w:color w:val="auto"/>
          <w:szCs w:val="21"/>
        </w:rPr>
        <w:t>。</w:t>
      </w:r>
    </w:p>
    <w:p w14:paraId="3106D772">
      <w:pPr>
        <w:snapToGrid w:val="0"/>
        <w:spacing w:line="440" w:lineRule="exact"/>
        <w:ind w:firstLine="420" w:firstLineChars="200"/>
        <w:rPr>
          <w:rFonts w:hint="eastAsia" w:ascii="宋体" w:cs="宋体"/>
          <w:color w:val="auto"/>
          <w:szCs w:val="21"/>
        </w:rPr>
      </w:pPr>
      <w:r>
        <w:rPr>
          <w:rFonts w:hint="eastAsia" w:ascii="宋体" w:cs="宋体"/>
          <w:color w:val="auto"/>
          <w:szCs w:val="21"/>
        </w:rPr>
        <w:t xml:space="preserve">9.4 现场工艺试验 </w:t>
      </w:r>
    </w:p>
    <w:p w14:paraId="57E8BD73">
      <w:pPr>
        <w:snapToGrid w:val="0"/>
        <w:spacing w:line="440" w:lineRule="exact"/>
        <w:ind w:firstLine="420" w:firstLineChars="200"/>
        <w:jc w:val="left"/>
        <w:rPr>
          <w:rFonts w:hint="eastAsia" w:ascii="宋体" w:cs="宋体"/>
          <w:color w:val="auto"/>
          <w:szCs w:val="21"/>
          <w:u w:val="single"/>
        </w:rPr>
      </w:pPr>
      <w:r>
        <w:rPr>
          <w:rFonts w:hint="eastAsia" w:ascii="宋体" w:cs="宋体"/>
          <w:color w:val="auto"/>
          <w:szCs w:val="21"/>
        </w:rPr>
        <w:t>现场工艺试验的有关约定：</w:t>
      </w:r>
      <w:r>
        <w:rPr>
          <w:rFonts w:hint="eastAsia" w:ascii="宋体" w:cs="宋体"/>
          <w:color w:val="auto"/>
          <w:szCs w:val="21"/>
          <w:u w:val="single"/>
        </w:rPr>
        <w:t xml:space="preserve">   按监理人指示    </w:t>
      </w:r>
      <w:r>
        <w:rPr>
          <w:rFonts w:hint="eastAsia" w:ascii="宋体" w:cs="宋体"/>
          <w:color w:val="auto"/>
          <w:szCs w:val="21"/>
        </w:rPr>
        <w:t>。</w:t>
      </w:r>
    </w:p>
    <w:p w14:paraId="0BF396F9">
      <w:pPr>
        <w:pStyle w:val="5"/>
        <w:snapToGrid w:val="0"/>
        <w:spacing w:before="0" w:after="0" w:line="440" w:lineRule="exact"/>
        <w:ind w:firstLine="420" w:firstLineChars="200"/>
        <w:rPr>
          <w:rFonts w:hint="eastAsia" w:ascii="宋体" w:hAnsi="宋体" w:eastAsia="宋体" w:cs="宋体"/>
          <w:b w:val="0"/>
          <w:color w:val="auto"/>
          <w:sz w:val="21"/>
          <w:szCs w:val="21"/>
        </w:rPr>
      </w:pPr>
      <w:r>
        <w:rPr>
          <w:rFonts w:hint="eastAsia" w:ascii="宋体" w:hAnsi="宋体" w:eastAsia="宋体" w:cs="宋体"/>
          <w:b w:val="0"/>
          <w:color w:val="auto"/>
          <w:sz w:val="21"/>
          <w:szCs w:val="21"/>
        </w:rPr>
        <w:t>10. 变更</w:t>
      </w:r>
    </w:p>
    <w:p w14:paraId="36E56CDB">
      <w:pPr>
        <w:snapToGrid w:val="0"/>
        <w:spacing w:line="440" w:lineRule="exact"/>
        <w:ind w:firstLine="420" w:firstLineChars="200"/>
        <w:rPr>
          <w:rFonts w:hint="eastAsia" w:ascii="宋体" w:hAnsi="宋体" w:cs="宋体"/>
          <w:color w:val="auto"/>
          <w:szCs w:val="21"/>
        </w:rPr>
      </w:pPr>
      <w:r>
        <w:rPr>
          <w:rFonts w:hint="eastAsia" w:ascii="宋体" w:hAnsi="宋体" w:cs="宋体"/>
          <w:color w:val="auto"/>
          <w:szCs w:val="21"/>
        </w:rPr>
        <w:t>10.1变更的范围</w:t>
      </w:r>
    </w:p>
    <w:p w14:paraId="234E064E">
      <w:pPr>
        <w:snapToGrid w:val="0"/>
        <w:spacing w:line="440" w:lineRule="exact"/>
        <w:ind w:firstLine="420" w:firstLineChars="200"/>
        <w:jc w:val="left"/>
        <w:rPr>
          <w:rFonts w:hint="eastAsia" w:ascii="宋体" w:hAnsi="宋体" w:cs="宋体"/>
          <w:color w:val="auto"/>
          <w:szCs w:val="21"/>
          <w:u w:val="single"/>
        </w:rPr>
      </w:pPr>
      <w:r>
        <w:rPr>
          <w:rFonts w:hint="eastAsia" w:ascii="宋体" w:hAnsi="宋体" w:cs="宋体"/>
          <w:color w:val="auto"/>
          <w:szCs w:val="21"/>
        </w:rPr>
        <w:t>关于变更范围的约定：</w:t>
      </w:r>
      <w:r>
        <w:rPr>
          <w:rFonts w:hint="eastAsia" w:ascii="宋体" w:hAnsi="宋体" w:cs="宋体"/>
          <w:b/>
          <w:color w:val="auto"/>
          <w:szCs w:val="21"/>
          <w:u w:val="single"/>
        </w:rPr>
        <w:t>执行合同通用条款</w:t>
      </w:r>
      <w:r>
        <w:rPr>
          <w:rFonts w:hint="eastAsia" w:ascii="宋体" w:hAnsi="宋体" w:cs="宋体"/>
          <w:b/>
          <w:bCs/>
          <w:color w:val="auto"/>
          <w:szCs w:val="21"/>
          <w:u w:val="single"/>
        </w:rPr>
        <w:t>。</w:t>
      </w:r>
    </w:p>
    <w:p w14:paraId="7CC01665">
      <w:pPr>
        <w:snapToGrid w:val="0"/>
        <w:spacing w:line="440" w:lineRule="exact"/>
        <w:ind w:firstLine="420" w:firstLineChars="200"/>
        <w:jc w:val="left"/>
        <w:rPr>
          <w:rFonts w:hint="eastAsia" w:ascii="宋体" w:hAnsi="宋体" w:cs="宋体"/>
          <w:color w:val="auto"/>
          <w:szCs w:val="21"/>
        </w:rPr>
      </w:pPr>
      <w:r>
        <w:rPr>
          <w:rFonts w:hint="eastAsia" w:ascii="宋体" w:hAnsi="宋体" w:cs="宋体"/>
          <w:color w:val="auto"/>
          <w:szCs w:val="21"/>
        </w:rPr>
        <w:t>10.4 变更估价</w:t>
      </w:r>
    </w:p>
    <w:p w14:paraId="363C3F75">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b/>
          <w:strike/>
          <w:dstrike w:val="0"/>
          <w:color w:val="000000"/>
          <w:highlight w:val="none"/>
          <w:lang w:eastAsia="zh-CN"/>
        </w:rPr>
      </w:pPr>
      <w:r>
        <w:rPr>
          <w:rFonts w:hint="eastAsia" w:ascii="宋体" w:hAnsi="宋体" w:cs="宋体"/>
          <w:color w:val="auto"/>
          <w:szCs w:val="21"/>
          <w:highlight w:val="none"/>
        </w:rPr>
        <w:t>10.4.1变更估价原则</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关于变更估价的约定</w:t>
      </w:r>
      <w:r>
        <w:rPr>
          <w:rFonts w:hint="eastAsia" w:ascii="宋体" w:hAnsi="宋体" w:cs="宋体"/>
          <w:color w:val="auto"/>
          <w:szCs w:val="21"/>
          <w:highlight w:val="none"/>
          <w:lang w:eastAsia="zh-CN"/>
        </w:rPr>
        <w:t>：</w:t>
      </w:r>
    </w:p>
    <w:p w14:paraId="7BFAC980">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textAlignment w:val="auto"/>
        <w:rPr>
          <w:rFonts w:hint="eastAsia" w:ascii="宋体" w:hAnsi="宋体" w:eastAsia="宋体" w:cs="宋体"/>
          <w:color w:val="auto"/>
          <w:kern w:val="0"/>
          <w:highlight w:val="none"/>
          <w:lang w:eastAsia="zh-CN"/>
        </w:rPr>
      </w:pPr>
      <w:r>
        <w:rPr>
          <w:rFonts w:hint="eastAsia" w:ascii="宋体" w:hAnsi="宋体" w:eastAsia="宋体" w:cs="宋体"/>
          <w:b/>
          <w:bCs/>
          <w:color w:val="auto"/>
          <w:szCs w:val="21"/>
          <w:highlight w:val="none"/>
        </w:rPr>
        <w:t>变更导致结算工程量（含1.13清单工程量错误产生的工程量）减少或增加</w:t>
      </w:r>
      <w:r>
        <w:rPr>
          <w:rFonts w:hint="eastAsia" w:ascii="宋体" w:hAnsi="宋体" w:cs="宋体"/>
          <w:b/>
          <w:bCs/>
          <w:color w:val="auto"/>
          <w:szCs w:val="21"/>
          <w:highlight w:val="none"/>
          <w:lang w:val="en-US" w:eastAsia="zh-CN"/>
        </w:rPr>
        <w:t>的</w:t>
      </w:r>
      <w:r>
        <w:rPr>
          <w:rFonts w:hint="eastAsia" w:ascii="宋体" w:hAnsi="宋体" w:eastAsia="宋体" w:cs="宋体"/>
          <w:b/>
          <w:bCs/>
          <w:color w:val="auto"/>
          <w:szCs w:val="21"/>
          <w:highlight w:val="none"/>
        </w:rPr>
        <w:t>部分，执行下列第（1）款或第（2）款</w:t>
      </w:r>
      <w:r>
        <w:rPr>
          <w:rFonts w:hint="eastAsia" w:ascii="宋体" w:hAnsi="宋体" w:cs="宋体"/>
          <w:b/>
          <w:bCs/>
          <w:color w:val="auto"/>
          <w:szCs w:val="21"/>
          <w:highlight w:val="none"/>
          <w:lang w:val="en-US" w:eastAsia="zh-CN"/>
        </w:rPr>
        <w:t>或第</w:t>
      </w:r>
      <w:r>
        <w:rPr>
          <w:rFonts w:hint="eastAsia" w:ascii="宋体" w:hAnsi="宋体" w:eastAsia="宋体" w:cs="宋体"/>
          <w:b/>
          <w:bCs/>
          <w:color w:val="auto"/>
          <w:szCs w:val="21"/>
          <w:highlight w:val="none"/>
        </w:rPr>
        <w:t>（</w:t>
      </w:r>
      <w:r>
        <w:rPr>
          <w:rFonts w:hint="eastAsia" w:ascii="宋体" w:hAnsi="宋体" w:cs="宋体"/>
          <w:b/>
          <w:bCs/>
          <w:color w:val="auto"/>
          <w:szCs w:val="21"/>
          <w:highlight w:val="none"/>
          <w:lang w:val="en-US" w:eastAsia="zh-CN"/>
        </w:rPr>
        <w:t>3</w:t>
      </w:r>
      <w:r>
        <w:rPr>
          <w:rFonts w:hint="eastAsia" w:ascii="宋体" w:hAnsi="宋体" w:eastAsia="宋体" w:cs="宋体"/>
          <w:b/>
          <w:bCs/>
          <w:color w:val="auto"/>
          <w:szCs w:val="21"/>
          <w:highlight w:val="none"/>
        </w:rPr>
        <w:t>）款确定的单价</w:t>
      </w:r>
      <w:r>
        <w:rPr>
          <w:rFonts w:hint="eastAsia" w:ascii="宋体" w:hAnsi="宋体" w:cs="宋体"/>
          <w:b/>
          <w:bCs/>
          <w:color w:val="auto"/>
          <w:szCs w:val="21"/>
          <w:highlight w:val="none"/>
          <w:lang w:eastAsia="zh-CN"/>
        </w:rPr>
        <w:t>。</w:t>
      </w:r>
    </w:p>
    <w:p w14:paraId="2513A76F">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textAlignment w:val="auto"/>
        <w:rPr>
          <w:rFonts w:hint="eastAsia" w:ascii="宋体" w:hAnsi="宋体" w:eastAsia="宋体" w:cs="宋体"/>
          <w:b/>
          <w:color w:val="auto"/>
          <w:highlight w:val="none"/>
          <w:u w:val="none"/>
          <w:lang w:val="en-US" w:eastAsia="zh-CN"/>
        </w:rPr>
      </w:pPr>
      <w:r>
        <w:rPr>
          <w:rFonts w:hint="eastAsia" w:ascii="宋体" w:hAnsi="宋体" w:cs="宋体"/>
          <w:b/>
          <w:color w:val="auto"/>
          <w:kern w:val="0"/>
          <w:highlight w:val="none"/>
        </w:rPr>
        <w:t>10.4.1.1 因工程变更引起已标价工程量清单项目或其工程数量发生变化时，按下列规定调整：</w:t>
      </w:r>
      <w:r>
        <w:rPr>
          <w:rFonts w:hint="eastAsia" w:ascii="宋体" w:hAnsi="宋体" w:eastAsia="宋体" w:cs="宋体"/>
          <w:b/>
          <w:color w:val="auto"/>
          <w:highlight w:val="none"/>
          <w:u w:val="none"/>
        </w:rPr>
        <w:t>（1）已标价工程量清单或预算书有相同项目的，按照相同项目单价认定；（2）已标价工程量清单或预算书中无相同项目，但有类似项目的，参照类似项目的单价认定</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rPr>
        <w:t>类似项目的单价是指其采用的材料、施工工艺和方法基本相似的项目</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lang w:val="en-US" w:eastAsia="zh-CN"/>
        </w:rPr>
        <w:t>3</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rPr>
        <w:t>已标价工程量清单或预算书</w:t>
      </w:r>
      <w:r>
        <w:rPr>
          <w:rFonts w:hint="eastAsia" w:ascii="宋体" w:hAnsi="宋体" w:eastAsia="宋体" w:cs="宋体"/>
          <w:b/>
          <w:color w:val="auto"/>
          <w:highlight w:val="none"/>
          <w:u w:val="none"/>
          <w:lang w:val="en-US" w:eastAsia="zh-CN"/>
        </w:rPr>
        <w:t>既无</w:t>
      </w:r>
      <w:r>
        <w:rPr>
          <w:rFonts w:hint="eastAsia" w:ascii="宋体" w:hAnsi="宋体" w:eastAsia="宋体" w:cs="宋体"/>
          <w:b/>
          <w:color w:val="auto"/>
          <w:highlight w:val="none"/>
          <w:u w:val="none"/>
        </w:rPr>
        <w:t>相同项目</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lang w:val="en-US" w:eastAsia="zh-CN"/>
        </w:rPr>
        <w:t>也无类似项目的单价</w:t>
      </w:r>
      <w:r>
        <w:rPr>
          <w:rFonts w:hint="eastAsia" w:ascii="宋体" w:hAnsi="宋体" w:eastAsia="宋体" w:cs="宋体"/>
          <w:b/>
          <w:color w:val="auto"/>
          <w:highlight w:val="none"/>
          <w:u w:val="none"/>
        </w:rPr>
        <w:t>按照最高投标限价的编制原则重新组价×投标让利幅度（上述投标让利幅度为中标价/最高投标限价，其中中标价和最高投标限价均扣除暂列金额、暂估价及相应税金</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rPr>
        <w:t>材料</w:t>
      </w:r>
      <w:r>
        <w:rPr>
          <w:rFonts w:hint="eastAsia" w:ascii="宋体" w:hAnsi="宋体" w:eastAsia="宋体" w:cs="宋体"/>
          <w:b/>
          <w:color w:val="auto"/>
          <w:highlight w:val="none"/>
          <w:u w:val="none"/>
          <w:lang w:val="en-US" w:eastAsia="zh-CN"/>
        </w:rPr>
        <w:t>价</w:t>
      </w:r>
      <w:r>
        <w:rPr>
          <w:rFonts w:hint="eastAsia" w:ascii="宋体" w:hAnsi="宋体" w:eastAsia="宋体" w:cs="宋体"/>
          <w:b/>
          <w:color w:val="auto"/>
          <w:highlight w:val="none"/>
          <w:u w:val="none"/>
        </w:rPr>
        <w:t>按施工当期《</w:t>
      </w:r>
      <w:r>
        <w:rPr>
          <w:rFonts w:hint="eastAsia" w:ascii="宋体" w:hAnsi="宋体" w:eastAsia="宋体" w:cs="宋体"/>
          <w:b/>
          <w:color w:val="auto"/>
          <w:highlight w:val="none"/>
          <w:u w:val="none"/>
          <w:lang w:val="en-US" w:eastAsia="zh-CN"/>
        </w:rPr>
        <w:t>滁</w:t>
      </w:r>
      <w:r>
        <w:rPr>
          <w:rFonts w:hint="eastAsia" w:ascii="宋体" w:hAnsi="宋体" w:eastAsia="宋体" w:cs="宋体"/>
          <w:b/>
          <w:color w:val="auto"/>
          <w:highlight w:val="none"/>
          <w:u w:val="none"/>
        </w:rPr>
        <w:t>州</w:t>
      </w:r>
      <w:r>
        <w:rPr>
          <w:rFonts w:hint="eastAsia" w:ascii="宋体" w:hAnsi="宋体" w:eastAsia="宋体" w:cs="宋体"/>
          <w:b/>
          <w:color w:val="auto"/>
          <w:highlight w:val="none"/>
          <w:u w:val="none"/>
          <w:lang w:val="en-US" w:eastAsia="zh-CN"/>
        </w:rPr>
        <w:t>市</w:t>
      </w:r>
      <w:r>
        <w:rPr>
          <w:rFonts w:hint="eastAsia" w:ascii="宋体" w:hAnsi="宋体" w:eastAsia="宋体" w:cs="宋体"/>
          <w:b/>
          <w:color w:val="auto"/>
          <w:highlight w:val="none"/>
          <w:u w:val="none"/>
        </w:rPr>
        <w:t>建设工程</w:t>
      </w:r>
      <w:r>
        <w:rPr>
          <w:rFonts w:hint="eastAsia" w:ascii="宋体" w:hAnsi="宋体" w:eastAsia="宋体" w:cs="宋体"/>
          <w:b/>
          <w:color w:val="auto"/>
          <w:highlight w:val="none"/>
          <w:u w:val="none"/>
          <w:lang w:val="en-US" w:eastAsia="zh-CN"/>
        </w:rPr>
        <w:t>材料市场价格</w:t>
      </w:r>
      <w:r>
        <w:rPr>
          <w:rFonts w:hint="eastAsia" w:ascii="宋体" w:hAnsi="宋体" w:eastAsia="宋体" w:cs="宋体"/>
          <w:b/>
          <w:color w:val="auto"/>
          <w:highlight w:val="none"/>
          <w:u w:val="none"/>
        </w:rPr>
        <w:t>信息》确定：若信息价为区间价的，则按区间价的算术平均值计取；信息价中没有的材料，由业主、监理、施工三方核定后确定，认价材料不参与下浮</w:t>
      </w:r>
      <w:r>
        <w:rPr>
          <w:rFonts w:hint="eastAsia" w:ascii="宋体" w:hAnsi="宋体" w:cs="宋体"/>
          <w:b/>
          <w:color w:val="auto"/>
          <w:highlight w:val="none"/>
          <w:u w:val="none"/>
          <w:lang w:eastAsia="zh-CN"/>
        </w:rPr>
        <w:t>；</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lang w:val="en-US" w:eastAsia="zh-CN"/>
        </w:rPr>
        <w:t>4</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rPr>
        <w:t>若取消某工程项目，则该项目的价款不予支付</w:t>
      </w:r>
      <w:r>
        <w:rPr>
          <w:rFonts w:hint="eastAsia" w:ascii="宋体" w:hAnsi="宋体" w:cs="宋体"/>
          <w:b/>
          <w:color w:val="auto"/>
          <w:highlight w:val="none"/>
          <w:u w:val="none"/>
          <w:lang w:eastAsia="zh-CN"/>
        </w:rPr>
        <w:t>。</w:t>
      </w:r>
    </w:p>
    <w:p w14:paraId="51FEC2A5">
      <w:pPr>
        <w:snapToGrid w:val="0"/>
        <w:spacing w:line="440" w:lineRule="exact"/>
        <w:ind w:firstLine="420" w:firstLineChars="200"/>
        <w:rPr>
          <w:rFonts w:hint="eastAsia" w:ascii="宋体" w:cs="宋体"/>
          <w:color w:val="auto"/>
          <w:szCs w:val="21"/>
        </w:rPr>
      </w:pPr>
      <w:r>
        <w:rPr>
          <w:rFonts w:hint="eastAsia" w:ascii="宋体" w:cs="宋体"/>
          <w:color w:val="auto"/>
          <w:szCs w:val="21"/>
        </w:rPr>
        <w:t>10.5承包人的合理化建议</w:t>
      </w:r>
    </w:p>
    <w:p w14:paraId="04E7A660">
      <w:pPr>
        <w:snapToGrid w:val="0"/>
        <w:spacing w:line="440" w:lineRule="exact"/>
        <w:ind w:firstLine="420" w:firstLineChars="200"/>
        <w:jc w:val="left"/>
        <w:rPr>
          <w:rFonts w:hint="eastAsia" w:ascii="宋体" w:cs="宋体"/>
          <w:szCs w:val="21"/>
          <w:highlight w:val="none"/>
        </w:rPr>
      </w:pPr>
      <w:r>
        <w:rPr>
          <w:rFonts w:hint="eastAsia" w:ascii="宋体" w:cs="宋体"/>
          <w:szCs w:val="21"/>
        </w:rPr>
        <w:t>监理人审查承包人合理化建议的期限</w:t>
      </w:r>
      <w:r>
        <w:rPr>
          <w:rFonts w:hint="eastAsia" w:ascii="宋体" w:cs="宋体"/>
          <w:szCs w:val="21"/>
          <w:highlight w:val="none"/>
        </w:rPr>
        <w:t>：</w:t>
      </w:r>
      <w:r>
        <w:rPr>
          <w:rFonts w:hint="eastAsia" w:ascii="宋体" w:cs="宋体"/>
          <w:szCs w:val="21"/>
          <w:highlight w:val="none"/>
          <w:u w:val="single"/>
        </w:rPr>
        <w:t xml:space="preserve"> </w:t>
      </w:r>
      <w:r>
        <w:rPr>
          <w:rFonts w:hint="eastAsia" w:ascii="宋体" w:hAnsi="Times New Roman" w:eastAsia="宋体" w:cs="宋体"/>
          <w:szCs w:val="21"/>
          <w:highlight w:val="none"/>
          <w:u w:val="single"/>
        </w:rPr>
        <w:t>监理人</w:t>
      </w:r>
      <w:r>
        <w:rPr>
          <w:rFonts w:hint="eastAsia" w:ascii="宋体" w:cs="宋体"/>
          <w:szCs w:val="21"/>
          <w:highlight w:val="none"/>
          <w:u w:val="single"/>
        </w:rPr>
        <w:t>应在收到承包人提交的合理化建议后7天内审查完毕并报送发包人，发现其中存在技术上的缺陷，应通知承包人修改。</w:t>
      </w:r>
    </w:p>
    <w:p w14:paraId="4C7FF324">
      <w:pPr>
        <w:snapToGrid w:val="0"/>
        <w:spacing w:line="440" w:lineRule="exact"/>
        <w:ind w:firstLine="420" w:firstLineChars="200"/>
        <w:jc w:val="left"/>
        <w:rPr>
          <w:rFonts w:hint="eastAsia" w:ascii="宋体" w:cs="宋体"/>
          <w:szCs w:val="21"/>
        </w:rPr>
      </w:pPr>
      <w:r>
        <w:rPr>
          <w:rFonts w:hint="eastAsia" w:ascii="宋体" w:cs="宋体"/>
          <w:szCs w:val="21"/>
          <w:highlight w:val="none"/>
        </w:rPr>
        <w:t>发包人审批承包人合理化建议的期限：</w:t>
      </w:r>
      <w:r>
        <w:rPr>
          <w:rFonts w:hint="eastAsia" w:ascii="宋体" w:cs="宋体"/>
          <w:szCs w:val="21"/>
          <w:highlight w:val="none"/>
          <w:u w:val="single"/>
        </w:rPr>
        <w:t xml:space="preserve"> 发包人应在收到</w:t>
      </w:r>
      <w:r>
        <w:rPr>
          <w:rFonts w:hint="eastAsia" w:ascii="宋体" w:hAnsi="Times New Roman" w:eastAsia="宋体" w:cs="宋体"/>
          <w:szCs w:val="21"/>
          <w:highlight w:val="none"/>
          <w:u w:val="single"/>
        </w:rPr>
        <w:t>监理人</w:t>
      </w:r>
      <w:r>
        <w:rPr>
          <w:rFonts w:hint="eastAsia" w:ascii="宋体" w:cs="宋体"/>
          <w:szCs w:val="21"/>
          <w:highlight w:val="none"/>
          <w:u w:val="single"/>
        </w:rPr>
        <w:t>报送的合理化建议后7天内审批完毕。合理化建议经发包人批准的，</w:t>
      </w:r>
      <w:r>
        <w:rPr>
          <w:rFonts w:hint="eastAsia" w:ascii="宋体" w:hAnsi="Times New Roman" w:eastAsia="宋体" w:cs="宋体"/>
          <w:szCs w:val="21"/>
          <w:highlight w:val="none"/>
          <w:u w:val="single"/>
        </w:rPr>
        <w:t>监理人</w:t>
      </w:r>
      <w:r>
        <w:rPr>
          <w:rFonts w:hint="eastAsia" w:ascii="宋体" w:cs="宋体"/>
          <w:szCs w:val="21"/>
          <w:highlight w:val="none"/>
          <w:u w:val="single"/>
        </w:rPr>
        <w:t>应及时发出变更指示，由此引起的合同价格调整按照第10.4款〔变更估价〕约定执行。发包人不同意变更的，</w:t>
      </w:r>
      <w:r>
        <w:rPr>
          <w:rFonts w:hint="eastAsia" w:ascii="宋体" w:hAnsi="Times New Roman" w:eastAsia="宋体" w:cs="宋体"/>
          <w:szCs w:val="21"/>
          <w:highlight w:val="none"/>
          <w:u w:val="single"/>
        </w:rPr>
        <w:t>监理人</w:t>
      </w:r>
      <w:r>
        <w:rPr>
          <w:rFonts w:hint="eastAsia" w:ascii="宋体" w:cs="宋体"/>
          <w:szCs w:val="21"/>
          <w:highlight w:val="none"/>
          <w:u w:val="single"/>
        </w:rPr>
        <w:t>应书面通知承包人。</w:t>
      </w:r>
    </w:p>
    <w:p w14:paraId="4F4C2DC1">
      <w:pPr>
        <w:snapToGrid w:val="0"/>
        <w:spacing w:line="440" w:lineRule="exact"/>
        <w:ind w:firstLine="420" w:firstLineChars="200"/>
        <w:jc w:val="left"/>
        <w:rPr>
          <w:rFonts w:hint="eastAsia" w:ascii="宋体" w:cs="宋体"/>
          <w:szCs w:val="21"/>
          <w:u w:val="single"/>
        </w:rPr>
      </w:pPr>
      <w:r>
        <w:rPr>
          <w:rFonts w:hint="eastAsia" w:ascii="宋体" w:cs="宋体"/>
          <w:szCs w:val="21"/>
        </w:rPr>
        <w:t>承包人提出的合理化建议降低了合同价格或者提高了工程经济效益的奖励的方法和金额为：</w:t>
      </w:r>
      <w:r>
        <w:rPr>
          <w:rFonts w:ascii="宋体" w:hAnsi="宋体" w:eastAsia="宋体" w:cs="宋体"/>
          <w:spacing w:val="-1"/>
          <w:sz w:val="21"/>
          <w:szCs w:val="21"/>
          <w:u w:val="single" w:color="auto"/>
        </w:rPr>
        <w:t>此条不执行</w:t>
      </w:r>
      <w:r>
        <w:rPr>
          <w:rFonts w:hint="eastAsia"/>
        </w:rPr>
        <w:t>。</w:t>
      </w:r>
    </w:p>
    <w:p w14:paraId="4D201892">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s="宋体"/>
          <w:szCs w:val="21"/>
          <w:highlight w:val="none"/>
        </w:rPr>
      </w:pPr>
      <w:r>
        <w:rPr>
          <w:rFonts w:hint="eastAsia" w:ascii="宋体" w:cs="宋体"/>
          <w:szCs w:val="21"/>
        </w:rPr>
        <w:t>10.8 暂列金额</w:t>
      </w:r>
    </w:p>
    <w:p w14:paraId="41EF1A4D">
      <w:pPr>
        <w:keepNext w:val="0"/>
        <w:keepLines w:val="0"/>
        <w:pageBreakBefore w:val="0"/>
        <w:widowControl/>
        <w:suppressLineNumbers w:val="0"/>
        <w:kinsoku/>
        <w:wordWrap/>
        <w:overflowPunct/>
        <w:topLinePunct w:val="0"/>
        <w:autoSpaceDE/>
        <w:autoSpaceDN/>
        <w:bidi w:val="0"/>
        <w:adjustRightInd/>
        <w:spacing w:line="440" w:lineRule="exact"/>
        <w:jc w:val="left"/>
        <w:textAlignment w:val="auto"/>
        <w:rPr>
          <w:highlight w:val="none"/>
          <w:u w:val="single"/>
        </w:rPr>
      </w:pPr>
      <w:r>
        <w:rPr>
          <w:rFonts w:hint="eastAsia" w:ascii="宋体" w:hAnsi="宋体" w:cs="宋体"/>
          <w:color w:val="000000"/>
          <w:kern w:val="0"/>
          <w:highlight w:val="none"/>
          <w:lang w:eastAsia="zh-CN"/>
        </w:rPr>
        <w:t>　　</w:t>
      </w:r>
      <w:r>
        <w:rPr>
          <w:rFonts w:hint="eastAsia" w:ascii="宋体" w:hAnsi="宋体" w:cs="宋体"/>
          <w:color w:val="000000"/>
          <w:kern w:val="0"/>
          <w:highlight w:val="none"/>
        </w:rPr>
        <w:t>合同当事人关于暂列金额使用的约定：</w:t>
      </w:r>
      <w:r>
        <w:rPr>
          <w:rFonts w:hint="eastAsia" w:ascii="宋体" w:hAnsi="宋体" w:eastAsia="宋体" w:cs="宋体"/>
          <w:color w:val="000000"/>
          <w:kern w:val="0"/>
          <w:sz w:val="22"/>
          <w:szCs w:val="22"/>
          <w:highlight w:val="none"/>
          <w:u w:val="single"/>
          <w:lang w:val="en-US" w:eastAsia="zh-CN" w:bidi="ar"/>
        </w:rPr>
        <w:t>合同中标明的暂列金额一般不予动用，其使用由发包人核准批复。</w:t>
      </w:r>
    </w:p>
    <w:p w14:paraId="510AEE20">
      <w:pPr>
        <w:pStyle w:val="5"/>
        <w:pageBreakBefore w:val="0"/>
        <w:kinsoku/>
        <w:wordWrap/>
        <w:overflowPunct/>
        <w:topLinePunct w:val="0"/>
        <w:autoSpaceDE/>
        <w:autoSpaceDN/>
        <w:bidi w:val="0"/>
        <w:adjustRightInd/>
        <w:snapToGrid w:val="0"/>
        <w:spacing w:before="0" w:after="0" w:line="440" w:lineRule="exact"/>
        <w:ind w:firstLine="420" w:firstLineChars="200"/>
        <w:textAlignment w:val="auto"/>
        <w:rPr>
          <w:rFonts w:hint="eastAsia" w:ascii="宋体" w:eastAsia="宋体" w:cs="宋体"/>
          <w:b w:val="0"/>
          <w:sz w:val="21"/>
          <w:szCs w:val="21"/>
          <w:highlight w:val="none"/>
        </w:rPr>
      </w:pPr>
      <w:r>
        <w:rPr>
          <w:rFonts w:hint="eastAsia" w:ascii="宋体" w:eastAsia="宋体" w:cs="宋体"/>
          <w:b w:val="0"/>
          <w:sz w:val="21"/>
          <w:szCs w:val="21"/>
          <w:highlight w:val="none"/>
        </w:rPr>
        <w:t>11. 价格调整</w:t>
      </w:r>
    </w:p>
    <w:p w14:paraId="47D887AB">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cs="宋体"/>
          <w:szCs w:val="21"/>
          <w:highlight w:val="none"/>
        </w:rPr>
      </w:pPr>
      <w:r>
        <w:rPr>
          <w:rFonts w:hint="eastAsia" w:ascii="宋体" w:cs="宋体"/>
          <w:szCs w:val="21"/>
          <w:highlight w:val="none"/>
        </w:rPr>
        <w:t>11.1 市场价格波动引起的调整</w:t>
      </w:r>
    </w:p>
    <w:p w14:paraId="0EA59831">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kern w:val="0"/>
          <w:highlight w:val="none"/>
        </w:rPr>
        <w:t>市场价格波动是否调整合同价格的约定：</w:t>
      </w:r>
      <w:r>
        <w:rPr>
          <w:rFonts w:hint="eastAsia" w:ascii="宋体" w:hAnsi="宋体" w:cs="宋体"/>
          <w:b/>
          <w:color w:val="000000"/>
          <w:highlight w:val="none"/>
          <w:u w:val="single"/>
        </w:rPr>
        <w:t xml:space="preserve"> </w:t>
      </w:r>
      <w:r>
        <w:rPr>
          <w:rFonts w:hint="eastAsia" w:ascii="宋体" w:hAnsi="宋体" w:eastAsia="宋体" w:cs="宋体"/>
          <w:color w:val="auto"/>
          <w:szCs w:val="21"/>
          <w:highlight w:val="none"/>
          <w:u w:val="single"/>
          <w:lang w:val="en-US" w:eastAsia="zh-CN"/>
        </w:rPr>
        <w:t>不调整</w:t>
      </w:r>
      <w:r>
        <w:rPr>
          <w:rFonts w:hint="eastAsia" w:ascii="宋体" w:hAnsi="宋体" w:cs="宋体"/>
          <w:b/>
          <w:color w:val="000000"/>
          <w:highlight w:val="none"/>
          <w:u w:val="single"/>
        </w:rPr>
        <w:t xml:space="preserve"> </w:t>
      </w:r>
      <w:r>
        <w:rPr>
          <w:rFonts w:hint="eastAsia" w:ascii="宋体" w:hAnsi="宋体" w:cs="宋体"/>
          <w:color w:val="000000"/>
          <w:highlight w:val="none"/>
        </w:rPr>
        <w:t>。</w:t>
      </w:r>
    </w:p>
    <w:p w14:paraId="46DA0321">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因市场价格波动调整合同价格，采用以下第</w:t>
      </w:r>
      <w:r>
        <w:rPr>
          <w:rFonts w:hint="eastAsia" w:ascii="宋体" w:hAnsi="宋体" w:cs="宋体"/>
          <w:color w:val="000000"/>
          <w:u w:val="single"/>
        </w:rPr>
        <w:t xml:space="preserve"> </w:t>
      </w:r>
      <w:r>
        <w:rPr>
          <w:rFonts w:hint="eastAsia" w:ascii="宋体" w:hAnsi="宋体" w:cs="宋体"/>
          <w:color w:val="000000"/>
          <w:u w:val="single"/>
          <w:lang w:val="en-US" w:eastAsia="zh-CN"/>
        </w:rPr>
        <w:t>/</w:t>
      </w:r>
      <w:r>
        <w:rPr>
          <w:rFonts w:hint="eastAsia" w:ascii="宋体" w:hAnsi="宋体" w:cs="宋体"/>
          <w:color w:val="000000"/>
          <w:u w:val="single"/>
        </w:rPr>
        <w:t xml:space="preserve">   </w:t>
      </w:r>
      <w:r>
        <w:rPr>
          <w:rFonts w:hint="eastAsia" w:ascii="宋体" w:hAnsi="宋体" w:cs="宋体"/>
          <w:color w:val="000000"/>
        </w:rPr>
        <w:t>种方式对合同价格进行调整：</w:t>
      </w:r>
    </w:p>
    <w:p w14:paraId="16EAEE22">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第1种方式：采用价格指数进行价格调整。</w:t>
      </w:r>
    </w:p>
    <w:p w14:paraId="120DC035">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u w:val="single"/>
        </w:rPr>
      </w:pPr>
      <w:r>
        <w:rPr>
          <w:rFonts w:hint="eastAsia" w:ascii="宋体" w:hAnsi="宋体" w:cs="宋体"/>
          <w:color w:val="000000"/>
        </w:rPr>
        <w:t>关于各可调因子、定值和变值权重，以及基本价格指数及其来源的约定：</w:t>
      </w:r>
      <w:r>
        <w:rPr>
          <w:rFonts w:hint="eastAsia" w:ascii="宋体" w:hAnsi="宋体" w:cs="宋体"/>
          <w:color w:val="000000"/>
          <w:u w:val="single"/>
        </w:rPr>
        <w:t xml:space="preserve">  </w:t>
      </w:r>
      <w:r>
        <w:rPr>
          <w:rFonts w:hint="eastAsia" w:ascii="宋体" w:hAnsi="宋体" w:cs="宋体"/>
          <w:color w:val="000000"/>
          <w:u w:val="single"/>
          <w:lang w:val="en-US" w:eastAsia="zh-CN"/>
        </w:rPr>
        <w:t>/</w:t>
      </w:r>
      <w:r>
        <w:rPr>
          <w:rFonts w:hint="eastAsia" w:ascii="宋体" w:hAnsi="宋体" w:cs="宋体"/>
          <w:color w:val="000000"/>
          <w:u w:val="single"/>
        </w:rPr>
        <w:t xml:space="preserve">   </w:t>
      </w:r>
      <w:r>
        <w:rPr>
          <w:rFonts w:hint="eastAsia" w:ascii="宋体" w:hAnsi="宋体" w:cs="宋体"/>
          <w:color w:val="000000"/>
        </w:rPr>
        <w:t xml:space="preserve">； </w:t>
      </w:r>
    </w:p>
    <w:p w14:paraId="60D3AF7A">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第2种方式：采用造价信息进行价格调整。</w:t>
      </w:r>
    </w:p>
    <w:p w14:paraId="3E132DD0">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（1）价格的调整：</w:t>
      </w:r>
    </w:p>
    <w:p w14:paraId="6CAF00AC">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①可调整价格的主要材料范围的约定:</w:t>
      </w:r>
      <w:r>
        <w:rPr>
          <w:rFonts w:hint="eastAsia" w:ascii="宋体" w:hAnsi="宋体" w:cs="宋体"/>
          <w:color w:val="000000"/>
          <w:u w:val="single"/>
        </w:rPr>
        <w:t xml:space="preserve">        </w:t>
      </w:r>
      <w:r>
        <w:rPr>
          <w:rFonts w:hint="eastAsia" w:ascii="宋体" w:hAnsi="宋体" w:cs="宋体"/>
          <w:color w:val="000000"/>
        </w:rPr>
        <w:t>；</w:t>
      </w:r>
    </w:p>
    <w:p w14:paraId="723B5D1C">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②主要材料价差调整周期的约定:</w:t>
      </w:r>
      <w:r>
        <w:rPr>
          <w:rFonts w:hint="eastAsia" w:ascii="宋体" w:hAnsi="宋体" w:cs="宋体"/>
          <w:color w:val="000000"/>
          <w:u w:val="single"/>
        </w:rPr>
        <w:t xml:space="preserve">            </w:t>
      </w:r>
      <w:r>
        <w:rPr>
          <w:rFonts w:hint="eastAsia" w:ascii="宋体" w:hAnsi="宋体" w:cs="宋体"/>
          <w:color w:val="000000"/>
        </w:rPr>
        <w:t>；</w:t>
      </w:r>
    </w:p>
    <w:p w14:paraId="1B9B2103">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 w:val="24"/>
          <w:szCs w:val="32"/>
        </w:rPr>
      </w:pPr>
      <w:r>
        <w:rPr>
          <w:rFonts w:hint="eastAsia" w:ascii="宋体" w:hAnsi="宋体" w:cs="宋体"/>
          <w:color w:val="000000"/>
        </w:rPr>
        <w:t>③主要材料价差调整计算方法的约定:</w:t>
      </w:r>
      <w:r>
        <w:rPr>
          <w:rFonts w:hint="eastAsia" w:ascii="宋体" w:hAnsi="宋体" w:cs="宋体"/>
          <w:color w:val="000000"/>
          <w:u w:val="single"/>
        </w:rPr>
        <w:t xml:space="preserve">        </w:t>
      </w:r>
      <w:r>
        <w:rPr>
          <w:rFonts w:hint="eastAsia" w:ascii="宋体" w:hAnsi="宋体" w:cs="宋体"/>
          <w:color w:val="000000"/>
        </w:rPr>
        <w:t>；</w:t>
      </w:r>
    </w:p>
    <w:p w14:paraId="6E1C4C2C">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④主要材料价差调整时间的约定:</w:t>
      </w:r>
      <w:r>
        <w:rPr>
          <w:rFonts w:hint="eastAsia" w:ascii="宋体" w:hAnsi="宋体" w:cs="宋体"/>
          <w:color w:val="000000"/>
          <w:u w:val="single"/>
        </w:rPr>
        <w:t xml:space="preserve">            </w:t>
      </w:r>
      <w:r>
        <w:rPr>
          <w:rFonts w:hint="eastAsia" w:ascii="宋体" w:hAnsi="宋体" w:cs="宋体"/>
          <w:color w:val="000000"/>
        </w:rPr>
        <w:t>。</w:t>
      </w:r>
    </w:p>
    <w:p w14:paraId="64DDB168">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（2）关于基准价格的约定：</w:t>
      </w:r>
      <w:r>
        <w:rPr>
          <w:rFonts w:hint="eastAsia" w:ascii="宋体" w:hAnsi="宋体" w:cs="宋体"/>
          <w:color w:val="000000"/>
          <w:u w:val="single"/>
        </w:rPr>
        <w:t xml:space="preserve">         </w:t>
      </w:r>
      <w:r>
        <w:rPr>
          <w:rFonts w:hint="eastAsia" w:ascii="宋体" w:hAnsi="宋体" w:cs="宋体"/>
          <w:color w:val="000000"/>
          <w:u w:val="single"/>
          <w:lang w:val="en-US" w:eastAsia="zh-CN"/>
        </w:rPr>
        <w:t>/</w:t>
      </w:r>
      <w:r>
        <w:rPr>
          <w:rFonts w:hint="eastAsia" w:ascii="宋体" w:hAnsi="宋体" w:cs="宋体"/>
          <w:color w:val="000000"/>
          <w:u w:val="single"/>
        </w:rPr>
        <w:t xml:space="preserve">           </w:t>
      </w:r>
      <w:r>
        <w:rPr>
          <w:rFonts w:hint="eastAsia" w:ascii="宋体" w:hAnsi="宋体" w:cs="宋体"/>
          <w:color w:val="000000"/>
        </w:rPr>
        <w:t>。</w:t>
      </w:r>
    </w:p>
    <w:p w14:paraId="1F2C269F">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000000"/>
        </w:rPr>
      </w:pPr>
      <w:r>
        <w:rPr>
          <w:rFonts w:hint="eastAsia" w:ascii="宋体" w:hAnsi="宋体" w:eastAsia="宋体" w:cs="宋体"/>
          <w:color w:val="000000"/>
        </w:rPr>
        <w:t>①承包人在已标价工程量清单或预算书中载明的材料单价低于基准价格的：专用合同条款合同履行期间材料单价涨幅以基准价格为基础超过</w:t>
      </w:r>
      <w:r>
        <w:rPr>
          <w:rFonts w:hint="eastAsia" w:ascii="宋体" w:hAnsi="宋体" w:cs="宋体"/>
          <w:color w:val="000000"/>
          <w:u w:val="single"/>
          <w:lang w:val="en-US" w:eastAsia="zh-CN"/>
        </w:rPr>
        <w:t>/</w:t>
      </w:r>
      <w:r>
        <w:rPr>
          <w:rFonts w:hint="eastAsia" w:ascii="宋体" w:hAnsi="宋体" w:eastAsia="宋体" w:cs="宋体"/>
          <w:color w:val="000000"/>
        </w:rPr>
        <w:t>时，或材料单价跌幅以已标价工程量清单或预算书中载明材料单价为基础超过</w:t>
      </w:r>
      <w:r>
        <w:rPr>
          <w:rFonts w:hint="eastAsia" w:ascii="宋体" w:hAnsi="宋体" w:cs="宋体"/>
          <w:color w:val="000000"/>
          <w:u w:val="single"/>
          <w:lang w:val="en-US" w:eastAsia="zh-CN"/>
        </w:rPr>
        <w:t>/</w:t>
      </w:r>
      <w:r>
        <w:rPr>
          <w:rFonts w:hint="eastAsia" w:ascii="宋体" w:hAnsi="宋体" w:eastAsia="宋体" w:cs="宋体"/>
          <w:color w:val="000000"/>
        </w:rPr>
        <w:t>时，其超过部分据实调整。</w:t>
      </w:r>
    </w:p>
    <w:p w14:paraId="2D6B5402">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②承包人在已标价工程量清单或预算书中载明的材料单价高于基准价格的：专用合同条款合同履行期间材料单价跌幅以基准价格为基础超过</w:t>
      </w:r>
      <w:r>
        <w:rPr>
          <w:rFonts w:hint="eastAsia" w:ascii="宋体" w:hAnsi="宋体" w:cs="宋体"/>
          <w:color w:val="000000"/>
          <w:u w:val="single"/>
        </w:rPr>
        <w:t xml:space="preserve"> </w:t>
      </w:r>
      <w:r>
        <w:rPr>
          <w:rFonts w:hint="eastAsia" w:ascii="宋体" w:hAnsi="宋体" w:cs="宋体"/>
          <w:color w:val="000000"/>
          <w:u w:val="single"/>
          <w:lang w:val="en-US" w:eastAsia="zh-CN"/>
        </w:rPr>
        <w:t>/</w:t>
      </w:r>
      <w:r>
        <w:rPr>
          <w:rFonts w:hint="eastAsia" w:ascii="宋体" w:hAnsi="宋体" w:cs="宋体"/>
          <w:color w:val="000000"/>
        </w:rPr>
        <w:t>时，材料单价涨幅以已标价工程量清单或预算书中载明材料单价为基础超过</w:t>
      </w:r>
      <w:r>
        <w:rPr>
          <w:rFonts w:hint="eastAsia" w:ascii="宋体" w:hAnsi="宋体" w:cs="宋体"/>
          <w:color w:val="000000"/>
          <w:u w:val="single"/>
          <w:lang w:val="en-US" w:eastAsia="zh-CN"/>
        </w:rPr>
        <w:t>/</w:t>
      </w:r>
      <w:r>
        <w:rPr>
          <w:rFonts w:hint="eastAsia" w:ascii="宋体" w:hAnsi="宋体" w:cs="宋体"/>
          <w:color w:val="000000"/>
        </w:rPr>
        <w:t>时，其超过部分据实调整。</w:t>
      </w:r>
    </w:p>
    <w:p w14:paraId="652D9417">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③承包人在已标价工程量清单或预算书中载明的材料单价等于基准单价的：专用合同条款合同履行期间材料单价涨跌幅以基准单价为基础超过±</w:t>
      </w:r>
      <w:r>
        <w:rPr>
          <w:rFonts w:hint="eastAsia" w:ascii="宋体" w:hAnsi="宋体" w:cs="宋体"/>
          <w:color w:val="000000"/>
          <w:u w:val="single"/>
          <w:lang w:val="en-US" w:eastAsia="zh-CN"/>
        </w:rPr>
        <w:t>/</w:t>
      </w:r>
      <w:r>
        <w:rPr>
          <w:rFonts w:hint="eastAsia" w:ascii="宋体" w:hAnsi="宋体" w:cs="宋体"/>
          <w:color w:val="000000"/>
        </w:rPr>
        <w:t>时，其超过部分据实调整。</w:t>
      </w:r>
    </w:p>
    <w:p w14:paraId="682FE3EB">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u w:val="single"/>
        </w:rPr>
      </w:pPr>
      <w:r>
        <w:rPr>
          <w:rFonts w:hint="eastAsia" w:ascii="宋体" w:hAnsi="宋体" w:cs="宋体"/>
          <w:color w:val="000000"/>
        </w:rPr>
        <w:t>第3种方式：其他价格调整方式：</w:t>
      </w:r>
      <w:r>
        <w:rPr>
          <w:rFonts w:hint="eastAsia" w:ascii="宋体" w:hAnsi="宋体" w:cs="宋体"/>
          <w:color w:val="000000"/>
          <w:u w:val="single"/>
        </w:rPr>
        <w:t xml:space="preserve">   </w:t>
      </w:r>
      <w:r>
        <w:rPr>
          <w:rFonts w:hint="eastAsia" w:ascii="宋体" w:hAnsi="宋体" w:cs="宋体"/>
          <w:color w:val="000000"/>
          <w:u w:val="single"/>
          <w:lang w:val="en-US" w:eastAsia="zh-CN"/>
        </w:rPr>
        <w:t>无</w:t>
      </w:r>
      <w:r>
        <w:rPr>
          <w:rFonts w:hint="eastAsia" w:ascii="宋体" w:hAnsi="宋体" w:cs="宋体"/>
          <w:color w:val="000000"/>
          <w:u w:val="single"/>
        </w:rPr>
        <w:t xml:space="preserve">     </w:t>
      </w:r>
      <w:r>
        <w:rPr>
          <w:rFonts w:hint="eastAsia" w:ascii="宋体" w:hAnsi="宋体" w:cs="宋体"/>
          <w:color w:val="000000"/>
        </w:rPr>
        <w:t>。</w:t>
      </w:r>
    </w:p>
    <w:p w14:paraId="23DE31B2">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12. 合同价格、计量与支付</w:t>
      </w:r>
    </w:p>
    <w:p w14:paraId="78AAEEA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12.1 合同价格形式</w:t>
      </w:r>
    </w:p>
    <w:p w14:paraId="0EDC461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w:t>
      </w:r>
      <w:r>
        <w:rPr>
          <w:rFonts w:hint="eastAsia" w:ascii="宋体" w:cs="宋体"/>
          <w:color w:val="auto"/>
          <w:szCs w:val="21"/>
          <w:highlight w:val="none"/>
          <w:lang w:val="en-US" w:eastAsia="zh-CN"/>
        </w:rPr>
        <w:t>固定</w:t>
      </w:r>
      <w:r>
        <w:rPr>
          <w:rFonts w:hint="eastAsia" w:ascii="宋体" w:cs="宋体"/>
          <w:color w:val="auto"/>
          <w:szCs w:val="21"/>
          <w:highlight w:val="none"/>
        </w:rPr>
        <w:t>单价合同</w:t>
      </w:r>
      <w:r>
        <w:rPr>
          <w:rFonts w:hint="eastAsia" w:ascii="宋体" w:cs="宋体"/>
          <w:color w:val="auto"/>
          <w:szCs w:val="21"/>
          <w:highlight w:val="none"/>
          <w:lang w:eastAsia="zh-CN"/>
        </w:rPr>
        <w:t>，单价采用全费用综合单价</w:t>
      </w:r>
      <w:r>
        <w:rPr>
          <w:rFonts w:hint="eastAsia" w:ascii="宋体" w:cs="宋体"/>
          <w:color w:val="auto"/>
          <w:szCs w:val="21"/>
          <w:highlight w:val="none"/>
        </w:rPr>
        <w:t>。</w:t>
      </w:r>
    </w:p>
    <w:p w14:paraId="34278DE4">
      <w:pPr>
        <w:snapToGrid w:val="0"/>
        <w:spacing w:line="440" w:lineRule="exact"/>
        <w:ind w:firstLine="420" w:firstLineChars="200"/>
        <w:jc w:val="left"/>
        <w:rPr>
          <w:rFonts w:hint="eastAsia" w:ascii="宋体" w:cs="宋体"/>
          <w:b/>
          <w:szCs w:val="21"/>
          <w:highlight w:val="none"/>
          <w:u w:val="single"/>
        </w:rPr>
      </w:pPr>
      <w:r>
        <w:rPr>
          <w:rFonts w:hint="eastAsia" w:ascii="宋体" w:cs="宋体"/>
          <w:color w:val="auto"/>
          <w:szCs w:val="21"/>
          <w:highlight w:val="none"/>
          <w:lang w:val="en-US" w:eastAsia="zh-CN"/>
        </w:rPr>
        <w:t>全费用综合</w:t>
      </w:r>
      <w:r>
        <w:rPr>
          <w:rFonts w:hint="eastAsia" w:ascii="宋体" w:cs="宋体"/>
          <w:color w:val="auto"/>
          <w:szCs w:val="21"/>
          <w:highlight w:val="none"/>
        </w:rPr>
        <w:t>单价包含的风险范围：</w:t>
      </w:r>
      <w:r>
        <w:rPr>
          <w:rFonts w:hint="eastAsia" w:ascii="宋体" w:hAnsi="宋体" w:eastAsia="宋体" w:cs="宋体"/>
          <w:b/>
          <w:bCs/>
          <w:color w:val="auto"/>
          <w:szCs w:val="21"/>
          <w:highlight w:val="none"/>
          <w:u w:val="single"/>
        </w:rPr>
        <w:t>各种因素引起的材料价格（合同允许调差的材料除外）、机械使用费、管理费、利润</w:t>
      </w:r>
      <w:r>
        <w:rPr>
          <w:rFonts w:hint="eastAsia" w:ascii="宋体" w:hAnsi="宋体" w:cs="宋体"/>
          <w:b/>
          <w:bCs/>
          <w:color w:val="auto"/>
          <w:szCs w:val="21"/>
          <w:highlight w:val="none"/>
          <w:u w:val="single"/>
          <w:lang w:eastAsia="zh-CN"/>
        </w:rPr>
        <w:t>、</w:t>
      </w:r>
      <w:r>
        <w:rPr>
          <w:rFonts w:hint="eastAsia" w:ascii="宋体" w:hAnsi="宋体" w:cs="宋体"/>
          <w:b/>
          <w:bCs/>
          <w:color w:val="auto"/>
          <w:szCs w:val="21"/>
          <w:highlight w:val="none"/>
          <w:u w:val="single"/>
          <w:lang w:val="en-US" w:eastAsia="zh-CN"/>
        </w:rPr>
        <w:t>规费、税金</w:t>
      </w:r>
      <w:r>
        <w:rPr>
          <w:rFonts w:hint="eastAsia" w:ascii="宋体" w:hAnsi="宋体" w:eastAsia="宋体" w:cs="宋体"/>
          <w:b/>
          <w:bCs/>
          <w:color w:val="auto"/>
          <w:szCs w:val="21"/>
          <w:highlight w:val="none"/>
          <w:u w:val="single"/>
        </w:rPr>
        <w:t>等</w:t>
      </w:r>
      <w:r>
        <w:rPr>
          <w:rFonts w:hint="eastAsia" w:ascii="宋体" w:cs="宋体"/>
          <w:b/>
          <w:szCs w:val="21"/>
          <w:highlight w:val="none"/>
          <w:u w:val="single"/>
        </w:rPr>
        <w:t>。</w:t>
      </w:r>
    </w:p>
    <w:p w14:paraId="7781F16A">
      <w:pPr>
        <w:snapToGrid w:val="0"/>
        <w:spacing w:line="440" w:lineRule="exact"/>
        <w:ind w:firstLine="420" w:firstLineChars="200"/>
        <w:jc w:val="left"/>
        <w:rPr>
          <w:rFonts w:hint="eastAsia" w:ascii="宋体" w:eastAsia="宋体" w:cs="宋体"/>
          <w:color w:val="auto"/>
          <w:szCs w:val="21"/>
          <w:u w:val="none"/>
          <w:lang w:eastAsia="zh-CN"/>
        </w:rPr>
      </w:pPr>
      <w:r>
        <w:rPr>
          <w:rFonts w:hint="eastAsia" w:ascii="宋体" w:cs="宋体"/>
          <w:color w:val="auto"/>
          <w:szCs w:val="21"/>
        </w:rPr>
        <w:t>风险费用的计算方法：</w:t>
      </w:r>
      <w:r>
        <w:rPr>
          <w:rFonts w:hint="eastAsia" w:ascii="宋体" w:cs="宋体"/>
          <w:color w:val="auto"/>
          <w:szCs w:val="21"/>
          <w:u w:val="single"/>
        </w:rPr>
        <w:t>不考虑</w:t>
      </w:r>
      <w:r>
        <w:rPr>
          <w:rFonts w:hint="eastAsia" w:ascii="宋体" w:cs="宋体"/>
          <w:color w:val="auto"/>
          <w:szCs w:val="21"/>
          <w:u w:val="none"/>
          <w:lang w:eastAsia="zh-CN"/>
        </w:rPr>
        <w:t>。</w:t>
      </w:r>
    </w:p>
    <w:p w14:paraId="04548219">
      <w:pPr>
        <w:snapToGrid w:val="0"/>
        <w:spacing w:line="440" w:lineRule="exact"/>
        <w:ind w:firstLine="420" w:firstLineChars="200"/>
        <w:jc w:val="left"/>
        <w:rPr>
          <w:rFonts w:hint="eastAsia" w:ascii="宋体" w:hAnsi="宋体" w:cs="宋体"/>
          <w:bCs/>
          <w:color w:val="auto"/>
          <w:szCs w:val="21"/>
          <w:highlight w:val="none"/>
          <w:u w:val="single"/>
        </w:rPr>
      </w:pPr>
      <w:r>
        <w:rPr>
          <w:rFonts w:hint="eastAsia"/>
          <w:color w:val="auto"/>
          <w:highlight w:val="none"/>
        </w:rPr>
        <w:t>风险范围以外合同价格的调整方法：</w:t>
      </w:r>
      <w:r>
        <w:rPr>
          <w:rFonts w:hint="eastAsia" w:ascii="宋体" w:hAnsi="宋体" w:eastAsia="宋体" w:cs="宋体"/>
          <w:b w:val="0"/>
          <w:bCs/>
          <w:color w:val="auto"/>
          <w:sz w:val="21"/>
          <w:szCs w:val="21"/>
          <w:highlight w:val="none"/>
          <w:u w:val="single"/>
          <w:shd w:val="clear" w:color="auto" w:fill="auto"/>
        </w:rPr>
        <w:t>结算总价为</w:t>
      </w:r>
      <w:r>
        <w:rPr>
          <w:rFonts w:hint="eastAsia" w:ascii="宋体" w:hAnsi="宋体" w:cs="宋体"/>
          <w:b w:val="0"/>
          <w:bCs/>
          <w:color w:val="auto"/>
          <w:sz w:val="21"/>
          <w:szCs w:val="21"/>
          <w:highlight w:val="none"/>
          <w:u w:val="single"/>
          <w:shd w:val="clear" w:color="auto" w:fill="auto"/>
          <w:lang w:eastAsia="zh-CN"/>
        </w:rPr>
        <w:t>相应的全费用综合单价</w:t>
      </w:r>
      <w:r>
        <w:rPr>
          <w:rFonts w:hint="eastAsia" w:ascii="宋体" w:hAnsi="宋体" w:eastAsia="宋体" w:cs="宋体"/>
          <w:b w:val="0"/>
          <w:bCs/>
          <w:color w:val="auto"/>
          <w:sz w:val="21"/>
          <w:szCs w:val="21"/>
          <w:highlight w:val="none"/>
          <w:u w:val="single"/>
          <w:shd w:val="clear" w:color="auto" w:fill="auto"/>
        </w:rPr>
        <w:t>乘以相应已完</w:t>
      </w:r>
      <w:r>
        <w:rPr>
          <w:rFonts w:hint="eastAsia" w:ascii="宋体" w:hAnsi="宋体" w:cs="宋体"/>
          <w:b w:val="0"/>
          <w:bCs/>
          <w:color w:val="auto"/>
          <w:sz w:val="21"/>
          <w:szCs w:val="21"/>
          <w:highlight w:val="none"/>
          <w:u w:val="single"/>
          <w:shd w:val="clear" w:color="auto" w:fill="auto"/>
          <w:lang w:eastAsia="zh-CN"/>
        </w:rPr>
        <w:t>成并经验收</w:t>
      </w:r>
      <w:r>
        <w:rPr>
          <w:rFonts w:hint="eastAsia" w:ascii="宋体" w:hAnsi="宋体" w:eastAsia="宋体" w:cs="宋体"/>
          <w:b w:val="0"/>
          <w:bCs/>
          <w:color w:val="auto"/>
          <w:sz w:val="21"/>
          <w:szCs w:val="21"/>
          <w:highlight w:val="none"/>
          <w:u w:val="single"/>
          <w:shd w:val="clear" w:color="auto" w:fill="auto"/>
        </w:rPr>
        <w:t>合格</w:t>
      </w:r>
      <w:r>
        <w:rPr>
          <w:rFonts w:hint="eastAsia" w:ascii="宋体" w:hAnsi="宋体" w:cs="宋体"/>
          <w:b w:val="0"/>
          <w:bCs/>
          <w:color w:val="auto"/>
          <w:sz w:val="21"/>
          <w:szCs w:val="21"/>
          <w:highlight w:val="none"/>
          <w:u w:val="single"/>
          <w:shd w:val="clear" w:color="auto" w:fill="auto"/>
          <w:lang w:eastAsia="zh-CN"/>
        </w:rPr>
        <w:t>的</w:t>
      </w:r>
      <w:r>
        <w:rPr>
          <w:rFonts w:hint="eastAsia" w:ascii="宋体" w:hAnsi="宋体" w:eastAsia="宋体" w:cs="宋体"/>
          <w:b w:val="0"/>
          <w:bCs/>
          <w:color w:val="auto"/>
          <w:sz w:val="21"/>
          <w:szCs w:val="21"/>
          <w:highlight w:val="none"/>
          <w:u w:val="single"/>
          <w:shd w:val="clear" w:color="auto" w:fill="auto"/>
        </w:rPr>
        <w:t>工程量累加之和</w:t>
      </w:r>
      <w:r>
        <w:rPr>
          <w:rFonts w:hint="eastAsia" w:ascii="宋体" w:hAnsi="宋体" w:cs="宋体"/>
          <w:b w:val="0"/>
          <w:bCs/>
          <w:color w:val="auto"/>
          <w:sz w:val="21"/>
          <w:szCs w:val="21"/>
          <w:highlight w:val="none"/>
          <w:u w:val="single"/>
          <w:shd w:val="clear" w:color="auto" w:fill="auto"/>
          <w:lang w:eastAsia="zh-CN"/>
        </w:rPr>
        <w:t>再加上经发包人核准批复的暂列金使用金额</w:t>
      </w:r>
      <w:r>
        <w:rPr>
          <w:rFonts w:hint="eastAsia" w:ascii="宋体" w:hAnsi="宋体" w:cs="宋体"/>
          <w:bCs/>
          <w:color w:val="auto"/>
          <w:szCs w:val="21"/>
          <w:highlight w:val="none"/>
          <w:u w:val="single"/>
        </w:rPr>
        <w:t xml:space="preserve">。 </w:t>
      </w:r>
    </w:p>
    <w:p w14:paraId="0D98921D">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12.2 预付款</w:t>
      </w:r>
    </w:p>
    <w:p w14:paraId="19F1B615">
      <w:pPr>
        <w:snapToGrid w:val="0"/>
        <w:spacing w:line="440" w:lineRule="exact"/>
        <w:ind w:firstLine="420" w:firstLineChars="200"/>
        <w:jc w:val="left"/>
        <w:rPr>
          <w:rFonts w:hint="eastAsia" w:ascii="宋体" w:cs="宋体"/>
          <w:szCs w:val="21"/>
          <w:highlight w:val="none"/>
        </w:rPr>
      </w:pPr>
      <w:r>
        <w:rPr>
          <w:rFonts w:hint="eastAsia" w:ascii="宋体" w:cs="宋体"/>
          <w:szCs w:val="21"/>
          <w:highlight w:val="none"/>
        </w:rPr>
        <w:t>12.2.1 预付款的支付</w:t>
      </w:r>
    </w:p>
    <w:p w14:paraId="6DD4723E">
      <w:pPr>
        <w:snapToGrid w:val="0"/>
        <w:spacing w:line="440" w:lineRule="exact"/>
        <w:ind w:firstLine="420" w:firstLineChars="200"/>
        <w:jc w:val="left"/>
        <w:rPr>
          <w:rFonts w:hint="eastAsia" w:ascii="宋体" w:cs="宋体"/>
          <w:b w:val="0"/>
          <w:bCs w:val="0"/>
          <w:szCs w:val="21"/>
          <w:highlight w:val="none"/>
        </w:rPr>
      </w:pPr>
      <w:r>
        <w:rPr>
          <w:rFonts w:hint="eastAsia" w:ascii="宋体" w:cs="宋体"/>
          <w:b w:val="0"/>
          <w:bCs w:val="0"/>
          <w:szCs w:val="21"/>
          <w:highlight w:val="none"/>
        </w:rPr>
        <w:t>预付款支付比例或金额：</w:t>
      </w:r>
      <w:r>
        <w:rPr>
          <w:rFonts w:hint="eastAsia" w:ascii="宋体" w:cs="宋体"/>
          <w:b w:val="0"/>
          <w:bCs w:val="0"/>
          <w:szCs w:val="21"/>
          <w:highlight w:val="none"/>
          <w:u w:val="single"/>
          <w:lang w:val="en-US" w:eastAsia="zh-CN"/>
        </w:rPr>
        <w:t>详见投标人须知</w:t>
      </w:r>
      <w:r>
        <w:rPr>
          <w:rFonts w:hint="eastAsia" w:ascii="宋体" w:cs="宋体"/>
          <w:b w:val="0"/>
          <w:bCs w:val="0"/>
          <w:szCs w:val="21"/>
          <w:highlight w:val="none"/>
        </w:rPr>
        <w:t>。</w:t>
      </w:r>
    </w:p>
    <w:p w14:paraId="1F98206A">
      <w:pPr>
        <w:snapToGrid w:val="0"/>
        <w:spacing w:line="440" w:lineRule="exact"/>
        <w:ind w:firstLine="420" w:firstLineChars="200"/>
        <w:jc w:val="left"/>
        <w:rPr>
          <w:rFonts w:hint="eastAsia" w:ascii="宋体" w:cs="宋体"/>
          <w:b w:val="0"/>
          <w:bCs w:val="0"/>
          <w:szCs w:val="21"/>
          <w:highlight w:val="none"/>
        </w:rPr>
      </w:pPr>
      <w:r>
        <w:rPr>
          <w:rFonts w:hint="eastAsia" w:ascii="宋体" w:cs="宋体"/>
          <w:b w:val="0"/>
          <w:bCs w:val="0"/>
          <w:szCs w:val="21"/>
          <w:highlight w:val="none"/>
        </w:rPr>
        <w:t>预付款支付期限：</w:t>
      </w:r>
      <w:r>
        <w:rPr>
          <w:rFonts w:hint="eastAsia" w:ascii="宋体" w:cs="宋体"/>
          <w:b w:val="0"/>
          <w:bCs w:val="0"/>
          <w:szCs w:val="21"/>
          <w:highlight w:val="none"/>
          <w:u w:val="single"/>
        </w:rPr>
        <w:t xml:space="preserve"> </w:t>
      </w:r>
      <w:r>
        <w:rPr>
          <w:rFonts w:hint="eastAsia" w:ascii="宋体" w:hAnsi="宋体" w:cs="宋体"/>
          <w:b w:val="0"/>
          <w:bCs w:val="0"/>
          <w:color w:val="000000"/>
          <w:highlight w:val="none"/>
          <w:u w:val="single"/>
          <w:lang w:val="en-US" w:eastAsia="zh-CN"/>
        </w:rPr>
        <w:t>详见投标人须知</w:t>
      </w:r>
      <w:r>
        <w:rPr>
          <w:rFonts w:hint="eastAsia" w:ascii="宋体" w:cs="宋体"/>
          <w:b w:val="0"/>
          <w:bCs w:val="0"/>
          <w:szCs w:val="21"/>
          <w:highlight w:val="none"/>
          <w:u w:val="single"/>
        </w:rPr>
        <w:t xml:space="preserve"> </w:t>
      </w:r>
      <w:r>
        <w:rPr>
          <w:rFonts w:hint="eastAsia" w:ascii="宋体" w:cs="宋体"/>
          <w:b w:val="0"/>
          <w:bCs w:val="0"/>
          <w:szCs w:val="21"/>
          <w:highlight w:val="none"/>
        </w:rPr>
        <w:t>。</w:t>
      </w:r>
    </w:p>
    <w:p w14:paraId="654B2BD8">
      <w:pPr>
        <w:snapToGrid w:val="0"/>
        <w:spacing w:line="440" w:lineRule="exact"/>
        <w:ind w:firstLine="420" w:firstLineChars="200"/>
        <w:jc w:val="left"/>
        <w:rPr>
          <w:rFonts w:hint="eastAsia" w:ascii="宋体" w:cs="宋体"/>
          <w:b w:val="0"/>
          <w:bCs w:val="0"/>
          <w:szCs w:val="21"/>
          <w:highlight w:val="none"/>
        </w:rPr>
      </w:pPr>
      <w:r>
        <w:rPr>
          <w:rFonts w:hint="eastAsia" w:ascii="宋体" w:cs="宋体"/>
          <w:b w:val="0"/>
          <w:bCs w:val="0"/>
          <w:szCs w:val="21"/>
          <w:highlight w:val="none"/>
        </w:rPr>
        <w:t>预付款扣回的方式：</w:t>
      </w:r>
      <w:r>
        <w:rPr>
          <w:rFonts w:hint="eastAsia" w:ascii="宋体" w:hAnsi="宋体" w:cs="宋体"/>
          <w:b w:val="0"/>
          <w:bCs w:val="0"/>
          <w:color w:val="auto"/>
          <w:highlight w:val="none"/>
          <w:u w:val="single"/>
          <w:lang w:val="en-US" w:eastAsia="zh-CN"/>
        </w:rPr>
        <w:t>详见投标人须知</w:t>
      </w:r>
      <w:r>
        <w:rPr>
          <w:rFonts w:hint="eastAsia" w:ascii="宋体" w:cs="宋体"/>
          <w:b w:val="0"/>
          <w:bCs w:val="0"/>
          <w:szCs w:val="21"/>
          <w:highlight w:val="none"/>
          <w:u w:val="single"/>
        </w:rPr>
        <w:t xml:space="preserve"> </w:t>
      </w:r>
      <w:r>
        <w:rPr>
          <w:rFonts w:hint="eastAsia" w:ascii="宋体" w:cs="宋体"/>
          <w:b w:val="0"/>
          <w:bCs w:val="0"/>
          <w:szCs w:val="21"/>
          <w:highlight w:val="none"/>
        </w:rPr>
        <w:t>。</w:t>
      </w:r>
    </w:p>
    <w:p w14:paraId="5D081596">
      <w:pPr>
        <w:snapToGrid w:val="0"/>
        <w:spacing w:line="440" w:lineRule="exact"/>
        <w:ind w:firstLine="420" w:firstLineChars="200"/>
        <w:jc w:val="left"/>
        <w:rPr>
          <w:rFonts w:hint="eastAsia" w:ascii="宋体" w:cs="宋体"/>
          <w:szCs w:val="21"/>
          <w:highlight w:val="none"/>
        </w:rPr>
      </w:pPr>
      <w:r>
        <w:rPr>
          <w:rFonts w:hint="eastAsia" w:ascii="宋体" w:cs="宋体"/>
          <w:szCs w:val="21"/>
          <w:highlight w:val="none"/>
        </w:rPr>
        <w:t>12.2.2 预付款担保</w:t>
      </w:r>
    </w:p>
    <w:p w14:paraId="0A3512B6">
      <w:pPr>
        <w:snapToGrid w:val="0"/>
        <w:spacing w:line="440" w:lineRule="exact"/>
        <w:ind w:firstLine="420" w:firstLineChars="200"/>
        <w:jc w:val="left"/>
        <w:rPr>
          <w:rFonts w:hint="eastAsia" w:ascii="宋体" w:cs="宋体"/>
          <w:szCs w:val="21"/>
          <w:highlight w:val="none"/>
        </w:rPr>
      </w:pPr>
      <w:r>
        <w:rPr>
          <w:rFonts w:hint="eastAsia" w:ascii="宋体" w:cs="宋体"/>
          <w:szCs w:val="21"/>
          <w:highlight w:val="none"/>
        </w:rPr>
        <w:t>承包人提交预付款担保的期限：</w:t>
      </w:r>
      <w:r>
        <w:rPr>
          <w:rFonts w:hint="eastAsia" w:ascii="宋体" w:cs="宋体"/>
          <w:szCs w:val="21"/>
          <w:highlight w:val="none"/>
          <w:u w:val="single"/>
          <w:lang w:val="en-US" w:eastAsia="zh-CN"/>
        </w:rPr>
        <w:t>/</w:t>
      </w:r>
      <w:r>
        <w:rPr>
          <w:rFonts w:hint="eastAsia" w:ascii="宋体" w:cs="宋体"/>
          <w:szCs w:val="21"/>
          <w:highlight w:val="none"/>
        </w:rPr>
        <w:t>。</w:t>
      </w:r>
    </w:p>
    <w:p w14:paraId="527EB018">
      <w:pPr>
        <w:snapToGrid w:val="0"/>
        <w:spacing w:line="440" w:lineRule="exact"/>
        <w:ind w:firstLine="420" w:firstLineChars="200"/>
        <w:jc w:val="left"/>
        <w:rPr>
          <w:rFonts w:hint="eastAsia" w:ascii="宋体" w:cs="宋体"/>
          <w:szCs w:val="21"/>
          <w:highlight w:val="none"/>
        </w:rPr>
      </w:pPr>
      <w:r>
        <w:rPr>
          <w:rFonts w:hint="eastAsia" w:ascii="宋体" w:cs="宋体"/>
          <w:szCs w:val="21"/>
          <w:highlight w:val="none"/>
        </w:rPr>
        <w:t>预付款担保的形式为：</w:t>
      </w:r>
      <w:r>
        <w:rPr>
          <w:rFonts w:hint="eastAsia" w:ascii="宋体" w:cs="宋体"/>
          <w:szCs w:val="21"/>
          <w:highlight w:val="none"/>
          <w:u w:val="single"/>
          <w:lang w:val="en-US" w:eastAsia="zh-CN"/>
        </w:rPr>
        <w:t>/</w:t>
      </w:r>
      <w:r>
        <w:rPr>
          <w:rFonts w:hint="eastAsia" w:ascii="宋体" w:cs="宋体"/>
          <w:szCs w:val="21"/>
          <w:highlight w:val="none"/>
        </w:rPr>
        <w:t>。</w:t>
      </w:r>
    </w:p>
    <w:p w14:paraId="6B8B988D">
      <w:pPr>
        <w:snapToGrid w:val="0"/>
        <w:spacing w:line="440" w:lineRule="exact"/>
        <w:ind w:firstLine="420" w:firstLineChars="200"/>
        <w:rPr>
          <w:rFonts w:hint="eastAsia" w:ascii="宋体" w:cs="宋体"/>
          <w:szCs w:val="21"/>
        </w:rPr>
      </w:pPr>
      <w:r>
        <w:rPr>
          <w:rFonts w:hint="eastAsia" w:ascii="宋体" w:cs="宋体"/>
          <w:szCs w:val="21"/>
        </w:rPr>
        <w:t>12.3 计量</w:t>
      </w:r>
    </w:p>
    <w:p w14:paraId="07AC1EDC">
      <w:pPr>
        <w:snapToGrid w:val="0"/>
        <w:spacing w:line="440" w:lineRule="exact"/>
        <w:ind w:firstLine="420" w:firstLineChars="200"/>
        <w:jc w:val="left"/>
        <w:rPr>
          <w:rFonts w:hint="eastAsia" w:ascii="宋体" w:cs="宋体"/>
          <w:szCs w:val="21"/>
        </w:rPr>
      </w:pPr>
      <w:r>
        <w:rPr>
          <w:rFonts w:hint="eastAsia" w:ascii="宋体" w:cs="宋体"/>
          <w:szCs w:val="21"/>
        </w:rPr>
        <w:t>12.3.1 计量原则</w:t>
      </w:r>
    </w:p>
    <w:p w14:paraId="4044A6EA">
      <w:pPr>
        <w:spacing w:line="440" w:lineRule="exact"/>
        <w:ind w:firstLine="420" w:firstLineChars="200"/>
        <w:rPr>
          <w:rFonts w:hint="eastAsia" w:ascii="宋体" w:cs="宋体"/>
          <w:szCs w:val="21"/>
        </w:rPr>
      </w:pPr>
      <w:r>
        <w:rPr>
          <w:rFonts w:hint="eastAsia" w:ascii="宋体" w:cs="宋体"/>
          <w:szCs w:val="21"/>
        </w:rPr>
        <w:t>工程量计算规则：</w:t>
      </w:r>
      <w:r>
        <w:rPr>
          <w:rFonts w:hint="eastAsia" w:ascii="宋体" w:hAnsi="宋体" w:cs="宋体"/>
          <w:color w:val="000000"/>
          <w:szCs w:val="21"/>
          <w:u w:val="single"/>
        </w:rPr>
        <w:t>按招标工程量清单及最高投标限价所采用的工程量清单计价规范及配套文件等</w:t>
      </w:r>
      <w:r>
        <w:rPr>
          <w:rFonts w:hint="eastAsia" w:ascii="宋体" w:cs="宋体"/>
          <w:szCs w:val="21"/>
          <w:u w:val="single"/>
        </w:rPr>
        <w:t>。</w:t>
      </w:r>
    </w:p>
    <w:p w14:paraId="462C41C7">
      <w:pPr>
        <w:spacing w:line="440" w:lineRule="exact"/>
        <w:ind w:firstLine="420" w:firstLineChars="200"/>
        <w:rPr>
          <w:rFonts w:hint="eastAsia" w:ascii="宋体" w:cs="宋体"/>
          <w:szCs w:val="21"/>
        </w:rPr>
      </w:pPr>
      <w:r>
        <w:rPr>
          <w:rFonts w:hint="eastAsia" w:ascii="宋体" w:cs="宋体"/>
          <w:szCs w:val="21"/>
        </w:rPr>
        <w:t>12.3.2 计量周期</w:t>
      </w:r>
    </w:p>
    <w:p w14:paraId="3CE77272">
      <w:pPr>
        <w:spacing w:line="440" w:lineRule="exact"/>
        <w:ind w:firstLine="420" w:firstLineChars="200"/>
        <w:rPr>
          <w:rFonts w:hint="eastAsia" w:ascii="宋体" w:cs="宋体"/>
          <w:szCs w:val="21"/>
        </w:rPr>
      </w:pPr>
      <w:r>
        <w:rPr>
          <w:rFonts w:hint="eastAsia" w:ascii="宋体" w:cs="宋体"/>
          <w:szCs w:val="21"/>
        </w:rPr>
        <w:t>关于计量周期的约定：</w:t>
      </w:r>
      <w:r>
        <w:rPr>
          <w:rFonts w:hint="eastAsia" w:ascii="宋体" w:cs="宋体"/>
          <w:szCs w:val="21"/>
          <w:u w:val="single"/>
        </w:rPr>
        <w:t xml:space="preserve"> 按月计量  </w:t>
      </w:r>
      <w:r>
        <w:rPr>
          <w:rFonts w:hint="eastAsia" w:ascii="宋体" w:cs="宋体"/>
          <w:szCs w:val="21"/>
        </w:rPr>
        <w:t>。</w:t>
      </w:r>
    </w:p>
    <w:p w14:paraId="0F3A8815">
      <w:pPr>
        <w:snapToGrid w:val="0"/>
        <w:spacing w:line="440" w:lineRule="exact"/>
        <w:ind w:firstLine="420" w:firstLineChars="200"/>
        <w:jc w:val="left"/>
        <w:rPr>
          <w:rFonts w:hint="eastAsia" w:ascii="宋体" w:cs="宋体"/>
          <w:szCs w:val="21"/>
        </w:rPr>
      </w:pPr>
      <w:r>
        <w:rPr>
          <w:rFonts w:hint="eastAsia" w:ascii="宋体" w:cs="宋体"/>
          <w:szCs w:val="21"/>
        </w:rPr>
        <w:t>12.3.3 单价合同的计量</w:t>
      </w:r>
    </w:p>
    <w:p w14:paraId="315641B2">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szCs w:val="21"/>
          <w:highlight w:val="none"/>
        </w:rPr>
        <w:t>关于单价合同计量的约定：</w:t>
      </w:r>
      <w:r>
        <w:rPr>
          <w:rFonts w:hint="eastAsia" w:ascii="宋体" w:cs="宋体"/>
          <w:szCs w:val="21"/>
          <w:highlight w:val="none"/>
          <w:u w:val="single"/>
        </w:rPr>
        <w:t>（1）承包人应于每月25日向监理人报送上月20日至当月19日已完成的工程量报告，并附具进度付款申请单、已完成工程量报表和有关资料。（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3）监理人未在收到承包人提交的工程量</w:t>
      </w:r>
      <w:r>
        <w:rPr>
          <w:rFonts w:hint="eastAsia" w:ascii="宋体" w:cs="宋体"/>
          <w:color w:val="auto"/>
          <w:szCs w:val="21"/>
          <w:highlight w:val="none"/>
          <w:u w:val="single"/>
        </w:rPr>
        <w:t>报表后的7天内完成审核的，承包人</w:t>
      </w:r>
      <w:r>
        <w:rPr>
          <w:rFonts w:hint="eastAsia" w:ascii="宋体" w:cs="宋体"/>
          <w:color w:val="auto"/>
          <w:szCs w:val="21"/>
          <w:highlight w:val="none"/>
          <w:u w:val="single"/>
          <w:lang w:eastAsia="zh-CN"/>
        </w:rPr>
        <w:t>应通知发包人审核，发包人既不审核也不督促监理人复核，超过承包人报送时间</w:t>
      </w:r>
      <w:r>
        <w:rPr>
          <w:rFonts w:hint="eastAsia" w:ascii="宋体" w:cs="宋体"/>
          <w:color w:val="auto"/>
          <w:szCs w:val="21"/>
          <w:highlight w:val="none"/>
          <w:u w:val="single"/>
          <w:lang w:val="en-US" w:eastAsia="zh-CN"/>
        </w:rPr>
        <w:t>14日的，以</w:t>
      </w:r>
      <w:r>
        <w:rPr>
          <w:rFonts w:hint="eastAsia" w:ascii="宋体" w:cs="宋体"/>
          <w:color w:val="auto"/>
          <w:szCs w:val="21"/>
          <w:highlight w:val="none"/>
          <w:u w:val="single"/>
        </w:rPr>
        <w:t>承包人</w:t>
      </w:r>
      <w:r>
        <w:rPr>
          <w:rFonts w:hint="eastAsia" w:ascii="宋体" w:cs="宋体"/>
          <w:color w:val="auto"/>
          <w:szCs w:val="21"/>
          <w:highlight w:val="none"/>
          <w:u w:val="single"/>
          <w:lang w:eastAsia="zh-CN"/>
        </w:rPr>
        <w:t>报送</w:t>
      </w:r>
      <w:r>
        <w:rPr>
          <w:rFonts w:hint="eastAsia" w:ascii="宋体" w:cs="宋体"/>
          <w:color w:val="auto"/>
          <w:szCs w:val="21"/>
          <w:highlight w:val="none"/>
          <w:u w:val="single"/>
        </w:rPr>
        <w:t>的工程量，据此计算工程价款。</w:t>
      </w:r>
    </w:p>
    <w:p w14:paraId="34C8A998">
      <w:pPr>
        <w:snapToGrid w:val="0"/>
        <w:spacing w:line="440" w:lineRule="exact"/>
        <w:ind w:firstLine="420" w:firstLineChars="200"/>
        <w:jc w:val="left"/>
        <w:rPr>
          <w:rFonts w:hint="eastAsia" w:ascii="宋体" w:cs="宋体"/>
          <w:color w:val="auto"/>
          <w:szCs w:val="21"/>
        </w:rPr>
      </w:pPr>
      <w:r>
        <w:rPr>
          <w:rFonts w:hint="eastAsia" w:ascii="宋体" w:cs="宋体"/>
          <w:color w:val="auto"/>
          <w:szCs w:val="21"/>
        </w:rPr>
        <w:t>12.3.4 总价合同的计量</w:t>
      </w:r>
    </w:p>
    <w:p w14:paraId="72E9ACAB">
      <w:pPr>
        <w:snapToGrid w:val="0"/>
        <w:spacing w:line="440" w:lineRule="exact"/>
        <w:ind w:firstLine="420" w:firstLineChars="200"/>
        <w:jc w:val="left"/>
        <w:rPr>
          <w:rFonts w:hint="eastAsia" w:ascii="宋体" w:cs="宋体"/>
          <w:szCs w:val="21"/>
        </w:rPr>
      </w:pPr>
      <w:r>
        <w:rPr>
          <w:rFonts w:hint="eastAsia" w:ascii="宋体" w:cs="宋体"/>
          <w:szCs w:val="21"/>
        </w:rPr>
        <w:t>关于总价合同计量的约定：</w:t>
      </w:r>
      <w:r>
        <w:rPr>
          <w:rFonts w:hint="eastAsia" w:ascii="宋体" w:cs="宋体"/>
          <w:szCs w:val="21"/>
          <w:u w:val="single"/>
        </w:rPr>
        <w:t xml:space="preserve"> 不采用 </w:t>
      </w:r>
      <w:r>
        <w:rPr>
          <w:rFonts w:hint="eastAsia" w:ascii="宋体" w:cs="宋体"/>
          <w:szCs w:val="21"/>
        </w:rPr>
        <w:t>。</w:t>
      </w:r>
    </w:p>
    <w:p w14:paraId="1969EA1D">
      <w:pPr>
        <w:snapToGrid w:val="0"/>
        <w:spacing w:line="440" w:lineRule="exact"/>
        <w:ind w:firstLine="420" w:firstLineChars="200"/>
        <w:jc w:val="left"/>
        <w:rPr>
          <w:rFonts w:hint="eastAsia" w:ascii="宋体" w:cs="宋体"/>
          <w:szCs w:val="21"/>
        </w:rPr>
      </w:pPr>
      <w:r>
        <w:rPr>
          <w:rFonts w:hint="eastAsia" w:ascii="宋体" w:cs="宋体"/>
          <w:szCs w:val="21"/>
        </w:rPr>
        <w:t>12.3.5总价合同采用支付分解表计量支付的，是否适用第</w:t>
      </w:r>
      <w:r>
        <w:rPr>
          <w:rFonts w:hint="eastAsia" w:ascii="宋体" w:cs="宋体"/>
          <w:kern w:val="0"/>
          <w:szCs w:val="21"/>
        </w:rPr>
        <w:t xml:space="preserve">12.3.4 </w:t>
      </w:r>
      <w:r>
        <w:rPr>
          <w:rFonts w:hint="eastAsia" w:ascii="宋体" w:cs="宋体"/>
          <w:szCs w:val="21"/>
        </w:rPr>
        <w:t>项</w:t>
      </w:r>
      <w:r>
        <w:rPr>
          <w:rFonts w:hint="eastAsia" w:ascii="宋体" w:cs="宋体"/>
          <w:kern w:val="0"/>
          <w:szCs w:val="21"/>
        </w:rPr>
        <w:t>〔总价合同的计量〕</w:t>
      </w:r>
      <w:r>
        <w:rPr>
          <w:rFonts w:hint="eastAsia" w:ascii="宋体" w:cs="宋体"/>
          <w:szCs w:val="21"/>
        </w:rPr>
        <w:t>约定进行计量：</w:t>
      </w:r>
      <w:r>
        <w:rPr>
          <w:rFonts w:hint="eastAsia" w:ascii="宋体" w:cs="宋体"/>
          <w:szCs w:val="21"/>
          <w:u w:val="single"/>
        </w:rPr>
        <w:t xml:space="preserve">   不采用   </w:t>
      </w:r>
      <w:r>
        <w:rPr>
          <w:rFonts w:hint="eastAsia" w:ascii="宋体" w:cs="宋体"/>
          <w:szCs w:val="21"/>
        </w:rPr>
        <w:t>。</w:t>
      </w:r>
    </w:p>
    <w:p w14:paraId="3AB7FCAC">
      <w:pPr>
        <w:snapToGrid w:val="0"/>
        <w:spacing w:line="440" w:lineRule="exact"/>
        <w:ind w:firstLine="420" w:firstLineChars="200"/>
        <w:jc w:val="left"/>
        <w:rPr>
          <w:rFonts w:hint="eastAsia" w:ascii="宋体" w:cs="宋体"/>
          <w:szCs w:val="21"/>
        </w:rPr>
      </w:pPr>
      <w:r>
        <w:rPr>
          <w:rFonts w:hint="eastAsia" w:ascii="宋体" w:cs="宋体"/>
          <w:szCs w:val="21"/>
        </w:rPr>
        <w:t>12.3.6 其他价格形式合同的计量</w:t>
      </w:r>
    </w:p>
    <w:p w14:paraId="08ED57F0">
      <w:pPr>
        <w:snapToGrid w:val="0"/>
        <w:spacing w:line="440" w:lineRule="exact"/>
        <w:ind w:firstLine="420" w:firstLineChars="200"/>
        <w:jc w:val="left"/>
        <w:rPr>
          <w:rFonts w:hint="eastAsia" w:ascii="宋体" w:cs="宋体"/>
          <w:szCs w:val="21"/>
        </w:rPr>
      </w:pPr>
      <w:r>
        <w:rPr>
          <w:rFonts w:hint="eastAsia" w:ascii="宋体" w:cs="宋体"/>
          <w:szCs w:val="21"/>
        </w:rPr>
        <w:t>其他价格形式的计量方式和程序：</w:t>
      </w:r>
      <w:r>
        <w:rPr>
          <w:rFonts w:hint="eastAsia" w:ascii="宋体" w:cs="宋体"/>
          <w:szCs w:val="21"/>
          <w:u w:val="single"/>
        </w:rPr>
        <w:t xml:space="preserve">   不采用   </w:t>
      </w:r>
      <w:r>
        <w:rPr>
          <w:rFonts w:hint="eastAsia" w:ascii="宋体" w:cs="宋体"/>
          <w:szCs w:val="21"/>
        </w:rPr>
        <w:t>。</w:t>
      </w:r>
    </w:p>
    <w:p w14:paraId="3ACD67C3">
      <w:pPr>
        <w:snapToGrid w:val="0"/>
        <w:spacing w:line="440" w:lineRule="exact"/>
        <w:ind w:firstLine="420" w:firstLineChars="200"/>
        <w:rPr>
          <w:rFonts w:hint="eastAsia" w:ascii="宋体" w:cs="宋体"/>
          <w:szCs w:val="21"/>
        </w:rPr>
      </w:pPr>
      <w:r>
        <w:rPr>
          <w:rFonts w:hint="eastAsia" w:ascii="宋体" w:cs="宋体"/>
          <w:szCs w:val="21"/>
        </w:rPr>
        <w:t>12.4 工程进度款支付</w:t>
      </w:r>
    </w:p>
    <w:p w14:paraId="0FFCEC2D">
      <w:pPr>
        <w:snapToGrid w:val="0"/>
        <w:spacing w:line="440" w:lineRule="exact"/>
        <w:ind w:firstLine="420" w:firstLineChars="200"/>
        <w:jc w:val="left"/>
        <w:rPr>
          <w:rFonts w:hint="eastAsia" w:ascii="宋体" w:cs="宋体"/>
          <w:szCs w:val="21"/>
        </w:rPr>
      </w:pPr>
      <w:r>
        <w:rPr>
          <w:rFonts w:hint="eastAsia" w:ascii="宋体" w:cs="宋体"/>
          <w:szCs w:val="21"/>
        </w:rPr>
        <w:t>12.4.1 付款周期</w:t>
      </w:r>
    </w:p>
    <w:p w14:paraId="00DDD8B7">
      <w:pPr>
        <w:snapToGrid w:val="0"/>
        <w:spacing w:line="440" w:lineRule="exact"/>
        <w:ind w:firstLine="420" w:firstLineChars="200"/>
        <w:jc w:val="left"/>
        <w:rPr>
          <w:rFonts w:hint="eastAsia" w:ascii="宋体" w:cs="宋体"/>
          <w:szCs w:val="21"/>
          <w:highlight w:val="yellow"/>
        </w:rPr>
      </w:pPr>
      <w:r>
        <w:rPr>
          <w:rFonts w:hint="eastAsia" w:ascii="宋体" w:cs="宋体"/>
          <w:szCs w:val="21"/>
          <w:highlight w:val="none"/>
        </w:rPr>
        <w:t>关于付款周期的约</w:t>
      </w:r>
      <w:r>
        <w:rPr>
          <w:rFonts w:hint="eastAsia" w:ascii="宋体" w:cs="宋体"/>
          <w:color w:val="auto"/>
          <w:szCs w:val="21"/>
          <w:highlight w:val="none"/>
        </w:rPr>
        <w:t>定：</w:t>
      </w:r>
      <w:r>
        <w:rPr>
          <w:rFonts w:hint="eastAsia" w:ascii="宋体" w:hAnsi="宋体" w:eastAsia="宋体" w:cs="宋体"/>
          <w:color w:val="auto"/>
          <w:szCs w:val="21"/>
          <w:highlight w:val="none"/>
          <w:lang w:val="en-US" w:eastAsia="zh-CN"/>
        </w:rPr>
        <w:t>在具备施工条件的前提下，招标人在合同签订后一个月内或不迟于约定的开工日期前7天内预付工程款为</w:t>
      </w:r>
      <w:r>
        <w:rPr>
          <w:rFonts w:hint="eastAsia" w:ascii="宋体" w:hAnsi="宋体" w:cs="宋体"/>
          <w:color w:val="auto"/>
          <w:szCs w:val="21"/>
          <w:highlight w:val="none"/>
          <w:lang w:val="en-US" w:eastAsia="zh-CN"/>
        </w:rPr>
        <w:t>签约</w:t>
      </w:r>
      <w:r>
        <w:rPr>
          <w:rFonts w:hint="eastAsia" w:ascii="宋体" w:hAnsi="宋体" w:eastAsia="宋体" w:cs="宋体"/>
          <w:color w:val="auto"/>
          <w:szCs w:val="21"/>
          <w:highlight w:val="none"/>
          <w:lang w:val="en-US" w:eastAsia="zh-CN"/>
        </w:rPr>
        <w:t>合同总价的30%（预付款支付前，中标人须提供同等金额的见索即付的银行保函）；单项项目完成全容量发电并网验收付至对应单项项目签约合同价的80%（同期扣除预付工程款）；单项项目竣工验收合格后，经工程结算审核完成付至对应单项项目工程审计结算价款的</w:t>
      </w:r>
      <w:r>
        <w:rPr>
          <w:rFonts w:hint="default" w:ascii="宋体" w:hAnsi="宋体" w:eastAsia="宋体" w:cs="宋体"/>
          <w:color w:val="auto"/>
          <w:szCs w:val="21"/>
          <w:highlight w:val="none"/>
          <w:lang w:val="en-US" w:eastAsia="zh-CN"/>
        </w:rPr>
        <w:t>98%</w:t>
      </w:r>
      <w:r>
        <w:rPr>
          <w:rFonts w:hint="eastAsia" w:ascii="宋体" w:hAnsi="宋体" w:eastAsia="宋体" w:cs="宋体"/>
          <w:color w:val="auto"/>
          <w:szCs w:val="21"/>
          <w:highlight w:val="none"/>
          <w:lang w:val="en-US" w:eastAsia="zh-CN"/>
        </w:rPr>
        <w:t>，剩余</w:t>
      </w:r>
      <w:r>
        <w:rPr>
          <w:rFonts w:hint="default"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en-US" w:eastAsia="zh-CN"/>
        </w:rPr>
        <w:t xml:space="preserve">作为质保金，工程缺陷责任期 </w:t>
      </w:r>
      <w:r>
        <w:rPr>
          <w:rFonts w:hint="default"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en-US" w:eastAsia="zh-CN"/>
        </w:rPr>
        <w:t>自竣工验收合格之日起满2年</w:t>
      </w:r>
      <w:r>
        <w:rPr>
          <w:rFonts w:hint="default"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en-US" w:eastAsia="zh-CN"/>
        </w:rPr>
        <w:t>满后付清余款。质量保证金支持银行保函，采用银行保函的不再从工程进度款中扣留质量保证金，保函有效期须与工程缺陷责任期截止时间保持一致。</w:t>
      </w:r>
    </w:p>
    <w:p w14:paraId="73EBFE99">
      <w:pPr>
        <w:keepNext w:val="0"/>
        <w:keepLines w:val="0"/>
        <w:pageBreakBefore w:val="0"/>
        <w:widowControl/>
        <w:suppressLineNumbers w:val="0"/>
        <w:kinsoku/>
        <w:wordWrap/>
        <w:overflowPunct/>
        <w:topLinePunct w:val="0"/>
        <w:autoSpaceDE/>
        <w:autoSpaceDN/>
        <w:bidi w:val="0"/>
        <w:adjustRightInd/>
        <w:snapToGrid/>
        <w:spacing w:line="500" w:lineRule="exact"/>
        <w:ind w:firstLine="420" w:firstLineChars="200"/>
        <w:jc w:val="left"/>
        <w:textAlignment w:val="auto"/>
        <w:rPr>
          <w:rFonts w:hint="eastAsia" w:ascii="宋体" w:cs="宋体"/>
          <w:szCs w:val="21"/>
          <w:highlight w:val="none"/>
        </w:rPr>
      </w:pPr>
      <w:r>
        <w:rPr>
          <w:rFonts w:hint="eastAsia" w:ascii="宋体" w:hAnsi="宋体" w:cs="宋体"/>
          <w:color w:val="000000"/>
          <w:highlight w:val="none"/>
        </w:rPr>
        <w:t>关于付款周期的其他约定：</w:t>
      </w:r>
      <w:r>
        <w:rPr>
          <w:rFonts w:hint="eastAsia" w:ascii="宋体" w:hAnsi="宋体" w:cs="宋体"/>
          <w:color w:val="auto"/>
          <w:sz w:val="21"/>
          <w:szCs w:val="21"/>
          <w:highlight w:val="none"/>
          <w:lang w:val="en-US" w:eastAsia="zh-CN"/>
        </w:rPr>
        <w:t>每次付款承包人需提供出具的增值税税率为9%的增值税专用发票；竣工结算审核后，承包人开具审定金额剩余部分的全额增值税专用发票</w:t>
      </w:r>
      <w:r>
        <w:rPr>
          <w:rFonts w:hint="eastAsia" w:ascii="宋体" w:hAnsi="宋体" w:cs="宋体"/>
          <w:color w:val="000000"/>
          <w:highlight w:val="none"/>
        </w:rPr>
        <w:t>。</w:t>
      </w:r>
    </w:p>
    <w:p w14:paraId="0454091C">
      <w:pPr>
        <w:snapToGrid w:val="0"/>
        <w:spacing w:line="440" w:lineRule="exact"/>
        <w:ind w:firstLine="420" w:firstLineChars="200"/>
        <w:jc w:val="left"/>
        <w:rPr>
          <w:rFonts w:hint="eastAsia" w:ascii="宋体" w:cs="宋体"/>
          <w:szCs w:val="21"/>
        </w:rPr>
      </w:pPr>
      <w:r>
        <w:rPr>
          <w:rFonts w:hint="eastAsia" w:ascii="宋体" w:cs="宋体"/>
          <w:szCs w:val="21"/>
        </w:rPr>
        <w:t>12.4.2 进度付款申请单的编制</w:t>
      </w:r>
    </w:p>
    <w:p w14:paraId="1A2C3AE0">
      <w:pPr>
        <w:snapToGrid w:val="0"/>
        <w:spacing w:line="440" w:lineRule="exact"/>
        <w:ind w:firstLine="420" w:firstLineChars="200"/>
        <w:jc w:val="left"/>
        <w:rPr>
          <w:rFonts w:hint="eastAsia" w:ascii="宋体" w:cs="宋体"/>
          <w:szCs w:val="21"/>
          <w:u w:val="single"/>
        </w:rPr>
      </w:pPr>
      <w:r>
        <w:rPr>
          <w:rFonts w:hint="eastAsia" w:ascii="宋体" w:cs="宋体"/>
          <w:szCs w:val="21"/>
        </w:rPr>
        <w:t>关于进度付款申请单编制的约定：</w:t>
      </w:r>
      <w:r>
        <w:rPr>
          <w:rFonts w:hint="eastAsia" w:ascii="宋体" w:cs="宋体"/>
          <w:szCs w:val="21"/>
          <w:u w:val="single"/>
        </w:rPr>
        <w:t>执行发包人统一内容格式。</w:t>
      </w:r>
    </w:p>
    <w:p w14:paraId="67596A3B">
      <w:pPr>
        <w:snapToGrid w:val="0"/>
        <w:spacing w:line="440" w:lineRule="exact"/>
        <w:ind w:firstLine="420" w:firstLineChars="200"/>
        <w:jc w:val="left"/>
        <w:rPr>
          <w:rFonts w:hint="eastAsia" w:ascii="宋体" w:cs="宋体"/>
          <w:szCs w:val="21"/>
        </w:rPr>
      </w:pPr>
      <w:r>
        <w:rPr>
          <w:rFonts w:hint="eastAsia" w:ascii="宋体" w:cs="宋体"/>
          <w:szCs w:val="21"/>
        </w:rPr>
        <w:t>12.4.3 进度付款申请单的提交</w:t>
      </w:r>
    </w:p>
    <w:p w14:paraId="31BB1BD4">
      <w:pPr>
        <w:snapToGrid w:val="0"/>
        <w:spacing w:line="440" w:lineRule="exact"/>
        <w:ind w:firstLine="420" w:firstLineChars="200"/>
        <w:jc w:val="left"/>
        <w:rPr>
          <w:rFonts w:hint="eastAsia" w:ascii="宋体" w:cs="宋体"/>
          <w:szCs w:val="21"/>
        </w:rPr>
      </w:pPr>
      <w:r>
        <w:rPr>
          <w:rFonts w:hint="eastAsia" w:ascii="宋体" w:cs="宋体"/>
          <w:szCs w:val="21"/>
        </w:rPr>
        <w:t>（1）单价合同进度付款申请单提交的约定：</w:t>
      </w:r>
      <w:r>
        <w:rPr>
          <w:rFonts w:hint="eastAsia" w:ascii="宋体" w:cs="宋体"/>
          <w:szCs w:val="21"/>
          <w:u w:val="single"/>
        </w:rPr>
        <w:t xml:space="preserve"> </w:t>
      </w:r>
      <w:r>
        <w:rPr>
          <w:rFonts w:hint="eastAsia" w:ascii="宋体" w:hAnsi="宋体" w:eastAsia="宋体" w:cs="宋体"/>
          <w:color w:val="auto"/>
          <w:szCs w:val="21"/>
          <w:highlight w:val="none"/>
          <w:u w:val="single"/>
        </w:rPr>
        <w:t>按施工进度付款，承包人</w:t>
      </w:r>
      <w:r>
        <w:rPr>
          <w:rFonts w:hint="eastAsia" w:ascii="宋体" w:hAnsi="宋体" w:eastAsia="宋体" w:cs="宋体"/>
          <w:color w:val="auto"/>
          <w:szCs w:val="21"/>
          <w:highlight w:val="none"/>
          <w:u w:val="single"/>
          <w:lang w:val="en-US" w:eastAsia="zh-CN"/>
        </w:rPr>
        <w:t>按发包人要求</w:t>
      </w:r>
      <w:r>
        <w:rPr>
          <w:rFonts w:hint="eastAsia" w:ascii="宋体" w:hAnsi="宋体" w:eastAsia="宋体" w:cs="宋体"/>
          <w:color w:val="auto"/>
          <w:szCs w:val="21"/>
          <w:highlight w:val="none"/>
          <w:u w:val="single"/>
        </w:rPr>
        <w:t>向发包人报送请款资料</w:t>
      </w:r>
      <w:r>
        <w:rPr>
          <w:rFonts w:hint="eastAsia" w:ascii="黑体" w:eastAsia="黑体" w:cs="宋体"/>
          <w:b/>
          <w:bCs/>
          <w:szCs w:val="21"/>
          <w:u w:val="single"/>
        </w:rPr>
        <w:t>。</w:t>
      </w:r>
    </w:p>
    <w:p w14:paraId="08FBBFD9">
      <w:pPr>
        <w:snapToGrid w:val="0"/>
        <w:spacing w:line="440" w:lineRule="exact"/>
        <w:ind w:firstLine="420" w:firstLineChars="200"/>
        <w:jc w:val="left"/>
        <w:rPr>
          <w:rFonts w:hint="eastAsia" w:ascii="宋体" w:cs="宋体"/>
          <w:szCs w:val="21"/>
        </w:rPr>
      </w:pPr>
      <w:r>
        <w:rPr>
          <w:rFonts w:hint="eastAsia" w:ascii="宋体" w:cs="宋体"/>
          <w:szCs w:val="21"/>
        </w:rPr>
        <w:t>（2）总价合同进度付款申请单提交的约定：</w:t>
      </w:r>
      <w:r>
        <w:rPr>
          <w:rFonts w:hint="eastAsia" w:ascii="宋体" w:cs="宋体"/>
          <w:szCs w:val="21"/>
          <w:u w:val="single"/>
        </w:rPr>
        <w:t xml:space="preserve">   不采用   </w:t>
      </w:r>
      <w:r>
        <w:rPr>
          <w:rFonts w:hint="eastAsia" w:ascii="宋体" w:cs="宋体"/>
          <w:szCs w:val="21"/>
        </w:rPr>
        <w:t>。</w:t>
      </w:r>
    </w:p>
    <w:p w14:paraId="5A498097">
      <w:pPr>
        <w:snapToGrid w:val="0"/>
        <w:spacing w:line="440" w:lineRule="exact"/>
        <w:ind w:firstLine="420" w:firstLineChars="200"/>
        <w:jc w:val="left"/>
        <w:rPr>
          <w:rFonts w:hint="eastAsia" w:ascii="宋体" w:cs="宋体"/>
          <w:szCs w:val="21"/>
          <w:u w:val="single"/>
        </w:rPr>
      </w:pPr>
      <w:r>
        <w:rPr>
          <w:rFonts w:hint="eastAsia" w:ascii="宋体" w:cs="宋体"/>
          <w:szCs w:val="21"/>
        </w:rPr>
        <w:t>（3）其他价格形式合同进度付款申请单提交的约定：</w:t>
      </w:r>
      <w:r>
        <w:rPr>
          <w:rFonts w:hint="eastAsia" w:ascii="宋体" w:cs="宋体"/>
          <w:szCs w:val="21"/>
          <w:u w:val="single"/>
        </w:rPr>
        <w:t xml:space="preserve">  不采用  </w:t>
      </w:r>
      <w:r>
        <w:rPr>
          <w:rFonts w:hint="eastAsia" w:ascii="宋体" w:cs="宋体"/>
          <w:szCs w:val="21"/>
        </w:rPr>
        <w:t>。</w:t>
      </w:r>
    </w:p>
    <w:p w14:paraId="65633967">
      <w:pPr>
        <w:snapToGrid w:val="0"/>
        <w:spacing w:line="440" w:lineRule="exact"/>
        <w:ind w:firstLine="420" w:firstLineChars="200"/>
        <w:jc w:val="left"/>
        <w:rPr>
          <w:rFonts w:hint="eastAsia" w:ascii="宋体" w:cs="宋体"/>
          <w:szCs w:val="21"/>
        </w:rPr>
      </w:pPr>
      <w:r>
        <w:rPr>
          <w:rFonts w:hint="eastAsia" w:ascii="宋体" w:cs="宋体"/>
          <w:szCs w:val="21"/>
        </w:rPr>
        <w:t>12.4.4 进度款审核和支付</w:t>
      </w:r>
    </w:p>
    <w:p w14:paraId="7322FDC7">
      <w:pPr>
        <w:snapToGrid w:val="0"/>
        <w:spacing w:line="440" w:lineRule="exact"/>
        <w:ind w:firstLine="420" w:firstLineChars="200"/>
        <w:jc w:val="left"/>
        <w:rPr>
          <w:rFonts w:hint="eastAsia"/>
        </w:rPr>
      </w:pPr>
      <w:r>
        <w:rPr>
          <w:rFonts w:hint="eastAsia" w:ascii="宋体" w:cs="宋体"/>
          <w:szCs w:val="21"/>
        </w:rPr>
        <w:t>（1）监理人审查并报送发包人的期限：</w:t>
      </w:r>
      <w:r>
        <w:rPr>
          <w:rFonts w:hint="eastAsia" w:ascii="宋体" w:cs="宋体"/>
          <w:szCs w:val="21"/>
          <w:u w:val="single"/>
        </w:rPr>
        <w:t xml:space="preserve"> 监理人应在收到承包人进度付款申请单以及相关资料后7天内完成审查并报送发包人。</w:t>
      </w:r>
    </w:p>
    <w:p w14:paraId="43F584F5">
      <w:pPr>
        <w:snapToGrid w:val="0"/>
        <w:spacing w:line="440" w:lineRule="exact"/>
        <w:ind w:firstLine="420" w:firstLineChars="200"/>
        <w:jc w:val="left"/>
        <w:rPr>
          <w:rFonts w:hint="eastAsia" w:ascii="宋体" w:cs="宋体"/>
          <w:szCs w:val="21"/>
          <w:u w:val="single"/>
        </w:rPr>
      </w:pPr>
      <w:r>
        <w:rPr>
          <w:rFonts w:hint="eastAsia" w:ascii="宋体" w:cs="宋体"/>
          <w:szCs w:val="21"/>
        </w:rPr>
        <w:t>发包人完成审批并签发进度款支付证书的期限：</w:t>
      </w:r>
      <w:r>
        <w:rPr>
          <w:rFonts w:hint="eastAsia" w:ascii="宋体" w:cs="宋体"/>
          <w:szCs w:val="21"/>
          <w:u w:val="single"/>
        </w:rPr>
        <w:t>发包人应在收到后7天内完成审批并签发进度款支付证书，跟踪审计人员审核时间除外</w:t>
      </w:r>
      <w:r>
        <w:rPr>
          <w:rFonts w:hint="eastAsia" w:ascii="宋体" w:cs="宋体"/>
          <w:szCs w:val="21"/>
        </w:rPr>
        <w:t>。</w:t>
      </w:r>
    </w:p>
    <w:p w14:paraId="6FC3DBBE">
      <w:pPr>
        <w:tabs>
          <w:tab w:val="left" w:pos="0"/>
        </w:tabs>
        <w:snapToGrid w:val="0"/>
        <w:spacing w:line="440" w:lineRule="exact"/>
        <w:ind w:firstLine="420" w:firstLineChars="200"/>
        <w:rPr>
          <w:rFonts w:hint="eastAsia" w:ascii="宋体" w:cs="宋体"/>
          <w:b/>
          <w:szCs w:val="21"/>
          <w:u w:val="single"/>
        </w:rPr>
      </w:pPr>
      <w:r>
        <w:rPr>
          <w:rFonts w:hint="eastAsia" w:ascii="宋体" w:cs="宋体"/>
          <w:szCs w:val="21"/>
        </w:rPr>
        <w:t>（2）发包人支付进度款的期限：</w:t>
      </w:r>
      <w:r>
        <w:rPr>
          <w:rFonts w:hint="eastAsia" w:ascii="宋体" w:hAnsi="宋体" w:eastAsia="宋体" w:cs="宋体"/>
          <w:color w:val="auto"/>
          <w:szCs w:val="21"/>
          <w:highlight w:val="none"/>
          <w:u w:val="single"/>
        </w:rPr>
        <w:t>发票送达</w:t>
      </w:r>
      <w:r>
        <w:rPr>
          <w:rFonts w:hint="eastAsia" w:ascii="宋体" w:hAnsi="宋体" w:eastAsia="宋体" w:cs="宋体"/>
          <w:color w:val="auto"/>
          <w:szCs w:val="21"/>
          <w:highlight w:val="none"/>
          <w:u w:val="single"/>
          <w:lang w:val="en-US" w:eastAsia="zh-CN"/>
        </w:rPr>
        <w:t>30日</w:t>
      </w:r>
      <w:r>
        <w:rPr>
          <w:rFonts w:hint="eastAsia" w:ascii="宋体" w:hAnsi="宋体" w:eastAsia="宋体" w:cs="宋体"/>
          <w:color w:val="auto"/>
          <w:szCs w:val="21"/>
          <w:highlight w:val="none"/>
          <w:u w:val="single"/>
        </w:rPr>
        <w:t>内完成支付</w:t>
      </w:r>
      <w:r>
        <w:rPr>
          <w:rFonts w:hint="eastAsia" w:ascii="宋体" w:cs="宋体"/>
          <w:szCs w:val="21"/>
        </w:rPr>
        <w:t>。</w:t>
      </w:r>
    </w:p>
    <w:p w14:paraId="497FE8DB">
      <w:pPr>
        <w:snapToGrid w:val="0"/>
        <w:spacing w:line="440" w:lineRule="exact"/>
        <w:ind w:firstLine="420" w:firstLineChars="200"/>
        <w:jc w:val="left"/>
        <w:rPr>
          <w:rFonts w:hint="eastAsia" w:ascii="宋体" w:cs="宋体"/>
          <w:color w:val="auto"/>
          <w:szCs w:val="21"/>
        </w:rPr>
      </w:pPr>
      <w:r>
        <w:rPr>
          <w:rFonts w:hint="eastAsia" w:ascii="宋体" w:cs="宋体"/>
          <w:color w:val="auto"/>
          <w:szCs w:val="21"/>
        </w:rPr>
        <w:t>发包人逾期支付进度款的违约金的计算方式：</w:t>
      </w:r>
      <w:r>
        <w:rPr>
          <w:rFonts w:hint="eastAsia" w:ascii="宋体" w:cs="宋体"/>
          <w:color w:val="auto"/>
          <w:szCs w:val="21"/>
          <w:u w:val="single"/>
        </w:rPr>
        <w:t xml:space="preserve">   不采用   </w:t>
      </w:r>
      <w:r>
        <w:rPr>
          <w:rFonts w:hint="eastAsia" w:ascii="宋体" w:cs="宋体"/>
          <w:color w:val="auto"/>
          <w:szCs w:val="21"/>
        </w:rPr>
        <w:t>。</w:t>
      </w:r>
    </w:p>
    <w:p w14:paraId="3BEA80C7">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cs="宋体"/>
          <w:color w:val="auto"/>
          <w:szCs w:val="21"/>
          <w:highlight w:val="none"/>
        </w:rPr>
      </w:pPr>
      <w:r>
        <w:rPr>
          <w:rFonts w:hint="eastAsia" w:ascii="宋体" w:cs="宋体"/>
          <w:color w:val="auto"/>
          <w:szCs w:val="21"/>
          <w:highlight w:val="none"/>
        </w:rPr>
        <w:t>12.4.6 支付分解表的编制</w:t>
      </w:r>
    </w:p>
    <w:p w14:paraId="6CC24112">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u w:val="single"/>
        </w:rPr>
      </w:pPr>
      <w:r>
        <w:rPr>
          <w:rFonts w:hint="eastAsia" w:ascii="宋体" w:hAnsi="宋体" w:cs="宋体"/>
          <w:color w:val="000000"/>
        </w:rPr>
        <w:t>(2)总价合同支付分解表的编制与审批：</w:t>
      </w:r>
      <w:r>
        <w:rPr>
          <w:rFonts w:hint="eastAsia" w:ascii="宋体" w:hAnsi="宋体" w:cs="宋体"/>
          <w:color w:val="000000"/>
          <w:u w:val="single"/>
        </w:rPr>
        <w:t xml:space="preserve">  /  </w:t>
      </w:r>
      <w:r>
        <w:rPr>
          <w:rFonts w:hint="eastAsia" w:ascii="宋体" w:hAnsi="宋体" w:cs="宋体"/>
          <w:color w:val="000000"/>
        </w:rPr>
        <w:t>。</w:t>
      </w:r>
    </w:p>
    <w:p w14:paraId="027D82E8">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cs="宋体"/>
          <w:szCs w:val="21"/>
          <w:u w:val="single"/>
        </w:rPr>
      </w:pPr>
      <w:r>
        <w:rPr>
          <w:rFonts w:hint="eastAsia" w:ascii="宋体" w:hAnsi="宋体" w:cs="宋体"/>
          <w:color w:val="000000"/>
        </w:rPr>
        <w:t>(3)单价合同的总价项目支付分解表的编制与审批：</w:t>
      </w:r>
      <w:r>
        <w:rPr>
          <w:rFonts w:hint="eastAsia" w:ascii="宋体" w:hAnsi="宋体" w:cs="宋体"/>
          <w:color w:val="000000"/>
          <w:u w:val="single"/>
        </w:rPr>
        <w:t xml:space="preserve">  /  </w:t>
      </w:r>
      <w:r>
        <w:rPr>
          <w:rFonts w:hint="eastAsia" w:ascii="宋体" w:hAnsi="宋体" w:cs="宋体"/>
          <w:color w:val="000000"/>
        </w:rPr>
        <w:t>。</w:t>
      </w:r>
    </w:p>
    <w:p w14:paraId="40F5896D">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textAlignment w:val="auto"/>
        <w:rPr>
          <w:rFonts w:hint="eastAsia" w:ascii="宋体" w:hAnsi="宋体" w:cs="宋体"/>
          <w:b/>
          <w:color w:val="000000"/>
          <w:highlight w:val="none"/>
        </w:rPr>
      </w:pPr>
      <w:r>
        <w:rPr>
          <w:rFonts w:hint="eastAsia" w:ascii="宋体" w:hAnsi="宋体" w:cs="宋体"/>
          <w:b/>
          <w:color w:val="000000"/>
          <w:highlight w:val="none"/>
        </w:rPr>
        <w:t>12.4.7 农民工工资管理（</w:t>
      </w:r>
      <w:r>
        <w:rPr>
          <w:rFonts w:hint="eastAsia" w:ascii="宋体" w:hAnsi="宋体" w:cs="宋体"/>
          <w:b/>
          <w:color w:val="000000"/>
          <w:highlight w:val="none"/>
          <w:lang w:val="en-US" w:eastAsia="zh-CN"/>
        </w:rPr>
        <w:t>不采用</w:t>
      </w:r>
      <w:r>
        <w:rPr>
          <w:rFonts w:hint="eastAsia" w:ascii="宋体" w:hAnsi="宋体" w:cs="宋体"/>
          <w:b/>
          <w:color w:val="000000"/>
          <w:highlight w:val="none"/>
        </w:rPr>
        <w:t>）</w:t>
      </w:r>
    </w:p>
    <w:p w14:paraId="7031B0A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bCs/>
          <w:color w:val="000000"/>
          <w:highlight w:val="none"/>
          <w:lang w:eastAsia="zh-CN"/>
        </w:rPr>
      </w:pPr>
      <w:r>
        <w:rPr>
          <w:rFonts w:hint="eastAsia" w:ascii="宋体" w:hAnsi="宋体" w:cs="宋体"/>
          <w:bCs/>
          <w:color w:val="000000"/>
          <w:highlight w:val="none"/>
        </w:rPr>
        <w:t>(1)本工程农民工工资实行专用账户管理，承包人设立的专用账户开户行为</w:t>
      </w:r>
      <w:r>
        <w:rPr>
          <w:rFonts w:hint="eastAsia" w:ascii="宋体" w:hAnsi="宋体" w:cs="宋体"/>
          <w:bCs/>
          <w:color w:val="000000"/>
          <w:highlight w:val="none"/>
          <w:u w:val="single"/>
        </w:rPr>
        <w:t>：</w:t>
      </w:r>
      <w:r>
        <w:rPr>
          <w:rFonts w:hint="eastAsia" w:ascii="宋体" w:hAnsi="宋体" w:cs="宋体"/>
          <w:bCs/>
          <w:color w:val="000000"/>
          <w:highlight w:val="none"/>
          <w:u w:val="single"/>
          <w:lang w:val="en-US" w:eastAsia="zh-CN"/>
        </w:rPr>
        <w:t>/</w:t>
      </w:r>
      <w:r>
        <w:rPr>
          <w:rFonts w:hint="eastAsia" w:ascii="宋体" w:hAnsi="宋体" w:cs="宋体"/>
          <w:bCs/>
          <w:color w:val="000000"/>
          <w:highlight w:val="none"/>
        </w:rPr>
        <w:t>，账号：</w:t>
      </w:r>
      <w:r>
        <w:rPr>
          <w:rFonts w:hint="eastAsia" w:ascii="宋体" w:hAnsi="宋体" w:cs="宋体"/>
          <w:bCs/>
          <w:color w:val="000000"/>
          <w:highlight w:val="none"/>
          <w:u w:val="single"/>
          <w:lang w:val="en-US" w:eastAsia="zh-CN"/>
        </w:rPr>
        <w:t>/</w:t>
      </w:r>
      <w:r>
        <w:rPr>
          <w:rFonts w:hint="eastAsia" w:ascii="宋体" w:hAnsi="宋体" w:cs="宋体"/>
          <w:bCs/>
          <w:color w:val="000000"/>
          <w:highlight w:val="none"/>
          <w:lang w:eastAsia="zh-CN"/>
        </w:rPr>
        <w:t>；</w:t>
      </w:r>
    </w:p>
    <w:p w14:paraId="7102B370">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bCs/>
          <w:strike/>
          <w:dstrike w:val="0"/>
          <w:color w:val="000000"/>
          <w:highlight w:val="none"/>
        </w:rPr>
      </w:pPr>
      <w:r>
        <w:rPr>
          <w:rFonts w:hint="eastAsia" w:ascii="宋体" w:hAnsi="宋体" w:cs="宋体"/>
          <w:bCs/>
          <w:strike w:val="0"/>
          <w:dstrike w:val="0"/>
          <w:color w:val="000000"/>
          <w:highlight w:val="none"/>
        </w:rPr>
        <w:t>(</w:t>
      </w:r>
      <w:r>
        <w:rPr>
          <w:rFonts w:hint="eastAsia" w:ascii="宋体" w:hAnsi="宋体" w:cs="宋体"/>
          <w:bCs/>
          <w:strike w:val="0"/>
          <w:dstrike w:val="0"/>
          <w:color w:val="000000"/>
          <w:highlight w:val="none"/>
          <w:lang w:val="en-US" w:eastAsia="zh-CN"/>
        </w:rPr>
        <w:t>2</w:t>
      </w:r>
      <w:r>
        <w:rPr>
          <w:rFonts w:hint="eastAsia" w:ascii="宋体" w:hAnsi="宋体" w:cs="宋体"/>
          <w:bCs/>
          <w:strike w:val="0"/>
          <w:dstrike w:val="0"/>
          <w:color w:val="000000"/>
          <w:highlight w:val="none"/>
        </w:rPr>
        <w:t>)发包人</w:t>
      </w:r>
      <w:r>
        <w:rPr>
          <w:rFonts w:hint="eastAsia" w:ascii="宋体" w:hAnsi="宋体" w:cs="宋体"/>
          <w:bCs/>
          <w:strike w:val="0"/>
          <w:dstrike w:val="0"/>
          <w:color w:val="000000"/>
          <w:highlight w:val="none"/>
          <w:lang w:eastAsia="zh-CN"/>
        </w:rPr>
        <w:t>将按当期计量支付一定比例（一般情况下不低于</w:t>
      </w:r>
      <w:r>
        <w:rPr>
          <w:rFonts w:hint="eastAsia" w:ascii="宋体" w:hAnsi="宋体" w:cs="宋体"/>
          <w:bCs/>
          <w:strike w:val="0"/>
          <w:dstrike w:val="0"/>
          <w:color w:val="000000"/>
          <w:highlight w:val="none"/>
          <w:lang w:val="en-US" w:eastAsia="zh-CN"/>
        </w:rPr>
        <w:t>12%</w:t>
      </w:r>
      <w:r>
        <w:rPr>
          <w:rFonts w:hint="eastAsia" w:ascii="宋体" w:hAnsi="宋体" w:cs="宋体"/>
          <w:bCs/>
          <w:strike w:val="0"/>
          <w:dstrike w:val="0"/>
          <w:color w:val="000000"/>
          <w:highlight w:val="none"/>
          <w:lang w:eastAsia="zh-CN"/>
        </w:rPr>
        <w:t>）的</w:t>
      </w:r>
      <w:r>
        <w:rPr>
          <w:rFonts w:hint="eastAsia" w:ascii="宋体" w:hAnsi="宋体" w:cs="宋体"/>
          <w:bCs/>
          <w:strike w:val="0"/>
          <w:dstrike w:val="0"/>
          <w:color w:val="000000"/>
          <w:highlight w:val="none"/>
        </w:rPr>
        <w:t>进度款转入农民工工资专用账户。</w:t>
      </w:r>
    </w:p>
    <w:p w14:paraId="0629DC37">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bCs/>
          <w:color w:val="000000"/>
          <w:highlight w:val="none"/>
        </w:rPr>
      </w:pPr>
      <w:r>
        <w:rPr>
          <w:rFonts w:hint="eastAsia" w:ascii="宋体" w:hAnsi="宋体" w:cs="宋体"/>
          <w:bCs/>
          <w:color w:val="000000"/>
          <w:highlight w:val="none"/>
        </w:rPr>
        <w:t>(</w:t>
      </w:r>
      <w:r>
        <w:rPr>
          <w:rFonts w:hint="eastAsia" w:ascii="宋体" w:hAnsi="宋体" w:cs="宋体"/>
          <w:bCs/>
          <w:color w:val="000000"/>
          <w:highlight w:val="none"/>
          <w:lang w:val="en-US" w:eastAsia="zh-CN"/>
        </w:rPr>
        <w:t>3</w:t>
      </w:r>
      <w:r>
        <w:rPr>
          <w:rFonts w:hint="eastAsia" w:ascii="宋体" w:hAnsi="宋体" w:cs="宋体"/>
          <w:bCs/>
          <w:color w:val="000000"/>
          <w:highlight w:val="none"/>
        </w:rPr>
        <w:t>)承包人每月25日前上报本工程农民工工资清单，每月10日前委托开设农民工工资专用账户的银行支付农民工工资。</w:t>
      </w:r>
    </w:p>
    <w:p w14:paraId="61B132BB">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bCs/>
          <w:color w:val="000000"/>
          <w:highlight w:val="none"/>
        </w:rPr>
      </w:pPr>
      <w:r>
        <w:rPr>
          <w:rFonts w:hint="eastAsia" w:ascii="宋体" w:hAnsi="宋体" w:cs="宋体"/>
          <w:bCs/>
          <w:color w:val="000000"/>
          <w:highlight w:val="none"/>
        </w:rPr>
        <w:t>(</w:t>
      </w:r>
      <w:r>
        <w:rPr>
          <w:rFonts w:hint="eastAsia" w:ascii="宋体" w:hAnsi="宋体" w:cs="宋体"/>
          <w:bCs/>
          <w:color w:val="000000"/>
          <w:highlight w:val="none"/>
          <w:lang w:val="en-US" w:eastAsia="zh-CN"/>
        </w:rPr>
        <w:t>4</w:t>
      </w:r>
      <w:r>
        <w:rPr>
          <w:rFonts w:hint="eastAsia" w:ascii="宋体" w:hAnsi="宋体" w:cs="宋体"/>
          <w:bCs/>
          <w:color w:val="000000"/>
          <w:highlight w:val="none"/>
        </w:rPr>
        <w:t>)工程竣工后，经项目部农民工维权组确认无农民工工资拖欠后，发、承双方办理农民工工资专用账户撤销手续，农民工工资专用账户余额划至本合同约定的承包人账户。</w:t>
      </w:r>
    </w:p>
    <w:p w14:paraId="57B68465">
      <w:pPr>
        <w:pStyle w:val="5"/>
        <w:snapToGrid w:val="0"/>
        <w:spacing w:before="0" w:after="0" w:line="440" w:lineRule="exact"/>
        <w:ind w:firstLine="420" w:firstLineChars="200"/>
        <w:rPr>
          <w:rFonts w:hint="eastAsia" w:ascii="宋体" w:eastAsia="宋体" w:cs="宋体"/>
          <w:b w:val="0"/>
          <w:sz w:val="21"/>
          <w:szCs w:val="21"/>
        </w:rPr>
      </w:pPr>
      <w:r>
        <w:rPr>
          <w:rFonts w:hint="eastAsia" w:ascii="宋体" w:eastAsia="宋体" w:cs="宋体"/>
          <w:b w:val="0"/>
          <w:sz w:val="21"/>
          <w:szCs w:val="21"/>
        </w:rPr>
        <w:t>13. 验收和工程试车</w:t>
      </w:r>
    </w:p>
    <w:p w14:paraId="0E25E4A7">
      <w:pPr>
        <w:snapToGrid w:val="0"/>
        <w:spacing w:line="440" w:lineRule="exact"/>
        <w:ind w:firstLine="420" w:firstLineChars="200"/>
        <w:rPr>
          <w:rFonts w:hint="eastAsia" w:ascii="宋体" w:cs="宋体"/>
          <w:szCs w:val="21"/>
        </w:rPr>
      </w:pPr>
      <w:r>
        <w:rPr>
          <w:rFonts w:hint="eastAsia" w:ascii="宋体" w:cs="宋体"/>
          <w:szCs w:val="21"/>
        </w:rPr>
        <w:t>13.1 分部分项工程验收</w:t>
      </w:r>
    </w:p>
    <w:p w14:paraId="074CAD8F">
      <w:pPr>
        <w:snapToGrid w:val="0"/>
        <w:spacing w:line="440" w:lineRule="exact"/>
        <w:ind w:firstLine="420" w:firstLineChars="200"/>
        <w:jc w:val="left"/>
        <w:rPr>
          <w:rFonts w:hint="eastAsia" w:ascii="宋体" w:cs="宋体"/>
          <w:szCs w:val="21"/>
        </w:rPr>
      </w:pPr>
      <w:r>
        <w:rPr>
          <w:rFonts w:hint="eastAsia" w:ascii="宋体" w:cs="宋体"/>
          <w:szCs w:val="21"/>
        </w:rPr>
        <w:t>13.1.2监理人不能按时进行验收时，应提前</w:t>
      </w:r>
      <w:r>
        <w:rPr>
          <w:rFonts w:hint="eastAsia" w:ascii="宋体" w:cs="宋体"/>
          <w:szCs w:val="21"/>
          <w:u w:val="single"/>
        </w:rPr>
        <w:t xml:space="preserve"> </w:t>
      </w:r>
      <w:r>
        <w:rPr>
          <w:rFonts w:hint="eastAsia" w:ascii="宋体" w:cs="宋体"/>
          <w:szCs w:val="21"/>
          <w:u w:val="single"/>
          <w:lang w:val="en-US" w:eastAsia="zh-CN"/>
        </w:rPr>
        <w:t>24</w:t>
      </w:r>
      <w:r>
        <w:rPr>
          <w:rFonts w:hint="eastAsia" w:ascii="宋体" w:cs="宋体"/>
          <w:szCs w:val="21"/>
          <w:u w:val="single"/>
        </w:rPr>
        <w:t xml:space="preserve"> </w:t>
      </w:r>
      <w:r>
        <w:rPr>
          <w:rFonts w:hint="eastAsia" w:ascii="宋体" w:cs="宋体"/>
          <w:szCs w:val="21"/>
        </w:rPr>
        <w:t>小时提交书面延期要求。</w:t>
      </w:r>
    </w:p>
    <w:p w14:paraId="08571564">
      <w:pPr>
        <w:snapToGrid w:val="0"/>
        <w:spacing w:line="440" w:lineRule="exact"/>
        <w:ind w:firstLine="420" w:firstLineChars="200"/>
        <w:jc w:val="left"/>
        <w:rPr>
          <w:rFonts w:hint="eastAsia" w:ascii="宋体" w:cs="宋体"/>
          <w:szCs w:val="21"/>
        </w:rPr>
      </w:pPr>
      <w:r>
        <w:rPr>
          <w:rFonts w:hint="eastAsia" w:ascii="宋体" w:cs="宋体"/>
          <w:szCs w:val="21"/>
        </w:rPr>
        <w:t>关于延期最长不得超过：</w:t>
      </w:r>
      <w:r>
        <w:rPr>
          <w:rFonts w:hint="eastAsia" w:ascii="宋体" w:cs="宋体"/>
          <w:szCs w:val="21"/>
          <w:u w:val="single"/>
        </w:rPr>
        <w:t xml:space="preserve"> </w:t>
      </w:r>
      <w:r>
        <w:rPr>
          <w:rFonts w:hint="eastAsia" w:ascii="宋体" w:cs="宋体"/>
          <w:szCs w:val="21"/>
          <w:u w:val="single"/>
          <w:lang w:val="en-US" w:eastAsia="zh-CN"/>
        </w:rPr>
        <w:t>48</w:t>
      </w:r>
      <w:r>
        <w:rPr>
          <w:rFonts w:hint="eastAsia" w:ascii="宋体" w:cs="宋体"/>
          <w:szCs w:val="21"/>
          <w:u w:val="single"/>
        </w:rPr>
        <w:t xml:space="preserve">  </w:t>
      </w:r>
      <w:r>
        <w:rPr>
          <w:rFonts w:hint="eastAsia" w:ascii="宋体" w:cs="宋体"/>
          <w:szCs w:val="21"/>
        </w:rPr>
        <w:t>小时。</w:t>
      </w:r>
    </w:p>
    <w:p w14:paraId="4311906F">
      <w:pPr>
        <w:wordWrap w:val="0"/>
        <w:snapToGrid w:val="0"/>
        <w:spacing w:line="440" w:lineRule="exact"/>
        <w:ind w:firstLine="420" w:firstLineChars="200"/>
        <w:textAlignment w:val="bottom"/>
        <w:rPr>
          <w:rFonts w:hint="eastAsia" w:ascii="宋体" w:cs="宋体"/>
          <w:szCs w:val="21"/>
        </w:rPr>
      </w:pPr>
      <w:r>
        <w:rPr>
          <w:rFonts w:hint="eastAsia" w:ascii="宋体" w:cs="宋体"/>
          <w:szCs w:val="21"/>
        </w:rPr>
        <w:t>13.2 竣工验收</w:t>
      </w:r>
    </w:p>
    <w:p w14:paraId="60A871A1">
      <w:pPr>
        <w:snapToGrid w:val="0"/>
        <w:spacing w:line="440" w:lineRule="exact"/>
        <w:ind w:firstLine="420" w:firstLineChars="200"/>
        <w:jc w:val="left"/>
        <w:rPr>
          <w:rFonts w:hint="eastAsia" w:ascii="宋体" w:cs="宋体"/>
          <w:szCs w:val="21"/>
        </w:rPr>
      </w:pPr>
      <w:r>
        <w:rPr>
          <w:rFonts w:hint="eastAsia" w:ascii="宋体" w:cs="宋体"/>
          <w:szCs w:val="21"/>
        </w:rPr>
        <w:t>13.2.2竣工验收程序</w:t>
      </w:r>
    </w:p>
    <w:p w14:paraId="168ACE07">
      <w:pPr>
        <w:wordWrap w:val="0"/>
        <w:snapToGrid w:val="0"/>
        <w:spacing w:line="440" w:lineRule="exact"/>
        <w:ind w:firstLine="420" w:firstLineChars="200"/>
        <w:jc w:val="left"/>
        <w:rPr>
          <w:rFonts w:hint="eastAsia" w:ascii="宋体" w:cs="宋体"/>
          <w:szCs w:val="21"/>
        </w:rPr>
      </w:pPr>
      <w:r>
        <w:rPr>
          <w:rFonts w:hint="eastAsia" w:ascii="宋体" w:cs="宋体"/>
          <w:szCs w:val="21"/>
        </w:rPr>
        <w:t>关于竣工验收程序的约定：</w:t>
      </w:r>
      <w:r>
        <w:rPr>
          <w:rFonts w:hint="eastAsia" w:ascii="宋体" w:hAnsi="宋体" w:cs="宋体"/>
          <w:color w:val="auto"/>
          <w:szCs w:val="21"/>
          <w:highlight w:val="none"/>
          <w:u w:val="single"/>
        </w:rPr>
        <w:t>执行通用条款</w:t>
      </w:r>
      <w:r>
        <w:rPr>
          <w:rFonts w:ascii="宋体" w:hAnsi="宋体" w:cs="宋体"/>
          <w:color w:val="auto"/>
          <w:szCs w:val="21"/>
          <w:highlight w:val="none"/>
          <w:u w:val="single"/>
        </w:rPr>
        <w:t xml:space="preserve">  </w:t>
      </w:r>
      <w:r>
        <w:rPr>
          <w:rFonts w:hint="eastAsia" w:ascii="宋体" w:cs="宋体"/>
          <w:szCs w:val="21"/>
          <w:u w:val="single"/>
        </w:rPr>
        <w:t>。</w:t>
      </w:r>
    </w:p>
    <w:p w14:paraId="609E1968">
      <w:pPr>
        <w:wordWrap w:val="0"/>
        <w:snapToGrid w:val="0"/>
        <w:spacing w:line="440" w:lineRule="exact"/>
        <w:ind w:firstLine="420" w:firstLineChars="200"/>
        <w:jc w:val="left"/>
        <w:rPr>
          <w:rFonts w:hint="eastAsia" w:ascii="宋体" w:cs="宋体"/>
          <w:szCs w:val="21"/>
          <w:u w:val="single"/>
        </w:rPr>
      </w:pPr>
      <w:r>
        <w:rPr>
          <w:rFonts w:hint="eastAsia" w:ascii="宋体" w:cs="宋体"/>
          <w:kern w:val="0"/>
          <w:szCs w:val="21"/>
        </w:rPr>
        <w:t>发包人不按照本项约定组织竣工验收、颁发工程接收证书的违约金的计算方法：</w:t>
      </w:r>
      <w:r>
        <w:rPr>
          <w:rFonts w:hint="eastAsia" w:ascii="宋体" w:cs="宋体"/>
          <w:szCs w:val="21"/>
          <w:u w:val="single"/>
        </w:rPr>
        <w:t xml:space="preserve">  不考虑 </w:t>
      </w:r>
      <w:r>
        <w:rPr>
          <w:rFonts w:hint="eastAsia" w:ascii="宋体" w:cs="宋体"/>
          <w:szCs w:val="21"/>
        </w:rPr>
        <w:t>。</w:t>
      </w:r>
    </w:p>
    <w:p w14:paraId="63B9CDA6">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cs="宋体"/>
          <w:szCs w:val="21"/>
        </w:rPr>
      </w:pPr>
      <w:r>
        <w:rPr>
          <w:rFonts w:hint="eastAsia" w:ascii="宋体" w:cs="宋体"/>
          <w:szCs w:val="21"/>
        </w:rPr>
        <w:t>13.2.5移交、接收全部与部分工程</w:t>
      </w:r>
    </w:p>
    <w:p w14:paraId="2FE239F5">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cs="宋体"/>
          <w:kern w:val="0"/>
          <w:szCs w:val="21"/>
        </w:rPr>
      </w:pPr>
      <w:r>
        <w:rPr>
          <w:rFonts w:hint="eastAsia" w:ascii="宋体" w:cs="宋体"/>
          <w:kern w:val="0"/>
          <w:szCs w:val="21"/>
        </w:rPr>
        <w:t>承包人向发包人移交工程的期限：</w:t>
      </w:r>
      <w:r>
        <w:rPr>
          <w:rFonts w:hint="eastAsia" w:ascii="宋体" w:cs="宋体"/>
          <w:szCs w:val="21"/>
          <w:u w:val="single"/>
        </w:rPr>
        <w:t xml:space="preserve"> </w:t>
      </w:r>
      <w:r>
        <w:rPr>
          <w:rFonts w:hint="eastAsia" w:ascii="宋体" w:hAnsi="宋体" w:cs="宋体"/>
          <w:color w:val="000000"/>
          <w:szCs w:val="21"/>
          <w:u w:val="single"/>
          <w:lang w:val="en-US" w:eastAsia="zh-CN"/>
        </w:rPr>
        <w:t>工程竣工验收合格</w:t>
      </w:r>
      <w:r>
        <w:rPr>
          <w:rFonts w:hint="eastAsia" w:ascii="宋体" w:hAnsi="宋体" w:cs="宋体"/>
          <w:color w:val="auto"/>
          <w:szCs w:val="21"/>
          <w:u w:val="single"/>
        </w:rPr>
        <w:t>后</w:t>
      </w:r>
      <w:r>
        <w:rPr>
          <w:rFonts w:hint="eastAsia" w:ascii="宋体" w:hAnsi="宋体" w:cs="宋体"/>
          <w:color w:val="auto"/>
          <w:szCs w:val="21"/>
          <w:u w:val="single"/>
          <w:lang w:val="en-US" w:eastAsia="zh-CN"/>
        </w:rPr>
        <w:t>根据发包人要求的时间内</w:t>
      </w:r>
      <w:r>
        <w:rPr>
          <w:rFonts w:hint="eastAsia" w:ascii="宋体" w:hAnsi="宋体" w:cs="宋体"/>
          <w:color w:val="000000"/>
          <w:szCs w:val="21"/>
          <w:u w:val="single"/>
        </w:rPr>
        <w:t>完成工程的移交</w:t>
      </w:r>
      <w:r>
        <w:rPr>
          <w:rFonts w:hint="eastAsia" w:ascii="宋体" w:cs="宋体"/>
          <w:szCs w:val="21"/>
          <w:u w:val="single"/>
        </w:rPr>
        <w:t>。</w:t>
      </w:r>
    </w:p>
    <w:p w14:paraId="61F54450">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u w:val="single"/>
        </w:rPr>
      </w:pPr>
      <w:r>
        <w:rPr>
          <w:rFonts w:hint="eastAsia" w:ascii="宋体" w:hAnsi="宋体" w:cs="宋体"/>
          <w:color w:val="000000"/>
          <w:kern w:val="0"/>
        </w:rPr>
        <w:t>发包人未按本合同约定接收全部或部分工程的，违约金的计算方法为：</w:t>
      </w:r>
      <w:r>
        <w:rPr>
          <w:rFonts w:hint="eastAsia" w:ascii="宋体" w:hAnsi="宋体" w:cs="宋体"/>
          <w:color w:val="000000"/>
          <w:szCs w:val="21"/>
          <w:u w:val="single"/>
        </w:rPr>
        <w:t>发包人自应当接收工程之日起，承担工程照管、成品保护、保管等与工程有关的各项费用</w:t>
      </w:r>
      <w:r>
        <w:rPr>
          <w:rFonts w:hint="eastAsia" w:ascii="宋体" w:hAnsi="宋体" w:cs="宋体"/>
          <w:color w:val="000000"/>
        </w:rPr>
        <w:t>。</w:t>
      </w:r>
    </w:p>
    <w:p w14:paraId="7B23BE0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u w:val="single"/>
        </w:rPr>
      </w:pPr>
      <w:r>
        <w:rPr>
          <w:rFonts w:hint="eastAsia" w:ascii="宋体" w:hAnsi="宋体" w:cs="宋体"/>
          <w:color w:val="000000"/>
        </w:rPr>
        <w:t>承包人未按时移交工程的，违约金的计算方法为：</w:t>
      </w:r>
      <w:r>
        <w:rPr>
          <w:rFonts w:hint="eastAsia" w:ascii="宋体" w:hAnsi="宋体" w:cs="宋体"/>
          <w:color w:val="000000"/>
          <w:szCs w:val="21"/>
          <w:u w:val="single"/>
        </w:rPr>
        <w:t>承包人应承担工程照管、成品保护、保管等与工程有关的各项费用</w:t>
      </w:r>
      <w:r>
        <w:rPr>
          <w:rFonts w:hint="eastAsia" w:ascii="宋体" w:hAnsi="宋体" w:cs="宋体"/>
          <w:color w:val="000000"/>
        </w:rPr>
        <w:t>。</w:t>
      </w:r>
    </w:p>
    <w:p w14:paraId="69750784">
      <w:pPr>
        <w:snapToGrid w:val="0"/>
        <w:spacing w:line="440" w:lineRule="exact"/>
        <w:ind w:firstLine="420" w:firstLineChars="200"/>
        <w:rPr>
          <w:rFonts w:hint="eastAsia" w:ascii="宋体" w:cs="宋体"/>
          <w:color w:val="auto"/>
          <w:szCs w:val="21"/>
        </w:rPr>
      </w:pPr>
      <w:r>
        <w:rPr>
          <w:rFonts w:hint="eastAsia" w:ascii="宋体" w:cs="宋体"/>
          <w:color w:val="auto"/>
          <w:szCs w:val="21"/>
        </w:rPr>
        <w:t>13.3 工程试车</w:t>
      </w:r>
    </w:p>
    <w:p w14:paraId="77C2EB8B">
      <w:pPr>
        <w:snapToGrid w:val="0"/>
        <w:spacing w:line="440" w:lineRule="exact"/>
        <w:ind w:firstLine="420" w:firstLineChars="200"/>
        <w:jc w:val="left"/>
        <w:rPr>
          <w:rFonts w:hint="eastAsia" w:ascii="宋体" w:cs="宋体"/>
          <w:kern w:val="0"/>
          <w:szCs w:val="21"/>
        </w:rPr>
      </w:pPr>
      <w:r>
        <w:rPr>
          <w:rFonts w:hint="eastAsia" w:ascii="宋体" w:cs="宋体"/>
          <w:kern w:val="0"/>
          <w:szCs w:val="21"/>
        </w:rPr>
        <w:t>13.3.1 试车程序</w:t>
      </w:r>
    </w:p>
    <w:p w14:paraId="7C418FC2">
      <w:pPr>
        <w:snapToGrid w:val="0"/>
        <w:spacing w:line="440" w:lineRule="exact"/>
        <w:ind w:firstLine="420" w:firstLineChars="200"/>
        <w:jc w:val="left"/>
        <w:rPr>
          <w:rFonts w:hint="eastAsia" w:ascii="宋体" w:cs="宋体"/>
          <w:szCs w:val="21"/>
          <w:u w:val="single"/>
        </w:rPr>
      </w:pPr>
      <w:r>
        <w:rPr>
          <w:rFonts w:hint="eastAsia" w:ascii="宋体" w:cs="宋体"/>
          <w:kern w:val="0"/>
          <w:szCs w:val="21"/>
        </w:rPr>
        <w:t>工程试车内容：</w:t>
      </w:r>
      <w:r>
        <w:rPr>
          <w:rFonts w:hint="eastAsia" w:ascii="宋体" w:cs="宋体"/>
          <w:szCs w:val="21"/>
          <w:u w:val="single"/>
        </w:rPr>
        <w:t>工程需要试车的，试车内容应与承包人承包范围相一致，试车费用由承包人承担。</w:t>
      </w:r>
    </w:p>
    <w:p w14:paraId="140554A2">
      <w:pPr>
        <w:snapToGrid w:val="0"/>
        <w:spacing w:line="440" w:lineRule="exact"/>
        <w:ind w:firstLine="420" w:firstLineChars="200"/>
        <w:jc w:val="left"/>
        <w:rPr>
          <w:rFonts w:hint="eastAsia" w:ascii="宋体" w:cs="宋体"/>
          <w:kern w:val="0"/>
          <w:szCs w:val="21"/>
        </w:rPr>
      </w:pPr>
      <w:r>
        <w:rPr>
          <w:rFonts w:hint="eastAsia" w:ascii="宋体" w:cs="宋体"/>
          <w:kern w:val="0"/>
          <w:szCs w:val="21"/>
        </w:rPr>
        <w:t>（1）单机无负荷试车费用由</w:t>
      </w:r>
      <w:r>
        <w:rPr>
          <w:rFonts w:hint="eastAsia" w:ascii="宋体" w:cs="宋体"/>
          <w:szCs w:val="21"/>
          <w:u w:val="single"/>
        </w:rPr>
        <w:t xml:space="preserve">  承包人  </w:t>
      </w:r>
      <w:r>
        <w:rPr>
          <w:rFonts w:hint="eastAsia" w:ascii="宋体" w:cs="宋体"/>
          <w:kern w:val="0"/>
          <w:szCs w:val="21"/>
        </w:rPr>
        <w:t>承担；</w:t>
      </w:r>
    </w:p>
    <w:p w14:paraId="3B6AD9C6">
      <w:pPr>
        <w:snapToGrid w:val="0"/>
        <w:spacing w:line="440" w:lineRule="exact"/>
        <w:ind w:firstLine="420" w:firstLineChars="200"/>
        <w:jc w:val="left"/>
        <w:rPr>
          <w:rFonts w:hint="eastAsia" w:ascii="宋体" w:cs="宋体"/>
          <w:kern w:val="0"/>
          <w:szCs w:val="21"/>
        </w:rPr>
      </w:pPr>
      <w:r>
        <w:rPr>
          <w:rFonts w:hint="eastAsia" w:ascii="宋体" w:cs="宋体"/>
          <w:kern w:val="0"/>
          <w:szCs w:val="21"/>
        </w:rPr>
        <w:t>（2）无负荷联动试车费用由</w:t>
      </w:r>
      <w:r>
        <w:rPr>
          <w:rFonts w:hint="eastAsia" w:ascii="宋体" w:cs="宋体"/>
          <w:szCs w:val="21"/>
          <w:u w:val="single"/>
        </w:rPr>
        <w:t xml:space="preserve">  承包人  </w:t>
      </w:r>
      <w:r>
        <w:rPr>
          <w:rFonts w:hint="eastAsia" w:ascii="宋体" w:cs="宋体"/>
          <w:kern w:val="0"/>
          <w:szCs w:val="21"/>
        </w:rPr>
        <w:t>承担。</w:t>
      </w:r>
    </w:p>
    <w:p w14:paraId="1B5B61A8">
      <w:pPr>
        <w:snapToGrid w:val="0"/>
        <w:spacing w:line="440" w:lineRule="exact"/>
        <w:ind w:firstLine="420" w:firstLineChars="200"/>
        <w:jc w:val="left"/>
        <w:rPr>
          <w:rFonts w:hint="eastAsia" w:ascii="宋体" w:cs="宋体"/>
          <w:kern w:val="0"/>
          <w:szCs w:val="21"/>
        </w:rPr>
      </w:pPr>
      <w:r>
        <w:rPr>
          <w:rFonts w:hint="eastAsia" w:ascii="宋体" w:cs="宋体"/>
          <w:kern w:val="0"/>
          <w:szCs w:val="21"/>
        </w:rPr>
        <w:t>13.3.3 投料试车</w:t>
      </w:r>
    </w:p>
    <w:p w14:paraId="0ABBF0D2">
      <w:pPr>
        <w:snapToGrid w:val="0"/>
        <w:spacing w:line="440" w:lineRule="exact"/>
        <w:ind w:firstLine="420" w:firstLineChars="200"/>
        <w:jc w:val="left"/>
        <w:rPr>
          <w:rFonts w:hint="eastAsia" w:ascii="宋体" w:cs="宋体"/>
          <w:szCs w:val="21"/>
          <w:u w:val="single"/>
        </w:rPr>
      </w:pPr>
      <w:r>
        <w:rPr>
          <w:rFonts w:hint="eastAsia" w:ascii="宋体" w:cs="宋体"/>
          <w:kern w:val="0"/>
          <w:szCs w:val="21"/>
        </w:rPr>
        <w:t>关于投料试车相关事项的约定：</w:t>
      </w:r>
      <w:r>
        <w:rPr>
          <w:rFonts w:hint="eastAsia" w:ascii="宋体" w:hAnsi="宋体" w:cs="宋体"/>
          <w:color w:val="000000"/>
          <w:szCs w:val="21"/>
          <w:u w:val="single"/>
        </w:rPr>
        <w:t>执行通用条款</w:t>
      </w:r>
      <w:r>
        <w:rPr>
          <w:rFonts w:hint="eastAsia" w:ascii="宋体" w:cs="宋体"/>
          <w:kern w:val="0"/>
          <w:szCs w:val="21"/>
          <w:u w:val="single"/>
        </w:rPr>
        <w:t>。</w:t>
      </w:r>
    </w:p>
    <w:p w14:paraId="0C3FBF2D">
      <w:pPr>
        <w:snapToGrid w:val="0"/>
        <w:spacing w:line="440" w:lineRule="exact"/>
        <w:ind w:firstLine="420" w:firstLineChars="200"/>
        <w:rPr>
          <w:rFonts w:hint="eastAsia" w:ascii="宋体" w:cs="宋体"/>
          <w:szCs w:val="21"/>
        </w:rPr>
      </w:pPr>
      <w:r>
        <w:rPr>
          <w:rFonts w:hint="eastAsia" w:ascii="宋体" w:cs="宋体"/>
          <w:szCs w:val="21"/>
        </w:rPr>
        <w:t>13.6 竣工退场</w:t>
      </w:r>
    </w:p>
    <w:p w14:paraId="21984A5F">
      <w:pPr>
        <w:snapToGrid w:val="0"/>
        <w:spacing w:line="440" w:lineRule="exact"/>
        <w:ind w:firstLine="420" w:firstLineChars="200"/>
        <w:jc w:val="left"/>
        <w:rPr>
          <w:rFonts w:hint="eastAsia" w:ascii="宋体" w:cs="宋体"/>
          <w:kern w:val="0"/>
          <w:szCs w:val="21"/>
        </w:rPr>
      </w:pPr>
      <w:r>
        <w:rPr>
          <w:rFonts w:hint="eastAsia" w:ascii="宋体" w:cs="宋体"/>
          <w:kern w:val="0"/>
          <w:szCs w:val="21"/>
        </w:rPr>
        <w:t>13.6.1 竣工退场</w:t>
      </w:r>
    </w:p>
    <w:p w14:paraId="721C3CF1">
      <w:pPr>
        <w:snapToGrid w:val="0"/>
        <w:spacing w:line="440" w:lineRule="exact"/>
        <w:ind w:firstLine="420" w:firstLineChars="200"/>
        <w:jc w:val="left"/>
        <w:rPr>
          <w:rFonts w:hint="eastAsia" w:ascii="宋体" w:cs="宋体"/>
          <w:kern w:val="0"/>
          <w:szCs w:val="21"/>
        </w:rPr>
      </w:pPr>
      <w:r>
        <w:rPr>
          <w:rFonts w:hint="eastAsia" w:ascii="宋体" w:cs="宋体"/>
          <w:kern w:val="0"/>
          <w:szCs w:val="21"/>
        </w:rPr>
        <w:t>承包人完成竣工退场的期限：</w:t>
      </w:r>
      <w:r>
        <w:rPr>
          <w:rFonts w:hint="eastAsia" w:ascii="宋体" w:cs="宋体"/>
          <w:szCs w:val="21"/>
          <w:u w:val="single"/>
        </w:rPr>
        <w:t>工程竣工合格后，7天内退场。</w:t>
      </w:r>
    </w:p>
    <w:p w14:paraId="4ACF087A">
      <w:pPr>
        <w:pStyle w:val="5"/>
        <w:pageBreakBefore w:val="0"/>
        <w:widowControl w:val="0"/>
        <w:kinsoku/>
        <w:wordWrap/>
        <w:overflowPunct/>
        <w:topLinePunct w:val="0"/>
        <w:autoSpaceDE/>
        <w:autoSpaceDN/>
        <w:bidi w:val="0"/>
        <w:snapToGrid w:val="0"/>
        <w:spacing w:before="0" w:after="0" w:line="440" w:lineRule="exact"/>
        <w:ind w:firstLine="420" w:firstLineChars="200"/>
        <w:textAlignment w:val="auto"/>
        <w:rPr>
          <w:rFonts w:hint="eastAsia" w:ascii="宋体" w:eastAsia="宋体" w:cs="宋体"/>
          <w:b w:val="0"/>
          <w:sz w:val="21"/>
          <w:szCs w:val="21"/>
        </w:rPr>
      </w:pPr>
      <w:r>
        <w:rPr>
          <w:rFonts w:hint="eastAsia" w:ascii="宋体" w:eastAsia="宋体" w:cs="宋体"/>
          <w:b w:val="0"/>
          <w:sz w:val="21"/>
          <w:szCs w:val="21"/>
        </w:rPr>
        <w:t>14. 竣工结算</w:t>
      </w:r>
    </w:p>
    <w:p w14:paraId="48FCCD8B">
      <w:pPr>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cs="宋体"/>
          <w:szCs w:val="21"/>
        </w:rPr>
      </w:pPr>
      <w:r>
        <w:rPr>
          <w:rFonts w:hint="eastAsia" w:ascii="宋体" w:cs="宋体"/>
          <w:szCs w:val="21"/>
        </w:rPr>
        <w:t>14.1 竣工付款申请</w:t>
      </w:r>
    </w:p>
    <w:p w14:paraId="1040422F">
      <w:pPr>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cs="宋体"/>
          <w:szCs w:val="21"/>
        </w:rPr>
      </w:pPr>
      <w:r>
        <w:rPr>
          <w:rFonts w:hint="eastAsia" w:ascii="宋体" w:cs="宋体"/>
          <w:szCs w:val="21"/>
        </w:rPr>
        <w:t>承包人提交竣工付款申请单的期限：</w:t>
      </w:r>
      <w:r>
        <w:rPr>
          <w:rFonts w:hint="eastAsia" w:ascii="宋体" w:hAnsi="宋体" w:cs="宋体"/>
          <w:color w:val="000000"/>
          <w:szCs w:val="21"/>
          <w:u w:val="single"/>
        </w:rPr>
        <w:t>承包人应在工程竣工验收合格后28天内</w:t>
      </w:r>
      <w:r>
        <w:rPr>
          <w:rFonts w:hint="eastAsia" w:ascii="宋体" w:cs="宋体"/>
          <w:szCs w:val="21"/>
          <w:u w:val="single"/>
        </w:rPr>
        <w:t>。</w:t>
      </w:r>
    </w:p>
    <w:p w14:paraId="54CFBA26">
      <w:pPr>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cs="宋体"/>
          <w:szCs w:val="21"/>
          <w:u w:val="single"/>
        </w:rPr>
      </w:pPr>
      <w:r>
        <w:rPr>
          <w:rFonts w:hint="eastAsia" w:ascii="宋体" w:cs="宋体"/>
          <w:szCs w:val="21"/>
        </w:rPr>
        <w:t>竣工结算申请单应包括的内容：</w:t>
      </w:r>
      <w:r>
        <w:rPr>
          <w:rFonts w:hint="eastAsia" w:ascii="宋体" w:hAnsi="宋体" w:cs="宋体"/>
          <w:color w:val="000000"/>
          <w:szCs w:val="21"/>
          <w:u w:val="single"/>
        </w:rPr>
        <w:t>执行通用条款</w:t>
      </w:r>
      <w:r>
        <w:rPr>
          <w:rFonts w:hint="eastAsia" w:ascii="宋体" w:cs="宋体"/>
          <w:szCs w:val="21"/>
          <w:u w:val="single"/>
        </w:rPr>
        <w:t>。</w:t>
      </w:r>
    </w:p>
    <w:p w14:paraId="0FF1F596">
      <w:pPr>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cs="宋体"/>
          <w:szCs w:val="21"/>
        </w:rPr>
      </w:pPr>
      <w:r>
        <w:rPr>
          <w:rFonts w:hint="eastAsia" w:ascii="宋体" w:cs="宋体"/>
          <w:szCs w:val="21"/>
        </w:rPr>
        <w:t>14.2 竣工结算审核</w:t>
      </w:r>
    </w:p>
    <w:p w14:paraId="45532D5D">
      <w:pPr>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eastAsia="宋体" w:cs="宋体"/>
          <w:szCs w:val="21"/>
          <w:lang w:val="en-US" w:eastAsia="zh-CN"/>
        </w:rPr>
      </w:pPr>
      <w:r>
        <w:rPr>
          <w:rFonts w:hint="eastAsia" w:ascii="宋体" w:hAnsi="Times New Roman" w:eastAsia="宋体" w:cs="宋体"/>
          <w:szCs w:val="21"/>
        </w:rPr>
        <w:t>发包人审批竣工付款申请单的期限：发包人应在收到监理人提交的经审核的竣工结算申请单后</w:t>
      </w:r>
      <w:r>
        <w:rPr>
          <w:rFonts w:hint="eastAsia" w:ascii="宋体" w:hAnsi="Times New Roman" w:eastAsia="宋体" w:cs="宋体"/>
          <w:szCs w:val="21"/>
          <w:lang w:val="en-US" w:eastAsia="zh-CN"/>
        </w:rPr>
        <w:t>30</w:t>
      </w:r>
      <w:r>
        <w:rPr>
          <w:rFonts w:hint="eastAsia" w:ascii="宋体" w:hAnsi="Times New Roman" w:eastAsia="宋体" w:cs="宋体"/>
          <w:szCs w:val="21"/>
        </w:rPr>
        <w:t>天内完成审批</w:t>
      </w:r>
      <w:r>
        <w:rPr>
          <w:rFonts w:hint="eastAsia" w:ascii="宋体" w:hAnsi="Times New Roman" w:eastAsia="宋体" w:cs="宋体"/>
          <w:szCs w:val="21"/>
          <w:lang w:eastAsia="zh-CN"/>
        </w:rPr>
        <w:t>。</w:t>
      </w:r>
    </w:p>
    <w:p w14:paraId="25182441">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cs="宋体"/>
          <w:szCs w:val="21"/>
        </w:rPr>
      </w:pPr>
      <w:r>
        <w:rPr>
          <w:rFonts w:hint="eastAsia" w:ascii="宋体" w:cs="宋体"/>
          <w:szCs w:val="21"/>
        </w:rPr>
        <w:t>发包人完成竣工付款的期限：</w:t>
      </w:r>
      <w:r>
        <w:rPr>
          <w:rFonts w:hint="eastAsia" w:ascii="宋体" w:hAnsi="宋体" w:cs="宋体"/>
          <w:color w:val="000000"/>
          <w:szCs w:val="21"/>
        </w:rPr>
        <w:t>发包人应在签发竣工付款证书后的</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30</w:t>
      </w:r>
      <w:r>
        <w:rPr>
          <w:rFonts w:hint="eastAsia" w:ascii="宋体" w:hAnsi="宋体" w:cs="宋体"/>
          <w:color w:val="000000"/>
          <w:szCs w:val="21"/>
          <w:u w:val="single"/>
        </w:rPr>
        <w:t xml:space="preserve">  </w:t>
      </w:r>
      <w:r>
        <w:rPr>
          <w:rFonts w:hint="eastAsia" w:ascii="宋体" w:hAnsi="宋体" w:cs="宋体"/>
          <w:color w:val="000000"/>
          <w:szCs w:val="21"/>
        </w:rPr>
        <w:t>天内，完成对承包人的竣工付款。</w:t>
      </w:r>
    </w:p>
    <w:p w14:paraId="0F251D9F">
      <w:pPr>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cs="宋体"/>
          <w:color w:val="auto"/>
          <w:szCs w:val="21"/>
          <w:u w:val="single"/>
        </w:rPr>
      </w:pPr>
      <w:r>
        <w:rPr>
          <w:rFonts w:hint="eastAsia" w:ascii="宋体" w:cs="宋体"/>
          <w:color w:val="auto"/>
          <w:szCs w:val="21"/>
        </w:rPr>
        <w:t>关于竣工付款证书异议部分复核的方式和程序：</w:t>
      </w:r>
      <w:r>
        <w:rPr>
          <w:rFonts w:hint="eastAsia" w:ascii="宋体" w:hAnsi="宋体" w:cs="宋体"/>
          <w:color w:val="auto"/>
          <w:szCs w:val="21"/>
          <w:highlight w:val="none"/>
          <w:u w:val="single"/>
        </w:rPr>
        <w:t>按照第20条〔争议解决〕约定处理</w:t>
      </w:r>
      <w:r>
        <w:rPr>
          <w:rFonts w:hint="eastAsia" w:ascii="宋体" w:cs="宋体"/>
          <w:color w:val="auto"/>
          <w:szCs w:val="21"/>
          <w:u w:val="single"/>
        </w:rPr>
        <w:t>。</w:t>
      </w:r>
    </w:p>
    <w:p w14:paraId="39A10FA1">
      <w:pPr>
        <w:snapToGrid w:val="0"/>
        <w:spacing w:line="440" w:lineRule="exact"/>
        <w:ind w:firstLine="420" w:firstLineChars="200"/>
        <w:rPr>
          <w:rFonts w:hint="eastAsia" w:ascii="宋体" w:cs="宋体"/>
          <w:color w:val="auto"/>
          <w:szCs w:val="21"/>
        </w:rPr>
      </w:pPr>
      <w:r>
        <w:rPr>
          <w:rFonts w:hint="eastAsia" w:ascii="宋体" w:cs="宋体"/>
          <w:color w:val="auto"/>
          <w:szCs w:val="21"/>
        </w:rPr>
        <w:t>14.4 最终结清</w:t>
      </w:r>
    </w:p>
    <w:p w14:paraId="2E1B441A">
      <w:pPr>
        <w:snapToGrid w:val="0"/>
        <w:spacing w:line="440" w:lineRule="exact"/>
        <w:ind w:firstLine="420" w:firstLineChars="200"/>
        <w:jc w:val="left"/>
        <w:rPr>
          <w:rFonts w:hint="eastAsia" w:ascii="宋体" w:cs="宋体"/>
          <w:color w:val="auto"/>
          <w:kern w:val="0"/>
          <w:szCs w:val="21"/>
        </w:rPr>
      </w:pPr>
      <w:r>
        <w:rPr>
          <w:rFonts w:hint="eastAsia" w:ascii="宋体" w:cs="宋体"/>
          <w:color w:val="auto"/>
          <w:kern w:val="0"/>
          <w:szCs w:val="21"/>
        </w:rPr>
        <w:t>14.4.1 最终结清申请单</w:t>
      </w:r>
    </w:p>
    <w:p w14:paraId="15B31B73">
      <w:pPr>
        <w:snapToGrid w:val="0"/>
        <w:spacing w:line="440" w:lineRule="exact"/>
        <w:ind w:firstLine="420" w:firstLineChars="200"/>
        <w:jc w:val="left"/>
        <w:rPr>
          <w:rFonts w:hint="eastAsia" w:ascii="宋体" w:cs="宋体"/>
          <w:color w:val="auto"/>
          <w:kern w:val="0"/>
          <w:szCs w:val="21"/>
        </w:rPr>
      </w:pPr>
      <w:r>
        <w:rPr>
          <w:rFonts w:hint="eastAsia" w:ascii="宋体" w:cs="宋体"/>
          <w:color w:val="auto"/>
          <w:kern w:val="0"/>
          <w:szCs w:val="21"/>
        </w:rPr>
        <w:t>承包人提交最终结清申请单的份数：</w:t>
      </w:r>
      <w:r>
        <w:rPr>
          <w:rFonts w:hint="eastAsia" w:ascii="宋体" w:cs="宋体"/>
          <w:color w:val="auto"/>
          <w:szCs w:val="21"/>
          <w:u w:val="single"/>
        </w:rPr>
        <w:t xml:space="preserve"> 4份  </w:t>
      </w:r>
      <w:r>
        <w:rPr>
          <w:rFonts w:hint="eastAsia" w:ascii="宋体" w:cs="宋体"/>
          <w:color w:val="auto"/>
          <w:szCs w:val="21"/>
        </w:rPr>
        <w:t>。</w:t>
      </w:r>
    </w:p>
    <w:p w14:paraId="75312F00">
      <w:pPr>
        <w:snapToGrid w:val="0"/>
        <w:spacing w:line="440" w:lineRule="exact"/>
        <w:ind w:firstLine="420" w:firstLineChars="200"/>
        <w:jc w:val="left"/>
        <w:rPr>
          <w:rFonts w:hint="eastAsia" w:ascii="宋体" w:cs="宋体"/>
          <w:color w:val="auto"/>
          <w:szCs w:val="21"/>
        </w:rPr>
      </w:pPr>
      <w:r>
        <w:rPr>
          <w:rFonts w:hint="eastAsia" w:ascii="宋体" w:cs="宋体"/>
          <w:color w:val="auto"/>
          <w:kern w:val="0"/>
          <w:szCs w:val="21"/>
        </w:rPr>
        <w:t>承包人提交最终结算申请单的期限：</w:t>
      </w:r>
      <w:r>
        <w:rPr>
          <w:rFonts w:hint="eastAsia" w:ascii="宋体" w:cs="宋体"/>
          <w:color w:val="auto"/>
          <w:szCs w:val="21"/>
          <w:u w:val="single"/>
        </w:rPr>
        <w:t xml:space="preserve"> 缺陷责任期满经复查合格后7天内。</w:t>
      </w:r>
    </w:p>
    <w:p w14:paraId="1F0AD7A1">
      <w:pPr>
        <w:snapToGrid w:val="0"/>
        <w:spacing w:line="440" w:lineRule="exact"/>
        <w:ind w:firstLine="420" w:firstLineChars="200"/>
        <w:jc w:val="left"/>
        <w:rPr>
          <w:rFonts w:hint="eastAsia" w:ascii="宋体" w:cs="宋体"/>
          <w:color w:val="auto"/>
          <w:szCs w:val="21"/>
        </w:rPr>
      </w:pPr>
      <w:r>
        <w:rPr>
          <w:rFonts w:hint="eastAsia" w:ascii="宋体" w:cs="宋体"/>
          <w:color w:val="auto"/>
          <w:szCs w:val="21"/>
        </w:rPr>
        <w:t>14.4.2 最终结清证书和支付</w:t>
      </w:r>
    </w:p>
    <w:p w14:paraId="543B6DBD">
      <w:pPr>
        <w:snapToGrid w:val="0"/>
        <w:spacing w:line="440" w:lineRule="exact"/>
        <w:ind w:firstLine="420" w:firstLineChars="200"/>
        <w:jc w:val="left"/>
        <w:rPr>
          <w:rFonts w:hint="eastAsia" w:ascii="宋体" w:cs="宋体"/>
          <w:color w:val="auto"/>
          <w:szCs w:val="21"/>
        </w:rPr>
      </w:pPr>
      <w:r>
        <w:rPr>
          <w:rFonts w:hint="eastAsia" w:ascii="宋体" w:cs="宋体"/>
          <w:color w:val="auto"/>
          <w:szCs w:val="21"/>
        </w:rPr>
        <w:t>（1）发包人完成最终结清申请单的审批并颁发最终结清证书的期限：</w:t>
      </w:r>
      <w:r>
        <w:rPr>
          <w:rFonts w:hint="eastAsia" w:ascii="宋体" w:cs="宋体"/>
          <w:color w:val="auto"/>
          <w:szCs w:val="21"/>
          <w:u w:val="single"/>
        </w:rPr>
        <w:t xml:space="preserve"> 缺陷责任期满经复查合格后14天内。</w:t>
      </w:r>
    </w:p>
    <w:p w14:paraId="7D1CF9E9">
      <w:pPr>
        <w:snapToGrid w:val="0"/>
        <w:spacing w:line="440" w:lineRule="exact"/>
        <w:ind w:firstLine="420" w:firstLineChars="200"/>
        <w:jc w:val="left"/>
        <w:rPr>
          <w:rFonts w:hint="eastAsia" w:ascii="宋体" w:cs="宋体"/>
          <w:color w:val="auto"/>
          <w:szCs w:val="21"/>
        </w:rPr>
      </w:pPr>
      <w:r>
        <w:rPr>
          <w:rFonts w:hint="eastAsia" w:ascii="宋体" w:cs="宋体"/>
          <w:color w:val="auto"/>
          <w:szCs w:val="21"/>
        </w:rPr>
        <w:t>（2）发包人完成支付的期限：</w:t>
      </w:r>
      <w:r>
        <w:rPr>
          <w:rFonts w:hint="eastAsia" w:ascii="宋体" w:cs="宋体"/>
          <w:color w:val="auto"/>
          <w:szCs w:val="21"/>
          <w:u w:val="single"/>
          <w:lang w:val="en-US" w:eastAsia="zh-CN"/>
        </w:rPr>
        <w:t>/</w:t>
      </w:r>
      <w:r>
        <w:rPr>
          <w:rFonts w:hint="eastAsia" w:ascii="宋体" w:cs="宋体"/>
          <w:color w:val="auto"/>
          <w:szCs w:val="21"/>
        </w:rPr>
        <w:t>。</w:t>
      </w:r>
    </w:p>
    <w:p w14:paraId="19EDB972">
      <w:pPr>
        <w:pStyle w:val="5"/>
        <w:snapToGrid w:val="0"/>
        <w:spacing w:before="0" w:after="0" w:line="440" w:lineRule="exact"/>
        <w:ind w:firstLine="420" w:firstLineChars="200"/>
        <w:rPr>
          <w:rFonts w:hint="eastAsia" w:ascii="宋体" w:eastAsia="宋体" w:cs="宋体"/>
          <w:b w:val="0"/>
          <w:color w:val="auto"/>
          <w:sz w:val="21"/>
          <w:szCs w:val="21"/>
        </w:rPr>
      </w:pPr>
      <w:r>
        <w:rPr>
          <w:rFonts w:hint="eastAsia" w:ascii="宋体" w:eastAsia="宋体" w:cs="宋体"/>
          <w:b w:val="0"/>
          <w:color w:val="auto"/>
          <w:sz w:val="21"/>
          <w:szCs w:val="21"/>
        </w:rPr>
        <w:t>15. 缺陷责任期与保修</w:t>
      </w:r>
    </w:p>
    <w:p w14:paraId="4739C256">
      <w:pPr>
        <w:snapToGrid w:val="0"/>
        <w:spacing w:line="440" w:lineRule="exact"/>
        <w:ind w:firstLine="420" w:firstLineChars="200"/>
        <w:rPr>
          <w:rFonts w:hint="eastAsia" w:ascii="宋体" w:cs="宋体"/>
          <w:color w:val="auto"/>
          <w:szCs w:val="21"/>
        </w:rPr>
      </w:pPr>
      <w:r>
        <w:rPr>
          <w:rFonts w:hint="eastAsia" w:ascii="宋体" w:cs="宋体"/>
          <w:color w:val="auto"/>
          <w:szCs w:val="21"/>
        </w:rPr>
        <w:t>15.2缺陷责任期</w:t>
      </w:r>
    </w:p>
    <w:p w14:paraId="572CC6ED">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缺陷责任期的具体期限：</w:t>
      </w:r>
      <w:r>
        <w:rPr>
          <w:rFonts w:hint="eastAsia" w:ascii="黑体" w:hAnsi="黑体" w:eastAsia="黑体" w:cs="黑体"/>
          <w:b/>
          <w:bCs/>
          <w:color w:val="auto"/>
          <w:szCs w:val="21"/>
          <w:highlight w:val="none"/>
          <w:u w:val="single"/>
        </w:rPr>
        <w:t>自竣工验收合格之日起</w:t>
      </w:r>
      <w:r>
        <w:rPr>
          <w:rFonts w:hint="eastAsia" w:ascii="黑体" w:hAnsi="黑体" w:eastAsia="黑体" w:cs="黑体"/>
          <w:b/>
          <w:bCs/>
          <w:color w:val="auto"/>
          <w:szCs w:val="21"/>
          <w:highlight w:val="none"/>
          <w:u w:val="single"/>
          <w:lang w:val="en-US" w:eastAsia="zh-CN"/>
        </w:rPr>
        <w:t>2年</w:t>
      </w:r>
      <w:r>
        <w:rPr>
          <w:rFonts w:hint="eastAsia" w:ascii="黑体" w:hAnsi="黑体" w:eastAsia="黑体" w:cs="黑体"/>
          <w:b/>
          <w:bCs/>
          <w:color w:val="auto"/>
          <w:szCs w:val="21"/>
          <w:highlight w:val="none"/>
          <w:u w:val="single"/>
        </w:rPr>
        <w:t>（详见付款方式）</w:t>
      </w:r>
      <w:r>
        <w:rPr>
          <w:rFonts w:hint="eastAsia" w:ascii="宋体" w:cs="宋体"/>
          <w:color w:val="auto"/>
          <w:szCs w:val="21"/>
          <w:highlight w:val="none"/>
          <w:u w:val="single"/>
        </w:rPr>
        <w:t>。</w:t>
      </w:r>
    </w:p>
    <w:p w14:paraId="3CF0815E">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cs="宋体"/>
          <w:szCs w:val="21"/>
        </w:rPr>
      </w:pPr>
      <w:r>
        <w:rPr>
          <w:rFonts w:hint="eastAsia" w:ascii="宋体" w:cs="宋体"/>
          <w:szCs w:val="21"/>
        </w:rPr>
        <w:t>15.3 质量保证金</w:t>
      </w:r>
    </w:p>
    <w:p w14:paraId="4CA46FC3">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关于是否扣留质量保证金的约定：</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是</w:t>
      </w:r>
      <w:r>
        <w:rPr>
          <w:rFonts w:hint="eastAsia" w:ascii="宋体" w:hAnsi="宋体" w:cs="宋体"/>
          <w:color w:val="000000"/>
          <w:szCs w:val="21"/>
          <w:u w:val="single"/>
        </w:rPr>
        <w:t xml:space="preserve">  </w:t>
      </w:r>
      <w:r>
        <w:rPr>
          <w:rFonts w:hint="eastAsia" w:ascii="宋体" w:hAnsi="宋体" w:cs="宋体"/>
          <w:color w:val="000000"/>
        </w:rPr>
        <w:t>。在工程项目竣工前，承包人按专用合同条款第3.7款提供履约保证金的，发包人不得同时预留工程质量保证金。</w:t>
      </w:r>
    </w:p>
    <w:p w14:paraId="561CBF79">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15.3.1 承包人提供质量保证金的方式</w:t>
      </w:r>
    </w:p>
    <w:p w14:paraId="29092FC2">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质量保证金采用</w:t>
      </w:r>
      <w:r>
        <w:rPr>
          <w:rFonts w:hint="eastAsia" w:ascii="宋体" w:hAnsi="宋体" w:cs="宋体"/>
          <w:color w:val="000000"/>
          <w:highlight w:val="none"/>
          <w:lang w:eastAsia="zh-CN"/>
        </w:rPr>
        <w:t>第</w:t>
      </w:r>
      <w:r>
        <w:rPr>
          <w:rFonts w:hint="eastAsia" w:ascii="宋体" w:hAnsi="宋体" w:cs="宋体"/>
          <w:color w:val="000000"/>
          <w:highlight w:val="none"/>
          <w:lang w:val="en-US" w:eastAsia="zh-CN"/>
        </w:rPr>
        <w:t>2种</w:t>
      </w:r>
      <w:r>
        <w:rPr>
          <w:rFonts w:hint="eastAsia" w:ascii="宋体" w:hAnsi="宋体" w:cs="宋体"/>
          <w:color w:val="000000"/>
          <w:highlight w:val="none"/>
        </w:rPr>
        <w:t>方式：</w:t>
      </w:r>
    </w:p>
    <w:p w14:paraId="404EED31">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kern w:val="0"/>
          <w:highlight w:val="none"/>
        </w:rPr>
      </w:pPr>
      <w:r>
        <w:rPr>
          <w:rFonts w:hint="eastAsia" w:ascii="宋体" w:hAnsi="宋体" w:cs="宋体"/>
          <w:color w:val="000000"/>
          <w:kern w:val="0"/>
          <w:highlight w:val="none"/>
        </w:rPr>
        <w:t>（1）质量保证金保函，保证金额为：</w:t>
      </w:r>
      <w:r>
        <w:rPr>
          <w:rFonts w:hint="eastAsia" w:ascii="宋体" w:hAnsi="宋体" w:cs="宋体"/>
          <w:color w:val="000000"/>
          <w:kern w:val="0"/>
          <w:highlight w:val="none"/>
          <w:u w:val="single"/>
          <w:lang w:val="en-US" w:eastAsia="zh-CN"/>
        </w:rPr>
        <w:t>/</w:t>
      </w:r>
      <w:r>
        <w:rPr>
          <w:rFonts w:hint="eastAsia" w:ascii="宋体" w:hAnsi="宋体" w:cs="宋体"/>
          <w:color w:val="000000"/>
          <w:kern w:val="0"/>
          <w:highlight w:val="none"/>
        </w:rPr>
        <w:t xml:space="preserve">； </w:t>
      </w:r>
    </w:p>
    <w:p w14:paraId="77BF3C08">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kern w:val="0"/>
          <w:highlight w:val="none"/>
        </w:rPr>
      </w:pPr>
      <w:r>
        <w:rPr>
          <w:rFonts w:hint="eastAsia" w:ascii="宋体" w:hAnsi="宋体" w:cs="宋体"/>
          <w:color w:val="000000"/>
          <w:kern w:val="0"/>
          <w:highlight w:val="none"/>
        </w:rPr>
        <w:t>（2）</w:t>
      </w:r>
      <w:r>
        <w:rPr>
          <w:rFonts w:hint="eastAsia" w:ascii="宋体" w:hAnsi="宋体" w:cs="宋体"/>
          <w:color w:val="000000"/>
          <w:kern w:val="0"/>
          <w:highlight w:val="none"/>
          <w:u w:val="single"/>
        </w:rPr>
        <w:t>2</w:t>
      </w:r>
      <w:r>
        <w:rPr>
          <w:rFonts w:hint="eastAsia" w:ascii="宋体" w:hAnsi="宋体" w:cs="宋体"/>
          <w:color w:val="000000"/>
          <w:kern w:val="0"/>
          <w:highlight w:val="none"/>
        </w:rPr>
        <w:t>%的工程款；</w:t>
      </w:r>
    </w:p>
    <w:p w14:paraId="23EA9768">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kern w:val="0"/>
          <w:highlight w:val="none"/>
        </w:rPr>
      </w:pPr>
      <w:r>
        <w:rPr>
          <w:rFonts w:hint="eastAsia" w:ascii="宋体" w:hAnsi="宋体" w:cs="宋体"/>
          <w:color w:val="000000"/>
          <w:kern w:val="0"/>
          <w:highlight w:val="none"/>
        </w:rPr>
        <w:t>（3）其他方式:</w:t>
      </w:r>
      <w:r>
        <w:rPr>
          <w:rFonts w:hint="eastAsia" w:ascii="宋体" w:hAnsi="宋体" w:cs="宋体"/>
          <w:color w:val="000000"/>
          <w:kern w:val="0"/>
          <w:highlight w:val="none"/>
          <w:u w:val="single"/>
        </w:rPr>
        <w:t xml:space="preserve"> </w:t>
      </w:r>
      <w:r>
        <w:rPr>
          <w:rFonts w:hint="eastAsia" w:ascii="宋体" w:hAnsi="宋体" w:cs="宋体"/>
          <w:color w:val="000000"/>
          <w:kern w:val="0"/>
          <w:highlight w:val="none"/>
          <w:u w:val="single"/>
          <w:lang w:val="en-US" w:eastAsia="zh-CN"/>
        </w:rPr>
        <w:t>/</w:t>
      </w:r>
      <w:r>
        <w:rPr>
          <w:rFonts w:hint="eastAsia" w:ascii="宋体" w:hAnsi="宋体" w:cs="宋体"/>
          <w:color w:val="000000"/>
          <w:kern w:val="0"/>
          <w:highlight w:val="none"/>
          <w:u w:val="single"/>
        </w:rPr>
        <w:t xml:space="preserve"> </w:t>
      </w:r>
      <w:r>
        <w:rPr>
          <w:rFonts w:hint="eastAsia" w:ascii="宋体" w:hAnsi="宋体" w:cs="宋体"/>
          <w:color w:val="000000"/>
          <w:kern w:val="0"/>
          <w:highlight w:val="none"/>
        </w:rPr>
        <w:t>。</w:t>
      </w:r>
    </w:p>
    <w:p w14:paraId="616B4501">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 xml:space="preserve">15.3.2 质量保证金的扣留 </w:t>
      </w:r>
    </w:p>
    <w:p w14:paraId="53ADB371">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质量保证金的扣留采取以下</w:t>
      </w:r>
      <w:r>
        <w:rPr>
          <w:rFonts w:hint="eastAsia" w:ascii="宋体" w:hAnsi="宋体" w:cs="宋体"/>
          <w:color w:val="000000"/>
          <w:highlight w:val="none"/>
          <w:lang w:eastAsia="zh-CN"/>
        </w:rPr>
        <w:t>第</w:t>
      </w:r>
      <w:r>
        <w:rPr>
          <w:rFonts w:hint="eastAsia" w:ascii="宋体" w:hAnsi="宋体" w:cs="宋体"/>
          <w:color w:val="000000"/>
          <w:highlight w:val="none"/>
          <w:lang w:val="en-US" w:eastAsia="zh-CN"/>
        </w:rPr>
        <w:t>2种</w:t>
      </w:r>
      <w:r>
        <w:rPr>
          <w:rFonts w:hint="eastAsia" w:ascii="宋体" w:hAnsi="宋体" w:cs="宋体"/>
          <w:color w:val="000000"/>
          <w:highlight w:val="none"/>
        </w:rPr>
        <w:t>方式：</w:t>
      </w:r>
    </w:p>
    <w:p w14:paraId="7296B1E7">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kern w:val="0"/>
          <w:highlight w:val="none"/>
        </w:rPr>
      </w:pPr>
      <w:r>
        <w:rPr>
          <w:rFonts w:hint="eastAsia" w:ascii="宋体" w:hAnsi="宋体" w:cs="宋体"/>
          <w:color w:val="000000"/>
          <w:kern w:val="0"/>
          <w:highlight w:val="none"/>
        </w:rPr>
        <w:t>（1）在支付工程进度款时逐次扣留，在此情形下，质量保证金的计算基数不包括预付款的支付、扣回以及价格调整的金额；</w:t>
      </w:r>
    </w:p>
    <w:p w14:paraId="2872C37C">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kern w:val="0"/>
        </w:rPr>
      </w:pPr>
      <w:r>
        <w:rPr>
          <w:rFonts w:hint="eastAsia" w:ascii="宋体" w:hAnsi="宋体" w:cs="宋体"/>
          <w:color w:val="000000"/>
          <w:kern w:val="0"/>
        </w:rPr>
        <w:t>（2）工程竣工结算时一次性扣留质量保证金；</w:t>
      </w:r>
    </w:p>
    <w:p w14:paraId="0DC737CF">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kern w:val="0"/>
        </w:rPr>
      </w:pPr>
      <w:r>
        <w:rPr>
          <w:rFonts w:hint="eastAsia" w:ascii="宋体" w:hAnsi="宋体" w:cs="宋体"/>
          <w:color w:val="000000"/>
          <w:kern w:val="0"/>
        </w:rPr>
        <w:t>（3）其他扣留方式:</w:t>
      </w:r>
      <w:r>
        <w:rPr>
          <w:rFonts w:hint="eastAsia" w:ascii="宋体" w:hAnsi="宋体" w:cs="宋体"/>
          <w:color w:val="000000"/>
          <w:kern w:val="0"/>
          <w:u w:val="single"/>
        </w:rPr>
        <w:t xml:space="preserve">      </w:t>
      </w:r>
      <w:r>
        <w:rPr>
          <w:rFonts w:hint="eastAsia" w:ascii="宋体" w:hAnsi="宋体" w:cs="宋体"/>
          <w:color w:val="000000"/>
          <w:kern w:val="0"/>
        </w:rPr>
        <w:t>。</w:t>
      </w:r>
    </w:p>
    <w:p w14:paraId="4BEF53BA">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关于质量保证金的补充约定：</w:t>
      </w:r>
      <w:r>
        <w:rPr>
          <w:rFonts w:hint="eastAsia" w:ascii="宋体" w:hAnsi="宋体" w:cs="宋体"/>
          <w:color w:val="000000"/>
          <w:kern w:val="0"/>
          <w:u w:val="single"/>
        </w:rPr>
        <w:t xml:space="preserve">      </w:t>
      </w:r>
      <w:r>
        <w:rPr>
          <w:rFonts w:hint="eastAsia" w:ascii="宋体" w:hAnsi="宋体" w:cs="宋体"/>
          <w:color w:val="000000"/>
          <w:kern w:val="0"/>
        </w:rPr>
        <w:t>。</w:t>
      </w:r>
    </w:p>
    <w:p w14:paraId="643D31C8">
      <w:pPr>
        <w:snapToGrid w:val="0"/>
        <w:spacing w:line="440" w:lineRule="exact"/>
        <w:ind w:firstLine="420" w:firstLineChars="200"/>
        <w:rPr>
          <w:rFonts w:hint="eastAsia" w:ascii="宋体" w:cs="宋体"/>
          <w:szCs w:val="21"/>
        </w:rPr>
      </w:pPr>
      <w:r>
        <w:rPr>
          <w:rFonts w:hint="eastAsia" w:ascii="宋体" w:cs="宋体"/>
          <w:szCs w:val="21"/>
        </w:rPr>
        <w:t>15.4保修</w:t>
      </w:r>
    </w:p>
    <w:p w14:paraId="2CEB8E23">
      <w:pPr>
        <w:snapToGrid w:val="0"/>
        <w:spacing w:line="440" w:lineRule="exact"/>
        <w:ind w:firstLine="420" w:firstLineChars="200"/>
        <w:jc w:val="left"/>
        <w:rPr>
          <w:rFonts w:hint="eastAsia" w:ascii="宋体" w:cs="宋体"/>
          <w:szCs w:val="21"/>
        </w:rPr>
      </w:pPr>
      <w:r>
        <w:rPr>
          <w:rFonts w:hint="eastAsia" w:ascii="宋体" w:cs="宋体"/>
          <w:szCs w:val="21"/>
        </w:rPr>
        <w:t>15.4.1 保修责任</w:t>
      </w:r>
    </w:p>
    <w:p w14:paraId="2156CD60">
      <w:pPr>
        <w:snapToGrid w:val="0"/>
        <w:spacing w:line="440" w:lineRule="exact"/>
        <w:ind w:firstLine="420" w:firstLineChars="200"/>
        <w:jc w:val="left"/>
        <w:rPr>
          <w:rFonts w:hint="eastAsia" w:ascii="宋体" w:cs="宋体"/>
          <w:kern w:val="0"/>
          <w:szCs w:val="21"/>
          <w:u w:val="single"/>
        </w:rPr>
      </w:pPr>
      <w:r>
        <w:rPr>
          <w:rFonts w:hint="eastAsia" w:ascii="宋体" w:cs="宋体"/>
          <w:szCs w:val="21"/>
        </w:rPr>
        <w:t>工程保修期为：</w:t>
      </w:r>
      <w:r>
        <w:rPr>
          <w:rFonts w:hint="eastAsia" w:ascii="宋体" w:cs="宋体"/>
          <w:kern w:val="0"/>
          <w:szCs w:val="21"/>
          <w:u w:val="single"/>
        </w:rPr>
        <w:t xml:space="preserve">   </w:t>
      </w:r>
      <w:r>
        <w:rPr>
          <w:rFonts w:hint="eastAsia" w:ascii="宋体" w:hAnsi="宋体" w:cs="宋体"/>
          <w:color w:val="000000"/>
          <w:szCs w:val="21"/>
          <w:u w:val="single"/>
        </w:rPr>
        <w:t>执行《工程质量保修书》规定</w:t>
      </w:r>
      <w:r>
        <w:rPr>
          <w:rFonts w:hint="eastAsia" w:ascii="宋体" w:cs="宋体"/>
          <w:kern w:val="0"/>
          <w:szCs w:val="21"/>
          <w:u w:val="single"/>
        </w:rPr>
        <w:t xml:space="preserve">。     </w:t>
      </w:r>
    </w:p>
    <w:p w14:paraId="33035DF3">
      <w:pPr>
        <w:snapToGrid w:val="0"/>
        <w:spacing w:line="440" w:lineRule="exact"/>
        <w:ind w:firstLine="420" w:firstLineChars="200"/>
        <w:jc w:val="left"/>
        <w:rPr>
          <w:rFonts w:hint="eastAsia" w:ascii="宋体" w:cs="宋体"/>
          <w:kern w:val="0"/>
          <w:szCs w:val="21"/>
          <w:u w:val="single"/>
        </w:rPr>
      </w:pPr>
      <w:r>
        <w:rPr>
          <w:rFonts w:hint="eastAsia" w:ascii="宋体" w:cs="宋体"/>
          <w:kern w:val="0"/>
          <w:szCs w:val="21"/>
        </w:rPr>
        <w:t>承包人收到保修通知并到达工程现场的合理时间：</w:t>
      </w:r>
      <w:r>
        <w:rPr>
          <w:rFonts w:hint="eastAsia" w:ascii="宋体" w:cs="宋体"/>
          <w:kern w:val="0"/>
          <w:szCs w:val="21"/>
          <w:u w:val="single"/>
        </w:rPr>
        <w:t>自承包人收到保修通知起</w:t>
      </w:r>
      <w:r>
        <w:rPr>
          <w:rFonts w:hint="eastAsia" w:ascii="宋体" w:cs="宋体"/>
          <w:kern w:val="0"/>
          <w:szCs w:val="21"/>
          <w:u w:val="single"/>
          <w:lang w:val="en-US" w:eastAsia="zh-CN"/>
        </w:rPr>
        <w:t>48</w:t>
      </w:r>
      <w:r>
        <w:rPr>
          <w:rFonts w:hint="eastAsia" w:ascii="宋体" w:cs="宋体"/>
          <w:kern w:val="0"/>
          <w:szCs w:val="21"/>
          <w:u w:val="single"/>
        </w:rPr>
        <w:t xml:space="preserve">小时内到达工程现场。  </w:t>
      </w:r>
    </w:p>
    <w:p w14:paraId="15CF42AB">
      <w:pPr>
        <w:pStyle w:val="5"/>
        <w:snapToGrid w:val="0"/>
        <w:spacing w:before="0" w:after="0" w:line="440" w:lineRule="exact"/>
        <w:ind w:firstLine="420" w:firstLineChars="200"/>
        <w:rPr>
          <w:rFonts w:hint="eastAsia" w:ascii="宋体" w:eastAsia="宋体" w:cs="宋体"/>
          <w:b w:val="0"/>
          <w:sz w:val="21"/>
          <w:szCs w:val="21"/>
        </w:rPr>
      </w:pPr>
      <w:r>
        <w:rPr>
          <w:rFonts w:hint="eastAsia" w:ascii="宋体" w:eastAsia="宋体" w:cs="宋体"/>
          <w:b w:val="0"/>
          <w:sz w:val="21"/>
          <w:szCs w:val="21"/>
        </w:rPr>
        <w:t>16. 违约</w:t>
      </w:r>
    </w:p>
    <w:p w14:paraId="21A2DA49">
      <w:pPr>
        <w:snapToGrid w:val="0"/>
        <w:spacing w:line="440" w:lineRule="exact"/>
        <w:ind w:firstLine="420" w:firstLineChars="200"/>
        <w:rPr>
          <w:rFonts w:hint="eastAsia" w:ascii="宋体" w:cs="宋体"/>
          <w:szCs w:val="21"/>
        </w:rPr>
      </w:pPr>
      <w:r>
        <w:rPr>
          <w:rFonts w:hint="eastAsia" w:ascii="宋体" w:cs="宋体"/>
          <w:szCs w:val="21"/>
        </w:rPr>
        <w:t>16.1 发包人违约</w:t>
      </w:r>
    </w:p>
    <w:p w14:paraId="320C463F">
      <w:pPr>
        <w:snapToGrid w:val="0"/>
        <w:spacing w:line="440" w:lineRule="exact"/>
        <w:ind w:firstLine="420" w:firstLineChars="200"/>
        <w:jc w:val="left"/>
        <w:rPr>
          <w:rFonts w:hint="eastAsia" w:ascii="宋体" w:cs="宋体"/>
          <w:szCs w:val="21"/>
        </w:rPr>
      </w:pPr>
      <w:r>
        <w:rPr>
          <w:rFonts w:hint="eastAsia" w:ascii="宋体" w:cs="宋体"/>
          <w:szCs w:val="21"/>
        </w:rPr>
        <w:t>16.1.1发包人违约的情形</w:t>
      </w:r>
    </w:p>
    <w:p w14:paraId="2353DD21">
      <w:pPr>
        <w:snapToGrid w:val="0"/>
        <w:spacing w:line="440" w:lineRule="exact"/>
        <w:ind w:firstLine="420" w:firstLineChars="200"/>
        <w:jc w:val="left"/>
        <w:rPr>
          <w:rFonts w:hint="eastAsia" w:ascii="宋体" w:cs="宋体"/>
          <w:kern w:val="0"/>
          <w:szCs w:val="21"/>
          <w:u w:val="single"/>
        </w:rPr>
      </w:pPr>
      <w:r>
        <w:rPr>
          <w:rFonts w:hint="eastAsia" w:ascii="宋体" w:cs="宋体"/>
          <w:kern w:val="0"/>
          <w:szCs w:val="21"/>
        </w:rPr>
        <w:t>发包人违约的其他情形：</w:t>
      </w:r>
      <w:r>
        <w:rPr>
          <w:rFonts w:hint="eastAsia" w:ascii="宋体" w:cs="宋体"/>
          <w:kern w:val="0"/>
          <w:szCs w:val="21"/>
          <w:u w:val="single"/>
        </w:rPr>
        <w:t xml:space="preserve">   无    </w:t>
      </w:r>
      <w:r>
        <w:rPr>
          <w:rFonts w:hint="eastAsia" w:ascii="宋体" w:cs="宋体"/>
          <w:kern w:val="0"/>
          <w:szCs w:val="21"/>
        </w:rPr>
        <w:t>。</w:t>
      </w:r>
    </w:p>
    <w:p w14:paraId="290C3EEB">
      <w:pPr>
        <w:snapToGrid w:val="0"/>
        <w:spacing w:line="440" w:lineRule="exact"/>
        <w:ind w:firstLine="420" w:firstLineChars="200"/>
        <w:jc w:val="left"/>
        <w:rPr>
          <w:rFonts w:hint="eastAsia" w:ascii="宋体" w:cs="宋体"/>
          <w:kern w:val="0"/>
          <w:szCs w:val="21"/>
        </w:rPr>
      </w:pPr>
      <w:r>
        <w:rPr>
          <w:rFonts w:hint="eastAsia" w:ascii="宋体" w:cs="宋体"/>
          <w:kern w:val="0"/>
          <w:szCs w:val="21"/>
        </w:rPr>
        <w:t>16.1.2 发包人违约的责任</w:t>
      </w:r>
    </w:p>
    <w:p w14:paraId="1DCFBA53">
      <w:pPr>
        <w:snapToGrid w:val="0"/>
        <w:spacing w:line="440" w:lineRule="exact"/>
        <w:ind w:firstLine="420" w:firstLineChars="200"/>
        <w:jc w:val="left"/>
        <w:rPr>
          <w:rFonts w:hint="eastAsia" w:ascii="宋体" w:cs="宋体"/>
          <w:kern w:val="0"/>
          <w:szCs w:val="21"/>
        </w:rPr>
      </w:pPr>
      <w:r>
        <w:rPr>
          <w:rFonts w:hint="eastAsia" w:ascii="宋体" w:cs="宋体"/>
          <w:kern w:val="0"/>
          <w:szCs w:val="21"/>
        </w:rPr>
        <w:t>发包人违约责任的承担方式和计算方法：</w:t>
      </w:r>
    </w:p>
    <w:p w14:paraId="6356C663">
      <w:pPr>
        <w:snapToGrid w:val="0"/>
        <w:spacing w:line="440" w:lineRule="exact"/>
        <w:ind w:firstLine="420" w:firstLineChars="200"/>
        <w:jc w:val="left"/>
        <w:rPr>
          <w:rFonts w:hint="eastAsia" w:ascii="宋体" w:cs="宋体"/>
          <w:kern w:val="0"/>
          <w:szCs w:val="21"/>
          <w:u w:val="single"/>
        </w:rPr>
      </w:pPr>
      <w:r>
        <w:rPr>
          <w:rFonts w:hint="eastAsia" w:ascii="宋体" w:cs="宋体"/>
          <w:kern w:val="0"/>
          <w:szCs w:val="21"/>
        </w:rPr>
        <w:t>（1）因发包人原因未能在计划开工日期前7天内下达开工通知的违约责任：</w:t>
      </w:r>
      <w:r>
        <w:rPr>
          <w:rFonts w:hint="eastAsia" w:ascii="宋体" w:cs="宋体"/>
          <w:kern w:val="0"/>
          <w:szCs w:val="21"/>
          <w:u w:val="single"/>
        </w:rPr>
        <w:t xml:space="preserve">  对工期造成影响的可顺延工期  </w:t>
      </w:r>
      <w:r>
        <w:rPr>
          <w:rFonts w:hint="eastAsia" w:ascii="宋体" w:cs="宋体"/>
          <w:kern w:val="0"/>
          <w:szCs w:val="21"/>
        </w:rPr>
        <w:t>。</w:t>
      </w:r>
    </w:p>
    <w:p w14:paraId="1779894E">
      <w:pPr>
        <w:snapToGrid w:val="0"/>
        <w:spacing w:line="440" w:lineRule="exact"/>
        <w:ind w:firstLine="420" w:firstLineChars="200"/>
        <w:jc w:val="left"/>
        <w:rPr>
          <w:rFonts w:hint="eastAsia" w:ascii="宋体" w:cs="宋体"/>
          <w:kern w:val="0"/>
          <w:szCs w:val="21"/>
        </w:rPr>
      </w:pPr>
      <w:r>
        <w:rPr>
          <w:rFonts w:hint="eastAsia" w:ascii="宋体" w:cs="宋体"/>
          <w:kern w:val="0"/>
          <w:szCs w:val="21"/>
        </w:rPr>
        <w:t>（2）因发包人原因未能按合同约定支付合同价款的违约责任：</w:t>
      </w:r>
      <w:r>
        <w:rPr>
          <w:rFonts w:hint="eastAsia" w:ascii="宋体" w:cs="宋体"/>
          <w:kern w:val="0"/>
          <w:szCs w:val="21"/>
          <w:u w:val="single"/>
        </w:rPr>
        <w:t xml:space="preserve">  可按照中国人民银行发布的同期同类贷款基准利率支付违约金</w:t>
      </w:r>
      <w:r>
        <w:rPr>
          <w:rFonts w:hint="eastAsia" w:ascii="宋体" w:cs="宋体"/>
          <w:kern w:val="0"/>
          <w:szCs w:val="21"/>
        </w:rPr>
        <w:t>。</w:t>
      </w:r>
    </w:p>
    <w:p w14:paraId="011B4F5C">
      <w:pPr>
        <w:snapToGrid w:val="0"/>
        <w:spacing w:line="440" w:lineRule="exact"/>
        <w:ind w:firstLine="420" w:firstLineChars="200"/>
        <w:jc w:val="left"/>
        <w:rPr>
          <w:rFonts w:hint="eastAsia" w:ascii="宋体" w:cs="宋体"/>
          <w:kern w:val="0"/>
          <w:szCs w:val="21"/>
          <w:u w:val="single"/>
        </w:rPr>
      </w:pPr>
      <w:r>
        <w:rPr>
          <w:rFonts w:hint="eastAsia" w:ascii="宋体" w:cs="宋体"/>
          <w:kern w:val="0"/>
          <w:szCs w:val="21"/>
        </w:rPr>
        <w:t>（3）发包人违反第10.1款〔变更的范围〕第（2）项约定，自行实施被取消的工作或转由他人实施的违约责任：</w:t>
      </w:r>
      <w:r>
        <w:rPr>
          <w:rFonts w:hint="eastAsia" w:ascii="宋体" w:cs="宋体"/>
          <w:kern w:val="0"/>
          <w:szCs w:val="21"/>
          <w:u w:val="single"/>
        </w:rPr>
        <w:t xml:space="preserve">   </w:t>
      </w:r>
      <w:r>
        <w:rPr>
          <w:rFonts w:hint="eastAsia" w:ascii="宋体" w:cs="宋体"/>
          <w:kern w:val="0"/>
          <w:szCs w:val="21"/>
          <w:u w:val="single"/>
          <w:lang w:val="en-US" w:eastAsia="zh-CN"/>
        </w:rPr>
        <w:t>/</w:t>
      </w:r>
      <w:r>
        <w:rPr>
          <w:rFonts w:hint="eastAsia" w:ascii="宋体" w:cs="宋体"/>
          <w:kern w:val="0"/>
          <w:szCs w:val="21"/>
          <w:u w:val="single"/>
        </w:rPr>
        <w:t xml:space="preserve">   </w:t>
      </w:r>
      <w:r>
        <w:rPr>
          <w:rFonts w:hint="eastAsia" w:ascii="宋体" w:cs="宋体"/>
          <w:kern w:val="0"/>
          <w:szCs w:val="21"/>
        </w:rPr>
        <w:t>。</w:t>
      </w:r>
    </w:p>
    <w:p w14:paraId="3D77050F">
      <w:pPr>
        <w:snapToGrid w:val="0"/>
        <w:spacing w:line="440" w:lineRule="exact"/>
        <w:ind w:firstLine="420" w:firstLineChars="200"/>
        <w:jc w:val="left"/>
        <w:rPr>
          <w:rFonts w:hint="eastAsia" w:ascii="宋体" w:cs="宋体"/>
          <w:kern w:val="0"/>
          <w:szCs w:val="21"/>
        </w:rPr>
      </w:pPr>
      <w:r>
        <w:rPr>
          <w:rFonts w:hint="eastAsia" w:ascii="宋体" w:cs="宋体"/>
          <w:kern w:val="0"/>
          <w:szCs w:val="21"/>
        </w:rPr>
        <w:t>（4）发包人提供的材料、工程设备的规格、数量或质量不符合合同约定，或因发包人原因导致交货日期延误或交货地点变更等情况的违约责任：</w:t>
      </w:r>
      <w:r>
        <w:rPr>
          <w:rFonts w:hint="eastAsia" w:ascii="宋体" w:cs="宋体"/>
          <w:kern w:val="0"/>
          <w:szCs w:val="21"/>
          <w:u w:val="single"/>
        </w:rPr>
        <w:t xml:space="preserve">   </w:t>
      </w:r>
      <w:r>
        <w:rPr>
          <w:rFonts w:hint="eastAsia" w:ascii="宋体" w:cs="宋体"/>
          <w:kern w:val="0"/>
          <w:szCs w:val="21"/>
          <w:u w:val="single"/>
          <w:lang w:val="en-US" w:eastAsia="zh-CN"/>
        </w:rPr>
        <w:t>/</w:t>
      </w:r>
      <w:r>
        <w:rPr>
          <w:rFonts w:hint="eastAsia" w:ascii="宋体" w:cs="宋体"/>
          <w:kern w:val="0"/>
          <w:szCs w:val="21"/>
          <w:u w:val="single"/>
        </w:rPr>
        <w:t xml:space="preserve">  </w:t>
      </w:r>
      <w:r>
        <w:rPr>
          <w:rFonts w:hint="eastAsia" w:ascii="宋体" w:cs="宋体"/>
          <w:kern w:val="0"/>
          <w:szCs w:val="21"/>
        </w:rPr>
        <w:t>。</w:t>
      </w:r>
    </w:p>
    <w:p w14:paraId="38C7ED0D">
      <w:pPr>
        <w:snapToGrid w:val="0"/>
        <w:spacing w:line="440" w:lineRule="exact"/>
        <w:ind w:firstLine="420" w:firstLineChars="200"/>
        <w:jc w:val="left"/>
        <w:rPr>
          <w:rFonts w:hint="eastAsia" w:ascii="宋体" w:cs="宋体"/>
          <w:kern w:val="0"/>
          <w:szCs w:val="21"/>
          <w:u w:val="single"/>
        </w:rPr>
      </w:pPr>
      <w:r>
        <w:rPr>
          <w:rFonts w:hint="eastAsia" w:ascii="宋体" w:cs="宋体"/>
          <w:kern w:val="0"/>
          <w:szCs w:val="21"/>
        </w:rPr>
        <w:t>（5）因发包人违反合同约定造成暂停施工的违约责任：</w:t>
      </w:r>
      <w:r>
        <w:rPr>
          <w:rFonts w:hint="eastAsia" w:ascii="宋体" w:cs="宋体"/>
          <w:kern w:val="0"/>
          <w:szCs w:val="21"/>
          <w:u w:val="single"/>
        </w:rPr>
        <w:t xml:space="preserve">  可顺延工期  </w:t>
      </w:r>
      <w:r>
        <w:rPr>
          <w:rFonts w:hint="eastAsia" w:ascii="宋体" w:cs="宋体"/>
          <w:kern w:val="0"/>
          <w:szCs w:val="21"/>
        </w:rPr>
        <w:t>。</w:t>
      </w:r>
    </w:p>
    <w:p w14:paraId="4FB25F50">
      <w:pPr>
        <w:snapToGrid w:val="0"/>
        <w:spacing w:line="440" w:lineRule="exact"/>
        <w:ind w:firstLine="420" w:firstLineChars="200"/>
        <w:jc w:val="left"/>
        <w:rPr>
          <w:rFonts w:hint="eastAsia" w:ascii="宋体" w:cs="宋体"/>
          <w:kern w:val="0"/>
          <w:szCs w:val="21"/>
        </w:rPr>
      </w:pPr>
      <w:r>
        <w:rPr>
          <w:rFonts w:hint="eastAsia" w:ascii="宋体" w:cs="宋体"/>
          <w:kern w:val="0"/>
          <w:szCs w:val="21"/>
        </w:rPr>
        <w:t>（6）发包人无正当理由没有在约定期限内发出复工指示，导致承包人无法复工的违约责任：</w:t>
      </w:r>
      <w:r>
        <w:rPr>
          <w:rFonts w:hint="eastAsia" w:ascii="宋体" w:cs="宋体"/>
          <w:kern w:val="0"/>
          <w:szCs w:val="21"/>
          <w:u w:val="single"/>
        </w:rPr>
        <w:t xml:space="preserve"> 对工期造成影响的可顺延工期  </w:t>
      </w:r>
      <w:r>
        <w:rPr>
          <w:rFonts w:hint="eastAsia" w:ascii="宋体" w:cs="宋体"/>
          <w:kern w:val="0"/>
          <w:szCs w:val="21"/>
        </w:rPr>
        <w:t>。</w:t>
      </w:r>
    </w:p>
    <w:p w14:paraId="07E5A5A7">
      <w:pPr>
        <w:snapToGrid w:val="0"/>
        <w:spacing w:line="440" w:lineRule="exact"/>
        <w:ind w:firstLine="420" w:firstLineChars="200"/>
        <w:jc w:val="left"/>
        <w:rPr>
          <w:rFonts w:hint="eastAsia" w:ascii="宋体" w:cs="宋体"/>
          <w:kern w:val="0"/>
          <w:szCs w:val="21"/>
        </w:rPr>
      </w:pPr>
      <w:r>
        <w:rPr>
          <w:rFonts w:hint="eastAsia" w:ascii="宋体" w:cs="宋体"/>
          <w:kern w:val="0"/>
          <w:szCs w:val="21"/>
        </w:rPr>
        <w:t>（7）其他：</w:t>
      </w:r>
      <w:r>
        <w:rPr>
          <w:rFonts w:hint="eastAsia" w:ascii="宋体" w:cs="宋体"/>
          <w:kern w:val="0"/>
          <w:szCs w:val="21"/>
          <w:u w:val="single"/>
        </w:rPr>
        <w:t xml:space="preserve">  无  </w:t>
      </w:r>
      <w:r>
        <w:rPr>
          <w:rFonts w:hint="eastAsia" w:ascii="宋体" w:cs="宋体"/>
          <w:kern w:val="0"/>
          <w:szCs w:val="21"/>
        </w:rPr>
        <w:t>。</w:t>
      </w:r>
    </w:p>
    <w:p w14:paraId="78D1480D">
      <w:pPr>
        <w:snapToGrid w:val="0"/>
        <w:spacing w:line="440" w:lineRule="exact"/>
        <w:ind w:firstLine="420" w:firstLineChars="200"/>
        <w:jc w:val="left"/>
        <w:rPr>
          <w:rFonts w:hint="eastAsia" w:ascii="宋体" w:cs="宋体"/>
          <w:szCs w:val="21"/>
        </w:rPr>
      </w:pPr>
      <w:r>
        <w:rPr>
          <w:rFonts w:hint="eastAsia" w:ascii="宋体" w:cs="宋体"/>
          <w:szCs w:val="21"/>
        </w:rPr>
        <w:t>16.1.3 因发包人违约解除合同</w:t>
      </w:r>
    </w:p>
    <w:p w14:paraId="71B4528B">
      <w:pPr>
        <w:autoSpaceDE w:val="0"/>
        <w:autoSpaceDN w:val="0"/>
        <w:adjustRightInd w:val="0"/>
        <w:snapToGrid w:val="0"/>
        <w:spacing w:line="440" w:lineRule="exact"/>
        <w:ind w:firstLine="420" w:firstLineChars="200"/>
        <w:jc w:val="left"/>
        <w:rPr>
          <w:rFonts w:hint="eastAsia" w:ascii="宋体" w:cs="宋体"/>
          <w:kern w:val="0"/>
          <w:szCs w:val="21"/>
        </w:rPr>
      </w:pPr>
      <w:r>
        <w:rPr>
          <w:rFonts w:hint="eastAsia" w:ascii="宋体" w:cs="宋体"/>
          <w:kern w:val="0"/>
          <w:szCs w:val="21"/>
        </w:rPr>
        <w:t>承包人按16.1.1项〔发包人违约的情形〕约定暂停施工满</w:t>
      </w:r>
      <w:r>
        <w:rPr>
          <w:rFonts w:hint="eastAsia" w:ascii="宋体" w:cs="宋体"/>
          <w:kern w:val="0"/>
          <w:szCs w:val="21"/>
          <w:u w:val="single"/>
        </w:rPr>
        <w:t xml:space="preserve">  28  </w:t>
      </w:r>
      <w:r>
        <w:rPr>
          <w:rFonts w:hint="eastAsia" w:ascii="宋体" w:cs="宋体"/>
          <w:kern w:val="0"/>
          <w:szCs w:val="21"/>
        </w:rPr>
        <w:t>天后发包人仍不纠正其违约行为并致使合同目的不能实现的，承包人有权解除合同。</w:t>
      </w:r>
    </w:p>
    <w:p w14:paraId="73DCC081">
      <w:pPr>
        <w:snapToGrid w:val="0"/>
        <w:spacing w:line="440" w:lineRule="exact"/>
        <w:ind w:firstLine="420" w:firstLineChars="200"/>
        <w:rPr>
          <w:rFonts w:hint="eastAsia" w:ascii="宋体" w:cs="宋体"/>
          <w:szCs w:val="21"/>
        </w:rPr>
      </w:pPr>
      <w:r>
        <w:rPr>
          <w:rFonts w:hint="eastAsia" w:ascii="宋体" w:cs="宋体"/>
          <w:szCs w:val="21"/>
        </w:rPr>
        <w:t>16.2 承包人违约</w:t>
      </w:r>
    </w:p>
    <w:p w14:paraId="7CB9B8CD">
      <w:pPr>
        <w:snapToGrid w:val="0"/>
        <w:spacing w:line="440" w:lineRule="exact"/>
        <w:ind w:firstLine="420" w:firstLineChars="200"/>
        <w:jc w:val="left"/>
        <w:rPr>
          <w:rFonts w:hint="eastAsia" w:ascii="宋体" w:cs="宋体"/>
          <w:kern w:val="0"/>
          <w:szCs w:val="21"/>
        </w:rPr>
      </w:pPr>
      <w:r>
        <w:rPr>
          <w:rFonts w:hint="eastAsia" w:ascii="宋体" w:cs="宋体"/>
          <w:kern w:val="0"/>
          <w:szCs w:val="21"/>
        </w:rPr>
        <w:t>16.2.1 承包人违约的情形</w:t>
      </w:r>
    </w:p>
    <w:p w14:paraId="2CE802B8">
      <w:pPr>
        <w:snapToGrid w:val="0"/>
        <w:spacing w:line="440" w:lineRule="exact"/>
        <w:ind w:firstLine="420" w:firstLineChars="200"/>
        <w:jc w:val="left"/>
        <w:rPr>
          <w:rFonts w:hint="eastAsia" w:ascii="宋体" w:cs="宋体"/>
          <w:kern w:val="0"/>
          <w:szCs w:val="21"/>
          <w:u w:val="single"/>
        </w:rPr>
      </w:pPr>
      <w:r>
        <w:rPr>
          <w:rFonts w:hint="eastAsia" w:ascii="宋体" w:cs="宋体"/>
          <w:kern w:val="0"/>
          <w:szCs w:val="21"/>
        </w:rPr>
        <w:t>承包人违约的其他情形：</w:t>
      </w:r>
      <w:r>
        <w:rPr>
          <w:rFonts w:hint="eastAsia" w:ascii="宋体" w:cs="宋体"/>
          <w:kern w:val="0"/>
          <w:szCs w:val="21"/>
          <w:u w:val="single"/>
        </w:rPr>
        <w:t xml:space="preserve">   执行补充条款   </w:t>
      </w:r>
      <w:r>
        <w:rPr>
          <w:rFonts w:hint="eastAsia" w:ascii="宋体" w:cs="宋体"/>
          <w:kern w:val="0"/>
          <w:szCs w:val="21"/>
        </w:rPr>
        <w:t>。</w:t>
      </w:r>
    </w:p>
    <w:p w14:paraId="20D51133">
      <w:pPr>
        <w:snapToGrid w:val="0"/>
        <w:spacing w:line="440" w:lineRule="exact"/>
        <w:ind w:firstLine="420" w:firstLineChars="200"/>
        <w:jc w:val="left"/>
        <w:rPr>
          <w:rFonts w:hint="eastAsia" w:ascii="宋体" w:cs="宋体"/>
          <w:kern w:val="0"/>
          <w:szCs w:val="21"/>
        </w:rPr>
      </w:pPr>
      <w:r>
        <w:rPr>
          <w:rFonts w:hint="eastAsia" w:ascii="宋体" w:cs="宋体"/>
          <w:kern w:val="0"/>
          <w:szCs w:val="21"/>
        </w:rPr>
        <w:t>16.2.2承包人违约的责任</w:t>
      </w:r>
    </w:p>
    <w:p w14:paraId="2B5523EB">
      <w:pPr>
        <w:snapToGrid w:val="0"/>
        <w:spacing w:line="440" w:lineRule="exact"/>
        <w:ind w:firstLine="420" w:firstLineChars="200"/>
        <w:jc w:val="left"/>
        <w:rPr>
          <w:rFonts w:hint="eastAsia" w:ascii="宋体" w:cs="宋体"/>
          <w:kern w:val="0"/>
          <w:szCs w:val="21"/>
          <w:u w:val="single"/>
        </w:rPr>
      </w:pPr>
      <w:r>
        <w:rPr>
          <w:rFonts w:hint="eastAsia" w:ascii="宋体" w:cs="宋体"/>
          <w:kern w:val="0"/>
          <w:szCs w:val="21"/>
        </w:rPr>
        <w:t>承包人违约责任的承担方式和计算方法：</w:t>
      </w:r>
      <w:r>
        <w:rPr>
          <w:rFonts w:hint="eastAsia" w:ascii="宋体" w:cs="宋体"/>
          <w:kern w:val="0"/>
          <w:szCs w:val="21"/>
          <w:u w:val="single"/>
        </w:rPr>
        <w:t xml:space="preserve"> 执行补充条款   </w:t>
      </w:r>
      <w:r>
        <w:rPr>
          <w:rFonts w:hint="eastAsia" w:ascii="宋体" w:cs="宋体"/>
          <w:kern w:val="0"/>
          <w:szCs w:val="21"/>
        </w:rPr>
        <w:t>。</w:t>
      </w:r>
      <w:r>
        <w:rPr>
          <w:rFonts w:hint="eastAsia" w:ascii="宋体" w:cs="宋体"/>
          <w:szCs w:val="21"/>
        </w:rPr>
        <w:t xml:space="preserve">    </w:t>
      </w:r>
    </w:p>
    <w:p w14:paraId="0AD59456">
      <w:pPr>
        <w:snapToGrid w:val="0"/>
        <w:spacing w:line="440" w:lineRule="exact"/>
        <w:ind w:firstLine="420" w:firstLineChars="200"/>
        <w:jc w:val="left"/>
        <w:rPr>
          <w:rFonts w:hint="eastAsia" w:ascii="宋体" w:cs="宋体"/>
          <w:szCs w:val="21"/>
        </w:rPr>
      </w:pPr>
      <w:r>
        <w:rPr>
          <w:rFonts w:hint="eastAsia" w:ascii="宋体" w:cs="宋体"/>
          <w:szCs w:val="21"/>
        </w:rPr>
        <w:t>16.2.3 因承包人违约解除合同</w:t>
      </w:r>
    </w:p>
    <w:p w14:paraId="75F03C63">
      <w:pPr>
        <w:snapToGrid w:val="0"/>
        <w:spacing w:line="440" w:lineRule="exact"/>
        <w:ind w:firstLine="420" w:firstLineChars="200"/>
        <w:rPr>
          <w:rFonts w:hint="eastAsia" w:ascii="宋体" w:cs="宋体"/>
          <w:kern w:val="0"/>
          <w:szCs w:val="21"/>
        </w:rPr>
      </w:pPr>
      <w:r>
        <w:rPr>
          <w:rFonts w:hint="eastAsia" w:ascii="宋体" w:cs="宋体"/>
          <w:kern w:val="0"/>
          <w:szCs w:val="21"/>
        </w:rPr>
        <w:t>关于承包人违约解除合同的特别约定：</w:t>
      </w:r>
      <w:r>
        <w:rPr>
          <w:rFonts w:hint="eastAsia" w:ascii="宋体" w:cs="宋体"/>
          <w:kern w:val="0"/>
          <w:szCs w:val="21"/>
          <w:u w:val="single"/>
        </w:rPr>
        <w:t>执行</w:t>
      </w:r>
      <w:r>
        <w:rPr>
          <w:rFonts w:hint="eastAsia" w:ascii="宋体" w:cs="宋体"/>
          <w:szCs w:val="21"/>
          <w:u w:val="single"/>
        </w:rPr>
        <w:t>补充条款。</w:t>
      </w:r>
    </w:p>
    <w:p w14:paraId="0F0F2C80">
      <w:pPr>
        <w:snapToGrid w:val="0"/>
        <w:spacing w:line="420" w:lineRule="exact"/>
        <w:ind w:firstLine="420" w:firstLineChars="200"/>
        <w:rPr>
          <w:rFonts w:hint="eastAsia" w:ascii="宋体" w:cs="宋体"/>
          <w:kern w:val="0"/>
          <w:szCs w:val="21"/>
        </w:rPr>
      </w:pPr>
      <w:r>
        <w:rPr>
          <w:rFonts w:hint="eastAsia" w:ascii="宋体" w:cs="宋体"/>
          <w:kern w:val="0"/>
          <w:szCs w:val="21"/>
        </w:rPr>
        <w:t>发包人继续使用承包人在施工现场的材料、设备、临时工程、承包人文件和由承包人或以其名义编制的其他文件的费用承担方式：</w:t>
      </w:r>
      <w:r>
        <w:rPr>
          <w:rFonts w:hint="eastAsia" w:ascii="宋体" w:cs="宋体"/>
          <w:kern w:val="0"/>
          <w:szCs w:val="21"/>
          <w:u w:val="single"/>
        </w:rPr>
        <w:t xml:space="preserve">   发包人不承担费用   </w:t>
      </w:r>
      <w:r>
        <w:rPr>
          <w:rFonts w:hint="eastAsia" w:ascii="宋体" w:cs="宋体"/>
          <w:kern w:val="0"/>
          <w:szCs w:val="21"/>
        </w:rPr>
        <w:t>。</w:t>
      </w:r>
    </w:p>
    <w:p w14:paraId="57D87209">
      <w:pPr>
        <w:pStyle w:val="5"/>
        <w:snapToGrid w:val="0"/>
        <w:spacing w:before="0" w:after="0" w:line="420" w:lineRule="exact"/>
        <w:ind w:firstLine="420" w:firstLineChars="200"/>
        <w:rPr>
          <w:rFonts w:hint="eastAsia" w:ascii="宋体" w:eastAsia="宋体" w:cs="宋体"/>
          <w:b w:val="0"/>
          <w:sz w:val="21"/>
          <w:szCs w:val="21"/>
        </w:rPr>
      </w:pPr>
      <w:r>
        <w:rPr>
          <w:rFonts w:hint="eastAsia" w:ascii="宋体" w:eastAsia="宋体" w:cs="宋体"/>
          <w:b w:val="0"/>
          <w:sz w:val="21"/>
          <w:szCs w:val="21"/>
        </w:rPr>
        <w:t xml:space="preserve">17. 不可抗力 </w:t>
      </w:r>
    </w:p>
    <w:p w14:paraId="0D008BF2">
      <w:pPr>
        <w:snapToGrid w:val="0"/>
        <w:spacing w:line="420" w:lineRule="exact"/>
        <w:ind w:firstLine="420" w:firstLineChars="200"/>
        <w:rPr>
          <w:rFonts w:hint="eastAsia" w:ascii="宋体" w:cs="宋体"/>
          <w:szCs w:val="21"/>
        </w:rPr>
      </w:pPr>
      <w:r>
        <w:rPr>
          <w:rFonts w:hint="eastAsia" w:ascii="宋体" w:cs="宋体"/>
          <w:szCs w:val="21"/>
        </w:rPr>
        <w:t>17.1 不可抗力的确认</w:t>
      </w:r>
    </w:p>
    <w:p w14:paraId="64D5803F">
      <w:pPr>
        <w:snapToGrid w:val="0"/>
        <w:spacing w:line="420" w:lineRule="exact"/>
        <w:ind w:firstLine="420" w:firstLineChars="200"/>
        <w:jc w:val="left"/>
        <w:rPr>
          <w:rFonts w:hint="eastAsia" w:ascii="宋体" w:cs="宋体"/>
          <w:kern w:val="0"/>
          <w:szCs w:val="21"/>
          <w:u w:val="single"/>
        </w:rPr>
      </w:pPr>
      <w:r>
        <w:rPr>
          <w:rFonts w:hint="eastAsia" w:ascii="宋体" w:cs="宋体"/>
          <w:szCs w:val="21"/>
        </w:rPr>
        <w:t>除通用合同条款约定的不可抗力事件之外，视为不可抗力的其他情形：</w:t>
      </w:r>
      <w:r>
        <w:rPr>
          <w:rFonts w:hint="eastAsia" w:ascii="宋体" w:cs="宋体"/>
          <w:kern w:val="0"/>
          <w:szCs w:val="21"/>
          <w:u w:val="single"/>
        </w:rPr>
        <w:t xml:space="preserve">  </w:t>
      </w:r>
      <w:r>
        <w:rPr>
          <w:rFonts w:hint="eastAsia" w:ascii="宋体" w:hAnsi="宋体" w:cs="宋体"/>
          <w:color w:val="000000"/>
          <w:szCs w:val="21"/>
          <w:u w:val="single"/>
        </w:rPr>
        <w:t>执行通用条款</w:t>
      </w:r>
      <w:r>
        <w:rPr>
          <w:rFonts w:hint="eastAsia" w:ascii="宋体" w:cs="宋体"/>
          <w:kern w:val="0"/>
          <w:szCs w:val="21"/>
          <w:u w:val="single"/>
        </w:rPr>
        <w:t xml:space="preserve"> </w:t>
      </w:r>
      <w:r>
        <w:rPr>
          <w:rFonts w:hint="eastAsia" w:ascii="宋体" w:cs="宋体"/>
          <w:kern w:val="0"/>
          <w:szCs w:val="21"/>
        </w:rPr>
        <w:t>。</w:t>
      </w:r>
    </w:p>
    <w:p w14:paraId="7ABBF228">
      <w:pPr>
        <w:snapToGrid w:val="0"/>
        <w:spacing w:line="420" w:lineRule="exact"/>
        <w:ind w:firstLine="420" w:firstLineChars="200"/>
        <w:rPr>
          <w:rFonts w:hint="eastAsia" w:ascii="宋体" w:cs="宋体"/>
          <w:szCs w:val="21"/>
        </w:rPr>
      </w:pPr>
      <w:r>
        <w:rPr>
          <w:rFonts w:hint="eastAsia" w:ascii="宋体" w:cs="宋体"/>
          <w:szCs w:val="21"/>
        </w:rPr>
        <w:t>17.4 因不可抗力解除合同</w:t>
      </w:r>
    </w:p>
    <w:p w14:paraId="6BEBA983">
      <w:pPr>
        <w:snapToGrid w:val="0"/>
        <w:spacing w:line="420" w:lineRule="exact"/>
        <w:ind w:firstLine="420" w:firstLineChars="200"/>
        <w:jc w:val="left"/>
        <w:rPr>
          <w:rFonts w:hint="eastAsia" w:ascii="宋体" w:hAnsi="Times New Roman" w:eastAsia="宋体" w:cs="宋体"/>
          <w:szCs w:val="21"/>
          <w:lang w:eastAsia="zh-CN"/>
        </w:rPr>
      </w:pPr>
      <w:r>
        <w:rPr>
          <w:rFonts w:hint="eastAsia" w:ascii="宋体" w:hAnsi="Times New Roman" w:eastAsia="宋体" w:cs="宋体"/>
          <w:szCs w:val="21"/>
          <w:lang w:eastAsia="zh-CN"/>
        </w:rPr>
        <w:t>合同解除后，发包人应在发票送达一周内完成款项的支付。</w:t>
      </w:r>
    </w:p>
    <w:p w14:paraId="1B91FF85">
      <w:pPr>
        <w:pStyle w:val="5"/>
        <w:snapToGrid w:val="0"/>
        <w:spacing w:before="0" w:after="0" w:line="420" w:lineRule="exact"/>
        <w:ind w:firstLine="420" w:firstLineChars="200"/>
        <w:rPr>
          <w:rFonts w:hint="eastAsia" w:ascii="宋体" w:eastAsia="宋体" w:cs="宋体"/>
          <w:b w:val="0"/>
          <w:sz w:val="21"/>
          <w:szCs w:val="21"/>
        </w:rPr>
      </w:pPr>
      <w:r>
        <w:rPr>
          <w:rFonts w:hint="eastAsia" w:ascii="宋体" w:eastAsia="宋体" w:cs="宋体"/>
          <w:b w:val="0"/>
          <w:sz w:val="21"/>
          <w:szCs w:val="21"/>
        </w:rPr>
        <w:t>18. 保险</w:t>
      </w:r>
    </w:p>
    <w:p w14:paraId="4A9CD8E6">
      <w:pPr>
        <w:snapToGrid w:val="0"/>
        <w:spacing w:line="420" w:lineRule="exact"/>
        <w:ind w:firstLine="420" w:firstLineChars="200"/>
        <w:rPr>
          <w:rFonts w:hint="eastAsia" w:ascii="宋体" w:cs="宋体"/>
          <w:szCs w:val="21"/>
        </w:rPr>
      </w:pPr>
      <w:r>
        <w:rPr>
          <w:rFonts w:hint="eastAsia" w:ascii="宋体" w:cs="宋体"/>
          <w:szCs w:val="21"/>
        </w:rPr>
        <w:t>18.1 工程保险</w:t>
      </w:r>
    </w:p>
    <w:p w14:paraId="41CACA33">
      <w:pPr>
        <w:snapToGrid w:val="0"/>
        <w:spacing w:line="420" w:lineRule="exact"/>
        <w:ind w:firstLine="420" w:firstLineChars="200"/>
        <w:rPr>
          <w:rFonts w:hint="eastAsia"/>
        </w:rPr>
      </w:pPr>
      <w:r>
        <w:rPr>
          <w:rFonts w:hint="eastAsia"/>
        </w:rPr>
        <w:t>关于工程保险的特别约定：</w:t>
      </w:r>
      <w:r>
        <w:rPr>
          <w:rFonts w:hint="eastAsia" w:ascii="宋体" w:hAnsi="宋体" w:eastAsia="宋体" w:cs="宋体"/>
          <w:color w:val="000000"/>
          <w:szCs w:val="21"/>
          <w:u w:val="single"/>
          <w:lang w:val="en-US" w:eastAsia="zh-CN"/>
        </w:rPr>
        <w:t>承包人根据通用条款规定自行购买并承担费用</w:t>
      </w:r>
      <w:r>
        <w:rPr>
          <w:rFonts w:hint="eastAsia"/>
          <w:u w:val="single"/>
        </w:rPr>
        <w:t xml:space="preserve"> </w:t>
      </w:r>
      <w:r>
        <w:rPr>
          <w:rFonts w:hint="eastAsia"/>
        </w:rPr>
        <w:t>。</w:t>
      </w:r>
    </w:p>
    <w:p w14:paraId="4DC9B5E5">
      <w:pPr>
        <w:snapToGrid w:val="0"/>
        <w:spacing w:line="420" w:lineRule="exact"/>
        <w:ind w:firstLine="420" w:firstLineChars="200"/>
        <w:rPr>
          <w:rFonts w:hint="eastAsia" w:ascii="宋体" w:cs="宋体"/>
          <w:szCs w:val="21"/>
        </w:rPr>
      </w:pPr>
      <w:r>
        <w:rPr>
          <w:rFonts w:hint="eastAsia" w:ascii="宋体" w:cs="宋体"/>
          <w:szCs w:val="21"/>
        </w:rPr>
        <w:t>18.3 其他保险</w:t>
      </w:r>
    </w:p>
    <w:p w14:paraId="3C2CC8F0">
      <w:pPr>
        <w:snapToGrid w:val="0"/>
        <w:spacing w:line="420" w:lineRule="exact"/>
        <w:ind w:firstLine="420" w:firstLineChars="200"/>
        <w:jc w:val="left"/>
        <w:rPr>
          <w:rFonts w:hint="eastAsia" w:ascii="宋体" w:cs="宋体"/>
          <w:kern w:val="0"/>
          <w:szCs w:val="21"/>
        </w:rPr>
      </w:pPr>
      <w:r>
        <w:rPr>
          <w:rFonts w:hint="eastAsia" w:ascii="宋体" w:cs="宋体"/>
          <w:szCs w:val="21"/>
        </w:rPr>
        <w:t>关于其他保险的约定：</w:t>
      </w:r>
      <w:r>
        <w:rPr>
          <w:rFonts w:hint="eastAsia" w:ascii="宋体" w:cs="宋体"/>
          <w:kern w:val="0"/>
          <w:szCs w:val="21"/>
          <w:u w:val="single"/>
        </w:rPr>
        <w:t xml:space="preserve"> </w:t>
      </w:r>
      <w:r>
        <w:rPr>
          <w:rFonts w:hint="eastAsia" w:ascii="宋体" w:hAnsi="宋体" w:cs="宋体"/>
          <w:color w:val="000000"/>
          <w:szCs w:val="21"/>
          <w:u w:val="single"/>
        </w:rPr>
        <w:t>承包人须为其施工现场的全部人员办理意外伤害保险并支付保险费，包括其员工及为履行合同聘请的第三方的人员</w:t>
      </w:r>
    </w:p>
    <w:p w14:paraId="0C9C511F">
      <w:pPr>
        <w:snapToGrid w:val="0"/>
        <w:spacing w:line="420" w:lineRule="exact"/>
        <w:ind w:firstLine="420" w:firstLineChars="200"/>
        <w:jc w:val="left"/>
        <w:rPr>
          <w:rFonts w:hint="eastAsia" w:ascii="宋体" w:cs="宋体"/>
          <w:szCs w:val="21"/>
          <w:u w:val="single"/>
        </w:rPr>
      </w:pPr>
      <w:r>
        <w:rPr>
          <w:rFonts w:hint="eastAsia" w:ascii="宋体" w:cs="宋体"/>
          <w:szCs w:val="21"/>
        </w:rPr>
        <w:t>承包人是否应为其施工设备等办理财产保险：</w:t>
      </w:r>
      <w:r>
        <w:rPr>
          <w:rFonts w:hint="eastAsia" w:ascii="宋体" w:hAnsi="宋体" w:cs="宋体"/>
          <w:color w:val="000000"/>
          <w:szCs w:val="21"/>
          <w:u w:val="single"/>
        </w:rPr>
        <w:t>执行通用条款</w:t>
      </w:r>
      <w:r>
        <w:rPr>
          <w:rFonts w:hint="eastAsia" w:ascii="宋体" w:cs="宋体"/>
          <w:szCs w:val="21"/>
          <w:u w:val="single"/>
        </w:rPr>
        <w:t>。</w:t>
      </w:r>
    </w:p>
    <w:p w14:paraId="5C3AB220">
      <w:pPr>
        <w:snapToGrid w:val="0"/>
        <w:spacing w:line="420" w:lineRule="exact"/>
        <w:ind w:firstLine="420" w:firstLineChars="200"/>
        <w:rPr>
          <w:rFonts w:hint="eastAsia" w:ascii="宋体" w:cs="宋体"/>
          <w:szCs w:val="21"/>
        </w:rPr>
      </w:pPr>
      <w:r>
        <w:rPr>
          <w:rFonts w:hint="eastAsia" w:ascii="宋体" w:cs="宋体"/>
          <w:szCs w:val="21"/>
        </w:rPr>
        <w:t>18.7 通知义务</w:t>
      </w:r>
    </w:p>
    <w:p w14:paraId="2F3CC148">
      <w:pPr>
        <w:snapToGrid w:val="0"/>
        <w:spacing w:line="420" w:lineRule="exact"/>
        <w:ind w:firstLine="420" w:firstLineChars="200"/>
        <w:jc w:val="left"/>
        <w:rPr>
          <w:rFonts w:hint="eastAsia" w:ascii="宋体" w:cs="宋体"/>
          <w:kern w:val="0"/>
          <w:szCs w:val="21"/>
          <w:u w:val="single"/>
        </w:rPr>
      </w:pPr>
      <w:r>
        <w:rPr>
          <w:rFonts w:hint="eastAsia" w:ascii="宋体" w:cs="宋体"/>
          <w:kern w:val="0"/>
          <w:szCs w:val="21"/>
        </w:rPr>
        <w:t>关于变更保险合同时的通知义务的约定：</w:t>
      </w:r>
      <w:r>
        <w:rPr>
          <w:rFonts w:hint="eastAsia" w:ascii="宋体" w:hAnsi="宋体" w:cs="宋体"/>
          <w:color w:val="000000"/>
          <w:szCs w:val="21"/>
          <w:u w:val="single"/>
        </w:rPr>
        <w:t>执行通用条款</w:t>
      </w:r>
      <w:r>
        <w:rPr>
          <w:rFonts w:hint="eastAsia" w:ascii="宋体" w:cs="宋体"/>
          <w:kern w:val="0"/>
          <w:szCs w:val="21"/>
          <w:u w:val="single"/>
        </w:rPr>
        <w:t>。</w:t>
      </w:r>
    </w:p>
    <w:p w14:paraId="22CAF1C3">
      <w:pPr>
        <w:snapToGrid w:val="0"/>
        <w:spacing w:line="420" w:lineRule="exact"/>
        <w:ind w:firstLine="420" w:firstLineChars="200"/>
        <w:jc w:val="left"/>
        <w:rPr>
          <w:rFonts w:hint="eastAsia" w:ascii="宋体" w:cs="宋体"/>
          <w:kern w:val="0"/>
          <w:szCs w:val="21"/>
          <w:u w:val="single"/>
        </w:rPr>
      </w:pPr>
      <w:r>
        <w:rPr>
          <w:rFonts w:hint="eastAsia" w:ascii="宋体" w:cs="宋体"/>
          <w:kern w:val="0"/>
          <w:szCs w:val="21"/>
          <w:u w:val="single"/>
        </w:rPr>
        <w:t>保险事故发生时，投保人应按照保险合同规定的条件和期限及时向保险人报告。发包人和承包人应当在知道保险事故发生后及时通知对方。</w:t>
      </w:r>
    </w:p>
    <w:p w14:paraId="5500005C">
      <w:pPr>
        <w:pStyle w:val="5"/>
        <w:snapToGrid w:val="0"/>
        <w:spacing w:before="0" w:after="0" w:line="420" w:lineRule="exact"/>
        <w:ind w:firstLine="420" w:firstLineChars="200"/>
        <w:rPr>
          <w:rFonts w:hint="eastAsia" w:ascii="宋体" w:eastAsia="宋体" w:cs="宋体"/>
          <w:b w:val="0"/>
          <w:sz w:val="21"/>
          <w:szCs w:val="21"/>
        </w:rPr>
      </w:pPr>
      <w:r>
        <w:rPr>
          <w:rFonts w:hint="eastAsia" w:ascii="宋体" w:eastAsia="宋体" w:cs="宋体"/>
          <w:b w:val="0"/>
          <w:sz w:val="21"/>
          <w:szCs w:val="21"/>
        </w:rPr>
        <w:t>20. 争议解决</w:t>
      </w:r>
    </w:p>
    <w:p w14:paraId="5E40BD8B">
      <w:pPr>
        <w:snapToGrid w:val="0"/>
        <w:spacing w:line="420" w:lineRule="exact"/>
        <w:ind w:firstLine="420" w:firstLineChars="200"/>
        <w:rPr>
          <w:rFonts w:hint="eastAsia" w:ascii="宋体" w:cs="宋体"/>
          <w:szCs w:val="21"/>
        </w:rPr>
      </w:pPr>
      <w:r>
        <w:rPr>
          <w:rFonts w:hint="eastAsia" w:ascii="宋体" w:cs="宋体"/>
          <w:szCs w:val="21"/>
        </w:rPr>
        <w:t>20.3 争议评审</w:t>
      </w:r>
    </w:p>
    <w:p w14:paraId="122C7CB9">
      <w:pPr>
        <w:snapToGrid w:val="0"/>
        <w:spacing w:line="420" w:lineRule="exact"/>
        <w:ind w:firstLine="420" w:firstLineChars="200"/>
        <w:jc w:val="left"/>
        <w:rPr>
          <w:rFonts w:hint="eastAsia" w:ascii="宋体" w:cs="宋体"/>
          <w:szCs w:val="21"/>
          <w:u w:val="single"/>
        </w:rPr>
      </w:pPr>
      <w:r>
        <w:rPr>
          <w:rFonts w:hint="eastAsia" w:ascii="宋体" w:cs="宋体"/>
          <w:szCs w:val="21"/>
        </w:rPr>
        <w:t>合同当事人是否同意将工程争议提交争议评审小组决定：</w:t>
      </w:r>
      <w:r>
        <w:rPr>
          <w:rFonts w:hint="eastAsia" w:ascii="宋体" w:cs="宋体"/>
          <w:szCs w:val="21"/>
          <w:u w:val="single"/>
        </w:rPr>
        <w:t xml:space="preserve">  不同意   </w:t>
      </w:r>
      <w:r>
        <w:rPr>
          <w:rFonts w:hint="eastAsia" w:ascii="宋体" w:cs="宋体"/>
          <w:szCs w:val="21"/>
        </w:rPr>
        <w:t xml:space="preserve">。  </w:t>
      </w:r>
    </w:p>
    <w:p w14:paraId="1FDAB0C3">
      <w:pPr>
        <w:snapToGrid w:val="0"/>
        <w:spacing w:line="420" w:lineRule="exact"/>
        <w:ind w:firstLine="420" w:firstLineChars="200"/>
        <w:jc w:val="left"/>
        <w:rPr>
          <w:rFonts w:hint="eastAsia" w:ascii="宋体" w:cs="宋体"/>
          <w:szCs w:val="21"/>
        </w:rPr>
      </w:pPr>
      <w:r>
        <w:rPr>
          <w:rFonts w:hint="eastAsia" w:ascii="宋体" w:cs="宋体"/>
          <w:szCs w:val="21"/>
        </w:rPr>
        <w:t>20.3.1 争议评审小组的确定</w:t>
      </w:r>
    </w:p>
    <w:p w14:paraId="5E4513A0">
      <w:pPr>
        <w:snapToGrid w:val="0"/>
        <w:spacing w:line="420" w:lineRule="exact"/>
        <w:ind w:firstLine="420" w:firstLineChars="200"/>
        <w:jc w:val="left"/>
        <w:rPr>
          <w:rFonts w:hint="eastAsia" w:ascii="宋体" w:cs="宋体"/>
          <w:szCs w:val="21"/>
          <w:u w:val="single"/>
        </w:rPr>
      </w:pPr>
      <w:r>
        <w:rPr>
          <w:rFonts w:hint="eastAsia" w:ascii="宋体" w:cs="宋体"/>
          <w:szCs w:val="21"/>
        </w:rPr>
        <w:t>争议评审小组成员的确定：</w:t>
      </w:r>
      <w:r>
        <w:rPr>
          <w:rFonts w:hint="eastAsia" w:ascii="宋体" w:cs="宋体"/>
          <w:szCs w:val="21"/>
          <w:u w:val="single"/>
        </w:rPr>
        <w:t xml:space="preserve">  无   </w:t>
      </w:r>
      <w:r>
        <w:rPr>
          <w:rFonts w:hint="eastAsia" w:ascii="宋体" w:cs="宋体"/>
          <w:szCs w:val="21"/>
        </w:rPr>
        <w:t>。</w:t>
      </w:r>
    </w:p>
    <w:p w14:paraId="56137968">
      <w:pPr>
        <w:snapToGrid w:val="0"/>
        <w:spacing w:line="420" w:lineRule="exact"/>
        <w:ind w:firstLine="420" w:firstLineChars="200"/>
        <w:jc w:val="left"/>
        <w:rPr>
          <w:rFonts w:hint="eastAsia" w:ascii="宋体" w:cs="宋体"/>
          <w:szCs w:val="21"/>
        </w:rPr>
      </w:pPr>
      <w:r>
        <w:rPr>
          <w:rFonts w:hint="eastAsia" w:ascii="宋体" w:cs="宋体"/>
          <w:szCs w:val="21"/>
        </w:rPr>
        <w:t>选定争议评审员的期限：</w:t>
      </w:r>
      <w:r>
        <w:rPr>
          <w:rFonts w:hint="eastAsia" w:ascii="宋体" w:cs="宋体"/>
          <w:szCs w:val="21"/>
          <w:u w:val="single"/>
        </w:rPr>
        <w:t xml:space="preserve">  无   </w:t>
      </w:r>
      <w:r>
        <w:rPr>
          <w:rFonts w:hint="eastAsia" w:ascii="宋体" w:cs="宋体"/>
          <w:szCs w:val="21"/>
        </w:rPr>
        <w:t>。</w:t>
      </w:r>
    </w:p>
    <w:p w14:paraId="4ECD594C">
      <w:pPr>
        <w:snapToGrid w:val="0"/>
        <w:spacing w:line="420" w:lineRule="exact"/>
        <w:ind w:firstLine="420" w:firstLineChars="200"/>
        <w:jc w:val="left"/>
        <w:rPr>
          <w:rFonts w:hint="eastAsia" w:ascii="宋体" w:cs="宋体"/>
          <w:szCs w:val="21"/>
        </w:rPr>
      </w:pPr>
      <w:r>
        <w:rPr>
          <w:rFonts w:hint="eastAsia" w:ascii="宋体" w:cs="宋体"/>
          <w:szCs w:val="21"/>
        </w:rPr>
        <w:t>争议评审小组成员的报酬承担方式：</w:t>
      </w:r>
      <w:r>
        <w:rPr>
          <w:rFonts w:hint="eastAsia" w:ascii="宋体" w:cs="宋体"/>
          <w:szCs w:val="21"/>
          <w:u w:val="single"/>
        </w:rPr>
        <w:t xml:space="preserve">  无   </w:t>
      </w:r>
      <w:r>
        <w:rPr>
          <w:rFonts w:hint="eastAsia" w:ascii="宋体" w:cs="宋体"/>
          <w:szCs w:val="21"/>
        </w:rPr>
        <w:t>。</w:t>
      </w:r>
    </w:p>
    <w:p w14:paraId="65008D3D">
      <w:pPr>
        <w:snapToGrid w:val="0"/>
        <w:spacing w:line="420" w:lineRule="exact"/>
        <w:ind w:firstLine="420" w:firstLineChars="200"/>
        <w:jc w:val="left"/>
        <w:rPr>
          <w:rFonts w:hint="eastAsia" w:ascii="宋体" w:cs="宋体"/>
          <w:szCs w:val="21"/>
        </w:rPr>
      </w:pPr>
      <w:r>
        <w:rPr>
          <w:rFonts w:hint="eastAsia" w:ascii="宋体" w:cs="宋体"/>
          <w:szCs w:val="21"/>
        </w:rPr>
        <w:t>其他事项的约定：</w:t>
      </w:r>
      <w:r>
        <w:rPr>
          <w:rFonts w:hint="eastAsia" w:ascii="宋体" w:cs="宋体"/>
          <w:szCs w:val="21"/>
          <w:u w:val="single"/>
        </w:rPr>
        <w:t xml:space="preserve">  无   </w:t>
      </w:r>
      <w:r>
        <w:rPr>
          <w:rFonts w:hint="eastAsia" w:ascii="宋体" w:cs="宋体"/>
          <w:szCs w:val="21"/>
        </w:rPr>
        <w:t>。</w:t>
      </w:r>
    </w:p>
    <w:p w14:paraId="03B06A94">
      <w:pPr>
        <w:autoSpaceDE w:val="0"/>
        <w:autoSpaceDN w:val="0"/>
        <w:adjustRightInd w:val="0"/>
        <w:snapToGrid w:val="0"/>
        <w:spacing w:line="420" w:lineRule="exact"/>
        <w:ind w:firstLine="420" w:firstLineChars="200"/>
        <w:jc w:val="left"/>
        <w:rPr>
          <w:rFonts w:hint="eastAsia" w:ascii="宋体" w:cs="宋体"/>
          <w:kern w:val="0"/>
          <w:szCs w:val="21"/>
        </w:rPr>
      </w:pPr>
      <w:r>
        <w:rPr>
          <w:rFonts w:hint="eastAsia" w:ascii="宋体" w:cs="宋体"/>
          <w:kern w:val="0"/>
          <w:szCs w:val="21"/>
        </w:rPr>
        <w:t>20.3.2 争议评审小组的决定</w:t>
      </w:r>
    </w:p>
    <w:p w14:paraId="1784E084">
      <w:pPr>
        <w:snapToGrid w:val="0"/>
        <w:spacing w:line="420" w:lineRule="exact"/>
        <w:ind w:firstLine="420" w:firstLineChars="200"/>
        <w:jc w:val="left"/>
        <w:rPr>
          <w:rFonts w:hint="eastAsia" w:ascii="宋体" w:cs="宋体"/>
          <w:szCs w:val="21"/>
        </w:rPr>
      </w:pPr>
      <w:r>
        <w:rPr>
          <w:rFonts w:hint="eastAsia" w:ascii="宋体" w:cs="宋体"/>
          <w:szCs w:val="21"/>
        </w:rPr>
        <w:t>合同当事人关于本项的约定：</w:t>
      </w:r>
      <w:r>
        <w:rPr>
          <w:rFonts w:hint="eastAsia" w:ascii="宋体" w:cs="宋体"/>
          <w:szCs w:val="21"/>
          <w:u w:val="single"/>
        </w:rPr>
        <w:t xml:space="preserve">  无   </w:t>
      </w:r>
      <w:r>
        <w:rPr>
          <w:rFonts w:hint="eastAsia" w:ascii="宋体" w:cs="宋体"/>
          <w:szCs w:val="21"/>
        </w:rPr>
        <w:t>。</w:t>
      </w:r>
    </w:p>
    <w:p w14:paraId="3A893488">
      <w:pPr>
        <w:autoSpaceDE w:val="0"/>
        <w:autoSpaceDN w:val="0"/>
        <w:adjustRightInd w:val="0"/>
        <w:snapToGrid w:val="0"/>
        <w:spacing w:line="420" w:lineRule="exact"/>
        <w:ind w:firstLine="420" w:firstLineChars="200"/>
        <w:jc w:val="left"/>
        <w:rPr>
          <w:rFonts w:hint="eastAsia" w:ascii="宋体" w:cs="宋体"/>
          <w:kern w:val="0"/>
          <w:szCs w:val="21"/>
        </w:rPr>
      </w:pPr>
      <w:r>
        <w:rPr>
          <w:rFonts w:hint="eastAsia" w:ascii="宋体" w:cs="宋体"/>
          <w:kern w:val="0"/>
          <w:szCs w:val="21"/>
        </w:rPr>
        <w:t>20.4仲裁或诉讼</w:t>
      </w:r>
    </w:p>
    <w:p w14:paraId="1647000D">
      <w:pPr>
        <w:autoSpaceDE w:val="0"/>
        <w:autoSpaceDN w:val="0"/>
        <w:adjustRightInd w:val="0"/>
        <w:snapToGrid w:val="0"/>
        <w:spacing w:line="420" w:lineRule="exact"/>
        <w:ind w:firstLine="420" w:firstLineChars="200"/>
        <w:jc w:val="left"/>
        <w:rPr>
          <w:rFonts w:hint="eastAsia" w:ascii="宋体" w:cs="宋体"/>
          <w:kern w:val="0"/>
          <w:szCs w:val="21"/>
        </w:rPr>
      </w:pPr>
      <w:r>
        <w:rPr>
          <w:rFonts w:hint="eastAsia" w:ascii="宋体" w:cs="宋体"/>
          <w:kern w:val="0"/>
          <w:szCs w:val="21"/>
        </w:rPr>
        <w:t>因合同及合同有关事项发生的争议，按下列第</w:t>
      </w:r>
      <w:r>
        <w:rPr>
          <w:rFonts w:hint="eastAsia" w:ascii="宋体" w:cs="宋体"/>
          <w:color w:val="auto"/>
          <w:kern w:val="0"/>
          <w:szCs w:val="21"/>
          <w:u w:val="single"/>
        </w:rPr>
        <w:t xml:space="preserve">  （</w:t>
      </w:r>
      <w:r>
        <w:rPr>
          <w:rFonts w:hint="eastAsia" w:ascii="宋体" w:cs="宋体"/>
          <w:color w:val="auto"/>
          <w:kern w:val="0"/>
          <w:szCs w:val="21"/>
          <w:u w:val="single"/>
          <w:lang w:val="en-US" w:eastAsia="zh-CN"/>
        </w:rPr>
        <w:t>1</w:t>
      </w:r>
      <w:r>
        <w:rPr>
          <w:rFonts w:hint="eastAsia" w:ascii="宋体" w:cs="宋体"/>
          <w:color w:val="auto"/>
          <w:kern w:val="0"/>
          <w:szCs w:val="21"/>
          <w:u w:val="single"/>
        </w:rPr>
        <w:t xml:space="preserve">）   </w:t>
      </w:r>
      <w:r>
        <w:rPr>
          <w:rFonts w:hint="eastAsia" w:ascii="宋体" w:cs="宋体"/>
          <w:kern w:val="0"/>
          <w:szCs w:val="21"/>
        </w:rPr>
        <w:t>种方式解决：</w:t>
      </w:r>
    </w:p>
    <w:p w14:paraId="3AE41BB3">
      <w:pPr>
        <w:numPr>
          <w:ilvl w:val="0"/>
          <w:numId w:val="4"/>
        </w:numPr>
        <w:autoSpaceDE w:val="0"/>
        <w:autoSpaceDN w:val="0"/>
        <w:adjustRightInd w:val="0"/>
        <w:snapToGrid w:val="0"/>
        <w:spacing w:line="420" w:lineRule="exact"/>
        <w:ind w:left="315" w:firstLine="420" w:firstLineChars="200"/>
        <w:jc w:val="left"/>
        <w:rPr>
          <w:rFonts w:hint="eastAsia" w:ascii="宋体" w:cs="宋体"/>
          <w:kern w:val="0"/>
          <w:szCs w:val="21"/>
        </w:rPr>
      </w:pPr>
      <w:r>
        <w:rPr>
          <w:rFonts w:hint="eastAsia" w:ascii="宋体" w:cs="宋体"/>
          <w:kern w:val="0"/>
          <w:szCs w:val="21"/>
        </w:rPr>
        <w:t>向</w:t>
      </w:r>
      <w:r>
        <w:rPr>
          <w:rFonts w:hint="eastAsia" w:ascii="宋体" w:cs="宋体"/>
          <w:kern w:val="0"/>
          <w:szCs w:val="21"/>
          <w:u w:val="single"/>
        </w:rPr>
        <w:t xml:space="preserve">        滁州     </w:t>
      </w:r>
      <w:r>
        <w:rPr>
          <w:rFonts w:hint="eastAsia" w:ascii="宋体" w:cs="宋体"/>
          <w:kern w:val="0"/>
          <w:szCs w:val="21"/>
        </w:rPr>
        <w:t>仲裁委员会申请仲裁；</w:t>
      </w:r>
    </w:p>
    <w:p w14:paraId="12A8A368">
      <w:pPr>
        <w:numPr>
          <w:ilvl w:val="0"/>
          <w:numId w:val="4"/>
        </w:numPr>
        <w:autoSpaceDE w:val="0"/>
        <w:autoSpaceDN w:val="0"/>
        <w:adjustRightInd w:val="0"/>
        <w:snapToGrid w:val="0"/>
        <w:spacing w:line="420" w:lineRule="exact"/>
        <w:ind w:left="315" w:firstLine="420" w:firstLineChars="200"/>
        <w:jc w:val="left"/>
        <w:rPr>
          <w:rFonts w:hint="eastAsia" w:ascii="宋体" w:cs="宋体"/>
          <w:kern w:val="0"/>
          <w:szCs w:val="21"/>
        </w:rPr>
      </w:pPr>
      <w:r>
        <w:rPr>
          <w:rFonts w:hint="eastAsia" w:ascii="宋体" w:cs="宋体"/>
          <w:kern w:val="0"/>
          <w:szCs w:val="21"/>
        </w:rPr>
        <w:t>向</w:t>
      </w:r>
      <w:r>
        <w:rPr>
          <w:rFonts w:hint="eastAsia" w:ascii="宋体" w:cs="宋体"/>
          <w:kern w:val="0"/>
          <w:szCs w:val="21"/>
          <w:u w:val="single"/>
        </w:rPr>
        <w:t xml:space="preserve">     </w:t>
      </w:r>
      <w:r>
        <w:rPr>
          <w:rFonts w:hint="eastAsia" w:ascii="宋体" w:cs="宋体"/>
          <w:szCs w:val="21"/>
          <w:u w:val="single"/>
          <w:lang w:val="en-US" w:eastAsia="zh-CN"/>
        </w:rPr>
        <w:t>招标人所在地</w:t>
      </w:r>
      <w:r>
        <w:rPr>
          <w:rFonts w:hint="eastAsia" w:ascii="宋体" w:cs="宋体"/>
          <w:kern w:val="0"/>
          <w:szCs w:val="21"/>
          <w:u w:val="single"/>
        </w:rPr>
        <w:t xml:space="preserve">   </w:t>
      </w:r>
      <w:r>
        <w:rPr>
          <w:rFonts w:hint="eastAsia" w:ascii="宋体" w:cs="宋体"/>
          <w:kern w:val="0"/>
          <w:szCs w:val="21"/>
        </w:rPr>
        <w:t>人民法院起诉。</w:t>
      </w:r>
    </w:p>
    <w:p w14:paraId="4E542DB0">
      <w:pPr>
        <w:keepNext/>
        <w:keepLines/>
        <w:adjustRightInd w:val="0"/>
        <w:snapToGrid w:val="0"/>
        <w:spacing w:line="384" w:lineRule="auto"/>
        <w:jc w:val="left"/>
        <w:outlineLvl w:val="2"/>
        <w:rPr>
          <w:rFonts w:hint="eastAsia" w:ascii="宋体" w:hAnsi="宋体" w:cs="宋体"/>
          <w:color w:val="000000"/>
        </w:rPr>
      </w:pPr>
      <w:bookmarkStart w:id="860" w:name="_Toc95223485"/>
      <w:r>
        <w:rPr>
          <w:rFonts w:hint="eastAsia" w:ascii="宋体" w:hAnsi="宋体" w:cs="宋体"/>
          <w:color w:val="000000"/>
        </w:rPr>
        <w:t>21. 补充条款</w:t>
      </w:r>
      <w:bookmarkEnd w:id="860"/>
      <w:r>
        <w:rPr>
          <w:rFonts w:hint="eastAsia" w:ascii="宋体" w:hAnsi="宋体" w:cs="宋体"/>
          <w:color w:val="000000"/>
        </w:rPr>
        <w:t xml:space="preserve"> </w:t>
      </w:r>
    </w:p>
    <w:p w14:paraId="5B8AE915">
      <w:pPr>
        <w:adjustRightInd w:val="0"/>
        <w:snapToGrid w:val="0"/>
        <w:spacing w:line="384" w:lineRule="auto"/>
        <w:ind w:firstLine="420" w:firstLineChars="200"/>
        <w:rPr>
          <w:rFonts w:hint="eastAsia" w:ascii="宋体" w:hAnsi="宋体" w:cs="宋体"/>
          <w:color w:val="000000"/>
        </w:rPr>
      </w:pPr>
      <w:r>
        <w:rPr>
          <w:rFonts w:hint="eastAsia" w:ascii="宋体" w:hAnsi="宋体" w:cs="宋体"/>
          <w:color w:val="000000"/>
        </w:rPr>
        <w:t>本补充条款是专用条款的一部分，其解释顺序优先于专用条款内的其他条款。</w:t>
      </w:r>
    </w:p>
    <w:p w14:paraId="14AE0E0C">
      <w:pPr>
        <w:keepNext/>
        <w:keepLines/>
        <w:adjustRightInd w:val="0"/>
        <w:snapToGrid w:val="0"/>
        <w:spacing w:line="384" w:lineRule="auto"/>
        <w:ind w:firstLine="420" w:firstLineChars="200"/>
        <w:outlineLvl w:val="3"/>
        <w:rPr>
          <w:rFonts w:hint="eastAsia" w:ascii="宋体" w:hAnsi="宋体" w:cs="宋体"/>
          <w:bCs/>
          <w:color w:val="000000"/>
          <w:szCs w:val="28"/>
        </w:rPr>
      </w:pPr>
      <w:r>
        <w:rPr>
          <w:rFonts w:hint="eastAsia" w:ascii="宋体" w:hAnsi="宋体" w:cs="宋体"/>
          <w:bCs/>
          <w:color w:val="000000"/>
          <w:szCs w:val="28"/>
        </w:rPr>
        <w:t>21.1 人员及职责</w:t>
      </w:r>
    </w:p>
    <w:p w14:paraId="2CFABEE9">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21.1.1 发包人委派的发包人代表或监理工程师（以下简称“工程师”）无权更改合同，也无权解除发包人和承包人的义务和责任。</w:t>
      </w:r>
    </w:p>
    <w:p w14:paraId="3E44F6EB">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21.1.2 发包人代表的任何批准、检查、证书、同意、通知、建议、检验、指令和要求等不解除承包人在合同中的责任。</w:t>
      </w:r>
    </w:p>
    <w:p w14:paraId="0B2D5A24">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21.1.3 承包人只能从发包人代表或其授权代表处接受指令。</w:t>
      </w:r>
    </w:p>
    <w:p w14:paraId="4B813459">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21.1.4 发包人如需更换发包人代表须提前7天通知承包人。</w:t>
      </w:r>
    </w:p>
    <w:p w14:paraId="1C69E9EA">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21.1.5 投标人委任的项目经理、项目技术负责人、各专业负责人（其他主要管理人员和技术人员）及施工机械等在整个项目施工期内必须在位。</w:t>
      </w:r>
    </w:p>
    <w:p w14:paraId="54C76CB8">
      <w:pPr>
        <w:adjustRightInd w:val="0"/>
        <w:snapToGrid w:val="0"/>
        <w:spacing w:line="384" w:lineRule="auto"/>
        <w:ind w:firstLine="420" w:firstLineChars="200"/>
        <w:rPr>
          <w:rFonts w:hint="eastAsia" w:ascii="宋体" w:hAnsi="宋体" w:cs="宋体"/>
          <w:color w:val="000000"/>
          <w:kern w:val="0"/>
          <w:highlight w:val="none"/>
        </w:rPr>
      </w:pPr>
      <w:r>
        <w:rPr>
          <w:rFonts w:hint="eastAsia" w:ascii="宋体" w:hAnsi="宋体" w:cs="宋体"/>
          <w:color w:val="000000"/>
          <w:kern w:val="0"/>
        </w:rPr>
        <w:t>承包人的项目经理离开现场的，须经发包人代表同意，并书面指定临时代表，代为行使项目经理的权力；该临时代表的一切行为，甲方均认为是项目经理</w:t>
      </w:r>
      <w:r>
        <w:rPr>
          <w:rFonts w:hint="eastAsia" w:ascii="宋体" w:hAnsi="宋体" w:cs="宋体"/>
          <w:color w:val="000000"/>
          <w:kern w:val="0"/>
          <w:highlight w:val="none"/>
        </w:rPr>
        <w:t>的行为。</w:t>
      </w:r>
    </w:p>
    <w:p w14:paraId="7B2B46C3">
      <w:pPr>
        <w:snapToGrid w:val="0"/>
        <w:spacing w:line="440" w:lineRule="exact"/>
        <w:ind w:firstLine="420" w:firstLineChars="200"/>
        <w:rPr>
          <w:rFonts w:hint="eastAsia" w:ascii="宋体" w:hAnsi="宋体" w:cs="宋体"/>
          <w:color w:val="000000"/>
          <w:highlight w:val="none"/>
        </w:rPr>
      </w:pPr>
      <w:r>
        <w:rPr>
          <w:rFonts w:hint="eastAsia" w:ascii="宋体" w:hAnsi="Times New Roman" w:eastAsia="宋体" w:cs="宋体"/>
          <w:szCs w:val="21"/>
          <w:highlight w:val="none"/>
          <w:lang w:val="en-US" w:eastAsia="zh-CN"/>
        </w:rPr>
        <w:t>由于承包人自身原因造成机械设备未能及时到位而影响工程施工的，在发包人提出确切要求到位日期后，仍未到位的视为违约，承包人向发包人支付</w:t>
      </w:r>
      <w:r>
        <w:rPr>
          <w:rFonts w:hint="eastAsia" w:ascii="宋体" w:cs="宋体"/>
          <w:szCs w:val="21"/>
          <w:highlight w:val="none"/>
          <w:lang w:val="en-US" w:eastAsia="zh-CN"/>
        </w:rPr>
        <w:t>10</w:t>
      </w:r>
      <w:r>
        <w:rPr>
          <w:rFonts w:hint="eastAsia" w:ascii="宋体" w:hAnsi="Times New Roman" w:eastAsia="宋体" w:cs="宋体"/>
          <w:szCs w:val="21"/>
          <w:highlight w:val="none"/>
          <w:lang w:val="en-US" w:eastAsia="zh-CN"/>
        </w:rPr>
        <w:t>万元违约金。</w:t>
      </w:r>
    </w:p>
    <w:p w14:paraId="00BE78F0">
      <w:pPr>
        <w:adjustRightInd w:val="0"/>
        <w:snapToGrid w:val="0"/>
        <w:spacing w:line="384" w:lineRule="auto"/>
        <w:ind w:firstLine="420" w:firstLineChars="200"/>
        <w:rPr>
          <w:rFonts w:hint="eastAsia" w:ascii="宋体" w:hAnsi="宋体" w:cs="宋体"/>
          <w:color w:val="000000"/>
          <w:highlight w:val="none"/>
        </w:rPr>
      </w:pPr>
      <w:r>
        <w:rPr>
          <w:rFonts w:hint="eastAsia" w:ascii="宋体" w:hAnsi="宋体" w:cs="宋体"/>
          <w:color w:val="000000"/>
          <w:highlight w:val="none"/>
        </w:rPr>
        <w:t>21.1.6 承包人提交发包人的任何文件，发包人都认为该文件已经承包人内部程序批准；承包人提交的文件发生修改的，应及时将最新版本提交发包人代表。</w:t>
      </w:r>
    </w:p>
    <w:p w14:paraId="7E4392EE">
      <w:pPr>
        <w:adjustRightInd w:val="0"/>
        <w:snapToGrid w:val="0"/>
        <w:spacing w:line="384" w:lineRule="auto"/>
        <w:ind w:firstLine="420" w:firstLineChars="200"/>
        <w:rPr>
          <w:rFonts w:hint="eastAsia" w:ascii="宋体" w:hAnsi="宋体" w:cs="宋体"/>
          <w:color w:val="000000"/>
          <w:highlight w:val="none"/>
        </w:rPr>
      </w:pPr>
      <w:r>
        <w:rPr>
          <w:rFonts w:hint="eastAsia" w:ascii="宋体" w:hAnsi="宋体" w:cs="宋体"/>
          <w:color w:val="000000"/>
          <w:highlight w:val="none"/>
        </w:rPr>
        <w:t>21.1.7 承包人应始终采取一切合理防范措施来避免在项目人员内部发生违法、动乱或妨碍治安的行为，保持项目的安定；并保护好现场和周围的人员和财产安全。</w:t>
      </w:r>
    </w:p>
    <w:p w14:paraId="4DAC4F44">
      <w:pPr>
        <w:adjustRightInd w:val="0"/>
        <w:snapToGrid w:val="0"/>
        <w:spacing w:line="384" w:lineRule="auto"/>
        <w:ind w:firstLine="420" w:firstLineChars="200"/>
        <w:rPr>
          <w:rFonts w:hint="eastAsia" w:ascii="宋体" w:hAnsi="宋体" w:cs="宋体"/>
          <w:color w:val="000000"/>
          <w:highlight w:val="none"/>
        </w:rPr>
      </w:pPr>
      <w:r>
        <w:rPr>
          <w:rFonts w:hint="eastAsia" w:ascii="宋体" w:hAnsi="宋体" w:cs="宋体"/>
          <w:color w:val="000000"/>
          <w:highlight w:val="none"/>
        </w:rPr>
        <w:t>21.1.8 承包人雇佣职员或工人应遵守相关法律法规的规定。</w:t>
      </w:r>
    </w:p>
    <w:p w14:paraId="7FC64190">
      <w:pPr>
        <w:adjustRightInd w:val="0"/>
        <w:snapToGrid w:val="0"/>
        <w:spacing w:line="384" w:lineRule="auto"/>
        <w:ind w:firstLine="420" w:firstLineChars="200"/>
        <w:rPr>
          <w:rFonts w:hint="eastAsia" w:ascii="宋体" w:hAnsi="宋体" w:cs="宋体"/>
          <w:color w:val="000000"/>
          <w:highlight w:val="none"/>
        </w:rPr>
      </w:pPr>
      <w:r>
        <w:rPr>
          <w:rFonts w:hint="eastAsia" w:ascii="宋体" w:hAnsi="宋体" w:cs="宋体"/>
          <w:color w:val="000000"/>
          <w:highlight w:val="none"/>
        </w:rPr>
        <w:t>21.1.9 参与本项目的承包人代表或其雇员不遵守合同规定或一贯行为不轨或或不能胜任工作或危害安全，发包人代表有权要求更换；原人选未经发包人许可不得再进入本项目（包括项目经理在内）。</w:t>
      </w:r>
    </w:p>
    <w:p w14:paraId="55EA44CF">
      <w:pPr>
        <w:adjustRightInd w:val="0"/>
        <w:snapToGrid w:val="0"/>
        <w:spacing w:line="384" w:lineRule="auto"/>
        <w:ind w:firstLine="420" w:firstLineChars="200"/>
        <w:rPr>
          <w:rFonts w:hint="eastAsia" w:ascii="宋体" w:hAnsi="宋体" w:cs="宋体"/>
          <w:color w:val="000000"/>
          <w:highlight w:val="none"/>
        </w:rPr>
      </w:pPr>
      <w:r>
        <w:rPr>
          <w:rFonts w:hint="eastAsia" w:ascii="宋体" w:hAnsi="宋体" w:cs="宋体"/>
          <w:color w:val="000000"/>
          <w:highlight w:val="none"/>
        </w:rPr>
        <w:t>21.1.10 承包人更换项目经理的，须提前14天通知发包人，并征得发包人同意；该行为视为违约，承包人须支付发包人</w:t>
      </w:r>
      <w:r>
        <w:rPr>
          <w:rFonts w:hint="eastAsia" w:ascii="宋体" w:hAnsi="宋体" w:cs="宋体"/>
          <w:color w:val="000000"/>
          <w:highlight w:val="none"/>
          <w:u w:val="single"/>
        </w:rPr>
        <w:t xml:space="preserve">  </w:t>
      </w:r>
      <w:r>
        <w:rPr>
          <w:rFonts w:hint="eastAsia" w:ascii="宋体" w:hAnsi="宋体" w:cs="宋体"/>
          <w:color w:val="000000"/>
          <w:highlight w:val="none"/>
          <w:u w:val="single"/>
          <w:lang w:val="en-US" w:eastAsia="zh-CN"/>
        </w:rPr>
        <w:t>10</w:t>
      </w:r>
      <w:r>
        <w:rPr>
          <w:rFonts w:hint="eastAsia" w:ascii="宋体" w:hAnsi="宋体" w:cs="宋体"/>
          <w:color w:val="000000"/>
          <w:highlight w:val="none"/>
          <w:u w:val="single"/>
        </w:rPr>
        <w:t xml:space="preserve">  </w:t>
      </w:r>
      <w:r>
        <w:rPr>
          <w:rFonts w:hint="eastAsia" w:ascii="宋体" w:hAnsi="宋体" w:cs="宋体"/>
          <w:color w:val="000000"/>
          <w:highlight w:val="none"/>
        </w:rPr>
        <w:t>万元违约金。更换后的项目经理资历、水平不得降低。</w:t>
      </w:r>
    </w:p>
    <w:p w14:paraId="71241253">
      <w:pPr>
        <w:keepNext/>
        <w:keepLines/>
        <w:adjustRightInd w:val="0"/>
        <w:snapToGrid w:val="0"/>
        <w:spacing w:line="384" w:lineRule="auto"/>
        <w:ind w:firstLine="420" w:firstLineChars="200"/>
        <w:outlineLvl w:val="3"/>
        <w:rPr>
          <w:rFonts w:hint="eastAsia" w:ascii="宋体" w:hAnsi="宋体" w:cs="宋体"/>
          <w:bCs/>
          <w:color w:val="000000"/>
          <w:szCs w:val="28"/>
        </w:rPr>
      </w:pPr>
      <w:r>
        <w:rPr>
          <w:rFonts w:hint="eastAsia" w:ascii="宋体" w:hAnsi="宋体" w:cs="宋体"/>
          <w:bCs/>
          <w:color w:val="000000"/>
          <w:szCs w:val="28"/>
        </w:rPr>
        <w:t>21.2 变更与调整</w:t>
      </w:r>
    </w:p>
    <w:p w14:paraId="77CEA2CE">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21.2.1 在工程移交前，发包人代表有权签发变更指令，承包人应按照指令来实施变更，并进行工期和费用的估算，提交发包人代表。</w:t>
      </w:r>
    </w:p>
    <w:p w14:paraId="02A9FCB7">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21.2.2 发包人代表收到承包人的估算后，可以决定撤销、修改或确认实施该项变更。</w:t>
      </w:r>
    </w:p>
    <w:p w14:paraId="2BBE2093">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21.2.3 如果承包人认为自己的建议能缩短工期、降低工程实施或运营成本，或对业主产生其他利益，可以向发包人代表提交建议书；建议书的编制费用自理。</w:t>
      </w:r>
    </w:p>
    <w:p w14:paraId="2A9E72AC">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21.2.4 如果发包人采纳承包人的建议节省了工程费用，将给予承包人节约费用适当比例的奖励。</w:t>
      </w:r>
    </w:p>
    <w:p w14:paraId="43776F88">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21.2.5 上一款中节省费用的计算方法为：降低的合同额度减去因变更而引起在工程质量、寿命、以及运营效率等方面为发包人带来的潜在损失。</w:t>
      </w:r>
    </w:p>
    <w:p w14:paraId="7D7E7B3C">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21.2.6 任何变更指令都应由发包人代表签发给承包人，承包人收到后应回函说明；涉及到费用调整的，按照相关条款执行。</w:t>
      </w:r>
    </w:p>
    <w:p w14:paraId="0439841F">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21.2.7 设计文件示意内容的尺寸做法、要求等标注有错误、有遗漏，或理解不一致，发包人或其委托的勘查设计单位根据工程施工需要而对其进行更正和补充的，称为技术核定；技术核定不调整合同价款，也不调整工期。</w:t>
      </w:r>
    </w:p>
    <w:p w14:paraId="26674B62">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21.2.8 未经发包人代表批准，承包人不得对工程进行任何变更。</w:t>
      </w:r>
    </w:p>
    <w:p w14:paraId="50CEEF06">
      <w:pPr>
        <w:keepNext/>
        <w:keepLines/>
        <w:adjustRightInd w:val="0"/>
        <w:snapToGrid w:val="0"/>
        <w:spacing w:line="384" w:lineRule="auto"/>
        <w:ind w:firstLine="420" w:firstLineChars="200"/>
        <w:outlineLvl w:val="3"/>
        <w:rPr>
          <w:rFonts w:hint="eastAsia" w:ascii="宋体" w:hAnsi="宋体" w:cs="宋体"/>
          <w:bCs/>
          <w:color w:val="000000"/>
          <w:szCs w:val="28"/>
        </w:rPr>
      </w:pPr>
      <w:r>
        <w:rPr>
          <w:rFonts w:hint="eastAsia" w:ascii="宋体" w:hAnsi="宋体" w:cs="宋体"/>
          <w:bCs/>
          <w:color w:val="000000"/>
          <w:szCs w:val="28"/>
        </w:rPr>
        <w:t>21.3 分包与配合</w:t>
      </w:r>
    </w:p>
    <w:p w14:paraId="0F5D53A3">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21.3.1 承包人进行工程分包的，应遵守通用条款相关规定，发包人视其为承包人自行施工的工程；发包人代表对分包的同意或批准并不解除承包人的任何责任，也不代表发包人对此承担任何责任。</w:t>
      </w:r>
    </w:p>
    <w:p w14:paraId="77319BAC">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21.3.7 凡在与已交工工程有关联的部位施工时，必须提前向甲方提出书面联系单，经甲方同意，并签字后方可施工。</w:t>
      </w:r>
    </w:p>
    <w:p w14:paraId="3A22224C">
      <w:pPr>
        <w:keepNext/>
        <w:keepLines/>
        <w:adjustRightInd w:val="0"/>
        <w:snapToGrid w:val="0"/>
        <w:spacing w:line="384" w:lineRule="auto"/>
        <w:ind w:firstLine="420" w:firstLineChars="200"/>
        <w:outlineLvl w:val="3"/>
        <w:rPr>
          <w:rFonts w:hint="eastAsia" w:ascii="宋体" w:hAnsi="宋体" w:cs="宋体"/>
          <w:bCs/>
          <w:color w:val="000000"/>
          <w:szCs w:val="28"/>
        </w:rPr>
      </w:pPr>
      <w:r>
        <w:rPr>
          <w:rFonts w:hint="eastAsia" w:ascii="宋体" w:hAnsi="宋体" w:cs="宋体"/>
          <w:bCs/>
          <w:color w:val="000000"/>
          <w:szCs w:val="28"/>
        </w:rPr>
        <w:t>21.4 结算</w:t>
      </w:r>
    </w:p>
    <w:p w14:paraId="44D9DF34">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21.4.1 承包人的投标报价（合同价款）是承包人基于业主提供的资料和现场数据及承包人的解释和现场考察计算出来的，覆盖了完成合同义务所包括的一切工作，不得以漏项或考虑不周提出索赔。</w:t>
      </w:r>
    </w:p>
    <w:p w14:paraId="556EC024">
      <w:pPr>
        <w:adjustRightInd w:val="0"/>
        <w:snapToGrid w:val="0"/>
        <w:spacing w:line="384" w:lineRule="auto"/>
        <w:ind w:firstLine="420" w:firstLineChars="200"/>
        <w:rPr>
          <w:rFonts w:hint="eastAsia" w:ascii="宋体" w:hAnsi="宋体" w:eastAsia="宋体" w:cs="宋体"/>
          <w:color w:val="000000"/>
          <w:kern w:val="0"/>
        </w:rPr>
      </w:pPr>
      <w:r>
        <w:rPr>
          <w:rFonts w:hint="eastAsia" w:ascii="宋体" w:hAnsi="宋体" w:eastAsia="宋体" w:cs="宋体"/>
          <w:color w:val="000000"/>
          <w:kern w:val="0"/>
        </w:rPr>
        <w:t>21.4.3 发包人供应材料设备的结算：材料按照总价的</w:t>
      </w:r>
      <w:r>
        <w:rPr>
          <w:rFonts w:hint="eastAsia" w:ascii="宋体" w:hAnsi="宋体" w:eastAsia="宋体" w:cs="宋体"/>
          <w:color w:val="000000"/>
          <w:kern w:val="0"/>
          <w:u w:val="single"/>
        </w:rPr>
        <w:t xml:space="preserve">     </w:t>
      </w:r>
      <w:r>
        <w:rPr>
          <w:rFonts w:hint="eastAsia" w:ascii="宋体" w:hAnsi="宋体" w:eastAsia="宋体" w:cs="宋体"/>
          <w:color w:val="000000"/>
          <w:kern w:val="0"/>
        </w:rPr>
        <w:t>%计取保管费（材料数量最多不超过设计文件的用量（可以计算定额损耗））；设备按照总价的</w:t>
      </w:r>
      <w:r>
        <w:rPr>
          <w:rFonts w:hint="eastAsia" w:ascii="宋体" w:hAnsi="宋体" w:eastAsia="宋体" w:cs="宋体"/>
          <w:color w:val="000000"/>
          <w:kern w:val="0"/>
          <w:u w:val="single"/>
        </w:rPr>
        <w:t xml:space="preserve">     </w:t>
      </w:r>
      <w:r>
        <w:rPr>
          <w:rFonts w:hint="eastAsia" w:ascii="宋体" w:hAnsi="宋体" w:eastAsia="宋体" w:cs="宋体"/>
          <w:color w:val="000000"/>
          <w:kern w:val="0"/>
        </w:rPr>
        <w:t>%计取保管费；此费用仅计取税金。</w:t>
      </w:r>
    </w:p>
    <w:p w14:paraId="3C72B768">
      <w:pPr>
        <w:adjustRightInd w:val="0"/>
        <w:snapToGrid w:val="0"/>
        <w:spacing w:line="384" w:lineRule="auto"/>
        <w:ind w:firstLine="420" w:firstLineChars="200"/>
        <w:rPr>
          <w:rFonts w:hint="eastAsia" w:ascii="宋体" w:hAnsi="宋体" w:eastAsia="宋体" w:cs="宋体"/>
          <w:color w:val="000000"/>
          <w:kern w:val="0"/>
        </w:rPr>
      </w:pPr>
      <w:r>
        <w:rPr>
          <w:rFonts w:hint="eastAsia" w:ascii="宋体" w:hAnsi="宋体" w:eastAsia="宋体" w:cs="宋体"/>
          <w:color w:val="000000"/>
          <w:kern w:val="0"/>
        </w:rPr>
        <w:t>21.4.4 分包工程的总承包配合费和配合工程的配合费：分包工程的总承包配合费按照分包工程价格确定，一次包死，不随分包工程结算价款的调整而调整；配合工程的配合费也一次包死；该两项费用仅计取税金。</w:t>
      </w:r>
    </w:p>
    <w:p w14:paraId="20CAA265">
      <w:pPr>
        <w:adjustRightInd w:val="0"/>
        <w:snapToGrid w:val="0"/>
        <w:spacing w:line="384" w:lineRule="auto"/>
        <w:ind w:firstLine="420" w:firstLineChars="200"/>
        <w:rPr>
          <w:rFonts w:hint="eastAsia" w:ascii="宋体" w:hAnsi="宋体" w:cs="宋体"/>
          <w:color w:val="000000"/>
          <w:kern w:val="0"/>
          <w:lang w:eastAsia="zh-CN"/>
        </w:rPr>
      </w:pPr>
      <w:r>
        <w:rPr>
          <w:rFonts w:hint="eastAsia" w:ascii="宋体" w:hAnsi="宋体" w:eastAsia="宋体" w:cs="宋体"/>
          <w:color w:val="000000"/>
          <w:kern w:val="0"/>
        </w:rPr>
        <w:t>21.4.5对于发包人提供的工程量清单中的单项子目，承包人没有报价的，发包人认为视同该项价格已经包括在其他项目中</w:t>
      </w:r>
      <w:r>
        <w:rPr>
          <w:rFonts w:hint="eastAsia" w:ascii="宋体" w:hAnsi="宋体" w:cs="宋体"/>
          <w:color w:val="000000"/>
          <w:kern w:val="0"/>
          <w:lang w:eastAsia="zh-CN"/>
        </w:rPr>
        <w:t>。</w:t>
      </w:r>
    </w:p>
    <w:p w14:paraId="57325837">
      <w:pPr>
        <w:keepNext/>
        <w:keepLines/>
        <w:adjustRightInd w:val="0"/>
        <w:snapToGrid w:val="0"/>
        <w:spacing w:line="384" w:lineRule="auto"/>
        <w:ind w:firstLine="420" w:firstLineChars="200"/>
        <w:outlineLvl w:val="3"/>
        <w:rPr>
          <w:rFonts w:hint="default" w:ascii="宋体" w:hAnsi="宋体" w:cs="宋体"/>
          <w:bCs/>
          <w:color w:val="000000"/>
          <w:szCs w:val="28"/>
          <w:highlight w:val="none"/>
          <w:lang w:val="en-US" w:eastAsia="zh-CN"/>
        </w:rPr>
      </w:pPr>
      <w:r>
        <w:rPr>
          <w:rFonts w:hint="eastAsia" w:ascii="宋体" w:hAnsi="宋体" w:cs="宋体"/>
          <w:bCs/>
          <w:color w:val="000000"/>
          <w:szCs w:val="28"/>
          <w:highlight w:val="none"/>
          <w:lang w:val="en-US" w:eastAsia="zh-CN"/>
        </w:rPr>
        <w:t>21.5环控、监控系统应具备可视、可测、可调、可控，且须匹配并接入甲方监控系统服务器平台系统。</w:t>
      </w:r>
    </w:p>
    <w:p w14:paraId="28F630F0">
      <w:pPr>
        <w:keepNext/>
        <w:keepLines/>
        <w:adjustRightInd w:val="0"/>
        <w:snapToGrid w:val="0"/>
        <w:spacing w:line="384" w:lineRule="auto"/>
        <w:ind w:firstLine="420" w:firstLineChars="200"/>
        <w:outlineLvl w:val="3"/>
        <w:rPr>
          <w:rFonts w:hint="eastAsia" w:ascii="宋体" w:hAnsi="宋体" w:cs="宋体"/>
          <w:bCs/>
          <w:color w:val="000000"/>
          <w:szCs w:val="28"/>
          <w:highlight w:val="none"/>
          <w:lang w:val="en-US" w:eastAsia="zh-CN"/>
        </w:rPr>
      </w:pPr>
      <w:r>
        <w:rPr>
          <w:rFonts w:hint="eastAsia" w:ascii="宋体" w:hAnsi="宋体" w:cs="宋体"/>
          <w:bCs/>
          <w:color w:val="000000"/>
          <w:szCs w:val="28"/>
          <w:highlight w:val="none"/>
          <w:lang w:val="en-US" w:eastAsia="zh-CN"/>
        </w:rPr>
        <w:t>21.6本项目的充电桩设施设备（包括电动车充电桩设施设备）须提供不少于五年的厂家免费质保服务。</w:t>
      </w:r>
    </w:p>
    <w:p w14:paraId="2D973541">
      <w:pPr>
        <w:keepNext/>
        <w:keepLines/>
        <w:adjustRightInd w:val="0"/>
        <w:snapToGrid w:val="0"/>
        <w:spacing w:line="384" w:lineRule="auto"/>
        <w:ind w:firstLine="420" w:firstLineChars="200"/>
        <w:outlineLvl w:val="3"/>
        <w:rPr>
          <w:rFonts w:hint="eastAsia" w:ascii="宋体" w:hAnsi="宋体" w:cs="宋体"/>
          <w:bCs/>
          <w:color w:val="000000"/>
          <w:szCs w:val="28"/>
          <w:highlight w:val="none"/>
          <w:lang w:val="en-US" w:eastAsia="zh-CN"/>
        </w:rPr>
      </w:pPr>
      <w:r>
        <w:rPr>
          <w:rFonts w:hint="eastAsia" w:ascii="宋体" w:hAnsi="宋体" w:cs="宋体"/>
          <w:bCs/>
          <w:color w:val="000000"/>
          <w:szCs w:val="28"/>
          <w:highlight w:val="none"/>
          <w:lang w:val="en-US" w:eastAsia="zh-CN"/>
        </w:rPr>
        <w:t>21.7在工程缺陷责任期内 (自竣工验收合格之日起满2年)，乙方须免费提供充电设备收费系统服务，其相关费用包含在合同价中，甲方不另行支付其他费用。</w:t>
      </w:r>
    </w:p>
    <w:p w14:paraId="364867FB">
      <w:pPr>
        <w:keepNext/>
        <w:keepLines/>
        <w:adjustRightInd w:val="0"/>
        <w:snapToGrid w:val="0"/>
        <w:spacing w:line="384" w:lineRule="auto"/>
        <w:ind w:firstLine="420" w:firstLineChars="200"/>
        <w:outlineLvl w:val="3"/>
        <w:rPr>
          <w:rFonts w:hint="eastAsia" w:ascii="宋体" w:hAnsi="宋体" w:cs="宋体"/>
          <w:bCs/>
          <w:color w:val="000000"/>
          <w:szCs w:val="28"/>
          <w:highlight w:val="none"/>
          <w:lang w:eastAsia="zh-CN"/>
        </w:rPr>
      </w:pPr>
      <w:r>
        <w:rPr>
          <w:rFonts w:hint="eastAsia" w:ascii="宋体" w:hAnsi="宋体" w:cs="宋体"/>
          <w:bCs/>
          <w:color w:val="000000"/>
          <w:szCs w:val="28"/>
          <w:highlight w:val="none"/>
          <w:lang w:val="en-US" w:eastAsia="zh-CN"/>
        </w:rPr>
        <w:t>21.8项目竣工验收后，乙方须配合甲方完成国网光伏发电项目机制电价竞价工作。</w:t>
      </w:r>
    </w:p>
    <w:p w14:paraId="6DA99E0C"/>
    <w:p w14:paraId="461A6CA7">
      <w:pPr>
        <w:adjustRightInd w:val="0"/>
        <w:snapToGrid w:val="0"/>
        <w:spacing w:line="360" w:lineRule="auto"/>
        <w:rPr>
          <w:rFonts w:hint="eastAsia" w:ascii="宋体" w:hAnsi="宋体" w:cs="宋体"/>
          <w:color w:val="000000"/>
        </w:rPr>
      </w:pPr>
      <w:r>
        <w:rPr>
          <w:rFonts w:hint="eastAsia" w:ascii="宋体" w:hAnsi="宋体" w:cs="宋体"/>
          <w:color w:val="000000"/>
        </w:rPr>
        <w:t>发包人：  (公章)                           承包人：  (公章)</w:t>
      </w:r>
    </w:p>
    <w:p w14:paraId="75AFBB71">
      <w:pPr>
        <w:adjustRightInd w:val="0"/>
        <w:snapToGrid w:val="0"/>
        <w:spacing w:line="360" w:lineRule="auto"/>
        <w:rPr>
          <w:rFonts w:hint="eastAsia" w:ascii="宋体" w:hAnsi="宋体" w:cs="宋体"/>
          <w:color w:val="000000"/>
        </w:rPr>
      </w:pPr>
      <w:r>
        <w:rPr>
          <w:rFonts w:hint="eastAsia" w:ascii="宋体" w:hAnsi="宋体" w:cs="宋体"/>
          <w:color w:val="000000"/>
        </w:rPr>
        <w:t>法定代表人或其委托代理人：                 法定代表人或其委托代理人：</w:t>
      </w:r>
    </w:p>
    <w:p w14:paraId="2082B6C9">
      <w:pPr>
        <w:adjustRightInd w:val="0"/>
        <w:snapToGrid w:val="0"/>
        <w:spacing w:line="360" w:lineRule="auto"/>
        <w:rPr>
          <w:rFonts w:hint="eastAsia" w:ascii="宋体" w:hAnsi="宋体" w:cs="宋体"/>
          <w:color w:val="000000"/>
        </w:rPr>
      </w:pPr>
      <w:r>
        <w:rPr>
          <w:rFonts w:hint="eastAsia" w:ascii="宋体" w:hAnsi="宋体" w:cs="宋体"/>
          <w:color w:val="000000"/>
        </w:rPr>
        <w:t>（签字）                                  （签字）</w:t>
      </w:r>
    </w:p>
    <w:p w14:paraId="4F72921B">
      <w:pPr>
        <w:adjustRightInd w:val="0"/>
        <w:snapToGrid w:val="0"/>
        <w:spacing w:line="360" w:lineRule="auto"/>
        <w:rPr>
          <w:rFonts w:hint="eastAsia" w:ascii="宋体" w:hAnsi="宋体" w:cs="宋体"/>
          <w:color w:val="000000"/>
          <w:u w:val="single"/>
        </w:rPr>
      </w:pPr>
      <w:r>
        <w:rPr>
          <w:rFonts w:hint="eastAsia" w:ascii="宋体" w:hAnsi="宋体" w:cs="宋体"/>
          <w:color w:val="000000"/>
        </w:rPr>
        <w:t>组织机构代码：</w:t>
      </w:r>
      <w:r>
        <w:rPr>
          <w:rFonts w:hint="eastAsia" w:ascii="宋体" w:hAnsi="宋体" w:cs="宋体"/>
          <w:color w:val="000000"/>
          <w:u w:val="single"/>
        </w:rPr>
        <w:t xml:space="preserve">            </w:t>
      </w:r>
      <w:r>
        <w:rPr>
          <w:rFonts w:hint="eastAsia" w:ascii="宋体" w:hAnsi="宋体" w:cs="宋体"/>
          <w:color w:val="000000"/>
        </w:rPr>
        <w:t xml:space="preserve">                组织机构代码：</w:t>
      </w:r>
      <w:r>
        <w:rPr>
          <w:rFonts w:hint="eastAsia" w:ascii="宋体" w:hAnsi="宋体" w:cs="宋体"/>
          <w:color w:val="000000"/>
          <w:u w:val="single"/>
        </w:rPr>
        <w:t xml:space="preserve">          </w:t>
      </w:r>
    </w:p>
    <w:p w14:paraId="510A5AAC">
      <w:pPr>
        <w:adjustRightInd w:val="0"/>
        <w:snapToGrid w:val="0"/>
        <w:spacing w:line="360" w:lineRule="auto"/>
        <w:rPr>
          <w:rFonts w:hint="eastAsia" w:ascii="宋体" w:hAnsi="宋体" w:cs="宋体"/>
          <w:color w:val="000000"/>
        </w:rPr>
      </w:pPr>
      <w:r>
        <w:rPr>
          <w:rFonts w:hint="eastAsia" w:ascii="宋体" w:hAnsi="宋体" w:cs="宋体"/>
          <w:color w:val="000000"/>
        </w:rPr>
        <w:t>地  址：</w:t>
      </w:r>
      <w:r>
        <w:rPr>
          <w:rFonts w:hint="eastAsia" w:ascii="宋体" w:hAnsi="宋体" w:cs="宋体"/>
          <w:color w:val="000000"/>
          <w:u w:val="single"/>
        </w:rPr>
        <w:t xml:space="preserve">                    </w:t>
      </w:r>
      <w:r>
        <w:rPr>
          <w:rFonts w:hint="eastAsia" w:ascii="宋体" w:hAnsi="宋体" w:cs="宋体"/>
          <w:color w:val="000000"/>
        </w:rPr>
        <w:t xml:space="preserve">                地  址：</w:t>
      </w:r>
      <w:r>
        <w:rPr>
          <w:rFonts w:hint="eastAsia" w:ascii="宋体" w:hAnsi="宋体" w:cs="宋体"/>
          <w:color w:val="000000"/>
          <w:u w:val="single"/>
        </w:rPr>
        <w:t xml:space="preserve">                  </w:t>
      </w:r>
    </w:p>
    <w:p w14:paraId="00262A33">
      <w:pPr>
        <w:adjustRightInd w:val="0"/>
        <w:snapToGrid w:val="0"/>
        <w:spacing w:line="360" w:lineRule="auto"/>
        <w:rPr>
          <w:rFonts w:hint="eastAsia" w:ascii="宋体" w:hAnsi="宋体" w:cs="宋体"/>
          <w:color w:val="000000"/>
        </w:rPr>
      </w:pPr>
      <w:r>
        <w:rPr>
          <w:rFonts w:hint="eastAsia" w:ascii="宋体" w:hAnsi="宋体" w:cs="宋体"/>
          <w:color w:val="000000"/>
        </w:rPr>
        <w:t>邮政编码：</w:t>
      </w:r>
      <w:r>
        <w:rPr>
          <w:rFonts w:hint="eastAsia" w:ascii="宋体" w:hAnsi="宋体" w:cs="宋体"/>
          <w:color w:val="000000"/>
          <w:u w:val="single"/>
        </w:rPr>
        <w:t xml:space="preserve">                </w:t>
      </w:r>
      <w:r>
        <w:rPr>
          <w:rFonts w:hint="eastAsia" w:ascii="宋体" w:hAnsi="宋体" w:cs="宋体"/>
          <w:color w:val="000000"/>
        </w:rPr>
        <w:t xml:space="preserve">               邮政编码：</w:t>
      </w:r>
      <w:r>
        <w:rPr>
          <w:rFonts w:hint="eastAsia" w:ascii="宋体" w:hAnsi="宋体" w:cs="宋体"/>
          <w:color w:val="000000"/>
          <w:u w:val="single"/>
        </w:rPr>
        <w:t xml:space="preserve">                   </w:t>
      </w:r>
    </w:p>
    <w:p w14:paraId="636C657E">
      <w:pPr>
        <w:adjustRightInd w:val="0"/>
        <w:snapToGrid w:val="0"/>
        <w:spacing w:line="360" w:lineRule="auto"/>
        <w:rPr>
          <w:rFonts w:hint="eastAsia" w:ascii="宋体" w:hAnsi="宋体" w:cs="宋体"/>
          <w:color w:val="000000"/>
        </w:rPr>
      </w:pPr>
      <w:r>
        <w:rPr>
          <w:rFonts w:hint="eastAsia" w:ascii="宋体" w:hAnsi="宋体" w:cs="宋体"/>
          <w:color w:val="000000"/>
        </w:rPr>
        <w:t>法定代表人：</w:t>
      </w:r>
      <w:r>
        <w:rPr>
          <w:rFonts w:hint="eastAsia" w:ascii="宋体" w:hAnsi="宋体" w:cs="宋体"/>
          <w:color w:val="000000"/>
          <w:u w:val="single"/>
        </w:rPr>
        <w:t xml:space="preserve">            </w:t>
      </w:r>
      <w:r>
        <w:rPr>
          <w:rFonts w:hint="eastAsia" w:ascii="宋体" w:hAnsi="宋体" w:cs="宋体"/>
          <w:color w:val="000000"/>
        </w:rPr>
        <w:t xml:space="preserve">                法定代表人：</w:t>
      </w:r>
      <w:r>
        <w:rPr>
          <w:rFonts w:hint="eastAsia" w:ascii="宋体" w:hAnsi="宋体" w:cs="宋体"/>
          <w:color w:val="000000"/>
          <w:u w:val="single"/>
        </w:rPr>
        <w:t xml:space="preserve">            </w:t>
      </w:r>
    </w:p>
    <w:p w14:paraId="0D000CD5">
      <w:pPr>
        <w:adjustRightInd w:val="0"/>
        <w:snapToGrid w:val="0"/>
        <w:spacing w:line="360" w:lineRule="auto"/>
        <w:rPr>
          <w:rFonts w:hint="eastAsia" w:ascii="宋体" w:hAnsi="宋体" w:cs="宋体"/>
          <w:color w:val="000000"/>
        </w:rPr>
      </w:pPr>
      <w:r>
        <w:rPr>
          <w:rFonts w:hint="eastAsia" w:ascii="宋体" w:hAnsi="宋体" w:cs="宋体"/>
          <w:color w:val="000000"/>
        </w:rPr>
        <w:t>委托代理人：</w:t>
      </w:r>
      <w:r>
        <w:rPr>
          <w:rFonts w:hint="eastAsia" w:ascii="宋体" w:hAnsi="宋体" w:cs="宋体"/>
          <w:color w:val="000000"/>
          <w:u w:val="single"/>
        </w:rPr>
        <w:t xml:space="preserve">                </w:t>
      </w:r>
      <w:r>
        <w:rPr>
          <w:rFonts w:hint="eastAsia" w:ascii="宋体" w:hAnsi="宋体" w:cs="宋体"/>
          <w:color w:val="000000"/>
        </w:rPr>
        <w:t xml:space="preserve">                委托代理人：</w:t>
      </w:r>
      <w:r>
        <w:rPr>
          <w:rFonts w:hint="eastAsia" w:ascii="宋体" w:hAnsi="宋体" w:cs="宋体"/>
          <w:color w:val="000000"/>
          <w:u w:val="single"/>
        </w:rPr>
        <w:t xml:space="preserve">                </w:t>
      </w:r>
    </w:p>
    <w:p w14:paraId="74C80206">
      <w:pPr>
        <w:adjustRightInd w:val="0"/>
        <w:snapToGrid w:val="0"/>
        <w:spacing w:line="360" w:lineRule="auto"/>
        <w:rPr>
          <w:rFonts w:hint="eastAsia" w:ascii="宋体" w:hAnsi="宋体" w:cs="宋体"/>
          <w:color w:val="000000"/>
        </w:rPr>
      </w:pPr>
      <w:r>
        <w:rPr>
          <w:rFonts w:hint="eastAsia" w:ascii="宋体" w:hAnsi="宋体" w:cs="宋体"/>
          <w:color w:val="000000"/>
        </w:rPr>
        <w:t>电  话：</w:t>
      </w:r>
      <w:r>
        <w:rPr>
          <w:rFonts w:hint="eastAsia" w:ascii="宋体" w:hAnsi="宋体" w:cs="宋体"/>
          <w:color w:val="000000"/>
          <w:u w:val="single"/>
        </w:rPr>
        <w:t xml:space="preserve">                   </w:t>
      </w:r>
      <w:r>
        <w:rPr>
          <w:rFonts w:hint="eastAsia" w:ascii="宋体" w:hAnsi="宋体" w:cs="宋体"/>
          <w:color w:val="000000"/>
        </w:rPr>
        <w:t xml:space="preserve">                电  话：</w:t>
      </w:r>
      <w:r>
        <w:rPr>
          <w:rFonts w:hint="eastAsia" w:ascii="宋体" w:hAnsi="宋体" w:cs="宋体"/>
          <w:color w:val="000000"/>
          <w:u w:val="single"/>
        </w:rPr>
        <w:t xml:space="preserve">                     </w:t>
      </w:r>
    </w:p>
    <w:p w14:paraId="6A8BE3C8">
      <w:pPr>
        <w:adjustRightInd w:val="0"/>
        <w:snapToGrid w:val="0"/>
        <w:spacing w:line="360" w:lineRule="auto"/>
        <w:rPr>
          <w:rFonts w:hint="eastAsia" w:ascii="宋体" w:hAnsi="宋体" w:cs="宋体"/>
          <w:color w:val="000000"/>
        </w:rPr>
      </w:pPr>
      <w:r>
        <w:rPr>
          <w:rFonts w:hint="eastAsia" w:ascii="宋体" w:hAnsi="宋体" w:cs="宋体"/>
          <w:color w:val="000000"/>
        </w:rPr>
        <w:t>传  真：</w:t>
      </w:r>
      <w:r>
        <w:rPr>
          <w:rFonts w:hint="eastAsia" w:ascii="宋体" w:hAnsi="宋体" w:cs="宋体"/>
          <w:color w:val="000000"/>
          <w:u w:val="single"/>
        </w:rPr>
        <w:t xml:space="preserve">                   </w:t>
      </w:r>
      <w:r>
        <w:rPr>
          <w:rFonts w:hint="eastAsia" w:ascii="宋体" w:hAnsi="宋体" w:cs="宋体"/>
          <w:color w:val="000000"/>
        </w:rPr>
        <w:t xml:space="preserve">                传  真：</w:t>
      </w:r>
      <w:r>
        <w:rPr>
          <w:rFonts w:hint="eastAsia" w:ascii="宋体" w:hAnsi="宋体" w:cs="宋体"/>
          <w:color w:val="000000"/>
          <w:u w:val="single"/>
        </w:rPr>
        <w:t xml:space="preserve">                   </w:t>
      </w:r>
    </w:p>
    <w:p w14:paraId="15720D2F">
      <w:pPr>
        <w:adjustRightInd w:val="0"/>
        <w:snapToGrid w:val="0"/>
        <w:spacing w:line="360" w:lineRule="auto"/>
        <w:rPr>
          <w:rFonts w:hint="eastAsia" w:ascii="宋体" w:hAnsi="宋体" w:cs="宋体"/>
          <w:color w:val="000000"/>
        </w:rPr>
      </w:pPr>
      <w:r>
        <w:rPr>
          <w:rFonts w:hint="eastAsia" w:ascii="宋体" w:hAnsi="宋体" w:cs="宋体"/>
          <w:color w:val="000000"/>
        </w:rPr>
        <w:t>电子信箱：</w:t>
      </w:r>
      <w:r>
        <w:rPr>
          <w:rFonts w:hint="eastAsia" w:ascii="宋体" w:hAnsi="宋体" w:cs="宋体"/>
          <w:color w:val="000000"/>
          <w:u w:val="single"/>
        </w:rPr>
        <w:t xml:space="preserve">                 </w:t>
      </w:r>
      <w:r>
        <w:rPr>
          <w:rFonts w:hint="eastAsia" w:ascii="宋体" w:hAnsi="宋体" w:cs="宋体"/>
          <w:color w:val="000000"/>
        </w:rPr>
        <w:t xml:space="preserve">                电子信箱：</w:t>
      </w:r>
      <w:r>
        <w:rPr>
          <w:rFonts w:hint="eastAsia" w:ascii="宋体" w:hAnsi="宋体" w:cs="宋体"/>
          <w:color w:val="000000"/>
          <w:u w:val="single"/>
        </w:rPr>
        <w:t xml:space="preserve">                   </w:t>
      </w:r>
    </w:p>
    <w:p w14:paraId="35DB4CDB">
      <w:pPr>
        <w:adjustRightInd w:val="0"/>
        <w:snapToGrid w:val="0"/>
        <w:spacing w:line="360" w:lineRule="auto"/>
        <w:rPr>
          <w:rFonts w:hint="eastAsia" w:ascii="宋体" w:hAnsi="宋体" w:cs="宋体"/>
          <w:color w:val="000000"/>
        </w:rPr>
      </w:pPr>
      <w:r>
        <w:rPr>
          <w:rFonts w:hint="eastAsia" w:ascii="宋体" w:hAnsi="宋体" w:cs="宋体"/>
          <w:color w:val="000000"/>
        </w:rPr>
        <w:t>开户银行：</w:t>
      </w:r>
      <w:r>
        <w:rPr>
          <w:rFonts w:hint="eastAsia" w:ascii="宋体" w:hAnsi="宋体" w:cs="宋体"/>
          <w:color w:val="000000"/>
          <w:u w:val="single"/>
        </w:rPr>
        <w:t xml:space="preserve">                 </w:t>
      </w:r>
      <w:r>
        <w:rPr>
          <w:rFonts w:hint="eastAsia" w:ascii="宋体" w:hAnsi="宋体" w:cs="宋体"/>
          <w:color w:val="000000"/>
        </w:rPr>
        <w:t xml:space="preserve">                开户银行：</w:t>
      </w:r>
      <w:r>
        <w:rPr>
          <w:rFonts w:hint="eastAsia" w:ascii="宋体" w:hAnsi="宋体" w:cs="宋体"/>
          <w:color w:val="000000"/>
          <w:u w:val="single"/>
        </w:rPr>
        <w:t xml:space="preserve">                   </w:t>
      </w:r>
    </w:p>
    <w:p w14:paraId="157F105B">
      <w:pPr>
        <w:adjustRightInd w:val="0"/>
        <w:snapToGrid w:val="0"/>
        <w:spacing w:line="360" w:lineRule="auto"/>
        <w:rPr>
          <w:rFonts w:hint="eastAsia" w:ascii="黑体" w:eastAsia="黑体"/>
          <w:b/>
          <w:sz w:val="32"/>
          <w:szCs w:val="32"/>
          <w:lang w:val="en-US" w:eastAsia="zh-CN"/>
        </w:rPr>
      </w:pPr>
      <w:r>
        <w:rPr>
          <w:rFonts w:hint="eastAsia" w:ascii="宋体" w:hAnsi="宋体" w:cs="宋体"/>
          <w:color w:val="000000"/>
        </w:rPr>
        <w:t>账  号：</w:t>
      </w:r>
      <w:r>
        <w:rPr>
          <w:rFonts w:hint="eastAsia" w:ascii="宋体" w:hAnsi="宋体" w:cs="宋体"/>
          <w:color w:val="000000"/>
          <w:u w:val="single"/>
        </w:rPr>
        <w:t xml:space="preserve">                 </w:t>
      </w:r>
      <w:r>
        <w:rPr>
          <w:rFonts w:hint="eastAsia" w:ascii="宋体" w:hAnsi="宋体" w:cs="宋体"/>
          <w:color w:val="000000"/>
        </w:rPr>
        <w:t xml:space="preserve">                账  号：</w:t>
      </w:r>
      <w:r>
        <w:rPr>
          <w:rFonts w:hint="eastAsia" w:ascii="宋体" w:hAnsi="宋体" w:cs="宋体"/>
          <w:color w:val="000000"/>
          <w:u w:val="single"/>
        </w:rPr>
        <w:t xml:space="preserve">                     </w:t>
      </w:r>
    </w:p>
    <w:p w14:paraId="17B4B52B">
      <w:pPr>
        <w:spacing w:line="360" w:lineRule="auto"/>
        <w:rPr>
          <w:rFonts w:hint="eastAsia" w:ascii="宋体" w:hAnsi="宋体" w:cs="宋体"/>
          <w:color w:val="000000"/>
        </w:rPr>
      </w:pPr>
      <w:r>
        <w:rPr>
          <w:rFonts w:hint="eastAsia" w:ascii="宋体" w:hAnsi="宋体" w:cs="宋体"/>
          <w:color w:val="000000"/>
        </w:rPr>
        <w:t>协议书附件：</w:t>
      </w:r>
    </w:p>
    <w:p w14:paraId="4A82D73A">
      <w:pPr>
        <w:spacing w:line="360" w:lineRule="auto"/>
        <w:rPr>
          <w:rFonts w:hint="eastAsia" w:ascii="宋体" w:hAnsi="宋体" w:cs="宋体"/>
          <w:color w:val="000000"/>
        </w:rPr>
      </w:pPr>
      <w:r>
        <w:rPr>
          <w:rFonts w:hint="eastAsia" w:ascii="宋体" w:hAnsi="宋体" w:cs="宋体"/>
          <w:color w:val="000000"/>
        </w:rPr>
        <w:t>附件1：承包人承揽工程项目一览表</w:t>
      </w:r>
    </w:p>
    <w:p w14:paraId="1C493AD2">
      <w:pPr>
        <w:spacing w:line="360" w:lineRule="auto"/>
        <w:rPr>
          <w:rFonts w:hint="eastAsia" w:ascii="宋体" w:hAnsi="宋体" w:cs="宋体"/>
          <w:color w:val="000000"/>
        </w:rPr>
      </w:pPr>
      <w:r>
        <w:rPr>
          <w:rFonts w:hint="eastAsia" w:ascii="宋体" w:hAnsi="宋体" w:cs="宋体"/>
          <w:color w:val="000000"/>
        </w:rPr>
        <w:t>专用合同条款附件：</w:t>
      </w:r>
    </w:p>
    <w:p w14:paraId="58F6F30A">
      <w:pPr>
        <w:spacing w:line="360" w:lineRule="auto"/>
        <w:rPr>
          <w:rFonts w:hint="eastAsia" w:ascii="宋体" w:hAnsi="宋体" w:cs="宋体"/>
          <w:color w:val="000000"/>
        </w:rPr>
      </w:pPr>
      <w:r>
        <w:rPr>
          <w:rFonts w:hint="eastAsia" w:ascii="宋体" w:hAnsi="宋体" w:cs="宋体"/>
          <w:color w:val="000000"/>
        </w:rPr>
        <w:t>附件2：发包人供应材料设备一览表</w:t>
      </w:r>
    </w:p>
    <w:p w14:paraId="50B75960">
      <w:pPr>
        <w:spacing w:line="360" w:lineRule="auto"/>
        <w:rPr>
          <w:rFonts w:hint="eastAsia" w:ascii="宋体" w:hAnsi="宋体" w:cs="宋体"/>
          <w:color w:val="000000"/>
        </w:rPr>
      </w:pPr>
      <w:r>
        <w:rPr>
          <w:rFonts w:hint="eastAsia" w:ascii="宋体" w:hAnsi="宋体" w:cs="宋体"/>
          <w:color w:val="000000"/>
        </w:rPr>
        <w:t>附件3：工程质量保修书</w:t>
      </w:r>
    </w:p>
    <w:p w14:paraId="5B4ECA48">
      <w:pPr>
        <w:spacing w:line="360" w:lineRule="auto"/>
        <w:rPr>
          <w:rFonts w:hint="eastAsia" w:ascii="宋体" w:hAnsi="宋体" w:cs="宋体"/>
          <w:color w:val="000000"/>
        </w:rPr>
      </w:pPr>
      <w:r>
        <w:rPr>
          <w:rFonts w:hint="eastAsia" w:ascii="宋体" w:hAnsi="宋体" w:cs="宋体"/>
          <w:color w:val="000000"/>
        </w:rPr>
        <w:t>附件4：主要建设工程文件目录</w:t>
      </w:r>
    </w:p>
    <w:p w14:paraId="31BC4752">
      <w:pPr>
        <w:spacing w:line="360" w:lineRule="auto"/>
        <w:rPr>
          <w:rFonts w:hint="eastAsia" w:ascii="宋体" w:hAnsi="宋体" w:cs="宋体"/>
          <w:color w:val="000000"/>
        </w:rPr>
      </w:pPr>
      <w:r>
        <w:rPr>
          <w:rFonts w:hint="eastAsia" w:ascii="宋体" w:hAnsi="宋体" w:cs="宋体"/>
          <w:color w:val="000000"/>
        </w:rPr>
        <w:t>附件5：承包人用于本工程施工的机械设备表</w:t>
      </w:r>
    </w:p>
    <w:p w14:paraId="59D4DC4D">
      <w:pPr>
        <w:spacing w:line="360" w:lineRule="auto"/>
        <w:rPr>
          <w:rFonts w:hint="eastAsia" w:ascii="宋体" w:hAnsi="宋体" w:cs="宋体"/>
          <w:color w:val="000000"/>
        </w:rPr>
      </w:pPr>
      <w:r>
        <w:rPr>
          <w:rFonts w:hint="eastAsia" w:ascii="宋体" w:hAnsi="宋体" w:cs="宋体"/>
          <w:color w:val="000000"/>
        </w:rPr>
        <w:t>附件6：承包人主要施工管理人员表</w:t>
      </w:r>
    </w:p>
    <w:p w14:paraId="6FAFF13F">
      <w:pPr>
        <w:spacing w:line="360" w:lineRule="auto"/>
        <w:rPr>
          <w:rFonts w:hint="eastAsia" w:ascii="宋体" w:hAnsi="宋体" w:cs="宋体"/>
          <w:color w:val="000000"/>
        </w:rPr>
      </w:pPr>
      <w:r>
        <w:rPr>
          <w:rFonts w:hint="eastAsia" w:ascii="宋体" w:hAnsi="宋体" w:cs="宋体"/>
          <w:color w:val="000000"/>
        </w:rPr>
        <w:t>附件7：分包人主要施工管理人员表</w:t>
      </w:r>
    </w:p>
    <w:p w14:paraId="6D0B1B97">
      <w:pPr>
        <w:spacing w:line="360" w:lineRule="auto"/>
        <w:rPr>
          <w:rFonts w:hint="eastAsia" w:ascii="宋体" w:hAnsi="宋体" w:cs="宋体"/>
          <w:color w:val="000000"/>
        </w:rPr>
      </w:pPr>
      <w:r>
        <w:rPr>
          <w:rFonts w:hint="eastAsia" w:ascii="宋体" w:hAnsi="宋体" w:cs="宋体"/>
          <w:color w:val="000000"/>
        </w:rPr>
        <w:t>附件8：廉政协议</w:t>
      </w:r>
    </w:p>
    <w:p w14:paraId="25918CB0">
      <w:pPr>
        <w:spacing w:line="360" w:lineRule="auto"/>
        <w:rPr>
          <w:rFonts w:hint="eastAsia" w:ascii="宋体" w:hAnsi="宋体" w:cs="宋体"/>
          <w:color w:val="000000"/>
        </w:rPr>
      </w:pPr>
      <w:r>
        <w:rPr>
          <w:rFonts w:hint="eastAsia" w:ascii="宋体" w:hAnsi="宋体" w:cs="宋体"/>
          <w:color w:val="000000"/>
        </w:rPr>
        <w:t>附件9：履约保证金格式</w:t>
      </w:r>
    </w:p>
    <w:p w14:paraId="7130D662">
      <w:pPr>
        <w:spacing w:line="360" w:lineRule="auto"/>
        <w:rPr>
          <w:rFonts w:hint="eastAsia" w:ascii="宋体" w:hAnsi="宋体" w:cs="宋体"/>
          <w:color w:val="000000"/>
        </w:rPr>
      </w:pPr>
      <w:r>
        <w:rPr>
          <w:rFonts w:hint="eastAsia" w:ascii="宋体" w:hAnsi="宋体" w:cs="宋体"/>
          <w:color w:val="000000"/>
        </w:rPr>
        <w:t>附件10：支付担保格式</w:t>
      </w:r>
    </w:p>
    <w:p w14:paraId="21882BC5">
      <w:pPr>
        <w:spacing w:line="360" w:lineRule="auto"/>
        <w:rPr>
          <w:rFonts w:hint="eastAsia" w:ascii="宋体" w:hAnsi="宋体" w:cs="宋体"/>
          <w:color w:val="000000"/>
        </w:rPr>
      </w:pPr>
      <w:r>
        <w:rPr>
          <w:rFonts w:hint="eastAsia" w:ascii="宋体" w:hAnsi="宋体" w:cs="宋体"/>
          <w:color w:val="000000"/>
        </w:rPr>
        <w:t>附件11：暂估价一览表</w:t>
      </w:r>
    </w:p>
    <w:p w14:paraId="4D2D79EF">
      <w:pPr>
        <w:spacing w:line="360" w:lineRule="auto"/>
        <w:rPr>
          <w:rFonts w:hint="eastAsia" w:ascii="宋体" w:hAnsi="宋体" w:cs="宋体"/>
          <w:color w:val="000000"/>
        </w:rPr>
      </w:pPr>
      <w:r>
        <w:rPr>
          <w:rFonts w:hint="eastAsia" w:ascii="宋体" w:hAnsi="宋体" w:cs="宋体"/>
          <w:color w:val="000000"/>
        </w:rPr>
        <w:t>附件12：安全生产合同</w:t>
      </w:r>
    </w:p>
    <w:p w14:paraId="7D29C607">
      <w:pPr>
        <w:spacing w:line="360" w:lineRule="auto"/>
        <w:rPr>
          <w:rFonts w:hint="eastAsia" w:ascii="黑体" w:eastAsia="黑体"/>
          <w:b/>
          <w:sz w:val="32"/>
          <w:szCs w:val="32"/>
          <w:lang w:val="en-US" w:eastAsia="zh-CN"/>
        </w:rPr>
      </w:pPr>
      <w:r>
        <w:rPr>
          <w:rFonts w:hint="eastAsia" w:ascii="宋体" w:hAnsi="宋体" w:cs="宋体"/>
          <w:color w:val="000000"/>
        </w:rPr>
        <w:t>附件13：项目经理质量终身责任制承诺</w:t>
      </w:r>
      <w:r>
        <w:rPr>
          <w:rFonts w:hint="eastAsia" w:ascii="黑体" w:eastAsia="黑体"/>
          <w:b/>
          <w:sz w:val="32"/>
          <w:szCs w:val="32"/>
          <w:lang w:val="en-US" w:eastAsia="zh-CN"/>
        </w:rPr>
        <w:br w:type="page"/>
      </w:r>
    </w:p>
    <w:p w14:paraId="384D16BF">
      <w:pPr>
        <w:keepNext/>
        <w:keepLines/>
        <w:spacing w:before="120" w:after="120" w:line="360" w:lineRule="auto"/>
        <w:jc w:val="left"/>
        <w:outlineLvl w:val="2"/>
        <w:rPr>
          <w:rFonts w:hint="eastAsia" w:ascii="宋体" w:hAnsi="宋体" w:cs="宋体"/>
          <w:bCs/>
          <w:color w:val="000000"/>
          <w:sz w:val="24"/>
        </w:rPr>
      </w:pPr>
      <w:r>
        <w:rPr>
          <w:rFonts w:hint="eastAsia" w:ascii="宋体" w:hAnsi="宋体" w:cs="宋体"/>
          <w:bCs/>
          <w:color w:val="000000"/>
          <w:sz w:val="24"/>
        </w:rPr>
        <w:t>附件1：承包人承揽工程项目一览表</w:t>
      </w:r>
    </w:p>
    <w:p w14:paraId="0B55CCF3">
      <w:pPr>
        <w:spacing w:line="360" w:lineRule="auto"/>
        <w:jc w:val="center"/>
        <w:rPr>
          <w:rFonts w:hint="eastAsia" w:ascii="宋体" w:hAnsi="宋体" w:cs="宋体"/>
          <w:color w:val="000000"/>
          <w:sz w:val="22"/>
          <w:szCs w:val="21"/>
        </w:rPr>
      </w:pPr>
      <w:r>
        <w:rPr>
          <w:rFonts w:hint="eastAsia" w:ascii="宋体" w:hAnsi="宋体" w:cs="宋体"/>
          <w:color w:val="000000"/>
          <w:sz w:val="22"/>
          <w:szCs w:val="21"/>
        </w:rPr>
        <w:t>承包人承揽工程项目一览表</w:t>
      </w:r>
    </w:p>
    <w:tbl>
      <w:tblPr>
        <w:tblStyle w:val="47"/>
        <w:tblW w:w="949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134"/>
        <w:gridCol w:w="1134"/>
        <w:gridCol w:w="993"/>
        <w:gridCol w:w="708"/>
        <w:gridCol w:w="1134"/>
        <w:gridCol w:w="1134"/>
        <w:gridCol w:w="993"/>
        <w:gridCol w:w="708"/>
        <w:gridCol w:w="567"/>
      </w:tblGrid>
      <w:tr w14:paraId="6A83F7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center"/>
          </w:tcPr>
          <w:p w14:paraId="7A180800">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单位工程名称</w:t>
            </w:r>
          </w:p>
        </w:tc>
        <w:tc>
          <w:tcPr>
            <w:tcW w:w="1134" w:type="dxa"/>
            <w:tcBorders>
              <w:top w:val="single" w:color="auto" w:sz="12" w:space="0"/>
              <w:bottom w:val="double" w:color="auto" w:sz="6" w:space="0"/>
            </w:tcBorders>
            <w:noWrap w:val="0"/>
            <w:vAlign w:val="center"/>
          </w:tcPr>
          <w:p w14:paraId="036A8A3D">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建设规模</w:t>
            </w:r>
          </w:p>
        </w:tc>
        <w:tc>
          <w:tcPr>
            <w:tcW w:w="1134" w:type="dxa"/>
            <w:tcBorders>
              <w:top w:val="single" w:color="auto" w:sz="12" w:space="0"/>
              <w:bottom w:val="double" w:color="auto" w:sz="6" w:space="0"/>
            </w:tcBorders>
            <w:noWrap w:val="0"/>
            <w:vAlign w:val="center"/>
          </w:tcPr>
          <w:p w14:paraId="28E2807D">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建筑面积(平方米)</w:t>
            </w:r>
          </w:p>
        </w:tc>
        <w:tc>
          <w:tcPr>
            <w:tcW w:w="993" w:type="dxa"/>
            <w:tcBorders>
              <w:top w:val="single" w:color="auto" w:sz="12" w:space="0"/>
              <w:bottom w:val="double" w:color="auto" w:sz="6" w:space="0"/>
            </w:tcBorders>
            <w:noWrap w:val="0"/>
            <w:vAlign w:val="center"/>
          </w:tcPr>
          <w:p w14:paraId="23FA705F">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结构形式</w:t>
            </w:r>
          </w:p>
        </w:tc>
        <w:tc>
          <w:tcPr>
            <w:tcW w:w="708" w:type="dxa"/>
            <w:tcBorders>
              <w:top w:val="single" w:color="auto" w:sz="12" w:space="0"/>
              <w:bottom w:val="double" w:color="auto" w:sz="6" w:space="0"/>
            </w:tcBorders>
            <w:noWrap w:val="0"/>
            <w:vAlign w:val="center"/>
          </w:tcPr>
          <w:p w14:paraId="630CB634">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层数</w:t>
            </w:r>
          </w:p>
        </w:tc>
        <w:tc>
          <w:tcPr>
            <w:tcW w:w="1134" w:type="dxa"/>
            <w:tcBorders>
              <w:top w:val="single" w:color="auto" w:sz="12" w:space="0"/>
              <w:bottom w:val="double" w:color="auto" w:sz="6" w:space="0"/>
            </w:tcBorders>
            <w:noWrap w:val="0"/>
            <w:vAlign w:val="center"/>
          </w:tcPr>
          <w:p w14:paraId="76E46412">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生产能力</w:t>
            </w:r>
          </w:p>
        </w:tc>
        <w:tc>
          <w:tcPr>
            <w:tcW w:w="1134" w:type="dxa"/>
            <w:tcBorders>
              <w:top w:val="single" w:color="auto" w:sz="12" w:space="0"/>
              <w:bottom w:val="double" w:color="auto" w:sz="6" w:space="0"/>
            </w:tcBorders>
            <w:noWrap w:val="0"/>
            <w:vAlign w:val="center"/>
          </w:tcPr>
          <w:p w14:paraId="4EC2FF87">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设备安装内容</w:t>
            </w:r>
          </w:p>
        </w:tc>
        <w:tc>
          <w:tcPr>
            <w:tcW w:w="993" w:type="dxa"/>
            <w:tcBorders>
              <w:top w:val="single" w:color="auto" w:sz="12" w:space="0"/>
              <w:bottom w:val="double" w:color="auto" w:sz="6" w:space="0"/>
            </w:tcBorders>
            <w:noWrap w:val="0"/>
            <w:vAlign w:val="center"/>
          </w:tcPr>
          <w:p w14:paraId="305E8844">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合同价格（元）</w:t>
            </w:r>
          </w:p>
        </w:tc>
        <w:tc>
          <w:tcPr>
            <w:tcW w:w="708" w:type="dxa"/>
            <w:tcBorders>
              <w:top w:val="single" w:color="auto" w:sz="12" w:space="0"/>
              <w:bottom w:val="double" w:color="auto" w:sz="6" w:space="0"/>
            </w:tcBorders>
            <w:noWrap w:val="0"/>
            <w:vAlign w:val="center"/>
          </w:tcPr>
          <w:p w14:paraId="4EA7F4B8">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开工日期</w:t>
            </w:r>
          </w:p>
        </w:tc>
        <w:tc>
          <w:tcPr>
            <w:tcW w:w="567" w:type="dxa"/>
            <w:tcBorders>
              <w:top w:val="single" w:color="auto" w:sz="12" w:space="0"/>
              <w:bottom w:val="double" w:color="auto" w:sz="6" w:space="0"/>
            </w:tcBorders>
            <w:noWrap w:val="0"/>
            <w:vAlign w:val="center"/>
          </w:tcPr>
          <w:p w14:paraId="7E743786">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竣工日期</w:t>
            </w:r>
          </w:p>
        </w:tc>
      </w:tr>
      <w:tr w14:paraId="49D02E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double" w:color="auto" w:sz="6" w:space="0"/>
            </w:tcBorders>
            <w:noWrap w:val="0"/>
            <w:vAlign w:val="center"/>
          </w:tcPr>
          <w:p w14:paraId="7C2721AD">
            <w:pPr>
              <w:keepNext/>
              <w:snapToGrid w:val="0"/>
              <w:spacing w:line="360" w:lineRule="auto"/>
              <w:rPr>
                <w:rFonts w:hint="eastAsia" w:ascii="宋体" w:hAnsi="宋体" w:cs="宋体"/>
                <w:color w:val="000000"/>
                <w:sz w:val="22"/>
                <w:szCs w:val="21"/>
              </w:rPr>
            </w:pPr>
          </w:p>
        </w:tc>
        <w:tc>
          <w:tcPr>
            <w:tcW w:w="1134" w:type="dxa"/>
            <w:tcBorders>
              <w:top w:val="double" w:color="auto" w:sz="6" w:space="0"/>
            </w:tcBorders>
            <w:noWrap w:val="0"/>
            <w:vAlign w:val="center"/>
          </w:tcPr>
          <w:p w14:paraId="490ACD9F">
            <w:pPr>
              <w:keepNext/>
              <w:snapToGrid w:val="0"/>
              <w:spacing w:line="360" w:lineRule="auto"/>
              <w:rPr>
                <w:rFonts w:hint="eastAsia" w:ascii="宋体" w:hAnsi="宋体" w:cs="宋体"/>
                <w:color w:val="000000"/>
                <w:sz w:val="22"/>
                <w:szCs w:val="21"/>
              </w:rPr>
            </w:pPr>
          </w:p>
        </w:tc>
        <w:tc>
          <w:tcPr>
            <w:tcW w:w="1134" w:type="dxa"/>
            <w:tcBorders>
              <w:top w:val="double" w:color="auto" w:sz="6" w:space="0"/>
            </w:tcBorders>
            <w:noWrap w:val="0"/>
            <w:vAlign w:val="center"/>
          </w:tcPr>
          <w:p w14:paraId="27C28324">
            <w:pPr>
              <w:keepNext/>
              <w:snapToGrid w:val="0"/>
              <w:spacing w:line="360" w:lineRule="auto"/>
              <w:rPr>
                <w:rFonts w:hint="eastAsia" w:ascii="宋体" w:hAnsi="宋体" w:cs="宋体"/>
                <w:color w:val="000000"/>
                <w:sz w:val="22"/>
                <w:szCs w:val="21"/>
              </w:rPr>
            </w:pPr>
          </w:p>
        </w:tc>
        <w:tc>
          <w:tcPr>
            <w:tcW w:w="993" w:type="dxa"/>
            <w:tcBorders>
              <w:top w:val="double" w:color="auto" w:sz="6" w:space="0"/>
            </w:tcBorders>
            <w:noWrap w:val="0"/>
            <w:vAlign w:val="center"/>
          </w:tcPr>
          <w:p w14:paraId="3A4879A2">
            <w:pPr>
              <w:keepNext/>
              <w:snapToGrid w:val="0"/>
              <w:spacing w:line="360" w:lineRule="auto"/>
              <w:rPr>
                <w:rFonts w:hint="eastAsia" w:ascii="宋体" w:hAnsi="宋体" w:cs="宋体"/>
                <w:color w:val="000000"/>
                <w:sz w:val="22"/>
                <w:szCs w:val="21"/>
              </w:rPr>
            </w:pPr>
          </w:p>
        </w:tc>
        <w:tc>
          <w:tcPr>
            <w:tcW w:w="708" w:type="dxa"/>
            <w:tcBorders>
              <w:top w:val="double" w:color="auto" w:sz="6" w:space="0"/>
            </w:tcBorders>
            <w:noWrap w:val="0"/>
            <w:vAlign w:val="center"/>
          </w:tcPr>
          <w:p w14:paraId="78991021">
            <w:pPr>
              <w:keepNext/>
              <w:snapToGrid w:val="0"/>
              <w:spacing w:line="360" w:lineRule="auto"/>
              <w:rPr>
                <w:rFonts w:hint="eastAsia" w:ascii="宋体" w:hAnsi="宋体" w:cs="宋体"/>
                <w:color w:val="000000"/>
                <w:sz w:val="22"/>
                <w:szCs w:val="21"/>
              </w:rPr>
            </w:pPr>
          </w:p>
        </w:tc>
        <w:tc>
          <w:tcPr>
            <w:tcW w:w="1134" w:type="dxa"/>
            <w:tcBorders>
              <w:top w:val="double" w:color="auto" w:sz="6" w:space="0"/>
            </w:tcBorders>
            <w:noWrap w:val="0"/>
            <w:vAlign w:val="center"/>
          </w:tcPr>
          <w:p w14:paraId="0F05EC7C">
            <w:pPr>
              <w:keepNext/>
              <w:snapToGrid w:val="0"/>
              <w:spacing w:line="360" w:lineRule="auto"/>
              <w:rPr>
                <w:rFonts w:hint="eastAsia" w:ascii="宋体" w:hAnsi="宋体" w:cs="宋体"/>
                <w:color w:val="000000"/>
                <w:sz w:val="22"/>
                <w:szCs w:val="21"/>
              </w:rPr>
            </w:pPr>
          </w:p>
        </w:tc>
        <w:tc>
          <w:tcPr>
            <w:tcW w:w="1134" w:type="dxa"/>
            <w:tcBorders>
              <w:top w:val="double" w:color="auto" w:sz="6" w:space="0"/>
            </w:tcBorders>
            <w:noWrap w:val="0"/>
            <w:vAlign w:val="center"/>
          </w:tcPr>
          <w:p w14:paraId="660E981C">
            <w:pPr>
              <w:keepNext/>
              <w:snapToGrid w:val="0"/>
              <w:spacing w:line="360" w:lineRule="auto"/>
              <w:rPr>
                <w:rFonts w:hint="eastAsia" w:ascii="宋体" w:hAnsi="宋体" w:cs="宋体"/>
                <w:color w:val="000000"/>
                <w:sz w:val="22"/>
                <w:szCs w:val="21"/>
              </w:rPr>
            </w:pPr>
          </w:p>
        </w:tc>
        <w:tc>
          <w:tcPr>
            <w:tcW w:w="993" w:type="dxa"/>
            <w:tcBorders>
              <w:top w:val="double" w:color="auto" w:sz="6" w:space="0"/>
            </w:tcBorders>
            <w:noWrap w:val="0"/>
            <w:vAlign w:val="center"/>
          </w:tcPr>
          <w:p w14:paraId="632EC417">
            <w:pPr>
              <w:keepNext/>
              <w:snapToGrid w:val="0"/>
              <w:spacing w:line="360" w:lineRule="auto"/>
              <w:rPr>
                <w:rFonts w:hint="eastAsia" w:ascii="宋体" w:hAnsi="宋体" w:cs="宋体"/>
                <w:color w:val="000000"/>
                <w:sz w:val="22"/>
                <w:szCs w:val="21"/>
              </w:rPr>
            </w:pPr>
          </w:p>
        </w:tc>
        <w:tc>
          <w:tcPr>
            <w:tcW w:w="708" w:type="dxa"/>
            <w:tcBorders>
              <w:top w:val="double" w:color="auto" w:sz="6" w:space="0"/>
            </w:tcBorders>
            <w:noWrap w:val="0"/>
            <w:vAlign w:val="center"/>
          </w:tcPr>
          <w:p w14:paraId="30740003">
            <w:pPr>
              <w:keepNext/>
              <w:snapToGrid w:val="0"/>
              <w:spacing w:line="360" w:lineRule="auto"/>
              <w:rPr>
                <w:rFonts w:hint="eastAsia" w:ascii="宋体" w:hAnsi="宋体" w:cs="宋体"/>
                <w:color w:val="000000"/>
                <w:sz w:val="22"/>
                <w:szCs w:val="21"/>
              </w:rPr>
            </w:pPr>
          </w:p>
        </w:tc>
        <w:tc>
          <w:tcPr>
            <w:tcW w:w="567" w:type="dxa"/>
            <w:tcBorders>
              <w:top w:val="double" w:color="auto" w:sz="6" w:space="0"/>
            </w:tcBorders>
            <w:noWrap w:val="0"/>
            <w:vAlign w:val="center"/>
          </w:tcPr>
          <w:p w14:paraId="148E251C">
            <w:pPr>
              <w:keepNext/>
              <w:snapToGrid w:val="0"/>
              <w:spacing w:line="360" w:lineRule="auto"/>
              <w:rPr>
                <w:rFonts w:hint="eastAsia" w:ascii="宋体" w:hAnsi="宋体" w:cs="宋体"/>
                <w:color w:val="000000"/>
                <w:sz w:val="22"/>
                <w:szCs w:val="21"/>
              </w:rPr>
            </w:pPr>
          </w:p>
        </w:tc>
      </w:tr>
      <w:tr w14:paraId="130DE7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nil"/>
            </w:tcBorders>
            <w:noWrap w:val="0"/>
            <w:vAlign w:val="center"/>
          </w:tcPr>
          <w:p w14:paraId="3CC2C386">
            <w:pPr>
              <w:keepNext/>
              <w:snapToGrid w:val="0"/>
              <w:spacing w:line="360" w:lineRule="auto"/>
              <w:rPr>
                <w:rFonts w:hint="eastAsia" w:ascii="宋体" w:hAnsi="宋体" w:cs="宋体"/>
                <w:color w:val="000000"/>
                <w:sz w:val="22"/>
                <w:szCs w:val="21"/>
              </w:rPr>
            </w:pPr>
          </w:p>
        </w:tc>
        <w:tc>
          <w:tcPr>
            <w:tcW w:w="1134" w:type="dxa"/>
            <w:tcBorders>
              <w:top w:val="nil"/>
            </w:tcBorders>
            <w:noWrap w:val="0"/>
            <w:vAlign w:val="center"/>
          </w:tcPr>
          <w:p w14:paraId="3F2EA127">
            <w:pPr>
              <w:keepNext/>
              <w:snapToGrid w:val="0"/>
              <w:spacing w:line="360" w:lineRule="auto"/>
              <w:rPr>
                <w:rFonts w:hint="eastAsia" w:ascii="宋体" w:hAnsi="宋体" w:cs="宋体"/>
                <w:color w:val="000000"/>
                <w:sz w:val="22"/>
                <w:szCs w:val="21"/>
              </w:rPr>
            </w:pPr>
          </w:p>
        </w:tc>
        <w:tc>
          <w:tcPr>
            <w:tcW w:w="1134" w:type="dxa"/>
            <w:tcBorders>
              <w:top w:val="nil"/>
            </w:tcBorders>
            <w:noWrap w:val="0"/>
            <w:vAlign w:val="center"/>
          </w:tcPr>
          <w:p w14:paraId="4137B7B1">
            <w:pPr>
              <w:keepNext/>
              <w:snapToGrid w:val="0"/>
              <w:spacing w:line="360" w:lineRule="auto"/>
              <w:rPr>
                <w:rFonts w:hint="eastAsia" w:ascii="宋体" w:hAnsi="宋体" w:cs="宋体"/>
                <w:color w:val="000000"/>
                <w:sz w:val="22"/>
                <w:szCs w:val="21"/>
              </w:rPr>
            </w:pPr>
          </w:p>
        </w:tc>
        <w:tc>
          <w:tcPr>
            <w:tcW w:w="993" w:type="dxa"/>
            <w:tcBorders>
              <w:top w:val="nil"/>
            </w:tcBorders>
            <w:noWrap w:val="0"/>
            <w:vAlign w:val="center"/>
          </w:tcPr>
          <w:p w14:paraId="01042740">
            <w:pPr>
              <w:keepNext/>
              <w:snapToGrid w:val="0"/>
              <w:spacing w:line="360" w:lineRule="auto"/>
              <w:rPr>
                <w:rFonts w:hint="eastAsia" w:ascii="宋体" w:hAnsi="宋体" w:cs="宋体"/>
                <w:color w:val="000000"/>
                <w:sz w:val="22"/>
                <w:szCs w:val="21"/>
              </w:rPr>
            </w:pPr>
          </w:p>
        </w:tc>
        <w:tc>
          <w:tcPr>
            <w:tcW w:w="708" w:type="dxa"/>
            <w:tcBorders>
              <w:top w:val="nil"/>
            </w:tcBorders>
            <w:noWrap w:val="0"/>
            <w:vAlign w:val="center"/>
          </w:tcPr>
          <w:p w14:paraId="72E5304F">
            <w:pPr>
              <w:keepNext/>
              <w:snapToGrid w:val="0"/>
              <w:spacing w:line="360" w:lineRule="auto"/>
              <w:rPr>
                <w:rFonts w:hint="eastAsia" w:ascii="宋体" w:hAnsi="宋体" w:cs="宋体"/>
                <w:color w:val="000000"/>
                <w:sz w:val="22"/>
                <w:szCs w:val="21"/>
              </w:rPr>
            </w:pPr>
          </w:p>
        </w:tc>
        <w:tc>
          <w:tcPr>
            <w:tcW w:w="1134" w:type="dxa"/>
            <w:tcBorders>
              <w:top w:val="nil"/>
            </w:tcBorders>
            <w:noWrap w:val="0"/>
            <w:vAlign w:val="center"/>
          </w:tcPr>
          <w:p w14:paraId="5651AAC9">
            <w:pPr>
              <w:keepNext/>
              <w:snapToGrid w:val="0"/>
              <w:spacing w:line="360" w:lineRule="auto"/>
              <w:rPr>
                <w:rFonts w:hint="eastAsia" w:ascii="宋体" w:hAnsi="宋体" w:cs="宋体"/>
                <w:color w:val="000000"/>
                <w:sz w:val="22"/>
                <w:szCs w:val="21"/>
              </w:rPr>
            </w:pPr>
          </w:p>
        </w:tc>
        <w:tc>
          <w:tcPr>
            <w:tcW w:w="1134" w:type="dxa"/>
            <w:tcBorders>
              <w:top w:val="nil"/>
            </w:tcBorders>
            <w:noWrap w:val="0"/>
            <w:vAlign w:val="center"/>
          </w:tcPr>
          <w:p w14:paraId="52D619E8">
            <w:pPr>
              <w:keepNext/>
              <w:snapToGrid w:val="0"/>
              <w:spacing w:line="360" w:lineRule="auto"/>
              <w:rPr>
                <w:rFonts w:hint="eastAsia" w:ascii="宋体" w:hAnsi="宋体" w:cs="宋体"/>
                <w:color w:val="000000"/>
                <w:sz w:val="22"/>
                <w:szCs w:val="21"/>
              </w:rPr>
            </w:pPr>
          </w:p>
        </w:tc>
        <w:tc>
          <w:tcPr>
            <w:tcW w:w="993" w:type="dxa"/>
            <w:tcBorders>
              <w:top w:val="nil"/>
            </w:tcBorders>
            <w:noWrap w:val="0"/>
            <w:vAlign w:val="center"/>
          </w:tcPr>
          <w:p w14:paraId="59F3BE50">
            <w:pPr>
              <w:keepNext/>
              <w:snapToGrid w:val="0"/>
              <w:spacing w:line="360" w:lineRule="auto"/>
              <w:rPr>
                <w:rFonts w:hint="eastAsia" w:ascii="宋体" w:hAnsi="宋体" w:cs="宋体"/>
                <w:color w:val="000000"/>
                <w:sz w:val="22"/>
                <w:szCs w:val="21"/>
              </w:rPr>
            </w:pPr>
          </w:p>
        </w:tc>
        <w:tc>
          <w:tcPr>
            <w:tcW w:w="708" w:type="dxa"/>
            <w:tcBorders>
              <w:top w:val="nil"/>
            </w:tcBorders>
            <w:noWrap w:val="0"/>
            <w:vAlign w:val="center"/>
          </w:tcPr>
          <w:p w14:paraId="07743E6A">
            <w:pPr>
              <w:keepNext/>
              <w:snapToGrid w:val="0"/>
              <w:spacing w:line="360" w:lineRule="auto"/>
              <w:rPr>
                <w:rFonts w:hint="eastAsia" w:ascii="宋体" w:hAnsi="宋体" w:cs="宋体"/>
                <w:color w:val="000000"/>
                <w:sz w:val="22"/>
                <w:szCs w:val="21"/>
              </w:rPr>
            </w:pPr>
          </w:p>
        </w:tc>
        <w:tc>
          <w:tcPr>
            <w:tcW w:w="567" w:type="dxa"/>
            <w:tcBorders>
              <w:top w:val="nil"/>
            </w:tcBorders>
            <w:noWrap w:val="0"/>
            <w:vAlign w:val="center"/>
          </w:tcPr>
          <w:p w14:paraId="09F0BC46">
            <w:pPr>
              <w:keepNext/>
              <w:snapToGrid w:val="0"/>
              <w:spacing w:line="360" w:lineRule="auto"/>
              <w:rPr>
                <w:rFonts w:hint="eastAsia" w:ascii="宋体" w:hAnsi="宋体" w:cs="宋体"/>
                <w:color w:val="000000"/>
                <w:sz w:val="22"/>
                <w:szCs w:val="21"/>
              </w:rPr>
            </w:pPr>
          </w:p>
        </w:tc>
      </w:tr>
      <w:tr w14:paraId="6F5FC4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nil"/>
            </w:tcBorders>
            <w:noWrap w:val="0"/>
            <w:vAlign w:val="center"/>
          </w:tcPr>
          <w:p w14:paraId="25AA2921">
            <w:pPr>
              <w:keepNext/>
              <w:snapToGrid w:val="0"/>
              <w:spacing w:line="360" w:lineRule="auto"/>
              <w:rPr>
                <w:rFonts w:hint="eastAsia" w:ascii="宋体" w:hAnsi="宋体" w:cs="宋体"/>
                <w:color w:val="000000"/>
                <w:sz w:val="22"/>
                <w:szCs w:val="21"/>
              </w:rPr>
            </w:pPr>
          </w:p>
        </w:tc>
        <w:tc>
          <w:tcPr>
            <w:tcW w:w="1134" w:type="dxa"/>
            <w:tcBorders>
              <w:top w:val="nil"/>
            </w:tcBorders>
            <w:noWrap w:val="0"/>
            <w:vAlign w:val="center"/>
          </w:tcPr>
          <w:p w14:paraId="24D3F54C">
            <w:pPr>
              <w:keepNext/>
              <w:snapToGrid w:val="0"/>
              <w:spacing w:line="360" w:lineRule="auto"/>
              <w:rPr>
                <w:rFonts w:hint="eastAsia" w:ascii="宋体" w:hAnsi="宋体" w:cs="宋体"/>
                <w:color w:val="000000"/>
                <w:sz w:val="22"/>
                <w:szCs w:val="21"/>
              </w:rPr>
            </w:pPr>
          </w:p>
        </w:tc>
        <w:tc>
          <w:tcPr>
            <w:tcW w:w="1134" w:type="dxa"/>
            <w:tcBorders>
              <w:top w:val="nil"/>
            </w:tcBorders>
            <w:noWrap w:val="0"/>
            <w:vAlign w:val="center"/>
          </w:tcPr>
          <w:p w14:paraId="3C519385">
            <w:pPr>
              <w:keepNext/>
              <w:snapToGrid w:val="0"/>
              <w:spacing w:line="360" w:lineRule="auto"/>
              <w:rPr>
                <w:rFonts w:hint="eastAsia" w:ascii="宋体" w:hAnsi="宋体" w:cs="宋体"/>
                <w:color w:val="000000"/>
                <w:sz w:val="22"/>
                <w:szCs w:val="21"/>
              </w:rPr>
            </w:pPr>
          </w:p>
        </w:tc>
        <w:tc>
          <w:tcPr>
            <w:tcW w:w="993" w:type="dxa"/>
            <w:tcBorders>
              <w:top w:val="nil"/>
            </w:tcBorders>
            <w:noWrap w:val="0"/>
            <w:vAlign w:val="center"/>
          </w:tcPr>
          <w:p w14:paraId="16A058EE">
            <w:pPr>
              <w:keepNext/>
              <w:snapToGrid w:val="0"/>
              <w:spacing w:line="360" w:lineRule="auto"/>
              <w:rPr>
                <w:rFonts w:hint="eastAsia" w:ascii="宋体" w:hAnsi="宋体" w:cs="宋体"/>
                <w:color w:val="000000"/>
                <w:sz w:val="22"/>
                <w:szCs w:val="21"/>
              </w:rPr>
            </w:pPr>
          </w:p>
        </w:tc>
        <w:tc>
          <w:tcPr>
            <w:tcW w:w="708" w:type="dxa"/>
            <w:tcBorders>
              <w:top w:val="nil"/>
            </w:tcBorders>
            <w:noWrap w:val="0"/>
            <w:vAlign w:val="center"/>
          </w:tcPr>
          <w:p w14:paraId="64010B71">
            <w:pPr>
              <w:keepNext/>
              <w:snapToGrid w:val="0"/>
              <w:spacing w:line="360" w:lineRule="auto"/>
              <w:rPr>
                <w:rFonts w:hint="eastAsia" w:ascii="宋体" w:hAnsi="宋体" w:cs="宋体"/>
                <w:color w:val="000000"/>
                <w:sz w:val="22"/>
                <w:szCs w:val="21"/>
              </w:rPr>
            </w:pPr>
          </w:p>
        </w:tc>
        <w:tc>
          <w:tcPr>
            <w:tcW w:w="1134" w:type="dxa"/>
            <w:tcBorders>
              <w:top w:val="nil"/>
            </w:tcBorders>
            <w:noWrap w:val="0"/>
            <w:vAlign w:val="center"/>
          </w:tcPr>
          <w:p w14:paraId="40F02281">
            <w:pPr>
              <w:keepNext/>
              <w:snapToGrid w:val="0"/>
              <w:spacing w:line="360" w:lineRule="auto"/>
              <w:rPr>
                <w:rFonts w:hint="eastAsia" w:ascii="宋体" w:hAnsi="宋体" w:cs="宋体"/>
                <w:color w:val="000000"/>
                <w:sz w:val="22"/>
                <w:szCs w:val="21"/>
              </w:rPr>
            </w:pPr>
          </w:p>
        </w:tc>
        <w:tc>
          <w:tcPr>
            <w:tcW w:w="1134" w:type="dxa"/>
            <w:tcBorders>
              <w:top w:val="nil"/>
            </w:tcBorders>
            <w:noWrap w:val="0"/>
            <w:vAlign w:val="center"/>
          </w:tcPr>
          <w:p w14:paraId="68CFEA69">
            <w:pPr>
              <w:keepNext/>
              <w:snapToGrid w:val="0"/>
              <w:spacing w:line="360" w:lineRule="auto"/>
              <w:rPr>
                <w:rFonts w:hint="eastAsia" w:ascii="宋体" w:hAnsi="宋体" w:cs="宋体"/>
                <w:color w:val="000000"/>
                <w:sz w:val="22"/>
                <w:szCs w:val="21"/>
              </w:rPr>
            </w:pPr>
          </w:p>
        </w:tc>
        <w:tc>
          <w:tcPr>
            <w:tcW w:w="993" w:type="dxa"/>
            <w:tcBorders>
              <w:top w:val="nil"/>
            </w:tcBorders>
            <w:noWrap w:val="0"/>
            <w:vAlign w:val="center"/>
          </w:tcPr>
          <w:p w14:paraId="37031238">
            <w:pPr>
              <w:keepNext/>
              <w:snapToGrid w:val="0"/>
              <w:spacing w:line="360" w:lineRule="auto"/>
              <w:rPr>
                <w:rFonts w:hint="eastAsia" w:ascii="宋体" w:hAnsi="宋体" w:cs="宋体"/>
                <w:color w:val="000000"/>
                <w:sz w:val="22"/>
                <w:szCs w:val="21"/>
              </w:rPr>
            </w:pPr>
          </w:p>
        </w:tc>
        <w:tc>
          <w:tcPr>
            <w:tcW w:w="708" w:type="dxa"/>
            <w:tcBorders>
              <w:top w:val="nil"/>
            </w:tcBorders>
            <w:noWrap w:val="0"/>
            <w:vAlign w:val="center"/>
          </w:tcPr>
          <w:p w14:paraId="24F93E9C">
            <w:pPr>
              <w:keepNext/>
              <w:snapToGrid w:val="0"/>
              <w:spacing w:line="360" w:lineRule="auto"/>
              <w:rPr>
                <w:rFonts w:hint="eastAsia" w:ascii="宋体" w:hAnsi="宋体" w:cs="宋体"/>
                <w:color w:val="000000"/>
                <w:sz w:val="22"/>
                <w:szCs w:val="21"/>
              </w:rPr>
            </w:pPr>
          </w:p>
        </w:tc>
        <w:tc>
          <w:tcPr>
            <w:tcW w:w="567" w:type="dxa"/>
            <w:tcBorders>
              <w:top w:val="nil"/>
            </w:tcBorders>
            <w:noWrap w:val="0"/>
            <w:vAlign w:val="center"/>
          </w:tcPr>
          <w:p w14:paraId="33FC869F">
            <w:pPr>
              <w:keepNext/>
              <w:snapToGrid w:val="0"/>
              <w:spacing w:line="360" w:lineRule="auto"/>
              <w:rPr>
                <w:rFonts w:hint="eastAsia" w:ascii="宋体" w:hAnsi="宋体" w:cs="宋体"/>
                <w:color w:val="000000"/>
                <w:sz w:val="22"/>
                <w:szCs w:val="21"/>
              </w:rPr>
            </w:pPr>
          </w:p>
        </w:tc>
      </w:tr>
      <w:tr w14:paraId="38FB19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bottom w:val="single" w:color="auto" w:sz="12" w:space="0"/>
            </w:tcBorders>
            <w:noWrap w:val="0"/>
            <w:vAlign w:val="center"/>
          </w:tcPr>
          <w:p w14:paraId="5E2931FC">
            <w:pPr>
              <w:keepNext/>
              <w:snapToGrid w:val="0"/>
              <w:spacing w:line="360" w:lineRule="auto"/>
              <w:rPr>
                <w:rFonts w:hint="eastAsia" w:ascii="宋体" w:hAnsi="宋体" w:cs="宋体"/>
                <w:color w:val="000000"/>
                <w:sz w:val="22"/>
                <w:szCs w:val="21"/>
              </w:rPr>
            </w:pPr>
          </w:p>
        </w:tc>
        <w:tc>
          <w:tcPr>
            <w:tcW w:w="1134" w:type="dxa"/>
            <w:tcBorders>
              <w:bottom w:val="single" w:color="auto" w:sz="12" w:space="0"/>
            </w:tcBorders>
            <w:noWrap w:val="0"/>
            <w:vAlign w:val="center"/>
          </w:tcPr>
          <w:p w14:paraId="58A5B20C">
            <w:pPr>
              <w:keepNext/>
              <w:snapToGrid w:val="0"/>
              <w:spacing w:line="360" w:lineRule="auto"/>
              <w:rPr>
                <w:rFonts w:hint="eastAsia" w:ascii="宋体" w:hAnsi="宋体" w:cs="宋体"/>
                <w:color w:val="000000"/>
                <w:sz w:val="22"/>
                <w:szCs w:val="21"/>
              </w:rPr>
            </w:pPr>
          </w:p>
        </w:tc>
        <w:tc>
          <w:tcPr>
            <w:tcW w:w="1134" w:type="dxa"/>
            <w:tcBorders>
              <w:bottom w:val="single" w:color="auto" w:sz="12" w:space="0"/>
            </w:tcBorders>
            <w:noWrap w:val="0"/>
            <w:vAlign w:val="center"/>
          </w:tcPr>
          <w:p w14:paraId="47736501">
            <w:pPr>
              <w:keepNext/>
              <w:snapToGrid w:val="0"/>
              <w:spacing w:line="360" w:lineRule="auto"/>
              <w:rPr>
                <w:rFonts w:hint="eastAsia" w:ascii="宋体" w:hAnsi="宋体" w:cs="宋体"/>
                <w:color w:val="000000"/>
                <w:sz w:val="22"/>
                <w:szCs w:val="21"/>
              </w:rPr>
            </w:pPr>
          </w:p>
        </w:tc>
        <w:tc>
          <w:tcPr>
            <w:tcW w:w="993" w:type="dxa"/>
            <w:tcBorders>
              <w:bottom w:val="single" w:color="auto" w:sz="12" w:space="0"/>
            </w:tcBorders>
            <w:noWrap w:val="0"/>
            <w:vAlign w:val="center"/>
          </w:tcPr>
          <w:p w14:paraId="0EEB01B0">
            <w:pPr>
              <w:keepNext/>
              <w:snapToGrid w:val="0"/>
              <w:spacing w:line="360" w:lineRule="auto"/>
              <w:rPr>
                <w:rFonts w:hint="eastAsia" w:ascii="宋体" w:hAnsi="宋体" w:cs="宋体"/>
                <w:color w:val="000000"/>
                <w:sz w:val="22"/>
                <w:szCs w:val="21"/>
              </w:rPr>
            </w:pPr>
          </w:p>
        </w:tc>
        <w:tc>
          <w:tcPr>
            <w:tcW w:w="708" w:type="dxa"/>
            <w:tcBorders>
              <w:bottom w:val="single" w:color="auto" w:sz="12" w:space="0"/>
            </w:tcBorders>
            <w:noWrap w:val="0"/>
            <w:vAlign w:val="center"/>
          </w:tcPr>
          <w:p w14:paraId="06A2D9B6">
            <w:pPr>
              <w:keepNext/>
              <w:snapToGrid w:val="0"/>
              <w:spacing w:line="360" w:lineRule="auto"/>
              <w:rPr>
                <w:rFonts w:hint="eastAsia" w:ascii="宋体" w:hAnsi="宋体" w:cs="宋体"/>
                <w:color w:val="000000"/>
                <w:sz w:val="22"/>
                <w:szCs w:val="21"/>
              </w:rPr>
            </w:pPr>
          </w:p>
        </w:tc>
        <w:tc>
          <w:tcPr>
            <w:tcW w:w="1134" w:type="dxa"/>
            <w:tcBorders>
              <w:bottom w:val="single" w:color="auto" w:sz="12" w:space="0"/>
            </w:tcBorders>
            <w:noWrap w:val="0"/>
            <w:vAlign w:val="center"/>
          </w:tcPr>
          <w:p w14:paraId="48DA79E9">
            <w:pPr>
              <w:keepNext/>
              <w:snapToGrid w:val="0"/>
              <w:spacing w:line="360" w:lineRule="auto"/>
              <w:rPr>
                <w:rFonts w:hint="eastAsia" w:ascii="宋体" w:hAnsi="宋体" w:cs="宋体"/>
                <w:color w:val="000000"/>
                <w:sz w:val="22"/>
                <w:szCs w:val="21"/>
              </w:rPr>
            </w:pPr>
          </w:p>
        </w:tc>
        <w:tc>
          <w:tcPr>
            <w:tcW w:w="1134" w:type="dxa"/>
            <w:tcBorders>
              <w:bottom w:val="single" w:color="auto" w:sz="12" w:space="0"/>
            </w:tcBorders>
            <w:noWrap w:val="0"/>
            <w:vAlign w:val="center"/>
          </w:tcPr>
          <w:p w14:paraId="663D0AEB">
            <w:pPr>
              <w:keepNext/>
              <w:snapToGrid w:val="0"/>
              <w:spacing w:line="360" w:lineRule="auto"/>
              <w:rPr>
                <w:rFonts w:hint="eastAsia" w:ascii="宋体" w:hAnsi="宋体" w:cs="宋体"/>
                <w:color w:val="000000"/>
                <w:sz w:val="22"/>
                <w:szCs w:val="21"/>
              </w:rPr>
            </w:pPr>
          </w:p>
        </w:tc>
        <w:tc>
          <w:tcPr>
            <w:tcW w:w="993" w:type="dxa"/>
            <w:tcBorders>
              <w:bottom w:val="single" w:color="auto" w:sz="12" w:space="0"/>
            </w:tcBorders>
            <w:noWrap w:val="0"/>
            <w:vAlign w:val="center"/>
          </w:tcPr>
          <w:p w14:paraId="3B5FC363">
            <w:pPr>
              <w:keepNext/>
              <w:snapToGrid w:val="0"/>
              <w:spacing w:line="360" w:lineRule="auto"/>
              <w:rPr>
                <w:rFonts w:hint="eastAsia" w:ascii="宋体" w:hAnsi="宋体" w:cs="宋体"/>
                <w:color w:val="000000"/>
                <w:sz w:val="22"/>
                <w:szCs w:val="21"/>
              </w:rPr>
            </w:pPr>
          </w:p>
        </w:tc>
        <w:tc>
          <w:tcPr>
            <w:tcW w:w="708" w:type="dxa"/>
            <w:tcBorders>
              <w:bottom w:val="single" w:color="auto" w:sz="12" w:space="0"/>
            </w:tcBorders>
            <w:noWrap w:val="0"/>
            <w:vAlign w:val="center"/>
          </w:tcPr>
          <w:p w14:paraId="165A6F2F">
            <w:pPr>
              <w:keepNext/>
              <w:snapToGrid w:val="0"/>
              <w:spacing w:line="360" w:lineRule="auto"/>
              <w:rPr>
                <w:rFonts w:hint="eastAsia" w:ascii="宋体" w:hAnsi="宋体" w:cs="宋体"/>
                <w:color w:val="000000"/>
                <w:sz w:val="22"/>
                <w:szCs w:val="21"/>
              </w:rPr>
            </w:pPr>
          </w:p>
        </w:tc>
        <w:tc>
          <w:tcPr>
            <w:tcW w:w="567" w:type="dxa"/>
            <w:tcBorders>
              <w:bottom w:val="single" w:color="auto" w:sz="12" w:space="0"/>
            </w:tcBorders>
            <w:noWrap w:val="0"/>
            <w:vAlign w:val="center"/>
          </w:tcPr>
          <w:p w14:paraId="4878C4D3">
            <w:pPr>
              <w:keepNext/>
              <w:snapToGrid w:val="0"/>
              <w:spacing w:line="360" w:lineRule="auto"/>
              <w:rPr>
                <w:rFonts w:hint="eastAsia" w:ascii="宋体" w:hAnsi="宋体" w:cs="宋体"/>
                <w:color w:val="000000"/>
                <w:sz w:val="22"/>
                <w:szCs w:val="21"/>
              </w:rPr>
            </w:pPr>
          </w:p>
        </w:tc>
      </w:tr>
    </w:tbl>
    <w:p w14:paraId="10B14F0C">
      <w:pPr>
        <w:spacing w:line="360" w:lineRule="auto"/>
        <w:rPr>
          <w:rFonts w:hint="eastAsia" w:ascii="宋体" w:hAnsi="宋体" w:cs="宋体"/>
          <w:color w:val="000000"/>
          <w:sz w:val="22"/>
          <w:szCs w:val="21"/>
        </w:rPr>
      </w:pPr>
    </w:p>
    <w:p w14:paraId="56D834BA">
      <w:pPr>
        <w:spacing w:line="360" w:lineRule="auto"/>
        <w:rPr>
          <w:rFonts w:hint="eastAsia" w:ascii="宋体" w:hAnsi="宋体" w:cs="宋体"/>
          <w:color w:val="000000"/>
          <w:sz w:val="22"/>
          <w:szCs w:val="21"/>
        </w:rPr>
      </w:pPr>
    </w:p>
    <w:p w14:paraId="5736A80F">
      <w:pPr>
        <w:keepNext/>
        <w:keepLines/>
        <w:spacing w:before="120" w:after="120" w:line="360" w:lineRule="auto"/>
        <w:jc w:val="left"/>
        <w:outlineLvl w:val="2"/>
        <w:rPr>
          <w:rFonts w:hint="eastAsia" w:ascii="宋体" w:hAnsi="宋体" w:cs="宋体"/>
          <w:bCs/>
          <w:color w:val="000000"/>
          <w:sz w:val="24"/>
        </w:rPr>
      </w:pPr>
      <w:bookmarkStart w:id="861" w:name="_Toc95223487"/>
      <w:r>
        <w:rPr>
          <w:rFonts w:hint="eastAsia" w:ascii="宋体" w:hAnsi="宋体" w:cs="宋体"/>
          <w:bCs/>
          <w:color w:val="000000"/>
          <w:sz w:val="24"/>
        </w:rPr>
        <w:t>附</w:t>
      </w:r>
      <w:bookmarkStart w:id="862" w:name="_Toc296503225"/>
      <w:bookmarkStart w:id="863" w:name="_Toc267261692"/>
      <w:bookmarkStart w:id="864" w:name="_Toc296346726"/>
      <w:bookmarkStart w:id="865" w:name="_Toc296891265"/>
      <w:bookmarkStart w:id="866" w:name="_Toc296891053"/>
      <w:bookmarkStart w:id="867" w:name="_Toc296347224"/>
      <w:bookmarkStart w:id="868" w:name="_Toc296944564"/>
      <w:r>
        <w:rPr>
          <w:rFonts w:hint="eastAsia" w:ascii="宋体" w:hAnsi="宋体" w:cs="宋体"/>
          <w:bCs/>
          <w:color w:val="000000"/>
          <w:sz w:val="24"/>
        </w:rPr>
        <w:t>件2：发包人供应材料设备一览表</w:t>
      </w:r>
      <w:bookmarkEnd w:id="861"/>
    </w:p>
    <w:bookmarkEnd w:id="862"/>
    <w:bookmarkEnd w:id="863"/>
    <w:bookmarkEnd w:id="864"/>
    <w:bookmarkEnd w:id="865"/>
    <w:bookmarkEnd w:id="866"/>
    <w:bookmarkEnd w:id="867"/>
    <w:bookmarkEnd w:id="868"/>
    <w:p w14:paraId="65C3F7DA">
      <w:pPr>
        <w:spacing w:line="360" w:lineRule="auto"/>
        <w:jc w:val="center"/>
        <w:rPr>
          <w:rFonts w:hint="eastAsia" w:ascii="宋体" w:hAnsi="宋体" w:cs="宋体"/>
          <w:color w:val="000000"/>
          <w:sz w:val="22"/>
          <w:szCs w:val="21"/>
        </w:rPr>
      </w:pPr>
      <w:r>
        <w:rPr>
          <w:rFonts w:hint="eastAsia" w:ascii="宋体" w:hAnsi="宋体" w:cs="宋体"/>
          <w:color w:val="000000"/>
          <w:sz w:val="22"/>
          <w:szCs w:val="21"/>
        </w:rPr>
        <w:t>发包人供应材料设备一览表</w:t>
      </w:r>
    </w:p>
    <w:tbl>
      <w:tblPr>
        <w:tblStyle w:val="47"/>
        <w:tblW w:w="965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082"/>
        <w:gridCol w:w="940"/>
        <w:gridCol w:w="851"/>
        <w:gridCol w:w="1044"/>
        <w:gridCol w:w="992"/>
        <w:gridCol w:w="851"/>
        <w:gridCol w:w="966"/>
        <w:gridCol w:w="803"/>
      </w:tblGrid>
      <w:tr w14:paraId="72B793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tcBorders>
              <w:top w:val="single" w:color="auto" w:sz="12" w:space="0"/>
              <w:bottom w:val="double" w:color="auto" w:sz="6" w:space="0"/>
            </w:tcBorders>
            <w:noWrap w:val="0"/>
            <w:vAlign w:val="center"/>
          </w:tcPr>
          <w:p w14:paraId="30E7BFBB">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序号</w:t>
            </w:r>
          </w:p>
        </w:tc>
        <w:tc>
          <w:tcPr>
            <w:tcW w:w="1276" w:type="dxa"/>
            <w:tcBorders>
              <w:top w:val="single" w:color="auto" w:sz="12" w:space="0"/>
              <w:bottom w:val="double" w:color="auto" w:sz="6" w:space="0"/>
            </w:tcBorders>
            <w:noWrap w:val="0"/>
            <w:vAlign w:val="center"/>
          </w:tcPr>
          <w:p w14:paraId="1DCD8925">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材料、设备品种</w:t>
            </w:r>
          </w:p>
        </w:tc>
        <w:tc>
          <w:tcPr>
            <w:tcW w:w="1082" w:type="dxa"/>
            <w:tcBorders>
              <w:top w:val="single" w:color="auto" w:sz="12" w:space="0"/>
              <w:bottom w:val="double" w:color="auto" w:sz="6" w:space="0"/>
            </w:tcBorders>
            <w:noWrap w:val="0"/>
            <w:vAlign w:val="center"/>
          </w:tcPr>
          <w:p w14:paraId="7BC70C08">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规格型号</w:t>
            </w:r>
          </w:p>
        </w:tc>
        <w:tc>
          <w:tcPr>
            <w:tcW w:w="940" w:type="dxa"/>
            <w:tcBorders>
              <w:top w:val="single" w:color="auto" w:sz="12" w:space="0"/>
              <w:bottom w:val="double" w:color="auto" w:sz="6" w:space="0"/>
            </w:tcBorders>
            <w:noWrap w:val="0"/>
            <w:vAlign w:val="center"/>
          </w:tcPr>
          <w:p w14:paraId="3C844980">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单位</w:t>
            </w:r>
          </w:p>
        </w:tc>
        <w:tc>
          <w:tcPr>
            <w:tcW w:w="851" w:type="dxa"/>
            <w:tcBorders>
              <w:top w:val="single" w:color="auto" w:sz="12" w:space="0"/>
              <w:bottom w:val="double" w:color="auto" w:sz="6" w:space="0"/>
            </w:tcBorders>
            <w:noWrap w:val="0"/>
            <w:vAlign w:val="center"/>
          </w:tcPr>
          <w:p w14:paraId="7449010F">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数量</w:t>
            </w:r>
          </w:p>
        </w:tc>
        <w:tc>
          <w:tcPr>
            <w:tcW w:w="1044" w:type="dxa"/>
            <w:tcBorders>
              <w:top w:val="single" w:color="auto" w:sz="12" w:space="0"/>
              <w:bottom w:val="double" w:color="auto" w:sz="6" w:space="0"/>
            </w:tcBorders>
            <w:noWrap w:val="0"/>
            <w:vAlign w:val="center"/>
          </w:tcPr>
          <w:p w14:paraId="30E13CC1">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单价（元）</w:t>
            </w:r>
          </w:p>
        </w:tc>
        <w:tc>
          <w:tcPr>
            <w:tcW w:w="992" w:type="dxa"/>
            <w:tcBorders>
              <w:top w:val="single" w:color="auto" w:sz="12" w:space="0"/>
              <w:bottom w:val="double" w:color="auto" w:sz="6" w:space="0"/>
            </w:tcBorders>
            <w:noWrap w:val="0"/>
            <w:vAlign w:val="center"/>
          </w:tcPr>
          <w:p w14:paraId="5E686EB2">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质量等级</w:t>
            </w:r>
          </w:p>
        </w:tc>
        <w:tc>
          <w:tcPr>
            <w:tcW w:w="851" w:type="dxa"/>
            <w:tcBorders>
              <w:top w:val="single" w:color="auto" w:sz="12" w:space="0"/>
              <w:bottom w:val="double" w:color="auto" w:sz="6" w:space="0"/>
            </w:tcBorders>
            <w:noWrap w:val="0"/>
            <w:vAlign w:val="center"/>
          </w:tcPr>
          <w:p w14:paraId="749633C3">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供应时间</w:t>
            </w:r>
          </w:p>
        </w:tc>
        <w:tc>
          <w:tcPr>
            <w:tcW w:w="966" w:type="dxa"/>
            <w:tcBorders>
              <w:top w:val="single" w:color="auto" w:sz="12" w:space="0"/>
              <w:bottom w:val="double" w:color="auto" w:sz="6" w:space="0"/>
            </w:tcBorders>
            <w:noWrap w:val="0"/>
            <w:vAlign w:val="center"/>
          </w:tcPr>
          <w:p w14:paraId="1A9DBB08">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送达地点</w:t>
            </w:r>
          </w:p>
        </w:tc>
        <w:tc>
          <w:tcPr>
            <w:tcW w:w="803" w:type="dxa"/>
            <w:tcBorders>
              <w:top w:val="single" w:color="auto" w:sz="12" w:space="0"/>
              <w:bottom w:val="double" w:color="auto" w:sz="6" w:space="0"/>
            </w:tcBorders>
            <w:noWrap w:val="0"/>
            <w:vAlign w:val="center"/>
          </w:tcPr>
          <w:p w14:paraId="1A5B8172">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备注</w:t>
            </w:r>
          </w:p>
        </w:tc>
      </w:tr>
      <w:tr w14:paraId="7D415D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tcBorders>
              <w:top w:val="double" w:color="auto" w:sz="6" w:space="0"/>
            </w:tcBorders>
            <w:noWrap w:val="0"/>
            <w:vAlign w:val="center"/>
          </w:tcPr>
          <w:p w14:paraId="16BD464D">
            <w:pPr>
              <w:keepNext/>
              <w:snapToGrid w:val="0"/>
              <w:spacing w:line="360" w:lineRule="auto"/>
              <w:rPr>
                <w:rFonts w:hint="eastAsia" w:ascii="宋体" w:hAnsi="宋体" w:cs="宋体"/>
                <w:color w:val="000000"/>
                <w:sz w:val="22"/>
                <w:szCs w:val="21"/>
              </w:rPr>
            </w:pPr>
          </w:p>
        </w:tc>
        <w:tc>
          <w:tcPr>
            <w:tcW w:w="1276" w:type="dxa"/>
            <w:tcBorders>
              <w:top w:val="double" w:color="auto" w:sz="6" w:space="0"/>
            </w:tcBorders>
            <w:noWrap w:val="0"/>
            <w:vAlign w:val="center"/>
          </w:tcPr>
          <w:p w14:paraId="3AAD8862">
            <w:pPr>
              <w:keepNext/>
              <w:snapToGrid w:val="0"/>
              <w:spacing w:line="360" w:lineRule="auto"/>
              <w:rPr>
                <w:rFonts w:hint="eastAsia" w:ascii="宋体" w:hAnsi="宋体" w:cs="宋体"/>
                <w:color w:val="000000"/>
                <w:sz w:val="22"/>
                <w:szCs w:val="21"/>
              </w:rPr>
            </w:pPr>
          </w:p>
        </w:tc>
        <w:tc>
          <w:tcPr>
            <w:tcW w:w="1082" w:type="dxa"/>
            <w:tcBorders>
              <w:top w:val="double" w:color="auto" w:sz="6" w:space="0"/>
            </w:tcBorders>
            <w:noWrap w:val="0"/>
            <w:vAlign w:val="center"/>
          </w:tcPr>
          <w:p w14:paraId="2C0C88F3">
            <w:pPr>
              <w:keepNext/>
              <w:snapToGrid w:val="0"/>
              <w:spacing w:line="360" w:lineRule="auto"/>
              <w:rPr>
                <w:rFonts w:hint="eastAsia" w:ascii="宋体" w:hAnsi="宋体" w:cs="宋体"/>
                <w:color w:val="000000"/>
                <w:sz w:val="22"/>
                <w:szCs w:val="21"/>
              </w:rPr>
            </w:pPr>
          </w:p>
        </w:tc>
        <w:tc>
          <w:tcPr>
            <w:tcW w:w="940" w:type="dxa"/>
            <w:tcBorders>
              <w:top w:val="double" w:color="auto" w:sz="6" w:space="0"/>
            </w:tcBorders>
            <w:noWrap w:val="0"/>
            <w:vAlign w:val="center"/>
          </w:tcPr>
          <w:p w14:paraId="03450777">
            <w:pPr>
              <w:keepNext/>
              <w:snapToGrid w:val="0"/>
              <w:spacing w:line="360" w:lineRule="auto"/>
              <w:rPr>
                <w:rFonts w:hint="eastAsia" w:ascii="宋体" w:hAnsi="宋体" w:cs="宋体"/>
                <w:color w:val="000000"/>
                <w:sz w:val="22"/>
                <w:szCs w:val="21"/>
              </w:rPr>
            </w:pPr>
          </w:p>
        </w:tc>
        <w:tc>
          <w:tcPr>
            <w:tcW w:w="851" w:type="dxa"/>
            <w:tcBorders>
              <w:top w:val="double" w:color="auto" w:sz="6" w:space="0"/>
            </w:tcBorders>
            <w:noWrap w:val="0"/>
            <w:vAlign w:val="center"/>
          </w:tcPr>
          <w:p w14:paraId="7BB8DF66">
            <w:pPr>
              <w:keepNext/>
              <w:snapToGrid w:val="0"/>
              <w:spacing w:line="360" w:lineRule="auto"/>
              <w:rPr>
                <w:rFonts w:hint="eastAsia" w:ascii="宋体" w:hAnsi="宋体" w:cs="宋体"/>
                <w:color w:val="000000"/>
                <w:sz w:val="22"/>
                <w:szCs w:val="21"/>
              </w:rPr>
            </w:pPr>
          </w:p>
        </w:tc>
        <w:tc>
          <w:tcPr>
            <w:tcW w:w="1044" w:type="dxa"/>
            <w:tcBorders>
              <w:top w:val="double" w:color="auto" w:sz="6" w:space="0"/>
            </w:tcBorders>
            <w:noWrap w:val="0"/>
            <w:vAlign w:val="center"/>
          </w:tcPr>
          <w:p w14:paraId="4308D45C">
            <w:pPr>
              <w:keepNext/>
              <w:snapToGrid w:val="0"/>
              <w:spacing w:line="360" w:lineRule="auto"/>
              <w:rPr>
                <w:rFonts w:hint="eastAsia" w:ascii="宋体" w:hAnsi="宋体" w:cs="宋体"/>
                <w:color w:val="000000"/>
                <w:sz w:val="22"/>
                <w:szCs w:val="21"/>
              </w:rPr>
            </w:pPr>
          </w:p>
        </w:tc>
        <w:tc>
          <w:tcPr>
            <w:tcW w:w="992" w:type="dxa"/>
            <w:tcBorders>
              <w:top w:val="double" w:color="auto" w:sz="6" w:space="0"/>
            </w:tcBorders>
            <w:noWrap w:val="0"/>
            <w:vAlign w:val="center"/>
          </w:tcPr>
          <w:p w14:paraId="001DFEBC">
            <w:pPr>
              <w:keepNext/>
              <w:snapToGrid w:val="0"/>
              <w:spacing w:line="360" w:lineRule="auto"/>
              <w:rPr>
                <w:rFonts w:hint="eastAsia" w:ascii="宋体" w:hAnsi="宋体" w:cs="宋体"/>
                <w:color w:val="000000"/>
                <w:sz w:val="22"/>
                <w:szCs w:val="21"/>
              </w:rPr>
            </w:pPr>
          </w:p>
        </w:tc>
        <w:tc>
          <w:tcPr>
            <w:tcW w:w="851" w:type="dxa"/>
            <w:tcBorders>
              <w:top w:val="double" w:color="auto" w:sz="6" w:space="0"/>
            </w:tcBorders>
            <w:noWrap w:val="0"/>
            <w:vAlign w:val="center"/>
          </w:tcPr>
          <w:p w14:paraId="5BD99C3F">
            <w:pPr>
              <w:keepNext/>
              <w:snapToGrid w:val="0"/>
              <w:spacing w:line="360" w:lineRule="auto"/>
              <w:rPr>
                <w:rFonts w:hint="eastAsia" w:ascii="宋体" w:hAnsi="宋体" w:cs="宋体"/>
                <w:color w:val="000000"/>
                <w:sz w:val="22"/>
                <w:szCs w:val="21"/>
              </w:rPr>
            </w:pPr>
          </w:p>
        </w:tc>
        <w:tc>
          <w:tcPr>
            <w:tcW w:w="966" w:type="dxa"/>
            <w:tcBorders>
              <w:top w:val="double" w:color="auto" w:sz="6" w:space="0"/>
            </w:tcBorders>
            <w:noWrap w:val="0"/>
            <w:vAlign w:val="center"/>
          </w:tcPr>
          <w:p w14:paraId="48630F52">
            <w:pPr>
              <w:keepNext/>
              <w:snapToGrid w:val="0"/>
              <w:spacing w:line="360" w:lineRule="auto"/>
              <w:rPr>
                <w:rFonts w:hint="eastAsia" w:ascii="宋体" w:hAnsi="宋体" w:cs="宋体"/>
                <w:color w:val="000000"/>
                <w:sz w:val="22"/>
                <w:szCs w:val="21"/>
              </w:rPr>
            </w:pPr>
          </w:p>
        </w:tc>
        <w:tc>
          <w:tcPr>
            <w:tcW w:w="803" w:type="dxa"/>
            <w:tcBorders>
              <w:top w:val="double" w:color="auto" w:sz="6" w:space="0"/>
            </w:tcBorders>
            <w:noWrap w:val="0"/>
            <w:vAlign w:val="center"/>
          </w:tcPr>
          <w:p w14:paraId="0963CF67">
            <w:pPr>
              <w:keepNext/>
              <w:snapToGrid w:val="0"/>
              <w:spacing w:line="360" w:lineRule="auto"/>
              <w:rPr>
                <w:rFonts w:hint="eastAsia" w:ascii="宋体" w:hAnsi="宋体" w:cs="宋体"/>
                <w:color w:val="000000"/>
                <w:sz w:val="22"/>
                <w:szCs w:val="21"/>
              </w:rPr>
            </w:pPr>
          </w:p>
        </w:tc>
      </w:tr>
      <w:tr w14:paraId="2B6D06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noWrap w:val="0"/>
            <w:vAlign w:val="center"/>
          </w:tcPr>
          <w:p w14:paraId="48C09BA2">
            <w:pPr>
              <w:snapToGrid w:val="0"/>
              <w:spacing w:line="360" w:lineRule="auto"/>
              <w:rPr>
                <w:rFonts w:hint="eastAsia" w:ascii="宋体" w:hAnsi="宋体" w:cs="宋体"/>
                <w:color w:val="000000"/>
                <w:sz w:val="22"/>
                <w:szCs w:val="21"/>
              </w:rPr>
            </w:pPr>
          </w:p>
        </w:tc>
        <w:tc>
          <w:tcPr>
            <w:tcW w:w="1276" w:type="dxa"/>
            <w:noWrap w:val="0"/>
            <w:vAlign w:val="center"/>
          </w:tcPr>
          <w:p w14:paraId="5742AE75">
            <w:pPr>
              <w:snapToGrid w:val="0"/>
              <w:spacing w:line="360" w:lineRule="auto"/>
              <w:rPr>
                <w:rFonts w:hint="eastAsia" w:ascii="宋体" w:hAnsi="宋体" w:cs="宋体"/>
                <w:color w:val="000000"/>
                <w:sz w:val="22"/>
                <w:szCs w:val="21"/>
              </w:rPr>
            </w:pPr>
          </w:p>
        </w:tc>
        <w:tc>
          <w:tcPr>
            <w:tcW w:w="1082" w:type="dxa"/>
            <w:noWrap w:val="0"/>
            <w:vAlign w:val="center"/>
          </w:tcPr>
          <w:p w14:paraId="518E0633">
            <w:pPr>
              <w:snapToGrid w:val="0"/>
              <w:spacing w:line="360" w:lineRule="auto"/>
              <w:rPr>
                <w:rFonts w:hint="eastAsia" w:ascii="宋体" w:hAnsi="宋体" w:cs="宋体"/>
                <w:color w:val="000000"/>
                <w:sz w:val="22"/>
                <w:szCs w:val="21"/>
              </w:rPr>
            </w:pPr>
          </w:p>
        </w:tc>
        <w:tc>
          <w:tcPr>
            <w:tcW w:w="940" w:type="dxa"/>
            <w:noWrap w:val="0"/>
            <w:vAlign w:val="center"/>
          </w:tcPr>
          <w:p w14:paraId="4E56161B">
            <w:pPr>
              <w:snapToGrid w:val="0"/>
              <w:spacing w:line="360" w:lineRule="auto"/>
              <w:rPr>
                <w:rFonts w:hint="eastAsia" w:ascii="宋体" w:hAnsi="宋体" w:cs="宋体"/>
                <w:color w:val="000000"/>
                <w:sz w:val="22"/>
                <w:szCs w:val="21"/>
              </w:rPr>
            </w:pPr>
          </w:p>
        </w:tc>
        <w:tc>
          <w:tcPr>
            <w:tcW w:w="851" w:type="dxa"/>
            <w:noWrap w:val="0"/>
            <w:vAlign w:val="center"/>
          </w:tcPr>
          <w:p w14:paraId="48A48E38">
            <w:pPr>
              <w:snapToGrid w:val="0"/>
              <w:spacing w:line="360" w:lineRule="auto"/>
              <w:rPr>
                <w:rFonts w:hint="eastAsia" w:ascii="宋体" w:hAnsi="宋体" w:cs="宋体"/>
                <w:color w:val="000000"/>
                <w:sz w:val="22"/>
                <w:szCs w:val="21"/>
              </w:rPr>
            </w:pPr>
          </w:p>
        </w:tc>
        <w:tc>
          <w:tcPr>
            <w:tcW w:w="1044" w:type="dxa"/>
            <w:noWrap w:val="0"/>
            <w:vAlign w:val="center"/>
          </w:tcPr>
          <w:p w14:paraId="0709195A">
            <w:pPr>
              <w:snapToGrid w:val="0"/>
              <w:spacing w:line="360" w:lineRule="auto"/>
              <w:rPr>
                <w:rFonts w:hint="eastAsia" w:ascii="宋体" w:hAnsi="宋体" w:cs="宋体"/>
                <w:color w:val="000000"/>
                <w:sz w:val="22"/>
                <w:szCs w:val="21"/>
              </w:rPr>
            </w:pPr>
          </w:p>
        </w:tc>
        <w:tc>
          <w:tcPr>
            <w:tcW w:w="992" w:type="dxa"/>
            <w:noWrap w:val="0"/>
            <w:vAlign w:val="center"/>
          </w:tcPr>
          <w:p w14:paraId="63DC6AC9">
            <w:pPr>
              <w:snapToGrid w:val="0"/>
              <w:spacing w:line="360" w:lineRule="auto"/>
              <w:rPr>
                <w:rFonts w:hint="eastAsia" w:ascii="宋体" w:hAnsi="宋体" w:cs="宋体"/>
                <w:color w:val="000000"/>
                <w:sz w:val="22"/>
                <w:szCs w:val="21"/>
              </w:rPr>
            </w:pPr>
          </w:p>
        </w:tc>
        <w:tc>
          <w:tcPr>
            <w:tcW w:w="851" w:type="dxa"/>
            <w:noWrap w:val="0"/>
            <w:vAlign w:val="center"/>
          </w:tcPr>
          <w:p w14:paraId="05767BED">
            <w:pPr>
              <w:snapToGrid w:val="0"/>
              <w:spacing w:line="360" w:lineRule="auto"/>
              <w:rPr>
                <w:rFonts w:hint="eastAsia" w:ascii="宋体" w:hAnsi="宋体" w:cs="宋体"/>
                <w:color w:val="000000"/>
                <w:sz w:val="22"/>
                <w:szCs w:val="21"/>
              </w:rPr>
            </w:pPr>
          </w:p>
        </w:tc>
        <w:tc>
          <w:tcPr>
            <w:tcW w:w="966" w:type="dxa"/>
            <w:noWrap w:val="0"/>
            <w:vAlign w:val="center"/>
          </w:tcPr>
          <w:p w14:paraId="521D2477">
            <w:pPr>
              <w:snapToGrid w:val="0"/>
              <w:spacing w:line="360" w:lineRule="auto"/>
              <w:rPr>
                <w:rFonts w:hint="eastAsia" w:ascii="宋体" w:hAnsi="宋体" w:cs="宋体"/>
                <w:color w:val="000000"/>
                <w:sz w:val="22"/>
                <w:szCs w:val="21"/>
              </w:rPr>
            </w:pPr>
          </w:p>
        </w:tc>
        <w:tc>
          <w:tcPr>
            <w:tcW w:w="803" w:type="dxa"/>
            <w:noWrap w:val="0"/>
            <w:vAlign w:val="center"/>
          </w:tcPr>
          <w:p w14:paraId="65BE286F">
            <w:pPr>
              <w:snapToGrid w:val="0"/>
              <w:spacing w:line="360" w:lineRule="auto"/>
              <w:rPr>
                <w:rFonts w:hint="eastAsia" w:ascii="宋体" w:hAnsi="宋体" w:cs="宋体"/>
                <w:color w:val="000000"/>
                <w:sz w:val="22"/>
                <w:szCs w:val="21"/>
              </w:rPr>
            </w:pPr>
          </w:p>
        </w:tc>
      </w:tr>
      <w:tr w14:paraId="1B5CBA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tcBorders>
              <w:bottom w:val="single" w:color="auto" w:sz="12" w:space="0"/>
            </w:tcBorders>
            <w:noWrap w:val="0"/>
            <w:vAlign w:val="center"/>
          </w:tcPr>
          <w:p w14:paraId="60501A89">
            <w:pPr>
              <w:snapToGrid w:val="0"/>
              <w:spacing w:line="360" w:lineRule="auto"/>
              <w:rPr>
                <w:rFonts w:hint="eastAsia" w:ascii="宋体" w:hAnsi="宋体" w:cs="宋体"/>
                <w:color w:val="000000"/>
                <w:sz w:val="22"/>
                <w:szCs w:val="21"/>
              </w:rPr>
            </w:pPr>
          </w:p>
        </w:tc>
        <w:tc>
          <w:tcPr>
            <w:tcW w:w="1276" w:type="dxa"/>
            <w:tcBorders>
              <w:bottom w:val="single" w:color="auto" w:sz="12" w:space="0"/>
            </w:tcBorders>
            <w:noWrap w:val="0"/>
            <w:vAlign w:val="center"/>
          </w:tcPr>
          <w:p w14:paraId="58834832">
            <w:pPr>
              <w:snapToGrid w:val="0"/>
              <w:spacing w:line="360" w:lineRule="auto"/>
              <w:rPr>
                <w:rFonts w:hint="eastAsia" w:ascii="宋体" w:hAnsi="宋体" w:cs="宋体"/>
                <w:color w:val="000000"/>
                <w:sz w:val="22"/>
                <w:szCs w:val="21"/>
              </w:rPr>
            </w:pPr>
          </w:p>
        </w:tc>
        <w:tc>
          <w:tcPr>
            <w:tcW w:w="1082" w:type="dxa"/>
            <w:tcBorders>
              <w:bottom w:val="single" w:color="auto" w:sz="12" w:space="0"/>
            </w:tcBorders>
            <w:noWrap w:val="0"/>
            <w:vAlign w:val="center"/>
          </w:tcPr>
          <w:p w14:paraId="3A718BB3">
            <w:pPr>
              <w:snapToGrid w:val="0"/>
              <w:spacing w:line="360" w:lineRule="auto"/>
              <w:rPr>
                <w:rFonts w:hint="eastAsia" w:ascii="宋体" w:hAnsi="宋体" w:cs="宋体"/>
                <w:color w:val="000000"/>
                <w:sz w:val="22"/>
                <w:szCs w:val="21"/>
              </w:rPr>
            </w:pPr>
          </w:p>
        </w:tc>
        <w:tc>
          <w:tcPr>
            <w:tcW w:w="940" w:type="dxa"/>
            <w:tcBorders>
              <w:bottom w:val="single" w:color="auto" w:sz="12" w:space="0"/>
            </w:tcBorders>
            <w:noWrap w:val="0"/>
            <w:vAlign w:val="center"/>
          </w:tcPr>
          <w:p w14:paraId="299319D6">
            <w:pPr>
              <w:snapToGrid w:val="0"/>
              <w:spacing w:line="360" w:lineRule="auto"/>
              <w:rPr>
                <w:rFonts w:hint="eastAsia" w:ascii="宋体" w:hAnsi="宋体" w:cs="宋体"/>
                <w:color w:val="000000"/>
                <w:sz w:val="22"/>
                <w:szCs w:val="21"/>
              </w:rPr>
            </w:pPr>
          </w:p>
        </w:tc>
        <w:tc>
          <w:tcPr>
            <w:tcW w:w="851" w:type="dxa"/>
            <w:tcBorders>
              <w:bottom w:val="single" w:color="auto" w:sz="12" w:space="0"/>
            </w:tcBorders>
            <w:noWrap w:val="0"/>
            <w:vAlign w:val="center"/>
          </w:tcPr>
          <w:p w14:paraId="3F8C004B">
            <w:pPr>
              <w:snapToGrid w:val="0"/>
              <w:spacing w:line="360" w:lineRule="auto"/>
              <w:rPr>
                <w:rFonts w:hint="eastAsia" w:ascii="宋体" w:hAnsi="宋体" w:cs="宋体"/>
                <w:color w:val="000000"/>
                <w:sz w:val="22"/>
                <w:szCs w:val="21"/>
              </w:rPr>
            </w:pPr>
          </w:p>
        </w:tc>
        <w:tc>
          <w:tcPr>
            <w:tcW w:w="1044" w:type="dxa"/>
            <w:tcBorders>
              <w:bottom w:val="single" w:color="auto" w:sz="12" w:space="0"/>
            </w:tcBorders>
            <w:noWrap w:val="0"/>
            <w:vAlign w:val="center"/>
          </w:tcPr>
          <w:p w14:paraId="01DF7C00">
            <w:pPr>
              <w:snapToGrid w:val="0"/>
              <w:spacing w:line="360" w:lineRule="auto"/>
              <w:rPr>
                <w:rFonts w:hint="eastAsia" w:ascii="宋体" w:hAnsi="宋体" w:cs="宋体"/>
                <w:color w:val="000000"/>
                <w:sz w:val="22"/>
                <w:szCs w:val="21"/>
              </w:rPr>
            </w:pPr>
          </w:p>
        </w:tc>
        <w:tc>
          <w:tcPr>
            <w:tcW w:w="992" w:type="dxa"/>
            <w:tcBorders>
              <w:bottom w:val="single" w:color="auto" w:sz="12" w:space="0"/>
            </w:tcBorders>
            <w:noWrap w:val="0"/>
            <w:vAlign w:val="center"/>
          </w:tcPr>
          <w:p w14:paraId="62070F81">
            <w:pPr>
              <w:snapToGrid w:val="0"/>
              <w:spacing w:line="360" w:lineRule="auto"/>
              <w:rPr>
                <w:rFonts w:hint="eastAsia" w:ascii="宋体" w:hAnsi="宋体" w:cs="宋体"/>
                <w:color w:val="000000"/>
                <w:sz w:val="22"/>
                <w:szCs w:val="21"/>
              </w:rPr>
            </w:pPr>
          </w:p>
        </w:tc>
        <w:tc>
          <w:tcPr>
            <w:tcW w:w="851" w:type="dxa"/>
            <w:tcBorders>
              <w:bottom w:val="single" w:color="auto" w:sz="12" w:space="0"/>
            </w:tcBorders>
            <w:noWrap w:val="0"/>
            <w:vAlign w:val="center"/>
          </w:tcPr>
          <w:p w14:paraId="180776BF">
            <w:pPr>
              <w:snapToGrid w:val="0"/>
              <w:spacing w:line="360" w:lineRule="auto"/>
              <w:rPr>
                <w:rFonts w:hint="eastAsia" w:ascii="宋体" w:hAnsi="宋体" w:cs="宋体"/>
                <w:color w:val="000000"/>
                <w:sz w:val="22"/>
                <w:szCs w:val="21"/>
              </w:rPr>
            </w:pPr>
          </w:p>
        </w:tc>
        <w:tc>
          <w:tcPr>
            <w:tcW w:w="966" w:type="dxa"/>
            <w:tcBorders>
              <w:bottom w:val="single" w:color="auto" w:sz="12" w:space="0"/>
            </w:tcBorders>
            <w:noWrap w:val="0"/>
            <w:vAlign w:val="center"/>
          </w:tcPr>
          <w:p w14:paraId="14D0E4B8">
            <w:pPr>
              <w:snapToGrid w:val="0"/>
              <w:spacing w:line="360" w:lineRule="auto"/>
              <w:rPr>
                <w:rFonts w:hint="eastAsia" w:ascii="宋体" w:hAnsi="宋体" w:cs="宋体"/>
                <w:color w:val="000000"/>
                <w:sz w:val="22"/>
                <w:szCs w:val="21"/>
              </w:rPr>
            </w:pPr>
          </w:p>
        </w:tc>
        <w:tc>
          <w:tcPr>
            <w:tcW w:w="803" w:type="dxa"/>
            <w:tcBorders>
              <w:bottom w:val="single" w:color="auto" w:sz="12" w:space="0"/>
            </w:tcBorders>
            <w:noWrap w:val="0"/>
            <w:vAlign w:val="center"/>
          </w:tcPr>
          <w:p w14:paraId="15870F20">
            <w:pPr>
              <w:snapToGrid w:val="0"/>
              <w:spacing w:line="360" w:lineRule="auto"/>
              <w:rPr>
                <w:rFonts w:hint="eastAsia" w:ascii="宋体" w:hAnsi="宋体" w:cs="宋体"/>
                <w:color w:val="000000"/>
                <w:sz w:val="22"/>
                <w:szCs w:val="21"/>
              </w:rPr>
            </w:pPr>
          </w:p>
        </w:tc>
      </w:tr>
    </w:tbl>
    <w:p w14:paraId="41156AFE">
      <w:pPr>
        <w:pStyle w:val="14"/>
        <w:rPr>
          <w:rFonts w:hint="eastAsia"/>
        </w:rPr>
      </w:pPr>
    </w:p>
    <w:p w14:paraId="63658383">
      <w:pPr>
        <w:rPr>
          <w:rFonts w:hint="eastAsia"/>
        </w:rPr>
      </w:pPr>
    </w:p>
    <w:p w14:paraId="668911F2">
      <w:pPr>
        <w:pStyle w:val="14"/>
        <w:rPr>
          <w:rFonts w:hint="eastAsia"/>
        </w:rPr>
      </w:pPr>
    </w:p>
    <w:p w14:paraId="346A727E">
      <w:pPr>
        <w:rPr>
          <w:rFonts w:hint="eastAsia"/>
        </w:rPr>
      </w:pPr>
    </w:p>
    <w:p w14:paraId="1C5B9316">
      <w:pPr>
        <w:pStyle w:val="14"/>
        <w:rPr>
          <w:rFonts w:hint="eastAsia"/>
        </w:rPr>
      </w:pPr>
    </w:p>
    <w:p w14:paraId="6CEDC117">
      <w:pPr>
        <w:rPr>
          <w:rFonts w:hint="eastAsia"/>
        </w:rPr>
      </w:pPr>
    </w:p>
    <w:p w14:paraId="60FA8106">
      <w:pPr>
        <w:pStyle w:val="14"/>
        <w:rPr>
          <w:rFonts w:hint="eastAsia"/>
        </w:rPr>
      </w:pPr>
    </w:p>
    <w:p w14:paraId="750E2ED4">
      <w:pPr>
        <w:rPr>
          <w:rFonts w:hint="eastAsia"/>
        </w:rPr>
      </w:pPr>
    </w:p>
    <w:p w14:paraId="7B7E6C0E">
      <w:pPr>
        <w:pStyle w:val="14"/>
        <w:rPr>
          <w:rFonts w:hint="eastAsia"/>
        </w:rPr>
      </w:pPr>
    </w:p>
    <w:p w14:paraId="5690D59A">
      <w:pPr>
        <w:rPr>
          <w:rFonts w:hint="eastAsia"/>
        </w:rPr>
      </w:pPr>
    </w:p>
    <w:p w14:paraId="609DECB3">
      <w:pPr>
        <w:pStyle w:val="14"/>
        <w:rPr>
          <w:rFonts w:hint="eastAsia"/>
        </w:rPr>
      </w:pPr>
    </w:p>
    <w:p w14:paraId="6D713AB3">
      <w:pPr>
        <w:pStyle w:val="14"/>
        <w:rPr>
          <w:rFonts w:hint="eastAsia"/>
          <w:color w:val="000000"/>
        </w:rPr>
      </w:pPr>
    </w:p>
    <w:p w14:paraId="2BFFADDB">
      <w:pPr>
        <w:rPr>
          <w:rFonts w:hint="eastAsia"/>
          <w:color w:val="000000"/>
        </w:rPr>
      </w:pPr>
    </w:p>
    <w:p w14:paraId="5A3C4779">
      <w:pPr>
        <w:pStyle w:val="14"/>
        <w:rPr>
          <w:rFonts w:hint="eastAsia"/>
          <w:color w:val="000000"/>
        </w:rPr>
      </w:pPr>
    </w:p>
    <w:p w14:paraId="352A613F">
      <w:pPr>
        <w:keepNext/>
        <w:keepLines/>
        <w:spacing w:before="120" w:after="120" w:line="360" w:lineRule="auto"/>
        <w:jc w:val="left"/>
        <w:outlineLvl w:val="2"/>
        <w:rPr>
          <w:rFonts w:ascii="宋体" w:hAnsi="宋体" w:cs="宋体"/>
          <w:bCs/>
          <w:color w:val="000000"/>
          <w:sz w:val="24"/>
        </w:rPr>
        <w:sectPr>
          <w:footnotePr>
            <w:numFmt w:val="decimalEnclosedCircleChinese"/>
            <w:numRestart w:val="eachPage"/>
          </w:footnotePr>
          <w:pgSz w:w="11907" w:h="16840"/>
          <w:pgMar w:top="1474" w:right="1474" w:bottom="1474" w:left="1474" w:header="799" w:footer="907" w:gutter="0"/>
          <w:cols w:space="720" w:num="1"/>
          <w:docGrid w:linePitch="271" w:charSpace="0"/>
        </w:sectPr>
      </w:pPr>
      <w:bookmarkStart w:id="869" w:name="_Toc95223488"/>
    </w:p>
    <w:p w14:paraId="419682F1">
      <w:pPr>
        <w:keepNext/>
        <w:keepLines/>
        <w:spacing w:before="120" w:after="120" w:line="360" w:lineRule="auto"/>
        <w:jc w:val="left"/>
        <w:outlineLvl w:val="2"/>
        <w:rPr>
          <w:rFonts w:hint="eastAsia" w:ascii="宋体" w:hAnsi="宋体" w:cs="宋体"/>
          <w:bCs/>
          <w:color w:val="000000"/>
          <w:sz w:val="24"/>
        </w:rPr>
      </w:pPr>
      <w:r>
        <w:rPr>
          <w:rFonts w:hint="eastAsia" w:ascii="宋体" w:hAnsi="宋体" w:cs="宋体"/>
          <w:bCs/>
          <w:color w:val="000000"/>
          <w:sz w:val="24"/>
        </w:rPr>
        <w:t>附件3：工程质量保修书</w:t>
      </w:r>
      <w:bookmarkEnd w:id="869"/>
    </w:p>
    <w:p w14:paraId="0127F340">
      <w:pPr>
        <w:adjustRightInd w:val="0"/>
        <w:snapToGrid w:val="0"/>
        <w:spacing w:before="120" w:beforeLines="50" w:after="120" w:afterLines="50" w:line="360" w:lineRule="auto"/>
        <w:jc w:val="center"/>
        <w:rPr>
          <w:rFonts w:hint="eastAsia" w:ascii="宋体" w:hAnsi="宋体" w:cs="宋体"/>
          <w:b/>
          <w:color w:val="000000"/>
          <w:sz w:val="24"/>
        </w:rPr>
      </w:pPr>
      <w:r>
        <w:rPr>
          <w:rFonts w:hint="eastAsia" w:ascii="宋体" w:hAnsi="宋体" w:cs="宋体"/>
          <w:b/>
          <w:color w:val="000000"/>
          <w:sz w:val="24"/>
        </w:rPr>
        <w:t>工程质量保修书</w:t>
      </w:r>
    </w:p>
    <w:p w14:paraId="7B8E252D">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发包人（全称）：</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05267EBF">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承包人（全称）：</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33972459">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发包人和承包人</w:t>
      </w:r>
      <w:r>
        <w:rPr>
          <w:rFonts w:hint="eastAsia" w:ascii="宋体" w:hAnsi="宋体" w:cs="宋体"/>
          <w:color w:val="000000"/>
          <w:sz w:val="21"/>
          <w:szCs w:val="21"/>
        </w:rPr>
        <w:t>根据《中华人民共和国建筑法》和《建设工程质量管理条例》，经协</w:t>
      </w:r>
      <w:r>
        <w:rPr>
          <w:rFonts w:hint="eastAsia" w:ascii="宋体" w:hAnsi="宋体" w:cs="宋体"/>
          <w:color w:val="000000"/>
          <w:szCs w:val="21"/>
        </w:rPr>
        <w:t>商一致就_______________（工程全称）签订工程质量保修书。</w:t>
      </w:r>
    </w:p>
    <w:p w14:paraId="448EE0A1">
      <w:pPr>
        <w:adjustRightInd w:val="0"/>
        <w:snapToGrid w:val="0"/>
        <w:spacing w:line="360" w:lineRule="auto"/>
        <w:ind w:firstLine="422" w:firstLineChars="200"/>
        <w:rPr>
          <w:rFonts w:hint="eastAsia" w:ascii="宋体" w:hAnsi="宋体" w:cs="宋体"/>
          <w:b/>
          <w:color w:val="000000"/>
          <w:szCs w:val="21"/>
        </w:rPr>
      </w:pPr>
      <w:r>
        <w:rPr>
          <w:rFonts w:hint="eastAsia" w:ascii="宋体" w:hAnsi="宋体" w:cs="宋体"/>
          <w:b/>
          <w:color w:val="000000"/>
          <w:szCs w:val="21"/>
        </w:rPr>
        <w:t>一、工程质量保修范围和内容</w:t>
      </w:r>
    </w:p>
    <w:p w14:paraId="320ED7F3">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按照《建设工程质量管理条例》及有关法律、法规、规章的管理规定，双方约定由施工单位在质量保修期内，承担本工程的质量保修责任。</w:t>
      </w:r>
    </w:p>
    <w:p w14:paraId="0E937D3C">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质量保修范围和内容：______________________。</w:t>
      </w:r>
      <w:r>
        <w:rPr>
          <w:rFonts w:hint="eastAsia" w:ascii="宋体" w:hAnsi="宋体" w:cs="宋体"/>
          <w:bCs/>
          <w:color w:val="auto"/>
          <w:kern w:val="0"/>
          <w:position w:val="6"/>
          <w:szCs w:val="21"/>
          <w:highlight w:val="none"/>
        </w:rPr>
        <w:t>因不可抗力或使用不当造成的质量缺陷，不属保修范围。</w:t>
      </w:r>
    </w:p>
    <w:p w14:paraId="43C4015C">
      <w:pPr>
        <w:adjustRightInd w:val="0"/>
        <w:snapToGrid w:val="0"/>
        <w:spacing w:line="360" w:lineRule="auto"/>
        <w:ind w:firstLine="413" w:firstLineChars="196"/>
        <w:rPr>
          <w:rFonts w:hint="eastAsia" w:ascii="宋体" w:hAnsi="宋体" w:cs="宋体"/>
          <w:b/>
          <w:color w:val="000000"/>
          <w:szCs w:val="21"/>
        </w:rPr>
      </w:pPr>
      <w:r>
        <w:rPr>
          <w:rFonts w:hint="eastAsia" w:ascii="宋体" w:hAnsi="宋体" w:cs="宋体"/>
          <w:b/>
          <w:color w:val="000000"/>
          <w:szCs w:val="21"/>
        </w:rPr>
        <w:t>二、质量保修期</w:t>
      </w:r>
    </w:p>
    <w:p w14:paraId="7609B69B">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根据《建设工程质量管理条例》及有关规定，工程的质量保修期如下：</w:t>
      </w:r>
    </w:p>
    <w:p w14:paraId="7D9830D1">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 地基基础工程和主体结构工程为设计文件规定的工程合理使用年限；</w:t>
      </w:r>
    </w:p>
    <w:p w14:paraId="7DFA8CF3">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 屋面防水工程、有防水要求的卫生间、房间和外墙面的防渗为</w:t>
      </w:r>
      <w:r>
        <w:rPr>
          <w:rFonts w:hint="eastAsia" w:ascii="宋体" w:hAnsi="宋体" w:cs="宋体"/>
          <w:color w:val="000000"/>
          <w:szCs w:val="21"/>
          <w:u w:val="single"/>
        </w:rPr>
        <w:t>5</w:t>
      </w:r>
      <w:r>
        <w:rPr>
          <w:rFonts w:hint="eastAsia" w:ascii="宋体" w:hAnsi="宋体" w:cs="宋体"/>
          <w:color w:val="000000"/>
          <w:szCs w:val="21"/>
        </w:rPr>
        <w:t>年；</w:t>
      </w:r>
    </w:p>
    <w:p w14:paraId="30637002">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 装修工程为</w:t>
      </w:r>
      <w:r>
        <w:rPr>
          <w:rFonts w:hint="eastAsia" w:ascii="宋体" w:hAnsi="宋体" w:cs="宋体"/>
          <w:color w:val="000000"/>
          <w:szCs w:val="21"/>
          <w:u w:val="single"/>
        </w:rPr>
        <w:t>2</w:t>
      </w:r>
      <w:r>
        <w:rPr>
          <w:rFonts w:hint="eastAsia" w:ascii="宋体" w:hAnsi="宋体" w:cs="宋体"/>
          <w:color w:val="000000"/>
          <w:szCs w:val="21"/>
        </w:rPr>
        <w:t>年；</w:t>
      </w:r>
    </w:p>
    <w:p w14:paraId="4B971FBB">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 电气管线、给排水管道、设备安装工程为</w:t>
      </w:r>
      <w:r>
        <w:rPr>
          <w:rFonts w:hint="eastAsia" w:ascii="宋体" w:hAnsi="宋体" w:cs="宋体"/>
          <w:color w:val="000000"/>
          <w:szCs w:val="21"/>
          <w:u w:val="single"/>
        </w:rPr>
        <w:t>2</w:t>
      </w:r>
      <w:r>
        <w:rPr>
          <w:rFonts w:hint="eastAsia" w:ascii="宋体" w:hAnsi="宋体" w:cs="宋体"/>
          <w:color w:val="000000"/>
          <w:szCs w:val="21"/>
        </w:rPr>
        <w:t>年；</w:t>
      </w:r>
    </w:p>
    <w:p w14:paraId="34704899">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 供热与供冷系统为</w:t>
      </w:r>
      <w:r>
        <w:rPr>
          <w:rFonts w:hint="eastAsia" w:ascii="宋体" w:hAnsi="宋体" w:cs="宋体"/>
          <w:color w:val="000000"/>
          <w:szCs w:val="21"/>
          <w:u w:val="single"/>
        </w:rPr>
        <w:t>2</w:t>
      </w:r>
      <w:r>
        <w:rPr>
          <w:rFonts w:hint="eastAsia" w:ascii="宋体" w:hAnsi="宋体" w:cs="宋体"/>
          <w:color w:val="000000"/>
          <w:szCs w:val="21"/>
        </w:rPr>
        <w:t>个采暖期、供冷期；</w:t>
      </w:r>
    </w:p>
    <w:p w14:paraId="5B0EB713">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6. 住宅小区内的给排水设施、道路等配套工程为</w:t>
      </w:r>
      <w:r>
        <w:rPr>
          <w:rFonts w:hint="eastAsia" w:ascii="宋体" w:hAnsi="宋体" w:cs="宋体"/>
          <w:color w:val="000000"/>
          <w:szCs w:val="21"/>
          <w:u w:val="single"/>
        </w:rPr>
        <w:t>2</w:t>
      </w:r>
      <w:r>
        <w:rPr>
          <w:rFonts w:hint="eastAsia" w:ascii="宋体" w:hAnsi="宋体" w:cs="宋体"/>
          <w:color w:val="000000"/>
          <w:szCs w:val="21"/>
        </w:rPr>
        <w:t>年；</w:t>
      </w:r>
    </w:p>
    <w:p w14:paraId="420966F0">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7. 其他项目保修期限约定如下：保温工程5年。</w:t>
      </w:r>
    </w:p>
    <w:p w14:paraId="1BC4CE91">
      <w:pPr>
        <w:adjustRightInd w:val="0"/>
        <w:snapToGrid w:val="0"/>
        <w:spacing w:line="360" w:lineRule="auto"/>
        <w:ind w:firstLine="420" w:firstLineChars="200"/>
        <w:rPr>
          <w:rFonts w:hint="default" w:ascii="宋体" w:hAnsi="宋体" w:cs="宋体"/>
          <w:color w:val="000000"/>
          <w:szCs w:val="21"/>
          <w:lang w:val="en-US" w:eastAsia="zh-CN"/>
        </w:rPr>
      </w:pPr>
      <w:r>
        <w:rPr>
          <w:rFonts w:hint="eastAsia" w:ascii="宋体" w:hAnsi="宋体" w:cs="宋体"/>
          <w:color w:val="000000"/>
          <w:szCs w:val="21"/>
          <w:lang w:val="en-US" w:eastAsia="zh-CN"/>
        </w:rPr>
        <w:t>8.本项目的充电桩</w:t>
      </w:r>
      <w:r>
        <w:rPr>
          <w:rFonts w:hint="default" w:ascii="宋体" w:hAnsi="宋体" w:cs="宋体"/>
          <w:color w:val="000000"/>
          <w:szCs w:val="21"/>
          <w:lang w:val="en-US" w:eastAsia="zh-CN"/>
        </w:rPr>
        <w:t>设施设备（包括电动车充电桩设施设备）</w:t>
      </w:r>
      <w:r>
        <w:rPr>
          <w:rFonts w:hint="eastAsia" w:ascii="宋体" w:hAnsi="宋体" w:cs="宋体"/>
          <w:color w:val="000000"/>
          <w:szCs w:val="21"/>
          <w:lang w:val="en-US" w:eastAsia="zh-CN"/>
        </w:rPr>
        <w:t>须</w:t>
      </w:r>
      <w:r>
        <w:rPr>
          <w:rFonts w:hint="default" w:ascii="宋体" w:hAnsi="宋体" w:cs="宋体"/>
          <w:color w:val="000000"/>
          <w:szCs w:val="21"/>
          <w:lang w:val="en-US" w:eastAsia="zh-CN"/>
        </w:rPr>
        <w:t>提供不少于五年的厂家</w:t>
      </w:r>
      <w:r>
        <w:rPr>
          <w:rFonts w:hint="eastAsia" w:ascii="宋体" w:hAnsi="宋体" w:cs="宋体"/>
          <w:color w:val="000000"/>
          <w:szCs w:val="21"/>
          <w:lang w:val="en-US" w:eastAsia="zh-CN"/>
        </w:rPr>
        <w:t>免费</w:t>
      </w:r>
      <w:r>
        <w:rPr>
          <w:rFonts w:hint="default" w:ascii="宋体" w:hAnsi="宋体" w:cs="宋体"/>
          <w:color w:val="000000"/>
          <w:szCs w:val="21"/>
          <w:lang w:val="en-US" w:eastAsia="zh-CN"/>
        </w:rPr>
        <w:t>质保服务</w:t>
      </w:r>
      <w:r>
        <w:rPr>
          <w:rFonts w:hint="eastAsia" w:ascii="宋体" w:hAnsi="宋体" w:cs="宋体"/>
          <w:color w:val="000000"/>
          <w:szCs w:val="21"/>
          <w:lang w:val="en-US" w:eastAsia="zh-CN"/>
        </w:rPr>
        <w:t>。</w:t>
      </w:r>
    </w:p>
    <w:p w14:paraId="77FA1684">
      <w:pPr>
        <w:adjustRightInd w:val="0"/>
        <w:snapToGrid w:val="0"/>
        <w:spacing w:line="360" w:lineRule="auto"/>
        <w:ind w:firstLine="413" w:firstLineChars="196"/>
        <w:rPr>
          <w:rFonts w:hint="eastAsia" w:ascii="宋体" w:hAnsi="宋体" w:cs="宋体"/>
          <w:b/>
          <w:color w:val="000000"/>
          <w:szCs w:val="21"/>
        </w:rPr>
      </w:pPr>
      <w:r>
        <w:rPr>
          <w:rFonts w:hint="eastAsia" w:ascii="宋体" w:hAnsi="宋体" w:cs="宋体"/>
          <w:b/>
          <w:color w:val="000000"/>
          <w:szCs w:val="21"/>
        </w:rPr>
        <w:t>质量保修期自工程竣工验收合格之日起计算。</w:t>
      </w:r>
    </w:p>
    <w:p w14:paraId="01B011B4">
      <w:pPr>
        <w:adjustRightInd w:val="0"/>
        <w:snapToGrid w:val="0"/>
        <w:spacing w:line="360" w:lineRule="auto"/>
        <w:ind w:firstLine="422" w:firstLineChars="200"/>
        <w:rPr>
          <w:rFonts w:hint="eastAsia" w:ascii="宋体" w:hAnsi="宋体" w:cs="宋体"/>
          <w:b/>
          <w:color w:val="000000"/>
          <w:szCs w:val="21"/>
        </w:rPr>
      </w:pPr>
      <w:r>
        <w:rPr>
          <w:rFonts w:hint="eastAsia" w:ascii="宋体" w:hAnsi="宋体" w:cs="宋体"/>
          <w:b/>
          <w:color w:val="000000"/>
          <w:szCs w:val="21"/>
        </w:rPr>
        <w:t>三、缺陷责任期</w:t>
      </w:r>
    </w:p>
    <w:p w14:paraId="15844076">
      <w:pPr>
        <w:adjustRightInd w:val="0"/>
        <w:snapToGrid w:val="0"/>
        <w:spacing w:line="360" w:lineRule="auto"/>
        <w:ind w:firstLine="422" w:firstLineChars="200"/>
        <w:rPr>
          <w:rFonts w:hint="eastAsia" w:ascii="宋体" w:hAnsi="宋体" w:cs="宋体"/>
          <w:b/>
          <w:color w:val="000000"/>
          <w:szCs w:val="21"/>
        </w:rPr>
      </w:pPr>
      <w:r>
        <w:rPr>
          <w:rFonts w:hint="eastAsia" w:ascii="宋体" w:hAnsi="宋体" w:cs="宋体"/>
          <w:b/>
          <w:color w:val="000000"/>
          <w:szCs w:val="21"/>
        </w:rPr>
        <w:t>工程缺陷责任期为</w:t>
      </w:r>
      <w:r>
        <w:rPr>
          <w:rFonts w:hint="eastAsia" w:ascii="宋体" w:hAnsi="宋体" w:cs="宋体"/>
          <w:b/>
          <w:color w:val="000000"/>
          <w:szCs w:val="21"/>
          <w:lang w:val="en-US" w:eastAsia="zh-CN"/>
        </w:rPr>
        <w:t>2年</w:t>
      </w:r>
      <w:r>
        <w:rPr>
          <w:rFonts w:hint="eastAsia" w:ascii="宋体" w:hAnsi="宋体" w:cs="宋体"/>
          <w:b/>
          <w:color w:val="000000"/>
          <w:szCs w:val="21"/>
        </w:rPr>
        <w:t>，缺陷责任期自工程竣工验收合格之日起计算。单位工程先于全部工程进行验收，单位工程缺陷责任期自单位工程验收合格之日起算。</w:t>
      </w:r>
    </w:p>
    <w:p w14:paraId="380ECD6C">
      <w:pPr>
        <w:adjustRightInd w:val="0"/>
        <w:snapToGrid w:val="0"/>
        <w:spacing w:line="360" w:lineRule="auto"/>
        <w:ind w:firstLine="422" w:firstLineChars="200"/>
        <w:rPr>
          <w:rFonts w:hint="eastAsia" w:ascii="宋体" w:hAnsi="宋体" w:cs="宋体"/>
          <w:b/>
          <w:color w:val="000000"/>
          <w:szCs w:val="21"/>
          <w:lang w:val="en-US" w:eastAsia="zh-CN"/>
        </w:rPr>
      </w:pPr>
      <w:r>
        <w:rPr>
          <w:rFonts w:hint="eastAsia" w:ascii="宋体" w:hAnsi="宋体" w:cs="宋体"/>
          <w:b/>
          <w:color w:val="000000"/>
          <w:szCs w:val="21"/>
        </w:rPr>
        <w:t>缺陷责任期终止后，发包人应退还剩余的质量保证金。</w:t>
      </w:r>
    </w:p>
    <w:p w14:paraId="4FC8DDC4">
      <w:pPr>
        <w:adjustRightInd w:val="0"/>
        <w:snapToGrid w:val="0"/>
        <w:spacing w:line="360" w:lineRule="auto"/>
        <w:ind w:firstLine="422" w:firstLineChars="200"/>
        <w:rPr>
          <w:rFonts w:hint="eastAsia" w:ascii="宋体" w:hAnsi="宋体" w:cs="宋体"/>
          <w:b/>
          <w:color w:val="000000"/>
          <w:szCs w:val="21"/>
        </w:rPr>
      </w:pPr>
      <w:r>
        <w:rPr>
          <w:rFonts w:hint="default" w:ascii="宋体" w:hAnsi="宋体" w:cs="宋体"/>
          <w:b/>
          <w:color w:val="000000"/>
          <w:szCs w:val="21"/>
          <w:lang w:val="en-US" w:eastAsia="zh-CN"/>
        </w:rPr>
        <w:t>在</w:t>
      </w:r>
      <w:r>
        <w:rPr>
          <w:rFonts w:hint="eastAsia" w:ascii="宋体" w:hAnsi="宋体" w:cs="宋体"/>
          <w:b/>
          <w:color w:val="000000"/>
          <w:szCs w:val="21"/>
          <w:lang w:val="en-US" w:eastAsia="zh-CN"/>
        </w:rPr>
        <w:t>工程</w:t>
      </w:r>
      <w:r>
        <w:rPr>
          <w:rFonts w:hint="default" w:ascii="宋体" w:hAnsi="宋体" w:cs="宋体"/>
          <w:b/>
          <w:color w:val="000000"/>
          <w:szCs w:val="21"/>
          <w:lang w:val="en-US" w:eastAsia="zh-CN"/>
        </w:rPr>
        <w:t>缺陷责任期内</w:t>
      </w:r>
      <w:r>
        <w:rPr>
          <w:rFonts w:hint="eastAsia" w:ascii="宋体" w:hAnsi="宋体" w:cs="宋体"/>
          <w:b/>
          <w:color w:val="000000"/>
          <w:szCs w:val="21"/>
          <w:lang w:val="en-US" w:eastAsia="zh-CN"/>
        </w:rPr>
        <w:t xml:space="preserve"> </w:t>
      </w:r>
      <w:r>
        <w:rPr>
          <w:rFonts w:hint="default" w:ascii="宋体" w:hAnsi="宋体" w:cs="宋体"/>
          <w:b/>
          <w:color w:val="000000"/>
          <w:szCs w:val="21"/>
          <w:lang w:val="en-US" w:eastAsia="zh-CN"/>
        </w:rPr>
        <w:t>(</w:t>
      </w:r>
      <w:r>
        <w:rPr>
          <w:rFonts w:hint="eastAsia" w:ascii="宋体" w:hAnsi="宋体" w:cs="宋体"/>
          <w:b/>
          <w:color w:val="000000"/>
          <w:szCs w:val="21"/>
          <w:lang w:val="en-US" w:eastAsia="zh-CN"/>
        </w:rPr>
        <w:t>自竣工验收合格之日起满2年</w:t>
      </w:r>
      <w:r>
        <w:rPr>
          <w:rFonts w:hint="default" w:ascii="宋体" w:hAnsi="宋体" w:cs="宋体"/>
          <w:b/>
          <w:color w:val="000000"/>
          <w:szCs w:val="21"/>
          <w:lang w:val="en-US" w:eastAsia="zh-CN"/>
        </w:rPr>
        <w:t>），</w:t>
      </w:r>
      <w:r>
        <w:rPr>
          <w:rFonts w:hint="eastAsia" w:ascii="宋体" w:hAnsi="宋体" w:cs="宋体"/>
          <w:b/>
          <w:color w:val="000000"/>
          <w:szCs w:val="21"/>
          <w:lang w:val="en-US" w:eastAsia="zh-CN"/>
        </w:rPr>
        <w:t>乙方须免</w:t>
      </w:r>
      <w:r>
        <w:rPr>
          <w:rFonts w:hint="default" w:ascii="宋体" w:hAnsi="宋体" w:cs="宋体"/>
          <w:b/>
          <w:color w:val="000000"/>
          <w:szCs w:val="21"/>
          <w:lang w:val="en-US" w:eastAsia="zh-CN"/>
        </w:rPr>
        <w:t>费提供充电设备收费系统服务，</w:t>
      </w:r>
      <w:r>
        <w:rPr>
          <w:rFonts w:hint="eastAsia" w:ascii="宋体" w:hAnsi="宋体" w:cs="宋体"/>
          <w:b/>
          <w:color w:val="000000"/>
          <w:szCs w:val="21"/>
          <w:lang w:val="en-US" w:eastAsia="zh-CN"/>
        </w:rPr>
        <w:t>其相关费用包含在合同价中，甲方不另行支付其他费用。</w:t>
      </w:r>
    </w:p>
    <w:p w14:paraId="1347A9FD">
      <w:pPr>
        <w:adjustRightInd w:val="0"/>
        <w:snapToGrid w:val="0"/>
        <w:spacing w:line="360" w:lineRule="auto"/>
        <w:ind w:firstLine="422" w:firstLineChars="200"/>
        <w:rPr>
          <w:rFonts w:hint="eastAsia" w:ascii="宋体" w:hAnsi="宋体" w:cs="宋体"/>
          <w:b/>
          <w:color w:val="000000"/>
          <w:szCs w:val="21"/>
        </w:rPr>
      </w:pPr>
      <w:r>
        <w:rPr>
          <w:rFonts w:hint="eastAsia" w:ascii="宋体" w:hAnsi="宋体" w:cs="宋体"/>
          <w:b/>
          <w:color w:val="000000"/>
          <w:szCs w:val="21"/>
        </w:rPr>
        <w:t>四、质量保修责任</w:t>
      </w:r>
    </w:p>
    <w:p w14:paraId="292EC824">
      <w:pPr>
        <w:adjustRightInd w:val="0"/>
        <w:snapToGrid w:val="0"/>
        <w:spacing w:line="360" w:lineRule="auto"/>
        <w:ind w:firstLine="430" w:firstLineChars="205"/>
        <w:rPr>
          <w:rFonts w:hint="eastAsia" w:ascii="宋体" w:hAnsi="宋体" w:cs="宋体"/>
          <w:color w:val="000000"/>
          <w:szCs w:val="21"/>
        </w:rPr>
      </w:pPr>
      <w:r>
        <w:rPr>
          <w:rFonts w:hint="eastAsia" w:ascii="宋体" w:hAnsi="宋体" w:cs="宋体"/>
          <w:color w:val="000000"/>
          <w:szCs w:val="21"/>
        </w:rPr>
        <w:t>1. 属于保修范围、内容的项目，承包人应当在接到保修通知之日起7天内派人保修。承包人不在约定期限内派人保修的，发包人可以委托他人修理。</w:t>
      </w:r>
    </w:p>
    <w:p w14:paraId="6F2D721B">
      <w:pPr>
        <w:adjustRightInd w:val="0"/>
        <w:snapToGrid w:val="0"/>
        <w:spacing w:line="360" w:lineRule="auto"/>
        <w:ind w:firstLine="430" w:firstLineChars="205"/>
        <w:rPr>
          <w:rFonts w:hint="eastAsia" w:ascii="宋体" w:hAnsi="宋体" w:cs="宋体"/>
          <w:color w:val="000000"/>
          <w:szCs w:val="21"/>
        </w:rPr>
      </w:pPr>
      <w:r>
        <w:rPr>
          <w:rFonts w:hint="eastAsia" w:ascii="宋体" w:hAnsi="宋体" w:cs="宋体"/>
          <w:color w:val="000000"/>
          <w:szCs w:val="21"/>
        </w:rPr>
        <w:t>2. 发生紧急事故需抢修的，承包人在接到事故通知后，应当立即到达事故现场抢修。</w:t>
      </w:r>
    </w:p>
    <w:p w14:paraId="7242503E">
      <w:pPr>
        <w:adjustRightInd w:val="0"/>
        <w:snapToGrid w:val="0"/>
        <w:spacing w:line="360" w:lineRule="auto"/>
        <w:ind w:firstLine="430" w:firstLineChars="205"/>
        <w:rPr>
          <w:rFonts w:hint="eastAsia" w:ascii="宋体" w:hAnsi="宋体" w:cs="宋体"/>
          <w:color w:val="000000"/>
          <w:szCs w:val="21"/>
        </w:rPr>
      </w:pPr>
      <w:r>
        <w:rPr>
          <w:rFonts w:hint="eastAsia" w:ascii="宋体" w:hAnsi="宋体" w:cs="宋体"/>
          <w:color w:val="000000"/>
          <w:szCs w:val="21"/>
        </w:rPr>
        <w:t>3. 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BB4FBC8">
      <w:pPr>
        <w:adjustRightInd w:val="0"/>
        <w:snapToGrid w:val="0"/>
        <w:spacing w:line="360" w:lineRule="auto"/>
        <w:ind w:firstLine="430" w:firstLineChars="205"/>
        <w:rPr>
          <w:rFonts w:hint="eastAsia" w:ascii="宋体" w:hAnsi="宋体" w:cs="宋体"/>
          <w:color w:val="000000"/>
          <w:szCs w:val="21"/>
        </w:rPr>
      </w:pPr>
      <w:r>
        <w:rPr>
          <w:rFonts w:hint="eastAsia" w:ascii="宋体" w:hAnsi="宋体" w:cs="宋体"/>
          <w:color w:val="000000"/>
          <w:szCs w:val="21"/>
        </w:rPr>
        <w:t>4. 质量保修完成后，由发包人组织验收。</w:t>
      </w:r>
    </w:p>
    <w:p w14:paraId="19643CE4">
      <w:pPr>
        <w:adjustRightInd w:val="0"/>
        <w:snapToGrid w:val="0"/>
        <w:spacing w:line="360" w:lineRule="auto"/>
        <w:ind w:firstLine="422" w:firstLineChars="200"/>
        <w:rPr>
          <w:rFonts w:hint="eastAsia" w:ascii="宋体" w:hAnsi="宋体" w:cs="宋体"/>
          <w:b/>
          <w:color w:val="000000"/>
          <w:szCs w:val="21"/>
        </w:rPr>
      </w:pPr>
      <w:r>
        <w:rPr>
          <w:rFonts w:hint="eastAsia" w:ascii="宋体" w:hAnsi="宋体" w:cs="宋体"/>
          <w:b/>
          <w:color w:val="000000"/>
          <w:szCs w:val="21"/>
        </w:rPr>
        <w:t>五、保修费用</w:t>
      </w:r>
    </w:p>
    <w:p w14:paraId="3485A8F3">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保修费用由造成质量缺陷的责任方承担。</w:t>
      </w:r>
    </w:p>
    <w:p w14:paraId="688608C1">
      <w:pPr>
        <w:adjustRightInd w:val="0"/>
        <w:snapToGrid w:val="0"/>
        <w:spacing w:line="360" w:lineRule="auto"/>
        <w:ind w:firstLine="422" w:firstLineChars="200"/>
        <w:rPr>
          <w:rFonts w:hint="eastAsia" w:ascii="宋体" w:hAnsi="宋体" w:cs="宋体"/>
          <w:b/>
          <w:color w:val="000000"/>
          <w:szCs w:val="21"/>
        </w:rPr>
      </w:pPr>
      <w:r>
        <w:rPr>
          <w:rFonts w:hint="eastAsia" w:ascii="宋体" w:hAnsi="宋体" w:cs="宋体"/>
          <w:b/>
          <w:color w:val="000000"/>
          <w:szCs w:val="21"/>
        </w:rPr>
        <w:t>六、双方约定的其他工程质量保修事项：</w:t>
      </w:r>
      <w:r>
        <w:rPr>
          <w:rFonts w:hint="eastAsia" w:ascii="宋体" w:hAnsi="宋体" w:cs="宋体"/>
          <w:b/>
          <w:color w:val="000000"/>
          <w:szCs w:val="21"/>
          <w:u w:val="single"/>
        </w:rPr>
        <w:t xml:space="preserve">             </w:t>
      </w:r>
      <w:r>
        <w:rPr>
          <w:rFonts w:hint="eastAsia" w:ascii="宋体" w:hAnsi="宋体" w:cs="宋体"/>
          <w:b/>
          <w:color w:val="000000"/>
          <w:szCs w:val="21"/>
        </w:rPr>
        <w:t>。</w:t>
      </w:r>
    </w:p>
    <w:p w14:paraId="7587D0B7">
      <w:pPr>
        <w:adjustRightInd w:val="0"/>
        <w:snapToGrid w:val="0"/>
        <w:spacing w:line="360" w:lineRule="auto"/>
        <w:ind w:firstLine="399" w:firstLineChars="190"/>
        <w:rPr>
          <w:rFonts w:hint="eastAsia" w:ascii="宋体" w:hAnsi="宋体" w:cs="宋体"/>
          <w:color w:val="000000"/>
          <w:szCs w:val="21"/>
        </w:rPr>
      </w:pPr>
      <w:r>
        <w:rPr>
          <w:rFonts w:hint="eastAsia" w:ascii="宋体" w:hAnsi="宋体" w:cs="宋体"/>
          <w:color w:val="000000"/>
          <w:szCs w:val="21"/>
        </w:rPr>
        <w:t>工程质量保修书由发包人、承包人在工程竣工验收前共同签署，作为施工合同附件，其有效期限至保修期满。</w:t>
      </w:r>
    </w:p>
    <w:p w14:paraId="358A67C8">
      <w:pPr>
        <w:adjustRightInd w:val="0"/>
        <w:snapToGrid w:val="0"/>
        <w:spacing w:line="360" w:lineRule="auto"/>
        <w:ind w:firstLine="420"/>
        <w:rPr>
          <w:rFonts w:hint="eastAsia" w:ascii="宋体" w:hAnsi="宋体" w:cs="宋体"/>
          <w:color w:val="000000"/>
          <w:szCs w:val="21"/>
        </w:rPr>
      </w:pPr>
    </w:p>
    <w:p w14:paraId="36076C49">
      <w:pPr>
        <w:adjustRightInd w:val="0"/>
        <w:snapToGrid w:val="0"/>
        <w:spacing w:line="360" w:lineRule="auto"/>
        <w:ind w:firstLine="420"/>
        <w:rPr>
          <w:rFonts w:hint="eastAsia" w:ascii="宋体" w:hAnsi="宋体" w:cs="宋体"/>
          <w:color w:val="000000"/>
          <w:szCs w:val="21"/>
        </w:rPr>
      </w:pPr>
    </w:p>
    <w:p w14:paraId="3696E431">
      <w:pPr>
        <w:adjustRightInd w:val="0"/>
        <w:snapToGrid w:val="0"/>
        <w:spacing w:line="360" w:lineRule="auto"/>
        <w:rPr>
          <w:rFonts w:hint="eastAsia" w:ascii="宋体" w:hAnsi="宋体" w:cs="宋体"/>
          <w:color w:val="000000"/>
          <w:szCs w:val="21"/>
          <w:u w:val="single"/>
        </w:rPr>
      </w:pPr>
      <w:r>
        <w:rPr>
          <w:rFonts w:hint="eastAsia" w:ascii="宋体" w:hAnsi="宋体" w:cs="宋体"/>
          <w:color w:val="000000"/>
          <w:szCs w:val="21"/>
        </w:rPr>
        <w:t>发包人(公章)：</w:t>
      </w:r>
      <w:r>
        <w:rPr>
          <w:rFonts w:hint="eastAsia" w:ascii="宋体" w:hAnsi="宋体" w:cs="宋体"/>
          <w:color w:val="000000"/>
          <w:szCs w:val="21"/>
          <w:u w:val="single"/>
        </w:rPr>
        <w:t xml:space="preserve">            </w:t>
      </w:r>
      <w:r>
        <w:rPr>
          <w:rFonts w:hint="eastAsia" w:ascii="宋体" w:hAnsi="宋体" w:cs="宋体"/>
          <w:color w:val="000000"/>
          <w:szCs w:val="21"/>
        </w:rPr>
        <w:t xml:space="preserve">                     承包人(公章)：</w:t>
      </w:r>
      <w:r>
        <w:rPr>
          <w:rFonts w:hint="eastAsia" w:ascii="宋体" w:hAnsi="宋体" w:cs="宋体"/>
          <w:color w:val="000000"/>
          <w:szCs w:val="21"/>
          <w:u w:val="single"/>
        </w:rPr>
        <w:t xml:space="preserve">           </w:t>
      </w:r>
    </w:p>
    <w:p w14:paraId="7B28FFC8">
      <w:pPr>
        <w:adjustRightInd w:val="0"/>
        <w:snapToGrid w:val="0"/>
        <w:spacing w:line="360" w:lineRule="auto"/>
        <w:rPr>
          <w:rFonts w:hint="eastAsia" w:ascii="宋体" w:hAnsi="宋体" w:cs="宋体"/>
          <w:color w:val="000000"/>
          <w:szCs w:val="21"/>
          <w:u w:val="single"/>
        </w:rPr>
      </w:pPr>
      <w:r>
        <w:rPr>
          <w:rFonts w:hint="eastAsia" w:ascii="宋体" w:hAnsi="宋体" w:cs="宋体"/>
          <w:color w:val="000000"/>
          <w:szCs w:val="21"/>
        </w:rPr>
        <w:t>地  址：</w:t>
      </w:r>
      <w:r>
        <w:rPr>
          <w:rFonts w:hint="eastAsia" w:ascii="宋体" w:hAnsi="宋体" w:cs="宋体"/>
          <w:color w:val="000000"/>
          <w:szCs w:val="21"/>
          <w:u w:val="single"/>
        </w:rPr>
        <w:t xml:space="preserve">                    </w:t>
      </w:r>
      <w:r>
        <w:rPr>
          <w:rFonts w:hint="eastAsia" w:ascii="宋体" w:hAnsi="宋体" w:cs="宋体"/>
          <w:color w:val="000000"/>
          <w:szCs w:val="21"/>
        </w:rPr>
        <w:t xml:space="preserve">                      地  址：</w:t>
      </w:r>
      <w:r>
        <w:rPr>
          <w:rFonts w:hint="eastAsia" w:ascii="宋体" w:hAnsi="宋体" w:cs="宋体"/>
          <w:color w:val="000000"/>
          <w:szCs w:val="21"/>
          <w:u w:val="single"/>
        </w:rPr>
        <w:t xml:space="preserve">                    </w:t>
      </w:r>
    </w:p>
    <w:p w14:paraId="4CA84289">
      <w:pPr>
        <w:adjustRightInd w:val="0"/>
        <w:snapToGrid w:val="0"/>
        <w:spacing w:line="360" w:lineRule="auto"/>
        <w:rPr>
          <w:rFonts w:hint="eastAsia" w:ascii="宋体" w:hAnsi="宋体" w:cs="宋体"/>
          <w:color w:val="000000"/>
          <w:szCs w:val="21"/>
          <w:u w:val="single"/>
        </w:rPr>
      </w:pPr>
      <w:r>
        <w:rPr>
          <w:rFonts w:hint="eastAsia" w:ascii="宋体" w:hAnsi="宋体" w:cs="宋体"/>
          <w:color w:val="000000"/>
          <w:szCs w:val="21"/>
        </w:rPr>
        <w:t>法定代表人(签字)：</w:t>
      </w:r>
      <w:r>
        <w:rPr>
          <w:rFonts w:hint="eastAsia" w:ascii="宋体" w:hAnsi="宋体" w:cs="宋体"/>
          <w:color w:val="000000"/>
          <w:szCs w:val="21"/>
          <w:u w:val="single"/>
        </w:rPr>
        <w:t xml:space="preserve">          </w:t>
      </w:r>
      <w:r>
        <w:rPr>
          <w:rFonts w:hint="eastAsia" w:ascii="宋体" w:hAnsi="宋体" w:cs="宋体"/>
          <w:color w:val="000000"/>
          <w:szCs w:val="21"/>
        </w:rPr>
        <w:t xml:space="preserve">                     法定代表人(签字)：</w:t>
      </w:r>
      <w:r>
        <w:rPr>
          <w:rFonts w:hint="eastAsia" w:ascii="宋体" w:hAnsi="宋体" w:cs="宋体"/>
          <w:color w:val="000000"/>
          <w:szCs w:val="21"/>
          <w:u w:val="single"/>
        </w:rPr>
        <w:t xml:space="preserve">           </w:t>
      </w:r>
    </w:p>
    <w:p w14:paraId="0ABD84DA">
      <w:pPr>
        <w:adjustRightInd w:val="0"/>
        <w:snapToGrid w:val="0"/>
        <w:spacing w:line="360" w:lineRule="auto"/>
        <w:rPr>
          <w:rFonts w:hint="eastAsia" w:ascii="宋体" w:hAnsi="宋体" w:cs="宋体"/>
          <w:color w:val="000000"/>
          <w:szCs w:val="21"/>
          <w:u w:val="single"/>
        </w:rPr>
      </w:pPr>
      <w:r>
        <w:rPr>
          <w:rFonts w:hint="eastAsia" w:ascii="宋体" w:hAnsi="宋体" w:cs="宋体"/>
          <w:color w:val="000000"/>
          <w:szCs w:val="21"/>
        </w:rPr>
        <w:t>委托代理人(签字)：</w:t>
      </w:r>
      <w:r>
        <w:rPr>
          <w:rFonts w:hint="eastAsia" w:ascii="宋体" w:hAnsi="宋体" w:cs="宋体"/>
          <w:color w:val="000000"/>
          <w:szCs w:val="21"/>
          <w:u w:val="single"/>
        </w:rPr>
        <w:t xml:space="preserve">         </w:t>
      </w:r>
      <w:r>
        <w:rPr>
          <w:rFonts w:hint="eastAsia" w:ascii="宋体" w:hAnsi="宋体" w:cs="宋体"/>
          <w:color w:val="000000"/>
          <w:szCs w:val="21"/>
        </w:rPr>
        <w:t xml:space="preserve">                      委托代理人(签字)：</w:t>
      </w:r>
      <w:r>
        <w:rPr>
          <w:rFonts w:hint="eastAsia" w:ascii="宋体" w:hAnsi="宋体" w:cs="宋体"/>
          <w:color w:val="000000"/>
          <w:szCs w:val="21"/>
          <w:u w:val="single"/>
        </w:rPr>
        <w:t xml:space="preserve">            </w:t>
      </w:r>
    </w:p>
    <w:p w14:paraId="0B4950E9">
      <w:pPr>
        <w:adjustRightInd w:val="0"/>
        <w:snapToGrid w:val="0"/>
        <w:spacing w:line="360" w:lineRule="auto"/>
        <w:rPr>
          <w:rFonts w:hint="eastAsia" w:ascii="宋体" w:hAnsi="宋体" w:cs="宋体"/>
          <w:color w:val="000000"/>
          <w:szCs w:val="21"/>
        </w:rPr>
      </w:pPr>
      <w:r>
        <w:rPr>
          <w:rFonts w:hint="eastAsia" w:ascii="宋体" w:hAnsi="宋体" w:cs="宋体"/>
          <w:color w:val="000000"/>
          <w:szCs w:val="21"/>
        </w:rPr>
        <w:t>电  话：</w:t>
      </w:r>
      <w:r>
        <w:rPr>
          <w:rFonts w:hint="eastAsia" w:ascii="宋体" w:hAnsi="宋体" w:cs="宋体"/>
          <w:color w:val="000000"/>
          <w:szCs w:val="21"/>
          <w:u w:val="single"/>
        </w:rPr>
        <w:t xml:space="preserve">                   </w:t>
      </w:r>
      <w:r>
        <w:rPr>
          <w:rFonts w:hint="eastAsia" w:ascii="宋体" w:hAnsi="宋体" w:cs="宋体"/>
          <w:color w:val="000000"/>
          <w:szCs w:val="21"/>
        </w:rPr>
        <w:t xml:space="preserve">                      电  话：</w:t>
      </w:r>
      <w:r>
        <w:rPr>
          <w:rFonts w:hint="eastAsia" w:ascii="宋体" w:hAnsi="宋体" w:cs="宋体"/>
          <w:color w:val="000000"/>
          <w:szCs w:val="21"/>
          <w:u w:val="single"/>
        </w:rPr>
        <w:t xml:space="preserve">                     </w:t>
      </w:r>
    </w:p>
    <w:p w14:paraId="48DAA545">
      <w:pPr>
        <w:adjustRightInd w:val="0"/>
        <w:snapToGrid w:val="0"/>
        <w:spacing w:line="360" w:lineRule="auto"/>
        <w:rPr>
          <w:rFonts w:hint="eastAsia" w:ascii="宋体" w:hAnsi="宋体" w:cs="宋体"/>
          <w:color w:val="000000"/>
          <w:szCs w:val="21"/>
        </w:rPr>
      </w:pPr>
      <w:r>
        <w:rPr>
          <w:rFonts w:hint="eastAsia" w:ascii="宋体" w:hAnsi="宋体" w:cs="宋体"/>
          <w:color w:val="000000"/>
          <w:szCs w:val="21"/>
        </w:rPr>
        <w:t>传  真：</w:t>
      </w:r>
      <w:r>
        <w:rPr>
          <w:rFonts w:hint="eastAsia" w:ascii="宋体" w:hAnsi="宋体" w:cs="宋体"/>
          <w:color w:val="000000"/>
          <w:szCs w:val="21"/>
          <w:u w:val="single"/>
        </w:rPr>
        <w:t xml:space="preserve">                   </w:t>
      </w:r>
      <w:r>
        <w:rPr>
          <w:rFonts w:hint="eastAsia" w:ascii="宋体" w:hAnsi="宋体" w:cs="宋体"/>
          <w:color w:val="000000"/>
          <w:szCs w:val="21"/>
        </w:rPr>
        <w:t xml:space="preserve">                      传  真：</w:t>
      </w:r>
      <w:r>
        <w:rPr>
          <w:rFonts w:hint="eastAsia" w:ascii="宋体" w:hAnsi="宋体" w:cs="宋体"/>
          <w:color w:val="000000"/>
          <w:szCs w:val="21"/>
          <w:u w:val="single"/>
        </w:rPr>
        <w:t xml:space="preserve">                   </w:t>
      </w:r>
    </w:p>
    <w:p w14:paraId="6C3B7129">
      <w:pPr>
        <w:adjustRightInd w:val="0"/>
        <w:snapToGrid w:val="0"/>
        <w:spacing w:line="360" w:lineRule="auto"/>
        <w:rPr>
          <w:rFonts w:hint="eastAsia" w:ascii="宋体" w:hAnsi="宋体" w:cs="宋体"/>
          <w:color w:val="000000"/>
          <w:szCs w:val="21"/>
        </w:rPr>
      </w:pPr>
      <w:r>
        <w:rPr>
          <w:rFonts w:hint="eastAsia" w:ascii="宋体" w:hAnsi="宋体" w:cs="宋体"/>
          <w:color w:val="000000"/>
          <w:szCs w:val="21"/>
        </w:rPr>
        <w:t>开户银行：</w:t>
      </w:r>
      <w:r>
        <w:rPr>
          <w:rFonts w:hint="eastAsia" w:ascii="宋体" w:hAnsi="宋体" w:cs="宋体"/>
          <w:color w:val="000000"/>
          <w:szCs w:val="21"/>
          <w:u w:val="single"/>
        </w:rPr>
        <w:t xml:space="preserve">                 </w:t>
      </w:r>
      <w:r>
        <w:rPr>
          <w:rFonts w:hint="eastAsia" w:ascii="宋体" w:hAnsi="宋体" w:cs="宋体"/>
          <w:color w:val="000000"/>
          <w:szCs w:val="21"/>
        </w:rPr>
        <w:t xml:space="preserve">                      开户银行：</w:t>
      </w:r>
      <w:r>
        <w:rPr>
          <w:rFonts w:hint="eastAsia" w:ascii="宋体" w:hAnsi="宋体" w:cs="宋体"/>
          <w:color w:val="000000"/>
          <w:szCs w:val="21"/>
          <w:u w:val="single"/>
        </w:rPr>
        <w:t xml:space="preserve">                   </w:t>
      </w:r>
    </w:p>
    <w:p w14:paraId="35F49A6E">
      <w:pPr>
        <w:adjustRightInd w:val="0"/>
        <w:snapToGrid w:val="0"/>
        <w:spacing w:line="360" w:lineRule="auto"/>
        <w:rPr>
          <w:rFonts w:hint="eastAsia" w:ascii="宋体" w:hAnsi="宋体" w:cs="宋体"/>
          <w:color w:val="000000"/>
          <w:szCs w:val="21"/>
        </w:rPr>
      </w:pPr>
      <w:r>
        <w:rPr>
          <w:rFonts w:hint="eastAsia" w:ascii="宋体" w:hAnsi="宋体" w:cs="宋体"/>
          <w:color w:val="000000"/>
          <w:szCs w:val="21"/>
        </w:rPr>
        <w:t>账  号：</w:t>
      </w:r>
      <w:r>
        <w:rPr>
          <w:rFonts w:hint="eastAsia" w:ascii="宋体" w:hAnsi="宋体" w:cs="宋体"/>
          <w:color w:val="000000"/>
          <w:szCs w:val="21"/>
          <w:u w:val="single"/>
        </w:rPr>
        <w:t xml:space="preserve">                   </w:t>
      </w:r>
      <w:r>
        <w:rPr>
          <w:rFonts w:hint="eastAsia" w:ascii="宋体" w:hAnsi="宋体" w:cs="宋体"/>
          <w:color w:val="000000"/>
          <w:szCs w:val="21"/>
        </w:rPr>
        <w:t xml:space="preserve">                      账  号：</w:t>
      </w:r>
      <w:r>
        <w:rPr>
          <w:rFonts w:hint="eastAsia" w:ascii="宋体" w:hAnsi="宋体" w:cs="宋体"/>
          <w:color w:val="000000"/>
          <w:szCs w:val="21"/>
          <w:u w:val="single"/>
        </w:rPr>
        <w:t xml:space="preserve">                     </w:t>
      </w:r>
    </w:p>
    <w:p w14:paraId="58984311">
      <w:pPr>
        <w:adjustRightInd w:val="0"/>
        <w:snapToGrid w:val="0"/>
        <w:spacing w:line="360" w:lineRule="auto"/>
        <w:rPr>
          <w:rFonts w:hint="eastAsia" w:ascii="宋体" w:hAnsi="宋体" w:cs="宋体"/>
          <w:color w:val="000000"/>
          <w:sz w:val="24"/>
        </w:rPr>
      </w:pPr>
      <w:r>
        <w:rPr>
          <w:rFonts w:hint="eastAsia" w:ascii="宋体" w:hAnsi="宋体" w:cs="宋体"/>
          <w:color w:val="000000"/>
          <w:szCs w:val="21"/>
        </w:rPr>
        <w:t>邮政编码：</w:t>
      </w:r>
      <w:r>
        <w:rPr>
          <w:rFonts w:hint="eastAsia" w:ascii="宋体" w:hAnsi="宋体" w:cs="宋体"/>
          <w:color w:val="000000"/>
          <w:szCs w:val="21"/>
          <w:u w:val="single"/>
        </w:rPr>
        <w:t xml:space="preserve">                 </w:t>
      </w:r>
      <w:r>
        <w:rPr>
          <w:rFonts w:hint="eastAsia" w:ascii="宋体" w:hAnsi="宋体" w:cs="宋体"/>
          <w:color w:val="000000"/>
          <w:szCs w:val="21"/>
        </w:rPr>
        <w:t xml:space="preserve">                      邮政编码：</w:t>
      </w:r>
      <w:r>
        <w:rPr>
          <w:rFonts w:hint="eastAsia" w:ascii="宋体" w:hAnsi="宋体" w:cs="宋体"/>
          <w:color w:val="000000"/>
          <w:szCs w:val="21"/>
          <w:u w:val="single"/>
        </w:rPr>
        <w:t xml:space="preserve">                   </w:t>
      </w:r>
    </w:p>
    <w:p w14:paraId="22078124">
      <w:pPr>
        <w:rPr>
          <w:rFonts w:hint="eastAsia" w:ascii="宋体" w:hAnsi="宋体" w:eastAsia="宋体" w:cs="宋体"/>
          <w:bCs/>
          <w:color w:val="000000"/>
          <w:sz w:val="24"/>
          <w:lang w:val="en-US" w:eastAsia="zh-CN"/>
        </w:rPr>
      </w:pPr>
      <w:r>
        <w:rPr>
          <w:rFonts w:hint="eastAsia" w:ascii="宋体" w:hAnsi="宋体" w:eastAsia="宋体" w:cs="宋体"/>
          <w:bCs/>
          <w:color w:val="000000"/>
          <w:sz w:val="24"/>
          <w:lang w:val="en-US" w:eastAsia="zh-CN"/>
        </w:rPr>
        <w:br w:type="page"/>
      </w:r>
    </w:p>
    <w:p w14:paraId="1F047A36">
      <w:pPr>
        <w:keepNext/>
        <w:keepLines/>
        <w:spacing w:before="120" w:after="120" w:line="360" w:lineRule="auto"/>
        <w:jc w:val="left"/>
        <w:outlineLvl w:val="2"/>
        <w:rPr>
          <w:rFonts w:hint="eastAsia" w:ascii="宋体" w:hAnsi="宋体" w:cs="宋体"/>
          <w:bCs/>
          <w:color w:val="000000"/>
          <w:sz w:val="24"/>
        </w:rPr>
      </w:pPr>
      <w:bookmarkStart w:id="870" w:name="_Toc95223490"/>
      <w:r>
        <w:rPr>
          <w:rFonts w:hint="eastAsia" w:ascii="宋体" w:hAnsi="宋体" w:cs="宋体"/>
          <w:bCs/>
          <w:color w:val="000000"/>
          <w:sz w:val="24"/>
        </w:rPr>
        <w:t>附件4：主要建设工程文件目录</w:t>
      </w:r>
      <w:bookmarkEnd w:id="870"/>
    </w:p>
    <w:p w14:paraId="204F7D30">
      <w:pPr>
        <w:spacing w:before="120" w:beforeLines="50" w:after="120" w:afterLines="50"/>
        <w:jc w:val="center"/>
        <w:rPr>
          <w:rFonts w:hint="eastAsia" w:ascii="宋体" w:hAnsi="宋体" w:cs="宋体"/>
          <w:color w:val="000000"/>
          <w:szCs w:val="21"/>
        </w:rPr>
      </w:pPr>
      <w:r>
        <w:rPr>
          <w:rFonts w:hint="eastAsia" w:ascii="宋体" w:hAnsi="宋体" w:cs="宋体"/>
          <w:color w:val="000000"/>
          <w:szCs w:val="21"/>
        </w:rPr>
        <w:t>主要建设工程文件目录</w:t>
      </w:r>
    </w:p>
    <w:tbl>
      <w:tblPr>
        <w:tblStyle w:val="4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6B02D4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953" w:type="dxa"/>
            <w:tcBorders>
              <w:top w:val="single" w:color="auto" w:sz="12" w:space="0"/>
              <w:bottom w:val="double" w:color="auto" w:sz="6" w:space="0"/>
            </w:tcBorders>
            <w:noWrap w:val="0"/>
            <w:vAlign w:val="center"/>
          </w:tcPr>
          <w:p w14:paraId="4F13F1F0">
            <w:pPr>
              <w:keepNext/>
              <w:rPr>
                <w:rFonts w:hint="eastAsia" w:ascii="宋体" w:hAnsi="宋体" w:cs="宋体"/>
                <w:color w:val="000000"/>
                <w:szCs w:val="21"/>
              </w:rPr>
            </w:pPr>
            <w:r>
              <w:rPr>
                <w:rFonts w:hint="eastAsia" w:ascii="宋体" w:hAnsi="宋体" w:cs="宋体"/>
                <w:color w:val="000000"/>
                <w:szCs w:val="21"/>
              </w:rPr>
              <w:t>文件名称</w:t>
            </w:r>
          </w:p>
        </w:tc>
        <w:tc>
          <w:tcPr>
            <w:tcW w:w="1276" w:type="dxa"/>
            <w:tcBorders>
              <w:top w:val="single" w:color="auto" w:sz="12" w:space="0"/>
              <w:bottom w:val="double" w:color="auto" w:sz="6" w:space="0"/>
            </w:tcBorders>
            <w:noWrap w:val="0"/>
            <w:vAlign w:val="center"/>
          </w:tcPr>
          <w:p w14:paraId="5E50F9E3">
            <w:pPr>
              <w:keepNext/>
              <w:rPr>
                <w:rFonts w:hint="eastAsia" w:ascii="宋体" w:hAnsi="宋体" w:cs="宋体"/>
                <w:color w:val="000000"/>
                <w:szCs w:val="21"/>
              </w:rPr>
            </w:pPr>
            <w:r>
              <w:rPr>
                <w:rFonts w:hint="eastAsia" w:ascii="宋体" w:hAnsi="宋体" w:cs="宋体"/>
                <w:color w:val="000000"/>
                <w:szCs w:val="21"/>
              </w:rPr>
              <w:t>套数</w:t>
            </w:r>
          </w:p>
        </w:tc>
        <w:tc>
          <w:tcPr>
            <w:tcW w:w="1450" w:type="dxa"/>
            <w:tcBorders>
              <w:top w:val="single" w:color="auto" w:sz="12" w:space="0"/>
              <w:bottom w:val="double" w:color="auto" w:sz="6" w:space="0"/>
            </w:tcBorders>
            <w:noWrap w:val="0"/>
            <w:vAlign w:val="center"/>
          </w:tcPr>
          <w:p w14:paraId="552F9EEB">
            <w:pPr>
              <w:keepNext/>
              <w:rPr>
                <w:rFonts w:hint="eastAsia" w:ascii="宋体" w:hAnsi="宋体" w:cs="宋体"/>
                <w:color w:val="000000"/>
                <w:szCs w:val="21"/>
              </w:rPr>
            </w:pPr>
            <w:r>
              <w:rPr>
                <w:rFonts w:hint="eastAsia" w:ascii="宋体" w:hAnsi="宋体" w:cs="宋体"/>
                <w:color w:val="000000"/>
                <w:szCs w:val="21"/>
              </w:rPr>
              <w:t>费用（元）</w:t>
            </w:r>
          </w:p>
        </w:tc>
        <w:tc>
          <w:tcPr>
            <w:tcW w:w="1243" w:type="dxa"/>
            <w:tcBorders>
              <w:top w:val="single" w:color="auto" w:sz="12" w:space="0"/>
              <w:bottom w:val="double" w:color="auto" w:sz="6" w:space="0"/>
            </w:tcBorders>
            <w:noWrap w:val="0"/>
            <w:vAlign w:val="center"/>
          </w:tcPr>
          <w:p w14:paraId="70A6AC27">
            <w:pPr>
              <w:keepNext/>
              <w:rPr>
                <w:rFonts w:hint="eastAsia" w:ascii="宋体" w:hAnsi="宋体" w:cs="宋体"/>
                <w:color w:val="000000"/>
                <w:szCs w:val="21"/>
              </w:rPr>
            </w:pPr>
            <w:r>
              <w:rPr>
                <w:rFonts w:hint="eastAsia" w:ascii="宋体" w:hAnsi="宋体" w:cs="宋体"/>
                <w:color w:val="000000"/>
                <w:szCs w:val="21"/>
              </w:rPr>
              <w:t>质量</w:t>
            </w:r>
          </w:p>
        </w:tc>
        <w:tc>
          <w:tcPr>
            <w:tcW w:w="1450" w:type="dxa"/>
            <w:tcBorders>
              <w:top w:val="single" w:color="auto" w:sz="12" w:space="0"/>
              <w:bottom w:val="double" w:color="auto" w:sz="6" w:space="0"/>
            </w:tcBorders>
            <w:noWrap w:val="0"/>
            <w:vAlign w:val="top"/>
          </w:tcPr>
          <w:p w14:paraId="0C1B2003">
            <w:pPr>
              <w:rPr>
                <w:rFonts w:hint="eastAsia" w:ascii="宋体" w:hAnsi="宋体" w:cs="宋体"/>
                <w:color w:val="000000"/>
                <w:szCs w:val="21"/>
              </w:rPr>
            </w:pPr>
            <w:r>
              <w:rPr>
                <w:rFonts w:hint="eastAsia" w:ascii="宋体" w:hAnsi="宋体" w:cs="宋体"/>
                <w:color w:val="000000"/>
                <w:szCs w:val="21"/>
              </w:rPr>
              <w:t>移交时间</w:t>
            </w:r>
          </w:p>
        </w:tc>
        <w:tc>
          <w:tcPr>
            <w:tcW w:w="1667" w:type="dxa"/>
            <w:tcBorders>
              <w:top w:val="single" w:color="auto" w:sz="12" w:space="0"/>
              <w:bottom w:val="double" w:color="auto" w:sz="6" w:space="0"/>
            </w:tcBorders>
            <w:noWrap w:val="0"/>
            <w:vAlign w:val="top"/>
          </w:tcPr>
          <w:p w14:paraId="6E237B00">
            <w:pPr>
              <w:rPr>
                <w:rFonts w:hint="eastAsia" w:ascii="宋体" w:hAnsi="宋体" w:cs="宋体"/>
                <w:color w:val="000000"/>
                <w:szCs w:val="21"/>
              </w:rPr>
            </w:pPr>
            <w:r>
              <w:rPr>
                <w:rFonts w:hint="eastAsia" w:ascii="宋体" w:hAnsi="宋体" w:cs="宋体"/>
                <w:color w:val="000000"/>
                <w:szCs w:val="21"/>
              </w:rPr>
              <w:t>责任人</w:t>
            </w:r>
          </w:p>
        </w:tc>
      </w:tr>
      <w:tr w14:paraId="698257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double" w:color="auto" w:sz="6" w:space="0"/>
            </w:tcBorders>
            <w:noWrap w:val="0"/>
            <w:vAlign w:val="center"/>
          </w:tcPr>
          <w:p w14:paraId="5A212D43">
            <w:pPr>
              <w:keepNext/>
              <w:rPr>
                <w:rFonts w:hint="eastAsia" w:ascii="宋体" w:hAnsi="宋体" w:cs="宋体"/>
                <w:color w:val="000000"/>
                <w:szCs w:val="21"/>
              </w:rPr>
            </w:pPr>
          </w:p>
        </w:tc>
        <w:tc>
          <w:tcPr>
            <w:tcW w:w="1276" w:type="dxa"/>
            <w:tcBorders>
              <w:top w:val="double" w:color="auto" w:sz="6" w:space="0"/>
            </w:tcBorders>
            <w:noWrap w:val="0"/>
            <w:vAlign w:val="center"/>
          </w:tcPr>
          <w:p w14:paraId="3C6D7D2A">
            <w:pPr>
              <w:keepNext/>
              <w:rPr>
                <w:rFonts w:hint="eastAsia" w:ascii="宋体" w:hAnsi="宋体" w:cs="宋体"/>
                <w:color w:val="000000"/>
                <w:szCs w:val="21"/>
              </w:rPr>
            </w:pPr>
          </w:p>
        </w:tc>
        <w:tc>
          <w:tcPr>
            <w:tcW w:w="1450" w:type="dxa"/>
            <w:tcBorders>
              <w:top w:val="double" w:color="auto" w:sz="6" w:space="0"/>
            </w:tcBorders>
            <w:noWrap w:val="0"/>
            <w:vAlign w:val="center"/>
          </w:tcPr>
          <w:p w14:paraId="550CEFC2">
            <w:pPr>
              <w:keepNext/>
              <w:rPr>
                <w:rFonts w:hint="eastAsia" w:ascii="宋体" w:hAnsi="宋体" w:cs="宋体"/>
                <w:color w:val="000000"/>
                <w:szCs w:val="21"/>
              </w:rPr>
            </w:pPr>
          </w:p>
        </w:tc>
        <w:tc>
          <w:tcPr>
            <w:tcW w:w="1243" w:type="dxa"/>
            <w:tcBorders>
              <w:top w:val="double" w:color="auto" w:sz="6" w:space="0"/>
            </w:tcBorders>
            <w:noWrap w:val="0"/>
            <w:vAlign w:val="center"/>
          </w:tcPr>
          <w:p w14:paraId="4375FC6E">
            <w:pPr>
              <w:keepNext/>
              <w:rPr>
                <w:rFonts w:hint="eastAsia" w:ascii="宋体" w:hAnsi="宋体" w:cs="宋体"/>
                <w:color w:val="000000"/>
                <w:szCs w:val="21"/>
              </w:rPr>
            </w:pPr>
          </w:p>
        </w:tc>
        <w:tc>
          <w:tcPr>
            <w:tcW w:w="1450" w:type="dxa"/>
            <w:tcBorders>
              <w:top w:val="double" w:color="auto" w:sz="6" w:space="0"/>
            </w:tcBorders>
            <w:noWrap w:val="0"/>
            <w:vAlign w:val="center"/>
          </w:tcPr>
          <w:p w14:paraId="3E76D2FE">
            <w:pPr>
              <w:keepNext/>
              <w:rPr>
                <w:rFonts w:hint="eastAsia" w:ascii="宋体" w:hAnsi="宋体" w:cs="宋体"/>
                <w:color w:val="000000"/>
                <w:szCs w:val="21"/>
              </w:rPr>
            </w:pPr>
          </w:p>
        </w:tc>
        <w:tc>
          <w:tcPr>
            <w:tcW w:w="1667" w:type="dxa"/>
            <w:tcBorders>
              <w:top w:val="double" w:color="auto" w:sz="6" w:space="0"/>
            </w:tcBorders>
            <w:noWrap w:val="0"/>
            <w:vAlign w:val="center"/>
          </w:tcPr>
          <w:p w14:paraId="533C31AA">
            <w:pPr>
              <w:keepNext/>
              <w:rPr>
                <w:rFonts w:hint="eastAsia" w:ascii="宋体" w:hAnsi="宋体" w:cs="宋体"/>
                <w:color w:val="000000"/>
                <w:szCs w:val="21"/>
              </w:rPr>
            </w:pPr>
          </w:p>
        </w:tc>
      </w:tr>
      <w:tr w14:paraId="3928F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nil"/>
            </w:tcBorders>
            <w:noWrap w:val="0"/>
            <w:vAlign w:val="center"/>
          </w:tcPr>
          <w:p w14:paraId="72B1E850">
            <w:pPr>
              <w:keepNext/>
              <w:rPr>
                <w:rFonts w:hint="eastAsia" w:ascii="宋体" w:hAnsi="宋体" w:cs="宋体"/>
                <w:color w:val="000000"/>
                <w:szCs w:val="21"/>
              </w:rPr>
            </w:pPr>
          </w:p>
        </w:tc>
        <w:tc>
          <w:tcPr>
            <w:tcW w:w="1276" w:type="dxa"/>
            <w:tcBorders>
              <w:top w:val="nil"/>
            </w:tcBorders>
            <w:noWrap w:val="0"/>
            <w:vAlign w:val="center"/>
          </w:tcPr>
          <w:p w14:paraId="731F9C29">
            <w:pPr>
              <w:keepNext/>
              <w:rPr>
                <w:rFonts w:hint="eastAsia" w:ascii="宋体" w:hAnsi="宋体" w:cs="宋体"/>
                <w:color w:val="000000"/>
                <w:szCs w:val="21"/>
              </w:rPr>
            </w:pPr>
          </w:p>
        </w:tc>
        <w:tc>
          <w:tcPr>
            <w:tcW w:w="1450" w:type="dxa"/>
            <w:tcBorders>
              <w:top w:val="nil"/>
            </w:tcBorders>
            <w:noWrap w:val="0"/>
            <w:vAlign w:val="center"/>
          </w:tcPr>
          <w:p w14:paraId="0B3D3F66">
            <w:pPr>
              <w:keepNext/>
              <w:rPr>
                <w:rFonts w:hint="eastAsia" w:ascii="宋体" w:hAnsi="宋体" w:cs="宋体"/>
                <w:color w:val="000000"/>
                <w:szCs w:val="21"/>
              </w:rPr>
            </w:pPr>
          </w:p>
        </w:tc>
        <w:tc>
          <w:tcPr>
            <w:tcW w:w="1243" w:type="dxa"/>
            <w:tcBorders>
              <w:top w:val="nil"/>
            </w:tcBorders>
            <w:noWrap w:val="0"/>
            <w:vAlign w:val="center"/>
          </w:tcPr>
          <w:p w14:paraId="2B8C277B">
            <w:pPr>
              <w:keepNext/>
              <w:rPr>
                <w:rFonts w:hint="eastAsia" w:ascii="宋体" w:hAnsi="宋体" w:cs="宋体"/>
                <w:color w:val="000000"/>
                <w:szCs w:val="21"/>
              </w:rPr>
            </w:pPr>
          </w:p>
        </w:tc>
        <w:tc>
          <w:tcPr>
            <w:tcW w:w="1450" w:type="dxa"/>
            <w:tcBorders>
              <w:top w:val="nil"/>
            </w:tcBorders>
            <w:noWrap w:val="0"/>
            <w:vAlign w:val="center"/>
          </w:tcPr>
          <w:p w14:paraId="49051088">
            <w:pPr>
              <w:keepNext/>
              <w:rPr>
                <w:rFonts w:hint="eastAsia" w:ascii="宋体" w:hAnsi="宋体" w:cs="宋体"/>
                <w:color w:val="000000"/>
                <w:szCs w:val="21"/>
              </w:rPr>
            </w:pPr>
          </w:p>
        </w:tc>
        <w:tc>
          <w:tcPr>
            <w:tcW w:w="1667" w:type="dxa"/>
            <w:tcBorders>
              <w:top w:val="nil"/>
            </w:tcBorders>
            <w:noWrap w:val="0"/>
            <w:vAlign w:val="center"/>
          </w:tcPr>
          <w:p w14:paraId="102B6286">
            <w:pPr>
              <w:keepNext/>
              <w:rPr>
                <w:rFonts w:hint="eastAsia" w:ascii="宋体" w:hAnsi="宋体" w:cs="宋体"/>
                <w:color w:val="000000"/>
                <w:szCs w:val="21"/>
              </w:rPr>
            </w:pPr>
          </w:p>
        </w:tc>
      </w:tr>
      <w:tr w14:paraId="4E8C9D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4B456179">
            <w:pPr>
              <w:rPr>
                <w:rFonts w:hint="eastAsia" w:ascii="宋体" w:hAnsi="宋体" w:cs="宋体"/>
                <w:color w:val="000000"/>
                <w:szCs w:val="21"/>
              </w:rPr>
            </w:pPr>
          </w:p>
        </w:tc>
        <w:tc>
          <w:tcPr>
            <w:tcW w:w="1276" w:type="dxa"/>
            <w:noWrap w:val="0"/>
            <w:vAlign w:val="top"/>
          </w:tcPr>
          <w:p w14:paraId="23631F2C">
            <w:pPr>
              <w:rPr>
                <w:rFonts w:hint="eastAsia" w:ascii="宋体" w:hAnsi="宋体" w:cs="宋体"/>
                <w:color w:val="000000"/>
                <w:szCs w:val="21"/>
              </w:rPr>
            </w:pPr>
          </w:p>
        </w:tc>
        <w:tc>
          <w:tcPr>
            <w:tcW w:w="1450" w:type="dxa"/>
            <w:noWrap w:val="0"/>
            <w:vAlign w:val="top"/>
          </w:tcPr>
          <w:p w14:paraId="7930B18C">
            <w:pPr>
              <w:rPr>
                <w:rFonts w:hint="eastAsia" w:ascii="宋体" w:hAnsi="宋体" w:cs="宋体"/>
                <w:color w:val="000000"/>
                <w:szCs w:val="21"/>
              </w:rPr>
            </w:pPr>
          </w:p>
        </w:tc>
        <w:tc>
          <w:tcPr>
            <w:tcW w:w="1243" w:type="dxa"/>
            <w:noWrap w:val="0"/>
            <w:vAlign w:val="top"/>
          </w:tcPr>
          <w:p w14:paraId="54E0D7A1">
            <w:pPr>
              <w:rPr>
                <w:rFonts w:hint="eastAsia" w:ascii="宋体" w:hAnsi="宋体" w:cs="宋体"/>
                <w:color w:val="000000"/>
                <w:szCs w:val="21"/>
              </w:rPr>
            </w:pPr>
          </w:p>
        </w:tc>
        <w:tc>
          <w:tcPr>
            <w:tcW w:w="1450" w:type="dxa"/>
            <w:noWrap w:val="0"/>
            <w:vAlign w:val="top"/>
          </w:tcPr>
          <w:p w14:paraId="7ACEF08D">
            <w:pPr>
              <w:rPr>
                <w:rFonts w:hint="eastAsia" w:ascii="宋体" w:hAnsi="宋体" w:cs="宋体"/>
                <w:color w:val="000000"/>
                <w:szCs w:val="21"/>
              </w:rPr>
            </w:pPr>
          </w:p>
        </w:tc>
        <w:tc>
          <w:tcPr>
            <w:tcW w:w="1667" w:type="dxa"/>
            <w:noWrap w:val="0"/>
            <w:vAlign w:val="top"/>
          </w:tcPr>
          <w:p w14:paraId="099ACF0B">
            <w:pPr>
              <w:rPr>
                <w:rFonts w:hint="eastAsia" w:ascii="宋体" w:hAnsi="宋体" w:cs="宋体"/>
                <w:color w:val="000000"/>
                <w:szCs w:val="21"/>
              </w:rPr>
            </w:pPr>
          </w:p>
        </w:tc>
      </w:tr>
      <w:tr w14:paraId="4FE12D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5884A1D2">
            <w:pPr>
              <w:rPr>
                <w:rFonts w:hint="eastAsia" w:ascii="宋体" w:hAnsi="宋体" w:cs="宋体"/>
                <w:color w:val="000000"/>
                <w:szCs w:val="21"/>
              </w:rPr>
            </w:pPr>
          </w:p>
        </w:tc>
        <w:tc>
          <w:tcPr>
            <w:tcW w:w="1276" w:type="dxa"/>
            <w:noWrap w:val="0"/>
            <w:vAlign w:val="top"/>
          </w:tcPr>
          <w:p w14:paraId="0F5358A1">
            <w:pPr>
              <w:rPr>
                <w:rFonts w:hint="eastAsia" w:ascii="宋体" w:hAnsi="宋体" w:cs="宋体"/>
                <w:color w:val="000000"/>
                <w:szCs w:val="21"/>
              </w:rPr>
            </w:pPr>
          </w:p>
        </w:tc>
        <w:tc>
          <w:tcPr>
            <w:tcW w:w="1450" w:type="dxa"/>
            <w:noWrap w:val="0"/>
            <w:vAlign w:val="top"/>
          </w:tcPr>
          <w:p w14:paraId="3C5E5F41">
            <w:pPr>
              <w:rPr>
                <w:rFonts w:hint="eastAsia" w:ascii="宋体" w:hAnsi="宋体" w:cs="宋体"/>
                <w:color w:val="000000"/>
                <w:szCs w:val="21"/>
              </w:rPr>
            </w:pPr>
          </w:p>
        </w:tc>
        <w:tc>
          <w:tcPr>
            <w:tcW w:w="1243" w:type="dxa"/>
            <w:noWrap w:val="0"/>
            <w:vAlign w:val="top"/>
          </w:tcPr>
          <w:p w14:paraId="79621580">
            <w:pPr>
              <w:rPr>
                <w:rFonts w:hint="eastAsia" w:ascii="宋体" w:hAnsi="宋体" w:cs="宋体"/>
                <w:color w:val="000000"/>
                <w:szCs w:val="21"/>
              </w:rPr>
            </w:pPr>
          </w:p>
        </w:tc>
        <w:tc>
          <w:tcPr>
            <w:tcW w:w="1450" w:type="dxa"/>
            <w:noWrap w:val="0"/>
            <w:vAlign w:val="top"/>
          </w:tcPr>
          <w:p w14:paraId="48A64FF9">
            <w:pPr>
              <w:rPr>
                <w:rFonts w:hint="eastAsia" w:ascii="宋体" w:hAnsi="宋体" w:cs="宋体"/>
                <w:color w:val="000000"/>
                <w:szCs w:val="21"/>
              </w:rPr>
            </w:pPr>
          </w:p>
        </w:tc>
        <w:tc>
          <w:tcPr>
            <w:tcW w:w="1667" w:type="dxa"/>
            <w:noWrap w:val="0"/>
            <w:vAlign w:val="top"/>
          </w:tcPr>
          <w:p w14:paraId="354990D4">
            <w:pPr>
              <w:rPr>
                <w:rFonts w:hint="eastAsia" w:ascii="宋体" w:hAnsi="宋体" w:cs="宋体"/>
                <w:color w:val="000000"/>
                <w:szCs w:val="21"/>
              </w:rPr>
            </w:pPr>
          </w:p>
        </w:tc>
      </w:tr>
      <w:tr w14:paraId="55324E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bottom w:val="single" w:color="auto" w:sz="12" w:space="0"/>
            </w:tcBorders>
            <w:noWrap w:val="0"/>
            <w:vAlign w:val="top"/>
          </w:tcPr>
          <w:p w14:paraId="729AC42E">
            <w:pPr>
              <w:rPr>
                <w:rFonts w:hint="eastAsia" w:ascii="宋体" w:hAnsi="宋体" w:cs="宋体"/>
                <w:color w:val="000000"/>
                <w:szCs w:val="21"/>
              </w:rPr>
            </w:pPr>
          </w:p>
        </w:tc>
        <w:tc>
          <w:tcPr>
            <w:tcW w:w="1276" w:type="dxa"/>
            <w:tcBorders>
              <w:bottom w:val="single" w:color="auto" w:sz="12" w:space="0"/>
            </w:tcBorders>
            <w:noWrap w:val="0"/>
            <w:vAlign w:val="top"/>
          </w:tcPr>
          <w:p w14:paraId="06DC1260">
            <w:pPr>
              <w:rPr>
                <w:rFonts w:hint="eastAsia" w:ascii="宋体" w:hAnsi="宋体" w:cs="宋体"/>
                <w:color w:val="000000"/>
                <w:szCs w:val="21"/>
              </w:rPr>
            </w:pPr>
          </w:p>
        </w:tc>
        <w:tc>
          <w:tcPr>
            <w:tcW w:w="1450" w:type="dxa"/>
            <w:tcBorders>
              <w:bottom w:val="single" w:color="auto" w:sz="12" w:space="0"/>
            </w:tcBorders>
            <w:noWrap w:val="0"/>
            <w:vAlign w:val="top"/>
          </w:tcPr>
          <w:p w14:paraId="3ABC2D5F">
            <w:pPr>
              <w:rPr>
                <w:rFonts w:hint="eastAsia" w:ascii="宋体" w:hAnsi="宋体" w:cs="宋体"/>
                <w:color w:val="000000"/>
                <w:szCs w:val="21"/>
              </w:rPr>
            </w:pPr>
          </w:p>
        </w:tc>
        <w:tc>
          <w:tcPr>
            <w:tcW w:w="1243" w:type="dxa"/>
            <w:tcBorders>
              <w:bottom w:val="single" w:color="auto" w:sz="12" w:space="0"/>
            </w:tcBorders>
            <w:noWrap w:val="0"/>
            <w:vAlign w:val="top"/>
          </w:tcPr>
          <w:p w14:paraId="4F0A1FFB">
            <w:pPr>
              <w:rPr>
                <w:rFonts w:hint="eastAsia" w:ascii="宋体" w:hAnsi="宋体" w:cs="宋体"/>
                <w:color w:val="000000"/>
                <w:szCs w:val="21"/>
              </w:rPr>
            </w:pPr>
          </w:p>
        </w:tc>
        <w:tc>
          <w:tcPr>
            <w:tcW w:w="1450" w:type="dxa"/>
            <w:tcBorders>
              <w:bottom w:val="single" w:color="auto" w:sz="12" w:space="0"/>
            </w:tcBorders>
            <w:noWrap w:val="0"/>
            <w:vAlign w:val="top"/>
          </w:tcPr>
          <w:p w14:paraId="3D680CEB">
            <w:pPr>
              <w:rPr>
                <w:rFonts w:hint="eastAsia" w:ascii="宋体" w:hAnsi="宋体" w:cs="宋体"/>
                <w:color w:val="000000"/>
                <w:szCs w:val="21"/>
              </w:rPr>
            </w:pPr>
          </w:p>
        </w:tc>
        <w:tc>
          <w:tcPr>
            <w:tcW w:w="1667" w:type="dxa"/>
            <w:tcBorders>
              <w:bottom w:val="single" w:color="auto" w:sz="12" w:space="0"/>
            </w:tcBorders>
            <w:noWrap w:val="0"/>
            <w:vAlign w:val="top"/>
          </w:tcPr>
          <w:p w14:paraId="2BD6CC2D">
            <w:pPr>
              <w:rPr>
                <w:rFonts w:hint="eastAsia" w:ascii="宋体" w:hAnsi="宋体" w:cs="宋体"/>
                <w:color w:val="000000"/>
                <w:szCs w:val="21"/>
              </w:rPr>
            </w:pPr>
          </w:p>
        </w:tc>
      </w:tr>
    </w:tbl>
    <w:p w14:paraId="6F102B0C">
      <w:pPr>
        <w:rPr>
          <w:rFonts w:hint="eastAsia" w:ascii="宋体" w:hAnsi="宋体" w:cs="宋体"/>
          <w:color w:val="000000"/>
          <w:szCs w:val="21"/>
        </w:rPr>
      </w:pPr>
    </w:p>
    <w:p w14:paraId="2098DAB8">
      <w:pPr>
        <w:keepNext/>
        <w:keepLines/>
        <w:spacing w:before="120" w:after="120" w:line="360" w:lineRule="auto"/>
        <w:jc w:val="left"/>
        <w:outlineLvl w:val="2"/>
        <w:rPr>
          <w:rFonts w:hint="eastAsia" w:ascii="宋体" w:hAnsi="宋体" w:cs="宋体"/>
          <w:bCs/>
          <w:color w:val="000000"/>
          <w:sz w:val="24"/>
        </w:rPr>
      </w:pPr>
      <w:bookmarkStart w:id="871" w:name="_Toc95223491"/>
      <w:r>
        <w:rPr>
          <w:rFonts w:hint="eastAsia" w:ascii="宋体" w:hAnsi="宋体" w:cs="宋体"/>
          <w:bCs/>
          <w:color w:val="000000"/>
          <w:sz w:val="24"/>
        </w:rPr>
        <w:t>附</w:t>
      </w:r>
      <w:bookmarkStart w:id="872" w:name="_Toc267261698"/>
      <w:bookmarkStart w:id="873" w:name="_Toc296891055"/>
      <w:bookmarkStart w:id="874" w:name="_Toc296891267"/>
      <w:bookmarkStart w:id="875" w:name="_Toc296944566"/>
      <w:bookmarkStart w:id="876" w:name="_Toc296347226"/>
      <w:bookmarkStart w:id="877" w:name="_Toc296503227"/>
      <w:bookmarkStart w:id="878" w:name="_Toc296346728"/>
      <w:r>
        <w:rPr>
          <w:rFonts w:hint="eastAsia" w:ascii="宋体" w:hAnsi="宋体" w:cs="宋体"/>
          <w:bCs/>
          <w:color w:val="000000"/>
          <w:sz w:val="24"/>
        </w:rPr>
        <w:t>件5：承包人用于本工程施工的机械设备表</w:t>
      </w:r>
      <w:bookmarkEnd w:id="871"/>
    </w:p>
    <w:bookmarkEnd w:id="872"/>
    <w:bookmarkEnd w:id="873"/>
    <w:bookmarkEnd w:id="874"/>
    <w:bookmarkEnd w:id="875"/>
    <w:bookmarkEnd w:id="876"/>
    <w:bookmarkEnd w:id="877"/>
    <w:bookmarkEnd w:id="878"/>
    <w:p w14:paraId="14404A2D">
      <w:pPr>
        <w:spacing w:before="120" w:beforeLines="50" w:after="120" w:afterLines="50"/>
        <w:jc w:val="center"/>
        <w:rPr>
          <w:rFonts w:hint="eastAsia" w:ascii="宋体" w:hAnsi="宋体" w:cs="宋体"/>
          <w:color w:val="000000"/>
          <w:szCs w:val="21"/>
        </w:rPr>
      </w:pPr>
      <w:r>
        <w:rPr>
          <w:rFonts w:hint="eastAsia" w:ascii="宋体" w:hAnsi="宋体" w:cs="宋体"/>
          <w:color w:val="000000"/>
          <w:szCs w:val="21"/>
        </w:rPr>
        <w:t>承包人用于本工程施工的机械设备表</w:t>
      </w:r>
    </w:p>
    <w:tbl>
      <w:tblPr>
        <w:tblStyle w:val="47"/>
        <w:tblW w:w="895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7"/>
        <w:gridCol w:w="1418"/>
        <w:gridCol w:w="850"/>
        <w:gridCol w:w="709"/>
        <w:gridCol w:w="850"/>
        <w:gridCol w:w="963"/>
        <w:gridCol w:w="1480"/>
        <w:gridCol w:w="1020"/>
        <w:gridCol w:w="932"/>
      </w:tblGrid>
      <w:tr w14:paraId="7A25D8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737" w:type="dxa"/>
            <w:tcBorders>
              <w:top w:val="single" w:color="auto" w:sz="12" w:space="0"/>
              <w:bottom w:val="double" w:color="auto" w:sz="6" w:space="0"/>
            </w:tcBorders>
            <w:noWrap w:val="0"/>
            <w:vAlign w:val="center"/>
          </w:tcPr>
          <w:p w14:paraId="60E13898">
            <w:pPr>
              <w:keepNext/>
              <w:rPr>
                <w:rFonts w:hint="eastAsia" w:ascii="宋体" w:hAnsi="宋体" w:cs="宋体"/>
                <w:color w:val="000000"/>
                <w:szCs w:val="21"/>
              </w:rPr>
            </w:pPr>
            <w:r>
              <w:rPr>
                <w:rFonts w:hint="eastAsia" w:ascii="宋体" w:hAnsi="宋体" w:cs="宋体"/>
                <w:color w:val="000000"/>
                <w:szCs w:val="21"/>
              </w:rPr>
              <w:t>序号</w:t>
            </w:r>
          </w:p>
        </w:tc>
        <w:tc>
          <w:tcPr>
            <w:tcW w:w="1418" w:type="dxa"/>
            <w:tcBorders>
              <w:top w:val="single" w:color="auto" w:sz="12" w:space="0"/>
              <w:bottom w:val="double" w:color="auto" w:sz="6" w:space="0"/>
            </w:tcBorders>
            <w:noWrap w:val="0"/>
            <w:vAlign w:val="center"/>
          </w:tcPr>
          <w:p w14:paraId="1324526D">
            <w:pPr>
              <w:keepNext/>
              <w:rPr>
                <w:rFonts w:hint="eastAsia" w:ascii="宋体" w:hAnsi="宋体" w:cs="宋体"/>
                <w:color w:val="000000"/>
                <w:szCs w:val="21"/>
              </w:rPr>
            </w:pPr>
            <w:r>
              <w:rPr>
                <w:rFonts w:hint="eastAsia" w:ascii="宋体" w:hAnsi="宋体" w:cs="宋体"/>
                <w:color w:val="000000"/>
                <w:szCs w:val="21"/>
              </w:rPr>
              <w:t>机械或设备名称</w:t>
            </w:r>
          </w:p>
        </w:tc>
        <w:tc>
          <w:tcPr>
            <w:tcW w:w="850" w:type="dxa"/>
            <w:tcBorders>
              <w:top w:val="single" w:color="auto" w:sz="12" w:space="0"/>
              <w:bottom w:val="double" w:color="auto" w:sz="6" w:space="0"/>
            </w:tcBorders>
            <w:noWrap w:val="0"/>
            <w:vAlign w:val="center"/>
          </w:tcPr>
          <w:p w14:paraId="00DED29D">
            <w:pPr>
              <w:keepNext/>
              <w:rPr>
                <w:rFonts w:hint="eastAsia" w:ascii="宋体" w:hAnsi="宋体" w:cs="宋体"/>
                <w:color w:val="000000"/>
                <w:szCs w:val="21"/>
              </w:rPr>
            </w:pPr>
            <w:r>
              <w:rPr>
                <w:rFonts w:hint="eastAsia" w:ascii="宋体" w:hAnsi="宋体" w:cs="宋体"/>
                <w:color w:val="000000"/>
                <w:szCs w:val="21"/>
              </w:rPr>
              <w:t>规格型号</w:t>
            </w:r>
          </w:p>
        </w:tc>
        <w:tc>
          <w:tcPr>
            <w:tcW w:w="709" w:type="dxa"/>
            <w:tcBorders>
              <w:top w:val="single" w:color="auto" w:sz="12" w:space="0"/>
              <w:bottom w:val="double" w:color="auto" w:sz="6" w:space="0"/>
            </w:tcBorders>
            <w:noWrap w:val="0"/>
            <w:vAlign w:val="center"/>
          </w:tcPr>
          <w:p w14:paraId="082F1394">
            <w:pPr>
              <w:keepNext/>
              <w:rPr>
                <w:rFonts w:hint="eastAsia" w:ascii="宋体" w:hAnsi="宋体" w:cs="宋体"/>
                <w:color w:val="000000"/>
                <w:szCs w:val="21"/>
              </w:rPr>
            </w:pPr>
            <w:r>
              <w:rPr>
                <w:rFonts w:hint="eastAsia" w:ascii="宋体" w:hAnsi="宋体" w:cs="宋体"/>
                <w:color w:val="000000"/>
                <w:szCs w:val="21"/>
              </w:rPr>
              <w:t>数量</w:t>
            </w:r>
          </w:p>
        </w:tc>
        <w:tc>
          <w:tcPr>
            <w:tcW w:w="850" w:type="dxa"/>
            <w:tcBorders>
              <w:top w:val="single" w:color="auto" w:sz="12" w:space="0"/>
              <w:bottom w:val="double" w:color="auto" w:sz="6" w:space="0"/>
            </w:tcBorders>
            <w:noWrap w:val="0"/>
            <w:vAlign w:val="center"/>
          </w:tcPr>
          <w:p w14:paraId="1C472879">
            <w:pPr>
              <w:keepNext/>
              <w:rPr>
                <w:rFonts w:hint="eastAsia" w:ascii="宋体" w:hAnsi="宋体" w:cs="宋体"/>
                <w:color w:val="000000"/>
                <w:szCs w:val="21"/>
              </w:rPr>
            </w:pPr>
            <w:r>
              <w:rPr>
                <w:rFonts w:hint="eastAsia" w:ascii="宋体" w:hAnsi="宋体" w:cs="宋体"/>
                <w:color w:val="000000"/>
                <w:szCs w:val="21"/>
              </w:rPr>
              <w:t>产地</w:t>
            </w:r>
          </w:p>
        </w:tc>
        <w:tc>
          <w:tcPr>
            <w:tcW w:w="963" w:type="dxa"/>
            <w:tcBorders>
              <w:top w:val="single" w:color="auto" w:sz="12" w:space="0"/>
              <w:bottom w:val="double" w:color="auto" w:sz="6" w:space="0"/>
            </w:tcBorders>
            <w:noWrap w:val="0"/>
            <w:vAlign w:val="center"/>
          </w:tcPr>
          <w:p w14:paraId="01E23222">
            <w:pPr>
              <w:keepNext/>
              <w:rPr>
                <w:rFonts w:hint="eastAsia" w:ascii="宋体" w:hAnsi="宋体" w:cs="宋体"/>
                <w:color w:val="000000"/>
                <w:szCs w:val="21"/>
              </w:rPr>
            </w:pPr>
            <w:r>
              <w:rPr>
                <w:rFonts w:hint="eastAsia" w:ascii="宋体" w:hAnsi="宋体" w:cs="宋体"/>
                <w:color w:val="000000"/>
                <w:szCs w:val="21"/>
              </w:rPr>
              <w:t>制造年份</w:t>
            </w:r>
          </w:p>
        </w:tc>
        <w:tc>
          <w:tcPr>
            <w:tcW w:w="1480" w:type="dxa"/>
            <w:tcBorders>
              <w:top w:val="single" w:color="auto" w:sz="12" w:space="0"/>
              <w:bottom w:val="double" w:color="auto" w:sz="6" w:space="0"/>
            </w:tcBorders>
            <w:noWrap w:val="0"/>
            <w:vAlign w:val="center"/>
          </w:tcPr>
          <w:p w14:paraId="4D6538D3">
            <w:pPr>
              <w:keepNext/>
              <w:rPr>
                <w:rFonts w:hint="eastAsia" w:ascii="宋体" w:hAnsi="宋体" w:cs="宋体"/>
                <w:color w:val="000000"/>
                <w:szCs w:val="21"/>
              </w:rPr>
            </w:pPr>
            <w:r>
              <w:rPr>
                <w:rFonts w:hint="eastAsia" w:ascii="宋体" w:hAnsi="宋体" w:cs="宋体"/>
                <w:color w:val="000000"/>
                <w:szCs w:val="21"/>
              </w:rPr>
              <w:t>额定功率(kW)</w:t>
            </w:r>
          </w:p>
        </w:tc>
        <w:tc>
          <w:tcPr>
            <w:tcW w:w="1020" w:type="dxa"/>
            <w:tcBorders>
              <w:top w:val="single" w:color="auto" w:sz="12" w:space="0"/>
              <w:bottom w:val="double" w:color="auto" w:sz="6" w:space="0"/>
            </w:tcBorders>
            <w:noWrap w:val="0"/>
            <w:vAlign w:val="center"/>
          </w:tcPr>
          <w:p w14:paraId="4A63501F">
            <w:pPr>
              <w:keepNext/>
              <w:rPr>
                <w:rFonts w:hint="eastAsia" w:ascii="宋体" w:hAnsi="宋体" w:cs="宋体"/>
                <w:color w:val="000000"/>
                <w:szCs w:val="21"/>
              </w:rPr>
            </w:pPr>
            <w:r>
              <w:rPr>
                <w:rFonts w:hint="eastAsia" w:ascii="宋体" w:hAnsi="宋体" w:cs="宋体"/>
                <w:color w:val="000000"/>
                <w:szCs w:val="21"/>
              </w:rPr>
              <w:t>生产能力</w:t>
            </w:r>
          </w:p>
        </w:tc>
        <w:tc>
          <w:tcPr>
            <w:tcW w:w="932" w:type="dxa"/>
            <w:tcBorders>
              <w:top w:val="single" w:color="auto" w:sz="12" w:space="0"/>
              <w:bottom w:val="double" w:color="auto" w:sz="6" w:space="0"/>
            </w:tcBorders>
            <w:noWrap w:val="0"/>
            <w:vAlign w:val="center"/>
          </w:tcPr>
          <w:p w14:paraId="44036839">
            <w:pPr>
              <w:keepNext/>
              <w:rPr>
                <w:rFonts w:hint="eastAsia" w:ascii="宋体" w:hAnsi="宋体" w:cs="宋体"/>
                <w:color w:val="000000"/>
                <w:szCs w:val="21"/>
              </w:rPr>
            </w:pPr>
            <w:r>
              <w:rPr>
                <w:rFonts w:hint="eastAsia" w:ascii="宋体" w:hAnsi="宋体" w:cs="宋体"/>
                <w:color w:val="000000"/>
                <w:szCs w:val="21"/>
              </w:rPr>
              <w:t>备注</w:t>
            </w:r>
          </w:p>
        </w:tc>
      </w:tr>
      <w:tr w14:paraId="012D92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top w:val="double" w:color="auto" w:sz="6" w:space="0"/>
            </w:tcBorders>
            <w:noWrap w:val="0"/>
            <w:vAlign w:val="center"/>
          </w:tcPr>
          <w:p w14:paraId="04FC182C">
            <w:pPr>
              <w:keepNext/>
              <w:rPr>
                <w:rFonts w:hint="eastAsia" w:ascii="宋体" w:hAnsi="宋体" w:cs="宋体"/>
                <w:color w:val="000000"/>
                <w:szCs w:val="21"/>
              </w:rPr>
            </w:pPr>
          </w:p>
        </w:tc>
        <w:tc>
          <w:tcPr>
            <w:tcW w:w="1418" w:type="dxa"/>
            <w:tcBorders>
              <w:top w:val="double" w:color="auto" w:sz="6" w:space="0"/>
            </w:tcBorders>
            <w:noWrap w:val="0"/>
            <w:vAlign w:val="center"/>
          </w:tcPr>
          <w:p w14:paraId="041CC651">
            <w:pPr>
              <w:keepNext/>
              <w:rPr>
                <w:rFonts w:hint="eastAsia" w:ascii="宋体" w:hAnsi="宋体" w:cs="宋体"/>
                <w:color w:val="000000"/>
                <w:szCs w:val="21"/>
              </w:rPr>
            </w:pPr>
          </w:p>
        </w:tc>
        <w:tc>
          <w:tcPr>
            <w:tcW w:w="850" w:type="dxa"/>
            <w:tcBorders>
              <w:top w:val="double" w:color="auto" w:sz="6" w:space="0"/>
            </w:tcBorders>
            <w:noWrap w:val="0"/>
            <w:vAlign w:val="center"/>
          </w:tcPr>
          <w:p w14:paraId="3ADEF52E">
            <w:pPr>
              <w:keepNext/>
              <w:rPr>
                <w:rFonts w:hint="eastAsia" w:ascii="宋体" w:hAnsi="宋体" w:cs="宋体"/>
                <w:color w:val="000000"/>
                <w:szCs w:val="21"/>
              </w:rPr>
            </w:pPr>
          </w:p>
        </w:tc>
        <w:tc>
          <w:tcPr>
            <w:tcW w:w="709" w:type="dxa"/>
            <w:tcBorders>
              <w:top w:val="double" w:color="auto" w:sz="6" w:space="0"/>
            </w:tcBorders>
            <w:noWrap w:val="0"/>
            <w:vAlign w:val="center"/>
          </w:tcPr>
          <w:p w14:paraId="12A56C58">
            <w:pPr>
              <w:keepNext/>
              <w:rPr>
                <w:rFonts w:hint="eastAsia" w:ascii="宋体" w:hAnsi="宋体" w:cs="宋体"/>
                <w:color w:val="000000"/>
                <w:szCs w:val="21"/>
              </w:rPr>
            </w:pPr>
          </w:p>
        </w:tc>
        <w:tc>
          <w:tcPr>
            <w:tcW w:w="850" w:type="dxa"/>
            <w:tcBorders>
              <w:top w:val="double" w:color="auto" w:sz="6" w:space="0"/>
            </w:tcBorders>
            <w:noWrap w:val="0"/>
            <w:vAlign w:val="center"/>
          </w:tcPr>
          <w:p w14:paraId="533DA03E">
            <w:pPr>
              <w:keepNext/>
              <w:rPr>
                <w:rFonts w:hint="eastAsia" w:ascii="宋体" w:hAnsi="宋体" w:cs="宋体"/>
                <w:color w:val="000000"/>
                <w:szCs w:val="21"/>
              </w:rPr>
            </w:pPr>
          </w:p>
        </w:tc>
        <w:tc>
          <w:tcPr>
            <w:tcW w:w="963" w:type="dxa"/>
            <w:tcBorders>
              <w:top w:val="double" w:color="auto" w:sz="6" w:space="0"/>
            </w:tcBorders>
            <w:noWrap w:val="0"/>
            <w:vAlign w:val="center"/>
          </w:tcPr>
          <w:p w14:paraId="086FBB15">
            <w:pPr>
              <w:keepNext/>
              <w:rPr>
                <w:rFonts w:hint="eastAsia" w:ascii="宋体" w:hAnsi="宋体" w:cs="宋体"/>
                <w:color w:val="000000"/>
                <w:szCs w:val="21"/>
              </w:rPr>
            </w:pPr>
          </w:p>
        </w:tc>
        <w:tc>
          <w:tcPr>
            <w:tcW w:w="1480" w:type="dxa"/>
            <w:tcBorders>
              <w:top w:val="double" w:color="auto" w:sz="6" w:space="0"/>
            </w:tcBorders>
            <w:noWrap w:val="0"/>
            <w:vAlign w:val="center"/>
          </w:tcPr>
          <w:p w14:paraId="13D56EB5">
            <w:pPr>
              <w:keepNext/>
              <w:rPr>
                <w:rFonts w:hint="eastAsia" w:ascii="宋体" w:hAnsi="宋体" w:cs="宋体"/>
                <w:color w:val="000000"/>
                <w:szCs w:val="21"/>
              </w:rPr>
            </w:pPr>
          </w:p>
        </w:tc>
        <w:tc>
          <w:tcPr>
            <w:tcW w:w="1020" w:type="dxa"/>
            <w:tcBorders>
              <w:top w:val="double" w:color="auto" w:sz="6" w:space="0"/>
            </w:tcBorders>
            <w:noWrap w:val="0"/>
            <w:vAlign w:val="center"/>
          </w:tcPr>
          <w:p w14:paraId="49A04A8A">
            <w:pPr>
              <w:keepNext/>
              <w:rPr>
                <w:rFonts w:hint="eastAsia" w:ascii="宋体" w:hAnsi="宋体" w:cs="宋体"/>
                <w:color w:val="000000"/>
                <w:szCs w:val="21"/>
              </w:rPr>
            </w:pPr>
          </w:p>
        </w:tc>
        <w:tc>
          <w:tcPr>
            <w:tcW w:w="932" w:type="dxa"/>
            <w:tcBorders>
              <w:top w:val="double" w:color="auto" w:sz="6" w:space="0"/>
            </w:tcBorders>
            <w:noWrap w:val="0"/>
            <w:vAlign w:val="center"/>
          </w:tcPr>
          <w:p w14:paraId="38AF3FF8">
            <w:pPr>
              <w:keepNext/>
              <w:rPr>
                <w:rFonts w:hint="eastAsia" w:ascii="宋体" w:hAnsi="宋体" w:cs="宋体"/>
                <w:color w:val="000000"/>
                <w:szCs w:val="21"/>
              </w:rPr>
            </w:pPr>
          </w:p>
        </w:tc>
      </w:tr>
      <w:tr w14:paraId="4B4FBB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top w:val="nil"/>
            </w:tcBorders>
            <w:noWrap w:val="0"/>
            <w:vAlign w:val="center"/>
          </w:tcPr>
          <w:p w14:paraId="7D2AFA17">
            <w:pPr>
              <w:keepNext/>
              <w:rPr>
                <w:rFonts w:hint="eastAsia" w:ascii="宋体" w:hAnsi="宋体" w:cs="宋体"/>
                <w:color w:val="000000"/>
                <w:szCs w:val="21"/>
              </w:rPr>
            </w:pPr>
          </w:p>
        </w:tc>
        <w:tc>
          <w:tcPr>
            <w:tcW w:w="1418" w:type="dxa"/>
            <w:tcBorders>
              <w:top w:val="nil"/>
            </w:tcBorders>
            <w:noWrap w:val="0"/>
            <w:vAlign w:val="center"/>
          </w:tcPr>
          <w:p w14:paraId="3683E9D4">
            <w:pPr>
              <w:keepNext/>
              <w:rPr>
                <w:rFonts w:hint="eastAsia" w:ascii="宋体" w:hAnsi="宋体" w:cs="宋体"/>
                <w:color w:val="000000"/>
                <w:szCs w:val="21"/>
              </w:rPr>
            </w:pPr>
          </w:p>
        </w:tc>
        <w:tc>
          <w:tcPr>
            <w:tcW w:w="850" w:type="dxa"/>
            <w:tcBorders>
              <w:top w:val="nil"/>
            </w:tcBorders>
            <w:noWrap w:val="0"/>
            <w:vAlign w:val="center"/>
          </w:tcPr>
          <w:p w14:paraId="532D561E">
            <w:pPr>
              <w:keepNext/>
              <w:rPr>
                <w:rFonts w:hint="eastAsia" w:ascii="宋体" w:hAnsi="宋体" w:cs="宋体"/>
                <w:color w:val="000000"/>
                <w:szCs w:val="21"/>
              </w:rPr>
            </w:pPr>
          </w:p>
        </w:tc>
        <w:tc>
          <w:tcPr>
            <w:tcW w:w="709" w:type="dxa"/>
            <w:tcBorders>
              <w:top w:val="nil"/>
            </w:tcBorders>
            <w:noWrap w:val="0"/>
            <w:vAlign w:val="center"/>
          </w:tcPr>
          <w:p w14:paraId="215F0570">
            <w:pPr>
              <w:keepNext/>
              <w:rPr>
                <w:rFonts w:hint="eastAsia" w:ascii="宋体" w:hAnsi="宋体" w:cs="宋体"/>
                <w:color w:val="000000"/>
                <w:szCs w:val="21"/>
              </w:rPr>
            </w:pPr>
          </w:p>
        </w:tc>
        <w:tc>
          <w:tcPr>
            <w:tcW w:w="850" w:type="dxa"/>
            <w:tcBorders>
              <w:top w:val="nil"/>
            </w:tcBorders>
            <w:noWrap w:val="0"/>
            <w:vAlign w:val="center"/>
          </w:tcPr>
          <w:p w14:paraId="52938B7D">
            <w:pPr>
              <w:keepNext/>
              <w:rPr>
                <w:rFonts w:hint="eastAsia" w:ascii="宋体" w:hAnsi="宋体" w:cs="宋体"/>
                <w:color w:val="000000"/>
                <w:szCs w:val="21"/>
              </w:rPr>
            </w:pPr>
          </w:p>
        </w:tc>
        <w:tc>
          <w:tcPr>
            <w:tcW w:w="963" w:type="dxa"/>
            <w:tcBorders>
              <w:top w:val="nil"/>
            </w:tcBorders>
            <w:noWrap w:val="0"/>
            <w:vAlign w:val="center"/>
          </w:tcPr>
          <w:p w14:paraId="58F037D6">
            <w:pPr>
              <w:keepNext/>
              <w:rPr>
                <w:rFonts w:hint="eastAsia" w:ascii="宋体" w:hAnsi="宋体" w:cs="宋体"/>
                <w:color w:val="000000"/>
                <w:szCs w:val="21"/>
              </w:rPr>
            </w:pPr>
          </w:p>
        </w:tc>
        <w:tc>
          <w:tcPr>
            <w:tcW w:w="1480" w:type="dxa"/>
            <w:tcBorders>
              <w:top w:val="nil"/>
            </w:tcBorders>
            <w:noWrap w:val="0"/>
            <w:vAlign w:val="center"/>
          </w:tcPr>
          <w:p w14:paraId="42E6EB49">
            <w:pPr>
              <w:keepNext/>
              <w:rPr>
                <w:rFonts w:hint="eastAsia" w:ascii="宋体" w:hAnsi="宋体" w:cs="宋体"/>
                <w:color w:val="000000"/>
                <w:szCs w:val="21"/>
              </w:rPr>
            </w:pPr>
          </w:p>
        </w:tc>
        <w:tc>
          <w:tcPr>
            <w:tcW w:w="1020" w:type="dxa"/>
            <w:tcBorders>
              <w:top w:val="nil"/>
            </w:tcBorders>
            <w:noWrap w:val="0"/>
            <w:vAlign w:val="center"/>
          </w:tcPr>
          <w:p w14:paraId="6C6651D5">
            <w:pPr>
              <w:keepNext/>
              <w:rPr>
                <w:rFonts w:hint="eastAsia" w:ascii="宋体" w:hAnsi="宋体" w:cs="宋体"/>
                <w:color w:val="000000"/>
                <w:szCs w:val="21"/>
              </w:rPr>
            </w:pPr>
          </w:p>
        </w:tc>
        <w:tc>
          <w:tcPr>
            <w:tcW w:w="932" w:type="dxa"/>
            <w:tcBorders>
              <w:top w:val="nil"/>
            </w:tcBorders>
            <w:noWrap w:val="0"/>
            <w:vAlign w:val="center"/>
          </w:tcPr>
          <w:p w14:paraId="5A794D50">
            <w:pPr>
              <w:keepNext/>
              <w:rPr>
                <w:rFonts w:hint="eastAsia" w:ascii="宋体" w:hAnsi="宋体" w:cs="宋体"/>
                <w:color w:val="000000"/>
                <w:szCs w:val="21"/>
              </w:rPr>
            </w:pPr>
          </w:p>
        </w:tc>
      </w:tr>
      <w:tr w14:paraId="2478B5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noWrap w:val="0"/>
            <w:vAlign w:val="top"/>
          </w:tcPr>
          <w:p w14:paraId="6AB1E43A">
            <w:pPr>
              <w:rPr>
                <w:rFonts w:hint="eastAsia" w:ascii="宋体" w:hAnsi="宋体" w:cs="宋体"/>
                <w:color w:val="000000"/>
                <w:szCs w:val="21"/>
              </w:rPr>
            </w:pPr>
          </w:p>
        </w:tc>
        <w:tc>
          <w:tcPr>
            <w:tcW w:w="1418" w:type="dxa"/>
            <w:noWrap w:val="0"/>
            <w:vAlign w:val="top"/>
          </w:tcPr>
          <w:p w14:paraId="1F4976AF">
            <w:pPr>
              <w:rPr>
                <w:rFonts w:hint="eastAsia" w:ascii="宋体" w:hAnsi="宋体" w:cs="宋体"/>
                <w:color w:val="000000"/>
                <w:szCs w:val="21"/>
              </w:rPr>
            </w:pPr>
          </w:p>
        </w:tc>
        <w:tc>
          <w:tcPr>
            <w:tcW w:w="850" w:type="dxa"/>
            <w:noWrap w:val="0"/>
            <w:vAlign w:val="top"/>
          </w:tcPr>
          <w:p w14:paraId="020F37EB">
            <w:pPr>
              <w:rPr>
                <w:rFonts w:hint="eastAsia" w:ascii="宋体" w:hAnsi="宋体" w:cs="宋体"/>
                <w:color w:val="000000"/>
                <w:szCs w:val="21"/>
              </w:rPr>
            </w:pPr>
          </w:p>
        </w:tc>
        <w:tc>
          <w:tcPr>
            <w:tcW w:w="709" w:type="dxa"/>
            <w:noWrap w:val="0"/>
            <w:vAlign w:val="top"/>
          </w:tcPr>
          <w:p w14:paraId="46C39710">
            <w:pPr>
              <w:rPr>
                <w:rFonts w:hint="eastAsia" w:ascii="宋体" w:hAnsi="宋体" w:cs="宋体"/>
                <w:color w:val="000000"/>
                <w:szCs w:val="21"/>
              </w:rPr>
            </w:pPr>
          </w:p>
        </w:tc>
        <w:tc>
          <w:tcPr>
            <w:tcW w:w="850" w:type="dxa"/>
            <w:noWrap w:val="0"/>
            <w:vAlign w:val="top"/>
          </w:tcPr>
          <w:p w14:paraId="105FB488">
            <w:pPr>
              <w:rPr>
                <w:rFonts w:hint="eastAsia" w:ascii="宋体" w:hAnsi="宋体" w:cs="宋体"/>
                <w:color w:val="000000"/>
                <w:szCs w:val="21"/>
              </w:rPr>
            </w:pPr>
          </w:p>
        </w:tc>
        <w:tc>
          <w:tcPr>
            <w:tcW w:w="963" w:type="dxa"/>
            <w:noWrap w:val="0"/>
            <w:vAlign w:val="top"/>
          </w:tcPr>
          <w:p w14:paraId="7903563D">
            <w:pPr>
              <w:rPr>
                <w:rFonts w:hint="eastAsia" w:ascii="宋体" w:hAnsi="宋体" w:cs="宋体"/>
                <w:color w:val="000000"/>
                <w:szCs w:val="21"/>
              </w:rPr>
            </w:pPr>
          </w:p>
        </w:tc>
        <w:tc>
          <w:tcPr>
            <w:tcW w:w="1480" w:type="dxa"/>
            <w:noWrap w:val="0"/>
            <w:vAlign w:val="top"/>
          </w:tcPr>
          <w:p w14:paraId="299643F0">
            <w:pPr>
              <w:rPr>
                <w:rFonts w:hint="eastAsia" w:ascii="宋体" w:hAnsi="宋体" w:cs="宋体"/>
                <w:color w:val="000000"/>
                <w:szCs w:val="21"/>
              </w:rPr>
            </w:pPr>
          </w:p>
        </w:tc>
        <w:tc>
          <w:tcPr>
            <w:tcW w:w="1020" w:type="dxa"/>
            <w:noWrap w:val="0"/>
            <w:vAlign w:val="top"/>
          </w:tcPr>
          <w:p w14:paraId="4653D33E">
            <w:pPr>
              <w:rPr>
                <w:rFonts w:hint="eastAsia" w:ascii="宋体" w:hAnsi="宋体" w:cs="宋体"/>
                <w:color w:val="000000"/>
                <w:szCs w:val="21"/>
              </w:rPr>
            </w:pPr>
          </w:p>
        </w:tc>
        <w:tc>
          <w:tcPr>
            <w:tcW w:w="932" w:type="dxa"/>
            <w:noWrap w:val="0"/>
            <w:vAlign w:val="top"/>
          </w:tcPr>
          <w:p w14:paraId="61810C24">
            <w:pPr>
              <w:rPr>
                <w:rFonts w:hint="eastAsia" w:ascii="宋体" w:hAnsi="宋体" w:cs="宋体"/>
                <w:color w:val="000000"/>
                <w:szCs w:val="21"/>
              </w:rPr>
            </w:pPr>
          </w:p>
        </w:tc>
      </w:tr>
      <w:tr w14:paraId="73D355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noWrap w:val="0"/>
            <w:vAlign w:val="top"/>
          </w:tcPr>
          <w:p w14:paraId="3D9EEBD8">
            <w:pPr>
              <w:rPr>
                <w:rFonts w:hint="eastAsia" w:ascii="宋体" w:hAnsi="宋体" w:cs="宋体"/>
                <w:color w:val="000000"/>
                <w:szCs w:val="21"/>
              </w:rPr>
            </w:pPr>
          </w:p>
        </w:tc>
        <w:tc>
          <w:tcPr>
            <w:tcW w:w="1418" w:type="dxa"/>
            <w:noWrap w:val="0"/>
            <w:vAlign w:val="top"/>
          </w:tcPr>
          <w:p w14:paraId="05471ACD">
            <w:pPr>
              <w:rPr>
                <w:rFonts w:hint="eastAsia" w:ascii="宋体" w:hAnsi="宋体" w:cs="宋体"/>
                <w:color w:val="000000"/>
                <w:szCs w:val="21"/>
              </w:rPr>
            </w:pPr>
          </w:p>
        </w:tc>
        <w:tc>
          <w:tcPr>
            <w:tcW w:w="850" w:type="dxa"/>
            <w:noWrap w:val="0"/>
            <w:vAlign w:val="top"/>
          </w:tcPr>
          <w:p w14:paraId="12FD512E">
            <w:pPr>
              <w:rPr>
                <w:rFonts w:hint="eastAsia" w:ascii="宋体" w:hAnsi="宋体" w:cs="宋体"/>
                <w:color w:val="000000"/>
                <w:szCs w:val="21"/>
              </w:rPr>
            </w:pPr>
          </w:p>
        </w:tc>
        <w:tc>
          <w:tcPr>
            <w:tcW w:w="709" w:type="dxa"/>
            <w:noWrap w:val="0"/>
            <w:vAlign w:val="top"/>
          </w:tcPr>
          <w:p w14:paraId="55BF8D81">
            <w:pPr>
              <w:rPr>
                <w:rFonts w:hint="eastAsia" w:ascii="宋体" w:hAnsi="宋体" w:cs="宋体"/>
                <w:color w:val="000000"/>
                <w:szCs w:val="21"/>
              </w:rPr>
            </w:pPr>
          </w:p>
        </w:tc>
        <w:tc>
          <w:tcPr>
            <w:tcW w:w="850" w:type="dxa"/>
            <w:noWrap w:val="0"/>
            <w:vAlign w:val="top"/>
          </w:tcPr>
          <w:p w14:paraId="274ADA9F">
            <w:pPr>
              <w:rPr>
                <w:rFonts w:hint="eastAsia" w:ascii="宋体" w:hAnsi="宋体" w:cs="宋体"/>
                <w:color w:val="000000"/>
                <w:szCs w:val="21"/>
              </w:rPr>
            </w:pPr>
          </w:p>
        </w:tc>
        <w:tc>
          <w:tcPr>
            <w:tcW w:w="963" w:type="dxa"/>
            <w:noWrap w:val="0"/>
            <w:vAlign w:val="top"/>
          </w:tcPr>
          <w:p w14:paraId="5A18C35D">
            <w:pPr>
              <w:rPr>
                <w:rFonts w:hint="eastAsia" w:ascii="宋体" w:hAnsi="宋体" w:cs="宋体"/>
                <w:color w:val="000000"/>
                <w:szCs w:val="21"/>
              </w:rPr>
            </w:pPr>
          </w:p>
        </w:tc>
        <w:tc>
          <w:tcPr>
            <w:tcW w:w="1480" w:type="dxa"/>
            <w:noWrap w:val="0"/>
            <w:vAlign w:val="top"/>
          </w:tcPr>
          <w:p w14:paraId="286A1876">
            <w:pPr>
              <w:rPr>
                <w:rFonts w:hint="eastAsia" w:ascii="宋体" w:hAnsi="宋体" w:cs="宋体"/>
                <w:color w:val="000000"/>
                <w:szCs w:val="21"/>
              </w:rPr>
            </w:pPr>
          </w:p>
        </w:tc>
        <w:tc>
          <w:tcPr>
            <w:tcW w:w="1020" w:type="dxa"/>
            <w:noWrap w:val="0"/>
            <w:vAlign w:val="top"/>
          </w:tcPr>
          <w:p w14:paraId="0418BC3A">
            <w:pPr>
              <w:rPr>
                <w:rFonts w:hint="eastAsia" w:ascii="宋体" w:hAnsi="宋体" w:cs="宋体"/>
                <w:color w:val="000000"/>
                <w:szCs w:val="21"/>
              </w:rPr>
            </w:pPr>
          </w:p>
        </w:tc>
        <w:tc>
          <w:tcPr>
            <w:tcW w:w="932" w:type="dxa"/>
            <w:noWrap w:val="0"/>
            <w:vAlign w:val="top"/>
          </w:tcPr>
          <w:p w14:paraId="35A2CA3D">
            <w:pPr>
              <w:rPr>
                <w:rFonts w:hint="eastAsia" w:ascii="宋体" w:hAnsi="宋体" w:cs="宋体"/>
                <w:color w:val="000000"/>
                <w:szCs w:val="21"/>
              </w:rPr>
            </w:pPr>
          </w:p>
        </w:tc>
      </w:tr>
      <w:tr w14:paraId="072BED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bottom w:val="single" w:color="auto" w:sz="12" w:space="0"/>
            </w:tcBorders>
            <w:noWrap w:val="0"/>
            <w:vAlign w:val="top"/>
          </w:tcPr>
          <w:p w14:paraId="55BD2607">
            <w:pPr>
              <w:rPr>
                <w:rFonts w:hint="eastAsia" w:ascii="宋体" w:hAnsi="宋体" w:cs="宋体"/>
                <w:color w:val="000000"/>
                <w:szCs w:val="21"/>
              </w:rPr>
            </w:pPr>
          </w:p>
        </w:tc>
        <w:tc>
          <w:tcPr>
            <w:tcW w:w="1418" w:type="dxa"/>
            <w:tcBorders>
              <w:bottom w:val="single" w:color="auto" w:sz="12" w:space="0"/>
            </w:tcBorders>
            <w:noWrap w:val="0"/>
            <w:vAlign w:val="top"/>
          </w:tcPr>
          <w:p w14:paraId="0ECB6BF8">
            <w:pPr>
              <w:rPr>
                <w:rFonts w:hint="eastAsia" w:ascii="宋体" w:hAnsi="宋体" w:cs="宋体"/>
                <w:color w:val="000000"/>
                <w:szCs w:val="21"/>
              </w:rPr>
            </w:pPr>
          </w:p>
        </w:tc>
        <w:tc>
          <w:tcPr>
            <w:tcW w:w="850" w:type="dxa"/>
            <w:tcBorders>
              <w:bottom w:val="single" w:color="auto" w:sz="12" w:space="0"/>
            </w:tcBorders>
            <w:noWrap w:val="0"/>
            <w:vAlign w:val="top"/>
          </w:tcPr>
          <w:p w14:paraId="16CC2A50">
            <w:pPr>
              <w:rPr>
                <w:rFonts w:hint="eastAsia" w:ascii="宋体" w:hAnsi="宋体" w:cs="宋体"/>
                <w:color w:val="000000"/>
                <w:szCs w:val="21"/>
              </w:rPr>
            </w:pPr>
          </w:p>
        </w:tc>
        <w:tc>
          <w:tcPr>
            <w:tcW w:w="709" w:type="dxa"/>
            <w:tcBorders>
              <w:bottom w:val="single" w:color="auto" w:sz="12" w:space="0"/>
            </w:tcBorders>
            <w:noWrap w:val="0"/>
            <w:vAlign w:val="top"/>
          </w:tcPr>
          <w:p w14:paraId="320B6761">
            <w:pPr>
              <w:rPr>
                <w:rFonts w:hint="eastAsia" w:ascii="宋体" w:hAnsi="宋体" w:cs="宋体"/>
                <w:color w:val="000000"/>
                <w:szCs w:val="21"/>
              </w:rPr>
            </w:pPr>
          </w:p>
        </w:tc>
        <w:tc>
          <w:tcPr>
            <w:tcW w:w="850" w:type="dxa"/>
            <w:tcBorders>
              <w:bottom w:val="single" w:color="auto" w:sz="12" w:space="0"/>
            </w:tcBorders>
            <w:noWrap w:val="0"/>
            <w:vAlign w:val="top"/>
          </w:tcPr>
          <w:p w14:paraId="0B6DD956">
            <w:pPr>
              <w:rPr>
                <w:rFonts w:hint="eastAsia" w:ascii="宋体" w:hAnsi="宋体" w:cs="宋体"/>
                <w:color w:val="000000"/>
                <w:szCs w:val="21"/>
              </w:rPr>
            </w:pPr>
          </w:p>
        </w:tc>
        <w:tc>
          <w:tcPr>
            <w:tcW w:w="963" w:type="dxa"/>
            <w:tcBorders>
              <w:bottom w:val="single" w:color="auto" w:sz="12" w:space="0"/>
            </w:tcBorders>
            <w:noWrap w:val="0"/>
            <w:vAlign w:val="top"/>
          </w:tcPr>
          <w:p w14:paraId="619BCC8D">
            <w:pPr>
              <w:rPr>
                <w:rFonts w:hint="eastAsia" w:ascii="宋体" w:hAnsi="宋体" w:cs="宋体"/>
                <w:color w:val="000000"/>
                <w:szCs w:val="21"/>
              </w:rPr>
            </w:pPr>
          </w:p>
        </w:tc>
        <w:tc>
          <w:tcPr>
            <w:tcW w:w="1480" w:type="dxa"/>
            <w:tcBorders>
              <w:bottom w:val="single" w:color="auto" w:sz="12" w:space="0"/>
            </w:tcBorders>
            <w:noWrap w:val="0"/>
            <w:vAlign w:val="top"/>
          </w:tcPr>
          <w:p w14:paraId="3C426AE1">
            <w:pPr>
              <w:rPr>
                <w:rFonts w:hint="eastAsia" w:ascii="宋体" w:hAnsi="宋体" w:cs="宋体"/>
                <w:color w:val="000000"/>
                <w:szCs w:val="21"/>
              </w:rPr>
            </w:pPr>
          </w:p>
        </w:tc>
        <w:tc>
          <w:tcPr>
            <w:tcW w:w="1020" w:type="dxa"/>
            <w:tcBorders>
              <w:bottom w:val="single" w:color="auto" w:sz="12" w:space="0"/>
            </w:tcBorders>
            <w:noWrap w:val="0"/>
            <w:vAlign w:val="top"/>
          </w:tcPr>
          <w:p w14:paraId="04CCEB65">
            <w:pPr>
              <w:rPr>
                <w:rFonts w:hint="eastAsia" w:ascii="宋体" w:hAnsi="宋体" w:cs="宋体"/>
                <w:color w:val="000000"/>
                <w:szCs w:val="21"/>
              </w:rPr>
            </w:pPr>
          </w:p>
        </w:tc>
        <w:tc>
          <w:tcPr>
            <w:tcW w:w="932" w:type="dxa"/>
            <w:tcBorders>
              <w:bottom w:val="single" w:color="auto" w:sz="12" w:space="0"/>
            </w:tcBorders>
            <w:noWrap w:val="0"/>
            <w:vAlign w:val="top"/>
          </w:tcPr>
          <w:p w14:paraId="59719D41">
            <w:pPr>
              <w:rPr>
                <w:rFonts w:hint="eastAsia" w:ascii="宋体" w:hAnsi="宋体" w:cs="宋体"/>
                <w:color w:val="000000"/>
                <w:szCs w:val="21"/>
              </w:rPr>
            </w:pPr>
          </w:p>
        </w:tc>
      </w:tr>
    </w:tbl>
    <w:p w14:paraId="01BAC0B4">
      <w:pPr>
        <w:rPr>
          <w:rFonts w:hint="eastAsia" w:ascii="宋体" w:hAnsi="宋体" w:cs="宋体"/>
          <w:color w:val="000000"/>
          <w:szCs w:val="21"/>
        </w:rPr>
      </w:pPr>
    </w:p>
    <w:p w14:paraId="5585C2BC">
      <w:pPr>
        <w:widowControl/>
        <w:spacing w:line="360" w:lineRule="auto"/>
        <w:rPr>
          <w:rFonts w:hint="eastAsia" w:ascii="宋体" w:hAnsi="宋体" w:cs="宋体"/>
          <w:color w:val="000000"/>
          <w:szCs w:val="21"/>
        </w:rPr>
      </w:pPr>
    </w:p>
    <w:p w14:paraId="05718EB9">
      <w:pPr>
        <w:widowControl/>
        <w:spacing w:line="360" w:lineRule="auto"/>
        <w:rPr>
          <w:rFonts w:hint="eastAsia" w:ascii="宋体" w:hAnsi="宋体" w:cs="宋体"/>
          <w:color w:val="000000"/>
          <w:szCs w:val="21"/>
        </w:rPr>
      </w:pPr>
    </w:p>
    <w:p w14:paraId="712F931F">
      <w:pPr>
        <w:widowControl/>
        <w:spacing w:line="360" w:lineRule="auto"/>
        <w:rPr>
          <w:rFonts w:hint="eastAsia" w:ascii="宋体" w:hAnsi="宋体" w:cs="宋体"/>
          <w:color w:val="000000"/>
          <w:szCs w:val="21"/>
        </w:rPr>
      </w:pPr>
    </w:p>
    <w:p w14:paraId="6247D2D4">
      <w:pPr>
        <w:widowControl/>
        <w:spacing w:line="360" w:lineRule="auto"/>
        <w:rPr>
          <w:rFonts w:hint="eastAsia" w:ascii="宋体" w:hAnsi="宋体" w:cs="宋体"/>
          <w:color w:val="000000"/>
          <w:szCs w:val="21"/>
        </w:rPr>
      </w:pPr>
    </w:p>
    <w:p w14:paraId="63571358">
      <w:pPr>
        <w:widowControl/>
        <w:spacing w:line="360" w:lineRule="auto"/>
        <w:rPr>
          <w:rFonts w:hint="eastAsia" w:ascii="宋体" w:hAnsi="宋体" w:cs="宋体"/>
          <w:color w:val="000000"/>
          <w:szCs w:val="21"/>
        </w:rPr>
      </w:pPr>
    </w:p>
    <w:p w14:paraId="2C5F191B">
      <w:pPr>
        <w:widowControl/>
        <w:spacing w:line="360" w:lineRule="auto"/>
        <w:rPr>
          <w:rFonts w:hint="eastAsia" w:ascii="宋体" w:hAnsi="宋体" w:cs="宋体"/>
          <w:color w:val="000000"/>
          <w:szCs w:val="21"/>
        </w:rPr>
      </w:pPr>
    </w:p>
    <w:p w14:paraId="5250B392">
      <w:pPr>
        <w:widowControl/>
        <w:spacing w:line="360" w:lineRule="auto"/>
        <w:rPr>
          <w:rFonts w:hint="eastAsia" w:ascii="宋体" w:hAnsi="宋体" w:cs="宋体"/>
          <w:color w:val="000000"/>
          <w:szCs w:val="21"/>
        </w:rPr>
      </w:pPr>
    </w:p>
    <w:p w14:paraId="065C3A8E">
      <w:pPr>
        <w:widowControl/>
        <w:spacing w:line="360" w:lineRule="auto"/>
        <w:rPr>
          <w:rFonts w:hint="eastAsia" w:ascii="宋体" w:hAnsi="宋体" w:cs="宋体"/>
          <w:color w:val="000000"/>
          <w:sz w:val="24"/>
        </w:rPr>
      </w:pPr>
    </w:p>
    <w:p w14:paraId="53FBDD36">
      <w:pPr>
        <w:rPr>
          <w:rFonts w:hint="eastAsia" w:ascii="宋体" w:hAnsi="宋体" w:cs="宋体"/>
          <w:bCs/>
          <w:color w:val="000000"/>
          <w:sz w:val="24"/>
        </w:rPr>
      </w:pPr>
      <w:bookmarkStart w:id="879" w:name="_Toc95223492"/>
      <w:r>
        <w:rPr>
          <w:rFonts w:hint="eastAsia" w:ascii="宋体" w:hAnsi="宋体" w:cs="宋体"/>
          <w:bCs/>
          <w:color w:val="000000"/>
          <w:sz w:val="24"/>
        </w:rPr>
        <w:br w:type="page"/>
      </w:r>
    </w:p>
    <w:p w14:paraId="0B2B87D6">
      <w:pPr>
        <w:keepNext/>
        <w:keepLines/>
        <w:spacing w:before="120" w:after="120" w:line="360" w:lineRule="auto"/>
        <w:jc w:val="left"/>
        <w:outlineLvl w:val="2"/>
        <w:rPr>
          <w:rFonts w:hint="eastAsia" w:ascii="宋体" w:hAnsi="宋体" w:cs="宋体"/>
          <w:bCs/>
          <w:color w:val="000000"/>
          <w:sz w:val="24"/>
        </w:rPr>
      </w:pPr>
      <w:r>
        <w:rPr>
          <w:rFonts w:hint="eastAsia" w:ascii="宋体" w:hAnsi="宋体" w:cs="宋体"/>
          <w:bCs/>
          <w:color w:val="000000"/>
          <w:sz w:val="24"/>
        </w:rPr>
        <w:t>附</w:t>
      </w:r>
      <w:bookmarkStart w:id="880" w:name="_Toc267261699"/>
      <w:bookmarkStart w:id="881" w:name="_Toc296346729"/>
      <w:bookmarkStart w:id="882" w:name="_Toc296347227"/>
      <w:bookmarkStart w:id="883" w:name="_Toc296891268"/>
      <w:bookmarkStart w:id="884" w:name="_Toc296944567"/>
      <w:bookmarkStart w:id="885" w:name="_Toc296503228"/>
      <w:bookmarkStart w:id="886" w:name="_Toc296891056"/>
      <w:r>
        <w:rPr>
          <w:rFonts w:hint="eastAsia" w:ascii="宋体" w:hAnsi="宋体" w:cs="宋体"/>
          <w:bCs/>
          <w:color w:val="000000"/>
          <w:sz w:val="24"/>
        </w:rPr>
        <w:t>件</w:t>
      </w:r>
      <w:bookmarkEnd w:id="880"/>
      <w:bookmarkEnd w:id="881"/>
      <w:bookmarkEnd w:id="882"/>
      <w:bookmarkEnd w:id="883"/>
      <w:bookmarkEnd w:id="884"/>
      <w:bookmarkEnd w:id="885"/>
      <w:bookmarkEnd w:id="886"/>
      <w:r>
        <w:rPr>
          <w:rFonts w:hint="eastAsia" w:ascii="宋体" w:hAnsi="宋体" w:cs="宋体"/>
          <w:bCs/>
          <w:color w:val="000000"/>
          <w:sz w:val="24"/>
        </w:rPr>
        <w:t>6：承包人主要施工管理人员表</w:t>
      </w:r>
      <w:bookmarkEnd w:id="879"/>
    </w:p>
    <w:p w14:paraId="12EA1DA6">
      <w:pPr>
        <w:spacing w:line="360" w:lineRule="auto"/>
        <w:jc w:val="center"/>
        <w:rPr>
          <w:rFonts w:hint="eastAsia" w:ascii="宋体" w:hAnsi="宋体" w:cs="宋体"/>
          <w:color w:val="000000"/>
          <w:sz w:val="24"/>
        </w:rPr>
      </w:pPr>
      <w:r>
        <w:rPr>
          <w:rFonts w:hint="eastAsia" w:ascii="宋体" w:hAnsi="宋体" w:cs="宋体"/>
          <w:color w:val="000000"/>
          <w:sz w:val="24"/>
        </w:rPr>
        <w:t>承包人主要施工管理人员表</w:t>
      </w:r>
    </w:p>
    <w:tbl>
      <w:tblPr>
        <w:tblStyle w:val="47"/>
        <w:tblW w:w="5113"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729"/>
        <w:gridCol w:w="1156"/>
        <w:gridCol w:w="926"/>
        <w:gridCol w:w="926"/>
        <w:gridCol w:w="2358"/>
        <w:gridCol w:w="2124"/>
      </w:tblGrid>
      <w:tr w14:paraId="33A43F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single" w:color="auto" w:sz="12" w:space="0"/>
              <w:bottom w:val="double" w:color="auto" w:sz="6" w:space="0"/>
            </w:tcBorders>
            <w:noWrap w:val="0"/>
            <w:vAlign w:val="center"/>
          </w:tcPr>
          <w:p w14:paraId="5A15560C">
            <w:pPr>
              <w:keepNext/>
              <w:spacing w:line="360" w:lineRule="auto"/>
              <w:jc w:val="center"/>
              <w:rPr>
                <w:rFonts w:hint="eastAsia" w:ascii="宋体" w:hAnsi="宋体" w:cs="宋体"/>
                <w:color w:val="000000"/>
                <w:szCs w:val="21"/>
              </w:rPr>
            </w:pPr>
            <w:r>
              <w:rPr>
                <w:rFonts w:hint="eastAsia" w:ascii="宋体" w:hAnsi="宋体" w:cs="宋体"/>
                <w:color w:val="000000"/>
                <w:szCs w:val="21"/>
              </w:rPr>
              <w:t>名    称</w:t>
            </w:r>
          </w:p>
        </w:tc>
        <w:tc>
          <w:tcPr>
            <w:tcW w:w="627" w:type="pct"/>
            <w:tcBorders>
              <w:top w:val="single" w:color="auto" w:sz="12" w:space="0"/>
              <w:bottom w:val="double" w:color="auto" w:sz="6" w:space="0"/>
            </w:tcBorders>
            <w:noWrap w:val="0"/>
            <w:vAlign w:val="center"/>
          </w:tcPr>
          <w:p w14:paraId="6D666670">
            <w:pPr>
              <w:keepNext/>
              <w:spacing w:line="360" w:lineRule="auto"/>
              <w:jc w:val="center"/>
              <w:rPr>
                <w:rFonts w:hint="eastAsia" w:ascii="宋体" w:hAnsi="宋体" w:cs="宋体"/>
                <w:color w:val="000000"/>
                <w:szCs w:val="21"/>
              </w:rPr>
            </w:pPr>
            <w:r>
              <w:rPr>
                <w:rFonts w:hint="eastAsia" w:ascii="宋体" w:hAnsi="宋体" w:cs="宋体"/>
                <w:color w:val="000000"/>
                <w:szCs w:val="21"/>
              </w:rPr>
              <w:t>姓名</w:t>
            </w:r>
          </w:p>
        </w:tc>
        <w:tc>
          <w:tcPr>
            <w:tcW w:w="502" w:type="pct"/>
            <w:tcBorders>
              <w:top w:val="single" w:color="auto" w:sz="12" w:space="0"/>
              <w:bottom w:val="double" w:color="auto" w:sz="6" w:space="0"/>
            </w:tcBorders>
            <w:noWrap w:val="0"/>
            <w:vAlign w:val="center"/>
          </w:tcPr>
          <w:p w14:paraId="12DEEE6E">
            <w:pPr>
              <w:keepNext/>
              <w:spacing w:line="360" w:lineRule="auto"/>
              <w:jc w:val="center"/>
              <w:rPr>
                <w:rFonts w:hint="eastAsia" w:ascii="宋体" w:hAnsi="宋体" w:cs="宋体"/>
                <w:color w:val="000000"/>
                <w:szCs w:val="21"/>
              </w:rPr>
            </w:pPr>
            <w:r>
              <w:rPr>
                <w:rFonts w:hint="eastAsia" w:ascii="宋体" w:hAnsi="宋体" w:cs="宋体"/>
                <w:color w:val="000000"/>
                <w:szCs w:val="21"/>
              </w:rPr>
              <w:t>职务</w:t>
            </w:r>
          </w:p>
        </w:tc>
        <w:tc>
          <w:tcPr>
            <w:tcW w:w="502" w:type="pct"/>
            <w:tcBorders>
              <w:top w:val="single" w:color="auto" w:sz="12" w:space="0"/>
              <w:bottom w:val="double" w:color="auto" w:sz="6" w:space="0"/>
            </w:tcBorders>
            <w:noWrap w:val="0"/>
            <w:vAlign w:val="center"/>
          </w:tcPr>
          <w:p w14:paraId="181E7294">
            <w:pPr>
              <w:keepNext/>
              <w:spacing w:line="360" w:lineRule="auto"/>
              <w:jc w:val="center"/>
              <w:rPr>
                <w:rFonts w:hint="eastAsia" w:ascii="宋体" w:hAnsi="宋体" w:cs="宋体"/>
                <w:color w:val="000000"/>
                <w:szCs w:val="21"/>
              </w:rPr>
            </w:pPr>
            <w:r>
              <w:rPr>
                <w:rFonts w:hint="eastAsia" w:ascii="宋体" w:hAnsi="宋体" w:cs="宋体"/>
                <w:color w:val="000000"/>
                <w:szCs w:val="21"/>
              </w:rPr>
              <w:t>职称</w:t>
            </w:r>
          </w:p>
        </w:tc>
        <w:tc>
          <w:tcPr>
            <w:tcW w:w="1279" w:type="pct"/>
            <w:tcBorders>
              <w:top w:val="single" w:color="auto" w:sz="12" w:space="0"/>
              <w:bottom w:val="double" w:color="auto" w:sz="6" w:space="0"/>
            </w:tcBorders>
            <w:noWrap w:val="0"/>
            <w:vAlign w:val="center"/>
          </w:tcPr>
          <w:p w14:paraId="1C9579C9">
            <w:pPr>
              <w:keepNext/>
              <w:spacing w:line="360" w:lineRule="auto"/>
              <w:jc w:val="center"/>
              <w:rPr>
                <w:rFonts w:hint="eastAsia" w:ascii="宋体" w:hAnsi="宋体" w:cs="宋体"/>
                <w:color w:val="000000"/>
                <w:szCs w:val="21"/>
              </w:rPr>
            </w:pPr>
            <w:r>
              <w:rPr>
                <w:rFonts w:hint="eastAsia" w:ascii="宋体" w:hAnsi="宋体" w:cs="宋体"/>
                <w:color w:val="000000"/>
                <w:szCs w:val="21"/>
              </w:rPr>
              <w:t>主要资历、经验及承担过的项目</w:t>
            </w:r>
          </w:p>
        </w:tc>
        <w:tc>
          <w:tcPr>
            <w:tcW w:w="1153" w:type="pct"/>
            <w:tcBorders>
              <w:top w:val="single" w:color="auto" w:sz="12" w:space="0"/>
              <w:bottom w:val="double" w:color="auto" w:sz="6" w:space="0"/>
            </w:tcBorders>
            <w:noWrap w:val="0"/>
            <w:vAlign w:val="top"/>
          </w:tcPr>
          <w:p w14:paraId="436CD293">
            <w:pPr>
              <w:keepNext/>
              <w:spacing w:line="360" w:lineRule="auto"/>
              <w:jc w:val="center"/>
              <w:rPr>
                <w:rFonts w:hint="eastAsia" w:ascii="宋体" w:hAnsi="宋体" w:cs="宋体"/>
                <w:color w:val="000000"/>
                <w:szCs w:val="21"/>
              </w:rPr>
            </w:pPr>
            <w:r>
              <w:rPr>
                <w:rFonts w:hint="eastAsia" w:ascii="宋体" w:hAnsi="宋体" w:cs="宋体"/>
                <w:color w:val="000000"/>
                <w:szCs w:val="21"/>
              </w:rPr>
              <w:t>身份证号码</w:t>
            </w:r>
          </w:p>
        </w:tc>
      </w:tr>
      <w:tr w14:paraId="066977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7" w:type="pct"/>
            <w:gridSpan w:val="5"/>
            <w:tcBorders>
              <w:top w:val="double" w:color="auto" w:sz="6" w:space="0"/>
            </w:tcBorders>
            <w:noWrap w:val="0"/>
            <w:vAlign w:val="center"/>
          </w:tcPr>
          <w:p w14:paraId="61642AA1">
            <w:pPr>
              <w:keepNext/>
              <w:spacing w:line="360" w:lineRule="auto"/>
              <w:jc w:val="center"/>
              <w:rPr>
                <w:rFonts w:hint="eastAsia" w:ascii="宋体" w:hAnsi="宋体" w:cs="宋体"/>
                <w:color w:val="000000"/>
                <w:szCs w:val="21"/>
              </w:rPr>
            </w:pPr>
            <w:r>
              <w:rPr>
                <w:rFonts w:hint="eastAsia" w:ascii="宋体" w:hAnsi="宋体" w:cs="宋体"/>
                <w:color w:val="000000"/>
                <w:szCs w:val="21"/>
              </w:rPr>
              <w:t>一、总部人员</w:t>
            </w:r>
          </w:p>
        </w:tc>
        <w:tc>
          <w:tcPr>
            <w:tcW w:w="1153" w:type="pct"/>
            <w:tcBorders>
              <w:top w:val="double" w:color="auto" w:sz="6" w:space="0"/>
            </w:tcBorders>
            <w:noWrap w:val="0"/>
            <w:vAlign w:val="top"/>
          </w:tcPr>
          <w:p w14:paraId="0274D57E">
            <w:pPr>
              <w:keepNext/>
              <w:spacing w:line="360" w:lineRule="auto"/>
              <w:jc w:val="center"/>
              <w:rPr>
                <w:rFonts w:hint="eastAsia" w:ascii="宋体" w:hAnsi="宋体" w:cs="宋体"/>
                <w:color w:val="000000"/>
                <w:szCs w:val="21"/>
              </w:rPr>
            </w:pPr>
          </w:p>
        </w:tc>
      </w:tr>
      <w:tr w14:paraId="50D5D0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14:paraId="27C3E879">
            <w:pPr>
              <w:spacing w:line="360" w:lineRule="auto"/>
              <w:jc w:val="center"/>
              <w:rPr>
                <w:rFonts w:hint="eastAsia" w:ascii="宋体" w:hAnsi="宋体" w:cs="宋体"/>
                <w:color w:val="000000"/>
                <w:szCs w:val="21"/>
              </w:rPr>
            </w:pPr>
            <w:r>
              <w:rPr>
                <w:rFonts w:hint="eastAsia" w:ascii="宋体" w:hAnsi="宋体" w:cs="宋体"/>
                <w:color w:val="000000"/>
                <w:szCs w:val="21"/>
              </w:rPr>
              <w:t>项目主管</w:t>
            </w:r>
          </w:p>
        </w:tc>
        <w:tc>
          <w:tcPr>
            <w:tcW w:w="627" w:type="pct"/>
            <w:tcBorders>
              <w:top w:val="nil"/>
            </w:tcBorders>
            <w:noWrap w:val="0"/>
            <w:vAlign w:val="center"/>
          </w:tcPr>
          <w:p w14:paraId="552B2FB8">
            <w:pPr>
              <w:keepNext/>
              <w:spacing w:line="360" w:lineRule="auto"/>
              <w:jc w:val="center"/>
              <w:rPr>
                <w:rFonts w:hint="eastAsia" w:ascii="宋体" w:hAnsi="宋体" w:cs="宋体"/>
                <w:color w:val="000000"/>
                <w:szCs w:val="21"/>
              </w:rPr>
            </w:pPr>
          </w:p>
        </w:tc>
        <w:tc>
          <w:tcPr>
            <w:tcW w:w="502" w:type="pct"/>
            <w:tcBorders>
              <w:top w:val="nil"/>
            </w:tcBorders>
            <w:noWrap w:val="0"/>
            <w:vAlign w:val="center"/>
          </w:tcPr>
          <w:p w14:paraId="7D64F8AC">
            <w:pPr>
              <w:keepNext/>
              <w:spacing w:line="360" w:lineRule="auto"/>
              <w:jc w:val="center"/>
              <w:rPr>
                <w:rFonts w:hint="eastAsia" w:ascii="宋体" w:hAnsi="宋体" w:cs="宋体"/>
                <w:color w:val="000000"/>
                <w:szCs w:val="21"/>
              </w:rPr>
            </w:pPr>
          </w:p>
        </w:tc>
        <w:tc>
          <w:tcPr>
            <w:tcW w:w="502" w:type="pct"/>
            <w:tcBorders>
              <w:top w:val="nil"/>
            </w:tcBorders>
            <w:noWrap w:val="0"/>
            <w:vAlign w:val="center"/>
          </w:tcPr>
          <w:p w14:paraId="58A53FFA">
            <w:pPr>
              <w:keepNext/>
              <w:spacing w:line="360" w:lineRule="auto"/>
              <w:jc w:val="center"/>
              <w:rPr>
                <w:rFonts w:hint="eastAsia" w:ascii="宋体" w:hAnsi="宋体" w:cs="宋体"/>
                <w:color w:val="000000"/>
                <w:szCs w:val="21"/>
              </w:rPr>
            </w:pPr>
          </w:p>
        </w:tc>
        <w:tc>
          <w:tcPr>
            <w:tcW w:w="1279" w:type="pct"/>
            <w:tcBorders>
              <w:top w:val="nil"/>
            </w:tcBorders>
            <w:noWrap w:val="0"/>
            <w:vAlign w:val="center"/>
          </w:tcPr>
          <w:p w14:paraId="3A087D67">
            <w:pPr>
              <w:keepNext/>
              <w:spacing w:line="360" w:lineRule="auto"/>
              <w:jc w:val="center"/>
              <w:rPr>
                <w:rFonts w:hint="eastAsia" w:ascii="宋体" w:hAnsi="宋体" w:cs="宋体"/>
                <w:color w:val="000000"/>
                <w:szCs w:val="21"/>
              </w:rPr>
            </w:pPr>
          </w:p>
        </w:tc>
        <w:tc>
          <w:tcPr>
            <w:tcW w:w="1153" w:type="pct"/>
            <w:tcBorders>
              <w:top w:val="nil"/>
            </w:tcBorders>
            <w:noWrap w:val="0"/>
            <w:vAlign w:val="top"/>
          </w:tcPr>
          <w:p w14:paraId="4D28BA54">
            <w:pPr>
              <w:keepNext/>
              <w:spacing w:line="360" w:lineRule="auto"/>
              <w:jc w:val="center"/>
              <w:rPr>
                <w:rFonts w:hint="eastAsia" w:ascii="宋体" w:hAnsi="宋体" w:cs="宋体"/>
                <w:color w:val="000000"/>
                <w:szCs w:val="21"/>
              </w:rPr>
            </w:pPr>
          </w:p>
        </w:tc>
      </w:tr>
      <w:tr w14:paraId="454028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bottom w:val="nil"/>
            </w:tcBorders>
            <w:noWrap w:val="0"/>
            <w:vAlign w:val="center"/>
          </w:tcPr>
          <w:p w14:paraId="2A885CDB">
            <w:pPr>
              <w:spacing w:line="360" w:lineRule="auto"/>
              <w:jc w:val="center"/>
              <w:rPr>
                <w:rFonts w:hint="eastAsia" w:ascii="宋体" w:hAnsi="宋体" w:cs="宋体"/>
                <w:color w:val="000000"/>
                <w:szCs w:val="21"/>
              </w:rPr>
            </w:pPr>
          </w:p>
        </w:tc>
        <w:tc>
          <w:tcPr>
            <w:tcW w:w="627" w:type="pct"/>
            <w:noWrap w:val="0"/>
            <w:vAlign w:val="center"/>
          </w:tcPr>
          <w:p w14:paraId="59B1BDA6">
            <w:pPr>
              <w:keepNext/>
              <w:spacing w:line="360" w:lineRule="auto"/>
              <w:jc w:val="center"/>
              <w:rPr>
                <w:rFonts w:hint="eastAsia" w:ascii="宋体" w:hAnsi="宋体" w:cs="宋体"/>
                <w:color w:val="000000"/>
                <w:szCs w:val="21"/>
              </w:rPr>
            </w:pPr>
          </w:p>
        </w:tc>
        <w:tc>
          <w:tcPr>
            <w:tcW w:w="502" w:type="pct"/>
            <w:noWrap w:val="0"/>
            <w:vAlign w:val="center"/>
          </w:tcPr>
          <w:p w14:paraId="501443D8">
            <w:pPr>
              <w:keepNext/>
              <w:spacing w:line="360" w:lineRule="auto"/>
              <w:jc w:val="center"/>
              <w:rPr>
                <w:rFonts w:hint="eastAsia" w:ascii="宋体" w:hAnsi="宋体" w:cs="宋体"/>
                <w:color w:val="000000"/>
                <w:szCs w:val="21"/>
              </w:rPr>
            </w:pPr>
          </w:p>
        </w:tc>
        <w:tc>
          <w:tcPr>
            <w:tcW w:w="502" w:type="pct"/>
            <w:noWrap w:val="0"/>
            <w:vAlign w:val="center"/>
          </w:tcPr>
          <w:p w14:paraId="2B6464F2">
            <w:pPr>
              <w:keepNext/>
              <w:spacing w:line="360" w:lineRule="auto"/>
              <w:jc w:val="center"/>
              <w:rPr>
                <w:rFonts w:hint="eastAsia" w:ascii="宋体" w:hAnsi="宋体" w:cs="宋体"/>
                <w:color w:val="000000"/>
                <w:szCs w:val="21"/>
              </w:rPr>
            </w:pPr>
          </w:p>
        </w:tc>
        <w:tc>
          <w:tcPr>
            <w:tcW w:w="1279" w:type="pct"/>
            <w:noWrap w:val="0"/>
            <w:vAlign w:val="center"/>
          </w:tcPr>
          <w:p w14:paraId="19A1C2B4">
            <w:pPr>
              <w:keepNext/>
              <w:spacing w:line="360" w:lineRule="auto"/>
              <w:jc w:val="center"/>
              <w:rPr>
                <w:rFonts w:hint="eastAsia" w:ascii="宋体" w:hAnsi="宋体" w:cs="宋体"/>
                <w:color w:val="000000"/>
                <w:szCs w:val="21"/>
              </w:rPr>
            </w:pPr>
          </w:p>
        </w:tc>
        <w:tc>
          <w:tcPr>
            <w:tcW w:w="1153" w:type="pct"/>
            <w:noWrap w:val="0"/>
            <w:vAlign w:val="top"/>
          </w:tcPr>
          <w:p w14:paraId="0D6D1354">
            <w:pPr>
              <w:keepNext/>
              <w:spacing w:line="360" w:lineRule="auto"/>
              <w:jc w:val="center"/>
              <w:rPr>
                <w:rFonts w:hint="eastAsia" w:ascii="宋体" w:hAnsi="宋体" w:cs="宋体"/>
                <w:color w:val="000000"/>
                <w:szCs w:val="21"/>
              </w:rPr>
            </w:pPr>
          </w:p>
        </w:tc>
      </w:tr>
      <w:tr w14:paraId="17256A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14:paraId="3FD62EF1">
            <w:pPr>
              <w:spacing w:line="360" w:lineRule="auto"/>
              <w:jc w:val="center"/>
              <w:rPr>
                <w:rFonts w:hint="eastAsia" w:ascii="宋体" w:hAnsi="宋体" w:cs="宋体"/>
                <w:color w:val="000000"/>
                <w:szCs w:val="21"/>
              </w:rPr>
            </w:pPr>
            <w:r>
              <w:rPr>
                <w:rFonts w:hint="eastAsia" w:ascii="宋体" w:hAnsi="宋体" w:cs="宋体"/>
                <w:color w:val="000000"/>
                <w:szCs w:val="21"/>
              </w:rPr>
              <w:t>其他人员</w:t>
            </w:r>
          </w:p>
        </w:tc>
        <w:tc>
          <w:tcPr>
            <w:tcW w:w="627" w:type="pct"/>
            <w:noWrap w:val="0"/>
            <w:vAlign w:val="center"/>
          </w:tcPr>
          <w:p w14:paraId="4B09C892">
            <w:pPr>
              <w:keepNext/>
              <w:spacing w:line="360" w:lineRule="auto"/>
              <w:jc w:val="center"/>
              <w:rPr>
                <w:rFonts w:hint="eastAsia" w:ascii="宋体" w:hAnsi="宋体" w:cs="宋体"/>
                <w:color w:val="000000"/>
                <w:szCs w:val="21"/>
              </w:rPr>
            </w:pPr>
          </w:p>
        </w:tc>
        <w:tc>
          <w:tcPr>
            <w:tcW w:w="502" w:type="pct"/>
            <w:noWrap w:val="0"/>
            <w:vAlign w:val="center"/>
          </w:tcPr>
          <w:p w14:paraId="082418EC">
            <w:pPr>
              <w:keepNext/>
              <w:spacing w:line="360" w:lineRule="auto"/>
              <w:jc w:val="center"/>
              <w:rPr>
                <w:rFonts w:hint="eastAsia" w:ascii="宋体" w:hAnsi="宋体" w:cs="宋体"/>
                <w:color w:val="000000"/>
                <w:szCs w:val="21"/>
              </w:rPr>
            </w:pPr>
          </w:p>
        </w:tc>
        <w:tc>
          <w:tcPr>
            <w:tcW w:w="502" w:type="pct"/>
            <w:noWrap w:val="0"/>
            <w:vAlign w:val="center"/>
          </w:tcPr>
          <w:p w14:paraId="3024BA26">
            <w:pPr>
              <w:keepNext/>
              <w:spacing w:line="360" w:lineRule="auto"/>
              <w:jc w:val="center"/>
              <w:rPr>
                <w:rFonts w:hint="eastAsia" w:ascii="宋体" w:hAnsi="宋体" w:cs="宋体"/>
                <w:color w:val="000000"/>
                <w:szCs w:val="21"/>
              </w:rPr>
            </w:pPr>
          </w:p>
        </w:tc>
        <w:tc>
          <w:tcPr>
            <w:tcW w:w="1279" w:type="pct"/>
            <w:noWrap w:val="0"/>
            <w:vAlign w:val="center"/>
          </w:tcPr>
          <w:p w14:paraId="7A4E40E8">
            <w:pPr>
              <w:keepNext/>
              <w:spacing w:line="360" w:lineRule="auto"/>
              <w:jc w:val="center"/>
              <w:rPr>
                <w:rFonts w:hint="eastAsia" w:ascii="宋体" w:hAnsi="宋体" w:cs="宋体"/>
                <w:color w:val="000000"/>
                <w:szCs w:val="21"/>
              </w:rPr>
            </w:pPr>
          </w:p>
        </w:tc>
        <w:tc>
          <w:tcPr>
            <w:tcW w:w="1153" w:type="pct"/>
            <w:noWrap w:val="0"/>
            <w:vAlign w:val="top"/>
          </w:tcPr>
          <w:p w14:paraId="12F646D4">
            <w:pPr>
              <w:keepNext/>
              <w:spacing w:line="360" w:lineRule="auto"/>
              <w:jc w:val="center"/>
              <w:rPr>
                <w:rFonts w:hint="eastAsia" w:ascii="宋体" w:hAnsi="宋体" w:cs="宋体"/>
                <w:color w:val="000000"/>
                <w:szCs w:val="21"/>
              </w:rPr>
            </w:pPr>
          </w:p>
        </w:tc>
      </w:tr>
      <w:tr w14:paraId="2327C3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14:paraId="41597E10">
            <w:pPr>
              <w:spacing w:line="360" w:lineRule="auto"/>
              <w:jc w:val="center"/>
              <w:rPr>
                <w:rFonts w:hint="eastAsia" w:ascii="宋体" w:hAnsi="宋体" w:cs="宋体"/>
                <w:color w:val="000000"/>
                <w:szCs w:val="21"/>
              </w:rPr>
            </w:pPr>
          </w:p>
        </w:tc>
        <w:tc>
          <w:tcPr>
            <w:tcW w:w="627" w:type="pct"/>
            <w:noWrap w:val="0"/>
            <w:vAlign w:val="center"/>
          </w:tcPr>
          <w:p w14:paraId="5F932537">
            <w:pPr>
              <w:keepNext/>
              <w:spacing w:line="360" w:lineRule="auto"/>
              <w:jc w:val="center"/>
              <w:rPr>
                <w:rFonts w:hint="eastAsia" w:ascii="宋体" w:hAnsi="宋体" w:cs="宋体"/>
                <w:color w:val="000000"/>
                <w:szCs w:val="21"/>
              </w:rPr>
            </w:pPr>
          </w:p>
        </w:tc>
        <w:tc>
          <w:tcPr>
            <w:tcW w:w="502" w:type="pct"/>
            <w:noWrap w:val="0"/>
            <w:vAlign w:val="center"/>
          </w:tcPr>
          <w:p w14:paraId="1B567134">
            <w:pPr>
              <w:keepNext/>
              <w:spacing w:line="360" w:lineRule="auto"/>
              <w:jc w:val="center"/>
              <w:rPr>
                <w:rFonts w:hint="eastAsia" w:ascii="宋体" w:hAnsi="宋体" w:cs="宋体"/>
                <w:color w:val="000000"/>
                <w:szCs w:val="21"/>
              </w:rPr>
            </w:pPr>
          </w:p>
        </w:tc>
        <w:tc>
          <w:tcPr>
            <w:tcW w:w="502" w:type="pct"/>
            <w:noWrap w:val="0"/>
            <w:vAlign w:val="center"/>
          </w:tcPr>
          <w:p w14:paraId="2AB060D9">
            <w:pPr>
              <w:keepNext/>
              <w:spacing w:line="360" w:lineRule="auto"/>
              <w:jc w:val="center"/>
              <w:rPr>
                <w:rFonts w:hint="eastAsia" w:ascii="宋体" w:hAnsi="宋体" w:cs="宋体"/>
                <w:color w:val="000000"/>
                <w:szCs w:val="21"/>
              </w:rPr>
            </w:pPr>
          </w:p>
        </w:tc>
        <w:tc>
          <w:tcPr>
            <w:tcW w:w="1279" w:type="pct"/>
            <w:noWrap w:val="0"/>
            <w:vAlign w:val="center"/>
          </w:tcPr>
          <w:p w14:paraId="0B68D713">
            <w:pPr>
              <w:keepNext/>
              <w:spacing w:line="360" w:lineRule="auto"/>
              <w:jc w:val="center"/>
              <w:rPr>
                <w:rFonts w:hint="eastAsia" w:ascii="宋体" w:hAnsi="宋体" w:cs="宋体"/>
                <w:color w:val="000000"/>
                <w:szCs w:val="21"/>
              </w:rPr>
            </w:pPr>
          </w:p>
        </w:tc>
        <w:tc>
          <w:tcPr>
            <w:tcW w:w="1153" w:type="pct"/>
            <w:noWrap w:val="0"/>
            <w:vAlign w:val="top"/>
          </w:tcPr>
          <w:p w14:paraId="38AE0480">
            <w:pPr>
              <w:keepNext/>
              <w:spacing w:line="360" w:lineRule="auto"/>
              <w:jc w:val="center"/>
              <w:rPr>
                <w:rFonts w:hint="eastAsia" w:ascii="宋体" w:hAnsi="宋体" w:cs="宋体"/>
                <w:color w:val="000000"/>
                <w:szCs w:val="21"/>
              </w:rPr>
            </w:pPr>
          </w:p>
        </w:tc>
      </w:tr>
      <w:tr w14:paraId="4BE5CE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7" w:type="pct"/>
            <w:gridSpan w:val="5"/>
            <w:noWrap w:val="0"/>
            <w:vAlign w:val="center"/>
          </w:tcPr>
          <w:p w14:paraId="4E55DC9A">
            <w:pPr>
              <w:keepNext/>
              <w:spacing w:line="360" w:lineRule="auto"/>
              <w:jc w:val="center"/>
              <w:rPr>
                <w:rFonts w:hint="eastAsia" w:ascii="宋体" w:hAnsi="宋体" w:cs="宋体"/>
                <w:color w:val="000000"/>
                <w:szCs w:val="21"/>
              </w:rPr>
            </w:pPr>
            <w:r>
              <w:rPr>
                <w:rFonts w:hint="eastAsia" w:ascii="宋体" w:hAnsi="宋体" w:cs="宋体"/>
                <w:color w:val="000000"/>
                <w:szCs w:val="21"/>
              </w:rPr>
              <w:t>二、现场人员</w:t>
            </w:r>
          </w:p>
        </w:tc>
        <w:tc>
          <w:tcPr>
            <w:tcW w:w="1153" w:type="pct"/>
            <w:noWrap w:val="0"/>
            <w:vAlign w:val="top"/>
          </w:tcPr>
          <w:p w14:paraId="7A33A489">
            <w:pPr>
              <w:keepNext/>
              <w:spacing w:line="360" w:lineRule="auto"/>
              <w:jc w:val="center"/>
              <w:rPr>
                <w:rFonts w:hint="eastAsia" w:ascii="宋体" w:hAnsi="宋体" w:cs="宋体"/>
                <w:color w:val="000000"/>
                <w:szCs w:val="21"/>
              </w:rPr>
            </w:pPr>
          </w:p>
        </w:tc>
      </w:tr>
      <w:tr w14:paraId="04D86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154D267D">
            <w:pPr>
              <w:spacing w:line="360" w:lineRule="auto"/>
              <w:jc w:val="center"/>
              <w:rPr>
                <w:rFonts w:hint="eastAsia" w:ascii="宋体" w:hAnsi="宋体" w:cs="宋体"/>
                <w:color w:val="000000"/>
                <w:szCs w:val="21"/>
              </w:rPr>
            </w:pPr>
            <w:r>
              <w:rPr>
                <w:rFonts w:hint="eastAsia" w:ascii="宋体" w:hAnsi="宋体" w:cs="宋体"/>
                <w:color w:val="000000"/>
                <w:szCs w:val="21"/>
              </w:rPr>
              <w:t>项目经理</w:t>
            </w:r>
          </w:p>
        </w:tc>
        <w:tc>
          <w:tcPr>
            <w:tcW w:w="627" w:type="pct"/>
            <w:noWrap w:val="0"/>
            <w:vAlign w:val="center"/>
          </w:tcPr>
          <w:p w14:paraId="219C31EE">
            <w:pPr>
              <w:keepNext/>
              <w:spacing w:line="360" w:lineRule="auto"/>
              <w:jc w:val="center"/>
              <w:rPr>
                <w:rFonts w:hint="eastAsia" w:ascii="宋体" w:hAnsi="宋体" w:cs="宋体"/>
                <w:color w:val="000000"/>
                <w:szCs w:val="21"/>
              </w:rPr>
            </w:pPr>
          </w:p>
        </w:tc>
        <w:tc>
          <w:tcPr>
            <w:tcW w:w="502" w:type="pct"/>
            <w:noWrap w:val="0"/>
            <w:vAlign w:val="center"/>
          </w:tcPr>
          <w:p w14:paraId="5CF212E6">
            <w:pPr>
              <w:keepNext/>
              <w:spacing w:line="360" w:lineRule="auto"/>
              <w:jc w:val="center"/>
              <w:rPr>
                <w:rFonts w:hint="eastAsia" w:ascii="宋体" w:hAnsi="宋体" w:cs="宋体"/>
                <w:color w:val="000000"/>
                <w:szCs w:val="21"/>
              </w:rPr>
            </w:pPr>
          </w:p>
        </w:tc>
        <w:tc>
          <w:tcPr>
            <w:tcW w:w="502" w:type="pct"/>
            <w:noWrap w:val="0"/>
            <w:vAlign w:val="center"/>
          </w:tcPr>
          <w:p w14:paraId="62E2D749">
            <w:pPr>
              <w:keepNext/>
              <w:spacing w:line="360" w:lineRule="auto"/>
              <w:jc w:val="center"/>
              <w:rPr>
                <w:rFonts w:hint="eastAsia" w:ascii="宋体" w:hAnsi="宋体" w:cs="宋体"/>
                <w:color w:val="000000"/>
                <w:szCs w:val="21"/>
              </w:rPr>
            </w:pPr>
          </w:p>
        </w:tc>
        <w:tc>
          <w:tcPr>
            <w:tcW w:w="1279" w:type="pct"/>
            <w:noWrap w:val="0"/>
            <w:vAlign w:val="center"/>
          </w:tcPr>
          <w:p w14:paraId="76B4CDBB">
            <w:pPr>
              <w:keepNext/>
              <w:spacing w:line="360" w:lineRule="auto"/>
              <w:jc w:val="center"/>
              <w:rPr>
                <w:rFonts w:hint="eastAsia" w:ascii="宋体" w:hAnsi="宋体" w:cs="宋体"/>
                <w:color w:val="000000"/>
                <w:szCs w:val="21"/>
              </w:rPr>
            </w:pPr>
          </w:p>
        </w:tc>
        <w:tc>
          <w:tcPr>
            <w:tcW w:w="1153" w:type="pct"/>
            <w:noWrap w:val="0"/>
            <w:vAlign w:val="top"/>
          </w:tcPr>
          <w:p w14:paraId="5B99ED2C">
            <w:pPr>
              <w:keepNext/>
              <w:spacing w:line="360" w:lineRule="auto"/>
              <w:jc w:val="center"/>
              <w:rPr>
                <w:rFonts w:hint="eastAsia" w:ascii="宋体" w:hAnsi="宋体" w:cs="宋体"/>
                <w:color w:val="000000"/>
                <w:szCs w:val="21"/>
              </w:rPr>
            </w:pPr>
          </w:p>
        </w:tc>
      </w:tr>
      <w:tr w14:paraId="4700F1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08FAE9BA">
            <w:pPr>
              <w:spacing w:line="360" w:lineRule="auto"/>
              <w:jc w:val="center"/>
              <w:rPr>
                <w:rFonts w:hint="eastAsia" w:ascii="宋体" w:hAnsi="宋体" w:cs="宋体"/>
                <w:color w:val="000000"/>
                <w:szCs w:val="21"/>
              </w:rPr>
            </w:pPr>
            <w:r>
              <w:rPr>
                <w:rFonts w:hint="eastAsia" w:ascii="宋体" w:hAnsi="宋体" w:cs="宋体"/>
                <w:color w:val="000000"/>
                <w:szCs w:val="21"/>
              </w:rPr>
              <w:t>项目副经理</w:t>
            </w:r>
          </w:p>
        </w:tc>
        <w:tc>
          <w:tcPr>
            <w:tcW w:w="627" w:type="pct"/>
            <w:noWrap w:val="0"/>
            <w:vAlign w:val="center"/>
          </w:tcPr>
          <w:p w14:paraId="4714ADE7">
            <w:pPr>
              <w:keepNext/>
              <w:spacing w:line="360" w:lineRule="auto"/>
              <w:jc w:val="center"/>
              <w:rPr>
                <w:rFonts w:hint="eastAsia" w:ascii="宋体" w:hAnsi="宋体" w:cs="宋体"/>
                <w:color w:val="000000"/>
                <w:szCs w:val="21"/>
              </w:rPr>
            </w:pPr>
          </w:p>
        </w:tc>
        <w:tc>
          <w:tcPr>
            <w:tcW w:w="502" w:type="pct"/>
            <w:noWrap w:val="0"/>
            <w:vAlign w:val="center"/>
          </w:tcPr>
          <w:p w14:paraId="0D5976B9">
            <w:pPr>
              <w:keepNext/>
              <w:spacing w:line="360" w:lineRule="auto"/>
              <w:jc w:val="center"/>
              <w:rPr>
                <w:rFonts w:hint="eastAsia" w:ascii="宋体" w:hAnsi="宋体" w:cs="宋体"/>
                <w:color w:val="000000"/>
                <w:szCs w:val="21"/>
              </w:rPr>
            </w:pPr>
          </w:p>
        </w:tc>
        <w:tc>
          <w:tcPr>
            <w:tcW w:w="502" w:type="pct"/>
            <w:noWrap w:val="0"/>
            <w:vAlign w:val="center"/>
          </w:tcPr>
          <w:p w14:paraId="0D93F653">
            <w:pPr>
              <w:keepNext/>
              <w:spacing w:line="360" w:lineRule="auto"/>
              <w:jc w:val="center"/>
              <w:rPr>
                <w:rFonts w:hint="eastAsia" w:ascii="宋体" w:hAnsi="宋体" w:cs="宋体"/>
                <w:color w:val="000000"/>
                <w:szCs w:val="21"/>
              </w:rPr>
            </w:pPr>
          </w:p>
        </w:tc>
        <w:tc>
          <w:tcPr>
            <w:tcW w:w="1279" w:type="pct"/>
            <w:noWrap w:val="0"/>
            <w:vAlign w:val="center"/>
          </w:tcPr>
          <w:p w14:paraId="340FD879">
            <w:pPr>
              <w:keepNext/>
              <w:spacing w:line="360" w:lineRule="auto"/>
              <w:jc w:val="center"/>
              <w:rPr>
                <w:rFonts w:hint="eastAsia" w:ascii="宋体" w:hAnsi="宋体" w:cs="宋体"/>
                <w:color w:val="000000"/>
                <w:szCs w:val="21"/>
              </w:rPr>
            </w:pPr>
          </w:p>
        </w:tc>
        <w:tc>
          <w:tcPr>
            <w:tcW w:w="1153" w:type="pct"/>
            <w:noWrap w:val="0"/>
            <w:vAlign w:val="top"/>
          </w:tcPr>
          <w:p w14:paraId="72DB3008">
            <w:pPr>
              <w:keepNext/>
              <w:spacing w:line="360" w:lineRule="auto"/>
              <w:jc w:val="center"/>
              <w:rPr>
                <w:rFonts w:hint="eastAsia" w:ascii="宋体" w:hAnsi="宋体" w:cs="宋体"/>
                <w:color w:val="000000"/>
                <w:szCs w:val="21"/>
              </w:rPr>
            </w:pPr>
          </w:p>
        </w:tc>
      </w:tr>
      <w:tr w14:paraId="7DAEB3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674860D8">
            <w:pPr>
              <w:spacing w:line="360" w:lineRule="auto"/>
              <w:jc w:val="center"/>
              <w:rPr>
                <w:rFonts w:hint="eastAsia" w:ascii="宋体" w:hAnsi="宋体" w:cs="宋体"/>
                <w:color w:val="000000"/>
                <w:szCs w:val="21"/>
              </w:rPr>
            </w:pPr>
            <w:r>
              <w:rPr>
                <w:rFonts w:hint="eastAsia" w:ascii="宋体" w:hAnsi="宋体" w:cs="宋体"/>
                <w:color w:val="000000"/>
                <w:szCs w:val="21"/>
              </w:rPr>
              <w:t>项目技术负责人</w:t>
            </w:r>
          </w:p>
        </w:tc>
        <w:tc>
          <w:tcPr>
            <w:tcW w:w="627" w:type="pct"/>
            <w:noWrap w:val="0"/>
            <w:vAlign w:val="center"/>
          </w:tcPr>
          <w:p w14:paraId="28328C4C">
            <w:pPr>
              <w:keepNext/>
              <w:spacing w:line="360" w:lineRule="auto"/>
              <w:jc w:val="center"/>
              <w:rPr>
                <w:rFonts w:hint="eastAsia" w:ascii="宋体" w:hAnsi="宋体" w:cs="宋体"/>
                <w:color w:val="000000"/>
                <w:szCs w:val="21"/>
              </w:rPr>
            </w:pPr>
          </w:p>
        </w:tc>
        <w:tc>
          <w:tcPr>
            <w:tcW w:w="502" w:type="pct"/>
            <w:noWrap w:val="0"/>
            <w:vAlign w:val="center"/>
          </w:tcPr>
          <w:p w14:paraId="65B3CF88">
            <w:pPr>
              <w:keepNext/>
              <w:spacing w:line="360" w:lineRule="auto"/>
              <w:jc w:val="center"/>
              <w:rPr>
                <w:rFonts w:hint="eastAsia" w:ascii="宋体" w:hAnsi="宋体" w:cs="宋体"/>
                <w:color w:val="000000"/>
                <w:szCs w:val="21"/>
              </w:rPr>
            </w:pPr>
          </w:p>
        </w:tc>
        <w:tc>
          <w:tcPr>
            <w:tcW w:w="502" w:type="pct"/>
            <w:noWrap w:val="0"/>
            <w:vAlign w:val="center"/>
          </w:tcPr>
          <w:p w14:paraId="6E7CF116">
            <w:pPr>
              <w:keepNext/>
              <w:spacing w:line="360" w:lineRule="auto"/>
              <w:jc w:val="center"/>
              <w:rPr>
                <w:rFonts w:hint="eastAsia" w:ascii="宋体" w:hAnsi="宋体" w:cs="宋体"/>
                <w:color w:val="000000"/>
                <w:szCs w:val="21"/>
              </w:rPr>
            </w:pPr>
          </w:p>
        </w:tc>
        <w:tc>
          <w:tcPr>
            <w:tcW w:w="1279" w:type="pct"/>
            <w:noWrap w:val="0"/>
            <w:vAlign w:val="center"/>
          </w:tcPr>
          <w:p w14:paraId="42C208A9">
            <w:pPr>
              <w:keepNext/>
              <w:spacing w:line="360" w:lineRule="auto"/>
              <w:jc w:val="center"/>
              <w:rPr>
                <w:rFonts w:hint="eastAsia" w:ascii="宋体" w:hAnsi="宋体" w:cs="宋体"/>
                <w:color w:val="000000"/>
                <w:szCs w:val="21"/>
              </w:rPr>
            </w:pPr>
          </w:p>
        </w:tc>
        <w:tc>
          <w:tcPr>
            <w:tcW w:w="1153" w:type="pct"/>
            <w:noWrap w:val="0"/>
            <w:vAlign w:val="top"/>
          </w:tcPr>
          <w:p w14:paraId="05E647ED">
            <w:pPr>
              <w:keepNext/>
              <w:spacing w:line="360" w:lineRule="auto"/>
              <w:jc w:val="center"/>
              <w:rPr>
                <w:rFonts w:hint="eastAsia" w:ascii="宋体" w:hAnsi="宋体" w:cs="宋体"/>
                <w:color w:val="000000"/>
                <w:szCs w:val="21"/>
              </w:rPr>
            </w:pPr>
          </w:p>
        </w:tc>
      </w:tr>
      <w:tr w14:paraId="2CCD57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0A9F6F5B">
            <w:pPr>
              <w:spacing w:line="360" w:lineRule="auto"/>
              <w:jc w:val="center"/>
              <w:rPr>
                <w:rFonts w:hint="eastAsia" w:ascii="宋体" w:hAnsi="宋体" w:cs="宋体"/>
                <w:color w:val="000000"/>
                <w:szCs w:val="21"/>
              </w:rPr>
            </w:pPr>
            <w:r>
              <w:rPr>
                <w:rFonts w:hint="eastAsia" w:ascii="宋体" w:hAnsi="宋体" w:cs="宋体"/>
                <w:color w:val="000000"/>
                <w:szCs w:val="21"/>
              </w:rPr>
              <w:t>施工员</w:t>
            </w:r>
          </w:p>
        </w:tc>
        <w:tc>
          <w:tcPr>
            <w:tcW w:w="627" w:type="pct"/>
            <w:noWrap w:val="0"/>
            <w:vAlign w:val="center"/>
          </w:tcPr>
          <w:p w14:paraId="1300ADCA">
            <w:pPr>
              <w:keepNext/>
              <w:spacing w:line="360" w:lineRule="auto"/>
              <w:jc w:val="center"/>
              <w:rPr>
                <w:rFonts w:hint="eastAsia" w:ascii="宋体" w:hAnsi="宋体" w:cs="宋体"/>
                <w:color w:val="000000"/>
                <w:szCs w:val="21"/>
              </w:rPr>
            </w:pPr>
          </w:p>
        </w:tc>
        <w:tc>
          <w:tcPr>
            <w:tcW w:w="502" w:type="pct"/>
            <w:noWrap w:val="0"/>
            <w:vAlign w:val="center"/>
          </w:tcPr>
          <w:p w14:paraId="6A76131E">
            <w:pPr>
              <w:keepNext/>
              <w:spacing w:line="360" w:lineRule="auto"/>
              <w:jc w:val="center"/>
              <w:rPr>
                <w:rFonts w:hint="eastAsia" w:ascii="宋体" w:hAnsi="宋体" w:cs="宋体"/>
                <w:color w:val="000000"/>
                <w:szCs w:val="21"/>
              </w:rPr>
            </w:pPr>
          </w:p>
        </w:tc>
        <w:tc>
          <w:tcPr>
            <w:tcW w:w="502" w:type="pct"/>
            <w:noWrap w:val="0"/>
            <w:vAlign w:val="center"/>
          </w:tcPr>
          <w:p w14:paraId="4CB6D67F">
            <w:pPr>
              <w:keepNext/>
              <w:spacing w:line="360" w:lineRule="auto"/>
              <w:jc w:val="center"/>
              <w:rPr>
                <w:rFonts w:hint="eastAsia" w:ascii="宋体" w:hAnsi="宋体" w:cs="宋体"/>
                <w:color w:val="000000"/>
                <w:szCs w:val="21"/>
              </w:rPr>
            </w:pPr>
          </w:p>
        </w:tc>
        <w:tc>
          <w:tcPr>
            <w:tcW w:w="1279" w:type="pct"/>
            <w:noWrap w:val="0"/>
            <w:vAlign w:val="center"/>
          </w:tcPr>
          <w:p w14:paraId="4CEE8692">
            <w:pPr>
              <w:keepNext/>
              <w:spacing w:line="360" w:lineRule="auto"/>
              <w:jc w:val="center"/>
              <w:rPr>
                <w:rFonts w:hint="eastAsia" w:ascii="宋体" w:hAnsi="宋体" w:cs="宋体"/>
                <w:color w:val="000000"/>
                <w:szCs w:val="21"/>
              </w:rPr>
            </w:pPr>
          </w:p>
        </w:tc>
        <w:tc>
          <w:tcPr>
            <w:tcW w:w="1153" w:type="pct"/>
            <w:noWrap w:val="0"/>
            <w:vAlign w:val="top"/>
          </w:tcPr>
          <w:p w14:paraId="22BB565C">
            <w:pPr>
              <w:keepNext/>
              <w:spacing w:line="360" w:lineRule="auto"/>
              <w:jc w:val="center"/>
              <w:rPr>
                <w:rFonts w:hint="eastAsia" w:ascii="宋体" w:hAnsi="宋体" w:cs="宋体"/>
                <w:color w:val="000000"/>
                <w:szCs w:val="21"/>
              </w:rPr>
            </w:pPr>
          </w:p>
        </w:tc>
      </w:tr>
      <w:tr w14:paraId="3DCE8C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021D531B">
            <w:pPr>
              <w:spacing w:line="360" w:lineRule="auto"/>
              <w:jc w:val="center"/>
              <w:rPr>
                <w:rFonts w:hint="eastAsia" w:ascii="宋体" w:hAnsi="宋体" w:cs="宋体"/>
                <w:color w:val="000000"/>
                <w:szCs w:val="21"/>
              </w:rPr>
            </w:pPr>
            <w:r>
              <w:rPr>
                <w:rFonts w:hint="eastAsia" w:ascii="宋体" w:hAnsi="宋体" w:cs="宋体"/>
                <w:color w:val="000000"/>
                <w:szCs w:val="21"/>
              </w:rPr>
              <w:t>质检员（质量员）</w:t>
            </w:r>
          </w:p>
        </w:tc>
        <w:tc>
          <w:tcPr>
            <w:tcW w:w="627" w:type="pct"/>
            <w:noWrap w:val="0"/>
            <w:vAlign w:val="center"/>
          </w:tcPr>
          <w:p w14:paraId="7D5DA808">
            <w:pPr>
              <w:keepNext/>
              <w:spacing w:line="360" w:lineRule="auto"/>
              <w:jc w:val="center"/>
              <w:rPr>
                <w:rFonts w:hint="eastAsia" w:ascii="宋体" w:hAnsi="宋体" w:cs="宋体"/>
                <w:color w:val="000000"/>
                <w:szCs w:val="21"/>
              </w:rPr>
            </w:pPr>
          </w:p>
        </w:tc>
        <w:tc>
          <w:tcPr>
            <w:tcW w:w="502" w:type="pct"/>
            <w:noWrap w:val="0"/>
            <w:vAlign w:val="center"/>
          </w:tcPr>
          <w:p w14:paraId="75A21267">
            <w:pPr>
              <w:keepNext/>
              <w:spacing w:line="360" w:lineRule="auto"/>
              <w:jc w:val="center"/>
              <w:rPr>
                <w:rFonts w:hint="eastAsia" w:ascii="宋体" w:hAnsi="宋体" w:cs="宋体"/>
                <w:color w:val="000000"/>
                <w:szCs w:val="21"/>
              </w:rPr>
            </w:pPr>
          </w:p>
        </w:tc>
        <w:tc>
          <w:tcPr>
            <w:tcW w:w="502" w:type="pct"/>
            <w:noWrap w:val="0"/>
            <w:vAlign w:val="center"/>
          </w:tcPr>
          <w:p w14:paraId="797DDE39">
            <w:pPr>
              <w:keepNext/>
              <w:spacing w:line="360" w:lineRule="auto"/>
              <w:jc w:val="center"/>
              <w:rPr>
                <w:rFonts w:hint="eastAsia" w:ascii="宋体" w:hAnsi="宋体" w:cs="宋体"/>
                <w:color w:val="000000"/>
                <w:szCs w:val="21"/>
              </w:rPr>
            </w:pPr>
          </w:p>
        </w:tc>
        <w:tc>
          <w:tcPr>
            <w:tcW w:w="1279" w:type="pct"/>
            <w:noWrap w:val="0"/>
            <w:vAlign w:val="center"/>
          </w:tcPr>
          <w:p w14:paraId="76B09736">
            <w:pPr>
              <w:keepNext/>
              <w:spacing w:line="360" w:lineRule="auto"/>
              <w:jc w:val="center"/>
              <w:rPr>
                <w:rFonts w:hint="eastAsia" w:ascii="宋体" w:hAnsi="宋体" w:cs="宋体"/>
                <w:color w:val="000000"/>
                <w:szCs w:val="21"/>
              </w:rPr>
            </w:pPr>
          </w:p>
        </w:tc>
        <w:tc>
          <w:tcPr>
            <w:tcW w:w="1153" w:type="pct"/>
            <w:noWrap w:val="0"/>
            <w:vAlign w:val="top"/>
          </w:tcPr>
          <w:p w14:paraId="267E2735">
            <w:pPr>
              <w:keepNext/>
              <w:spacing w:line="360" w:lineRule="auto"/>
              <w:jc w:val="center"/>
              <w:rPr>
                <w:rFonts w:hint="eastAsia" w:ascii="宋体" w:hAnsi="宋体" w:cs="宋体"/>
                <w:color w:val="000000"/>
                <w:szCs w:val="21"/>
              </w:rPr>
            </w:pPr>
          </w:p>
        </w:tc>
      </w:tr>
      <w:tr w14:paraId="39E3A3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780611D5">
            <w:pPr>
              <w:spacing w:line="360" w:lineRule="auto"/>
              <w:jc w:val="center"/>
              <w:rPr>
                <w:rFonts w:hint="eastAsia" w:ascii="宋体" w:hAnsi="宋体" w:cs="宋体"/>
                <w:color w:val="000000"/>
                <w:szCs w:val="21"/>
              </w:rPr>
            </w:pPr>
            <w:r>
              <w:rPr>
                <w:rFonts w:hint="eastAsia" w:ascii="宋体" w:hAnsi="宋体" w:cs="宋体"/>
                <w:color w:val="000000"/>
                <w:szCs w:val="21"/>
              </w:rPr>
              <w:t>安全员</w:t>
            </w:r>
          </w:p>
        </w:tc>
        <w:tc>
          <w:tcPr>
            <w:tcW w:w="627" w:type="pct"/>
            <w:noWrap w:val="0"/>
            <w:vAlign w:val="center"/>
          </w:tcPr>
          <w:p w14:paraId="18B1CF3B">
            <w:pPr>
              <w:keepNext/>
              <w:spacing w:line="360" w:lineRule="auto"/>
              <w:jc w:val="center"/>
              <w:rPr>
                <w:rFonts w:hint="eastAsia" w:ascii="宋体" w:hAnsi="宋体" w:cs="宋体"/>
                <w:color w:val="000000"/>
                <w:szCs w:val="21"/>
              </w:rPr>
            </w:pPr>
          </w:p>
        </w:tc>
        <w:tc>
          <w:tcPr>
            <w:tcW w:w="502" w:type="pct"/>
            <w:noWrap w:val="0"/>
            <w:vAlign w:val="center"/>
          </w:tcPr>
          <w:p w14:paraId="7B858D43">
            <w:pPr>
              <w:keepNext/>
              <w:spacing w:line="360" w:lineRule="auto"/>
              <w:jc w:val="center"/>
              <w:rPr>
                <w:rFonts w:hint="eastAsia" w:ascii="宋体" w:hAnsi="宋体" w:cs="宋体"/>
                <w:color w:val="000000"/>
                <w:szCs w:val="21"/>
              </w:rPr>
            </w:pPr>
          </w:p>
        </w:tc>
        <w:tc>
          <w:tcPr>
            <w:tcW w:w="502" w:type="pct"/>
            <w:noWrap w:val="0"/>
            <w:vAlign w:val="center"/>
          </w:tcPr>
          <w:p w14:paraId="0FA098B1">
            <w:pPr>
              <w:keepNext/>
              <w:spacing w:line="360" w:lineRule="auto"/>
              <w:jc w:val="center"/>
              <w:rPr>
                <w:rFonts w:hint="eastAsia" w:ascii="宋体" w:hAnsi="宋体" w:cs="宋体"/>
                <w:color w:val="000000"/>
                <w:szCs w:val="21"/>
              </w:rPr>
            </w:pPr>
          </w:p>
        </w:tc>
        <w:tc>
          <w:tcPr>
            <w:tcW w:w="1279" w:type="pct"/>
            <w:noWrap w:val="0"/>
            <w:vAlign w:val="center"/>
          </w:tcPr>
          <w:p w14:paraId="2B971FE1">
            <w:pPr>
              <w:keepNext/>
              <w:spacing w:line="360" w:lineRule="auto"/>
              <w:jc w:val="center"/>
              <w:rPr>
                <w:rFonts w:hint="eastAsia" w:ascii="宋体" w:hAnsi="宋体" w:cs="宋体"/>
                <w:color w:val="000000"/>
                <w:szCs w:val="21"/>
              </w:rPr>
            </w:pPr>
          </w:p>
        </w:tc>
        <w:tc>
          <w:tcPr>
            <w:tcW w:w="1153" w:type="pct"/>
            <w:noWrap w:val="0"/>
            <w:vAlign w:val="top"/>
          </w:tcPr>
          <w:p w14:paraId="0109F7C0">
            <w:pPr>
              <w:keepNext/>
              <w:spacing w:line="360" w:lineRule="auto"/>
              <w:jc w:val="center"/>
              <w:rPr>
                <w:rFonts w:hint="eastAsia" w:ascii="宋体" w:hAnsi="宋体" w:cs="宋体"/>
                <w:color w:val="000000"/>
                <w:szCs w:val="21"/>
              </w:rPr>
            </w:pPr>
          </w:p>
        </w:tc>
      </w:tr>
      <w:tr w14:paraId="46EC2F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73D69653">
            <w:pPr>
              <w:spacing w:line="360" w:lineRule="auto"/>
              <w:jc w:val="center"/>
              <w:rPr>
                <w:rFonts w:hint="eastAsia" w:ascii="宋体" w:hAnsi="宋体" w:cs="宋体"/>
                <w:color w:val="000000"/>
                <w:szCs w:val="21"/>
              </w:rPr>
            </w:pPr>
            <w:r>
              <w:rPr>
                <w:rFonts w:hint="eastAsia" w:ascii="宋体" w:hAnsi="宋体" w:cs="宋体"/>
                <w:color w:val="000000"/>
                <w:szCs w:val="21"/>
              </w:rPr>
              <w:t>资料员</w:t>
            </w:r>
          </w:p>
        </w:tc>
        <w:tc>
          <w:tcPr>
            <w:tcW w:w="627" w:type="pct"/>
            <w:noWrap w:val="0"/>
            <w:vAlign w:val="center"/>
          </w:tcPr>
          <w:p w14:paraId="3E2A4A5F">
            <w:pPr>
              <w:keepNext/>
              <w:spacing w:line="360" w:lineRule="auto"/>
              <w:jc w:val="center"/>
              <w:rPr>
                <w:rFonts w:hint="eastAsia" w:ascii="宋体" w:hAnsi="宋体" w:cs="宋体"/>
                <w:color w:val="000000"/>
                <w:szCs w:val="21"/>
              </w:rPr>
            </w:pPr>
          </w:p>
        </w:tc>
        <w:tc>
          <w:tcPr>
            <w:tcW w:w="502" w:type="pct"/>
            <w:noWrap w:val="0"/>
            <w:vAlign w:val="center"/>
          </w:tcPr>
          <w:p w14:paraId="768EB56E">
            <w:pPr>
              <w:keepNext/>
              <w:spacing w:line="360" w:lineRule="auto"/>
              <w:jc w:val="center"/>
              <w:rPr>
                <w:rFonts w:hint="eastAsia" w:ascii="宋体" w:hAnsi="宋体" w:cs="宋体"/>
                <w:color w:val="000000"/>
                <w:szCs w:val="21"/>
              </w:rPr>
            </w:pPr>
          </w:p>
        </w:tc>
        <w:tc>
          <w:tcPr>
            <w:tcW w:w="502" w:type="pct"/>
            <w:noWrap w:val="0"/>
            <w:vAlign w:val="center"/>
          </w:tcPr>
          <w:p w14:paraId="1FDE5267">
            <w:pPr>
              <w:keepNext/>
              <w:spacing w:line="360" w:lineRule="auto"/>
              <w:jc w:val="center"/>
              <w:rPr>
                <w:rFonts w:hint="eastAsia" w:ascii="宋体" w:hAnsi="宋体" w:cs="宋体"/>
                <w:color w:val="000000"/>
                <w:szCs w:val="21"/>
              </w:rPr>
            </w:pPr>
          </w:p>
        </w:tc>
        <w:tc>
          <w:tcPr>
            <w:tcW w:w="1279" w:type="pct"/>
            <w:noWrap w:val="0"/>
            <w:vAlign w:val="center"/>
          </w:tcPr>
          <w:p w14:paraId="363546EF">
            <w:pPr>
              <w:keepNext/>
              <w:spacing w:line="360" w:lineRule="auto"/>
              <w:jc w:val="center"/>
              <w:rPr>
                <w:rFonts w:hint="eastAsia" w:ascii="宋体" w:hAnsi="宋体" w:cs="宋体"/>
                <w:color w:val="000000"/>
                <w:szCs w:val="21"/>
              </w:rPr>
            </w:pPr>
          </w:p>
        </w:tc>
        <w:tc>
          <w:tcPr>
            <w:tcW w:w="1153" w:type="pct"/>
            <w:noWrap w:val="0"/>
            <w:vAlign w:val="top"/>
          </w:tcPr>
          <w:p w14:paraId="3BDAD3A1">
            <w:pPr>
              <w:keepNext/>
              <w:spacing w:line="360" w:lineRule="auto"/>
              <w:jc w:val="center"/>
              <w:rPr>
                <w:rFonts w:hint="eastAsia" w:ascii="宋体" w:hAnsi="宋体" w:cs="宋体"/>
                <w:color w:val="000000"/>
                <w:szCs w:val="21"/>
              </w:rPr>
            </w:pPr>
          </w:p>
        </w:tc>
      </w:tr>
      <w:tr w14:paraId="0B1A8A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restart"/>
            <w:noWrap w:val="0"/>
            <w:vAlign w:val="center"/>
          </w:tcPr>
          <w:p w14:paraId="467E9D31">
            <w:pPr>
              <w:spacing w:line="360" w:lineRule="auto"/>
              <w:jc w:val="center"/>
              <w:rPr>
                <w:rFonts w:hint="eastAsia" w:ascii="宋体" w:hAnsi="宋体" w:cs="宋体"/>
                <w:color w:val="000000"/>
                <w:szCs w:val="21"/>
              </w:rPr>
            </w:pPr>
            <w:r>
              <w:rPr>
                <w:rFonts w:hint="eastAsia" w:ascii="宋体" w:hAnsi="宋体" w:cs="宋体"/>
                <w:color w:val="000000"/>
                <w:szCs w:val="21"/>
              </w:rPr>
              <w:t>其他人员</w:t>
            </w:r>
          </w:p>
        </w:tc>
        <w:tc>
          <w:tcPr>
            <w:tcW w:w="627" w:type="pct"/>
            <w:noWrap w:val="0"/>
            <w:vAlign w:val="center"/>
          </w:tcPr>
          <w:p w14:paraId="78F38699">
            <w:pPr>
              <w:keepNext/>
              <w:spacing w:line="360" w:lineRule="auto"/>
              <w:jc w:val="center"/>
              <w:rPr>
                <w:rFonts w:hint="eastAsia" w:ascii="宋体" w:hAnsi="宋体" w:cs="宋体"/>
                <w:color w:val="000000"/>
                <w:szCs w:val="21"/>
              </w:rPr>
            </w:pPr>
          </w:p>
        </w:tc>
        <w:tc>
          <w:tcPr>
            <w:tcW w:w="502" w:type="pct"/>
            <w:noWrap w:val="0"/>
            <w:vAlign w:val="center"/>
          </w:tcPr>
          <w:p w14:paraId="28A343D2">
            <w:pPr>
              <w:keepNext/>
              <w:spacing w:line="360" w:lineRule="auto"/>
              <w:jc w:val="center"/>
              <w:rPr>
                <w:rFonts w:hint="eastAsia" w:ascii="宋体" w:hAnsi="宋体" w:cs="宋体"/>
                <w:color w:val="000000"/>
                <w:szCs w:val="21"/>
              </w:rPr>
            </w:pPr>
          </w:p>
        </w:tc>
        <w:tc>
          <w:tcPr>
            <w:tcW w:w="502" w:type="pct"/>
            <w:noWrap w:val="0"/>
            <w:vAlign w:val="center"/>
          </w:tcPr>
          <w:p w14:paraId="6B66FC4E">
            <w:pPr>
              <w:keepNext/>
              <w:spacing w:line="360" w:lineRule="auto"/>
              <w:jc w:val="center"/>
              <w:rPr>
                <w:rFonts w:hint="eastAsia" w:ascii="宋体" w:hAnsi="宋体" w:cs="宋体"/>
                <w:color w:val="000000"/>
                <w:szCs w:val="21"/>
              </w:rPr>
            </w:pPr>
          </w:p>
        </w:tc>
        <w:tc>
          <w:tcPr>
            <w:tcW w:w="1279" w:type="pct"/>
            <w:noWrap w:val="0"/>
            <w:vAlign w:val="center"/>
          </w:tcPr>
          <w:p w14:paraId="528C6441">
            <w:pPr>
              <w:keepNext/>
              <w:spacing w:line="360" w:lineRule="auto"/>
              <w:jc w:val="center"/>
              <w:rPr>
                <w:rFonts w:hint="eastAsia" w:ascii="宋体" w:hAnsi="宋体" w:cs="宋体"/>
                <w:color w:val="000000"/>
                <w:szCs w:val="21"/>
              </w:rPr>
            </w:pPr>
          </w:p>
        </w:tc>
        <w:tc>
          <w:tcPr>
            <w:tcW w:w="1153" w:type="pct"/>
            <w:noWrap w:val="0"/>
            <w:vAlign w:val="top"/>
          </w:tcPr>
          <w:p w14:paraId="320AAD68">
            <w:pPr>
              <w:keepNext/>
              <w:spacing w:line="360" w:lineRule="auto"/>
              <w:jc w:val="center"/>
              <w:rPr>
                <w:rFonts w:hint="eastAsia" w:ascii="宋体" w:hAnsi="宋体" w:cs="宋体"/>
                <w:color w:val="000000"/>
                <w:szCs w:val="21"/>
              </w:rPr>
            </w:pPr>
          </w:p>
        </w:tc>
      </w:tr>
      <w:tr w14:paraId="3D7B9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23B9A92B">
            <w:pPr>
              <w:keepNext/>
              <w:spacing w:line="360" w:lineRule="auto"/>
              <w:jc w:val="center"/>
              <w:rPr>
                <w:rFonts w:hint="eastAsia" w:ascii="宋体" w:hAnsi="宋体" w:cs="宋体"/>
                <w:color w:val="000000"/>
                <w:szCs w:val="21"/>
              </w:rPr>
            </w:pPr>
          </w:p>
        </w:tc>
        <w:tc>
          <w:tcPr>
            <w:tcW w:w="627" w:type="pct"/>
            <w:tcBorders>
              <w:bottom w:val="nil"/>
            </w:tcBorders>
            <w:noWrap w:val="0"/>
            <w:vAlign w:val="center"/>
          </w:tcPr>
          <w:p w14:paraId="7C57A15A">
            <w:pPr>
              <w:keepNext/>
              <w:spacing w:line="360" w:lineRule="auto"/>
              <w:jc w:val="center"/>
              <w:rPr>
                <w:rFonts w:hint="eastAsia" w:ascii="宋体" w:hAnsi="宋体" w:cs="宋体"/>
                <w:color w:val="000000"/>
                <w:szCs w:val="21"/>
              </w:rPr>
            </w:pPr>
          </w:p>
        </w:tc>
        <w:tc>
          <w:tcPr>
            <w:tcW w:w="502" w:type="pct"/>
            <w:tcBorders>
              <w:bottom w:val="nil"/>
            </w:tcBorders>
            <w:noWrap w:val="0"/>
            <w:vAlign w:val="center"/>
          </w:tcPr>
          <w:p w14:paraId="04D2BBF8">
            <w:pPr>
              <w:keepNext/>
              <w:spacing w:line="360" w:lineRule="auto"/>
              <w:jc w:val="center"/>
              <w:rPr>
                <w:rFonts w:hint="eastAsia" w:ascii="宋体" w:hAnsi="宋体" w:cs="宋体"/>
                <w:color w:val="000000"/>
                <w:szCs w:val="21"/>
              </w:rPr>
            </w:pPr>
          </w:p>
        </w:tc>
        <w:tc>
          <w:tcPr>
            <w:tcW w:w="502" w:type="pct"/>
            <w:tcBorders>
              <w:bottom w:val="nil"/>
            </w:tcBorders>
            <w:noWrap w:val="0"/>
            <w:vAlign w:val="center"/>
          </w:tcPr>
          <w:p w14:paraId="6C80CAE0">
            <w:pPr>
              <w:keepNext/>
              <w:spacing w:line="360" w:lineRule="auto"/>
              <w:jc w:val="center"/>
              <w:rPr>
                <w:rFonts w:hint="eastAsia" w:ascii="宋体" w:hAnsi="宋体" w:cs="宋体"/>
                <w:color w:val="000000"/>
                <w:szCs w:val="21"/>
              </w:rPr>
            </w:pPr>
          </w:p>
        </w:tc>
        <w:tc>
          <w:tcPr>
            <w:tcW w:w="1279" w:type="pct"/>
            <w:tcBorders>
              <w:bottom w:val="nil"/>
            </w:tcBorders>
            <w:noWrap w:val="0"/>
            <w:vAlign w:val="center"/>
          </w:tcPr>
          <w:p w14:paraId="218A2665">
            <w:pPr>
              <w:keepNext/>
              <w:spacing w:line="360" w:lineRule="auto"/>
              <w:jc w:val="center"/>
              <w:rPr>
                <w:rFonts w:hint="eastAsia" w:ascii="宋体" w:hAnsi="宋体" w:cs="宋体"/>
                <w:color w:val="000000"/>
                <w:szCs w:val="21"/>
              </w:rPr>
            </w:pPr>
          </w:p>
        </w:tc>
        <w:tc>
          <w:tcPr>
            <w:tcW w:w="1153" w:type="pct"/>
            <w:tcBorders>
              <w:bottom w:val="nil"/>
            </w:tcBorders>
            <w:noWrap w:val="0"/>
            <w:vAlign w:val="top"/>
          </w:tcPr>
          <w:p w14:paraId="6FFE7FAE">
            <w:pPr>
              <w:keepNext/>
              <w:spacing w:line="360" w:lineRule="auto"/>
              <w:jc w:val="center"/>
              <w:rPr>
                <w:rFonts w:hint="eastAsia" w:ascii="宋体" w:hAnsi="宋体" w:cs="宋体"/>
                <w:color w:val="000000"/>
                <w:szCs w:val="21"/>
              </w:rPr>
            </w:pPr>
          </w:p>
        </w:tc>
      </w:tr>
      <w:tr w14:paraId="250BA1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3A1B82DF">
            <w:pPr>
              <w:keepNext/>
              <w:spacing w:line="360" w:lineRule="auto"/>
              <w:jc w:val="center"/>
              <w:rPr>
                <w:rFonts w:hint="eastAsia" w:ascii="宋体" w:hAnsi="宋体" w:cs="宋体"/>
                <w:color w:val="000000"/>
                <w:szCs w:val="21"/>
              </w:rPr>
            </w:pPr>
          </w:p>
        </w:tc>
        <w:tc>
          <w:tcPr>
            <w:tcW w:w="627" w:type="pct"/>
            <w:noWrap w:val="0"/>
            <w:vAlign w:val="center"/>
          </w:tcPr>
          <w:p w14:paraId="3AC8BC2F">
            <w:pPr>
              <w:keepNext/>
              <w:spacing w:line="360" w:lineRule="auto"/>
              <w:jc w:val="center"/>
              <w:rPr>
                <w:rFonts w:hint="eastAsia" w:ascii="宋体" w:hAnsi="宋体" w:cs="宋体"/>
                <w:color w:val="000000"/>
                <w:szCs w:val="21"/>
              </w:rPr>
            </w:pPr>
          </w:p>
        </w:tc>
        <w:tc>
          <w:tcPr>
            <w:tcW w:w="502" w:type="pct"/>
            <w:noWrap w:val="0"/>
            <w:vAlign w:val="center"/>
          </w:tcPr>
          <w:p w14:paraId="02796CF8">
            <w:pPr>
              <w:keepNext/>
              <w:spacing w:line="360" w:lineRule="auto"/>
              <w:jc w:val="center"/>
              <w:rPr>
                <w:rFonts w:hint="eastAsia" w:ascii="宋体" w:hAnsi="宋体" w:cs="宋体"/>
                <w:color w:val="000000"/>
                <w:szCs w:val="21"/>
              </w:rPr>
            </w:pPr>
          </w:p>
        </w:tc>
        <w:tc>
          <w:tcPr>
            <w:tcW w:w="502" w:type="pct"/>
            <w:noWrap w:val="0"/>
            <w:vAlign w:val="center"/>
          </w:tcPr>
          <w:p w14:paraId="1A1CF63C">
            <w:pPr>
              <w:keepNext/>
              <w:spacing w:line="360" w:lineRule="auto"/>
              <w:jc w:val="center"/>
              <w:rPr>
                <w:rFonts w:hint="eastAsia" w:ascii="宋体" w:hAnsi="宋体" w:cs="宋体"/>
                <w:color w:val="000000"/>
                <w:szCs w:val="21"/>
              </w:rPr>
            </w:pPr>
          </w:p>
        </w:tc>
        <w:tc>
          <w:tcPr>
            <w:tcW w:w="1279" w:type="pct"/>
            <w:noWrap w:val="0"/>
            <w:vAlign w:val="center"/>
          </w:tcPr>
          <w:p w14:paraId="3EE936B3">
            <w:pPr>
              <w:keepNext/>
              <w:spacing w:line="360" w:lineRule="auto"/>
              <w:jc w:val="center"/>
              <w:rPr>
                <w:rFonts w:hint="eastAsia" w:ascii="宋体" w:hAnsi="宋体" w:cs="宋体"/>
                <w:color w:val="000000"/>
                <w:szCs w:val="21"/>
              </w:rPr>
            </w:pPr>
          </w:p>
        </w:tc>
        <w:tc>
          <w:tcPr>
            <w:tcW w:w="1153" w:type="pct"/>
            <w:noWrap w:val="0"/>
            <w:vAlign w:val="top"/>
          </w:tcPr>
          <w:p w14:paraId="6C7A8114">
            <w:pPr>
              <w:keepNext/>
              <w:spacing w:line="360" w:lineRule="auto"/>
              <w:jc w:val="center"/>
              <w:rPr>
                <w:rFonts w:hint="eastAsia" w:ascii="宋体" w:hAnsi="宋体" w:cs="宋体"/>
                <w:color w:val="000000"/>
                <w:szCs w:val="21"/>
              </w:rPr>
            </w:pPr>
          </w:p>
        </w:tc>
      </w:tr>
      <w:tr w14:paraId="3AF626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42FEF589">
            <w:pPr>
              <w:keepNext/>
              <w:spacing w:line="360" w:lineRule="auto"/>
              <w:jc w:val="center"/>
              <w:rPr>
                <w:rFonts w:hint="eastAsia" w:ascii="宋体" w:hAnsi="宋体" w:cs="宋体"/>
                <w:color w:val="000000"/>
                <w:szCs w:val="21"/>
              </w:rPr>
            </w:pPr>
          </w:p>
        </w:tc>
        <w:tc>
          <w:tcPr>
            <w:tcW w:w="627" w:type="pct"/>
            <w:noWrap w:val="0"/>
            <w:vAlign w:val="center"/>
          </w:tcPr>
          <w:p w14:paraId="2563C757">
            <w:pPr>
              <w:keepNext/>
              <w:spacing w:line="360" w:lineRule="auto"/>
              <w:jc w:val="center"/>
              <w:rPr>
                <w:rFonts w:hint="eastAsia" w:ascii="宋体" w:hAnsi="宋体" w:cs="宋体"/>
                <w:color w:val="000000"/>
                <w:szCs w:val="21"/>
              </w:rPr>
            </w:pPr>
          </w:p>
        </w:tc>
        <w:tc>
          <w:tcPr>
            <w:tcW w:w="502" w:type="pct"/>
            <w:noWrap w:val="0"/>
            <w:vAlign w:val="center"/>
          </w:tcPr>
          <w:p w14:paraId="5E0EFFB0">
            <w:pPr>
              <w:keepNext/>
              <w:spacing w:line="360" w:lineRule="auto"/>
              <w:jc w:val="center"/>
              <w:rPr>
                <w:rFonts w:hint="eastAsia" w:ascii="宋体" w:hAnsi="宋体" w:cs="宋体"/>
                <w:color w:val="000000"/>
                <w:szCs w:val="21"/>
              </w:rPr>
            </w:pPr>
          </w:p>
        </w:tc>
        <w:tc>
          <w:tcPr>
            <w:tcW w:w="502" w:type="pct"/>
            <w:noWrap w:val="0"/>
            <w:vAlign w:val="center"/>
          </w:tcPr>
          <w:p w14:paraId="590DA1A1">
            <w:pPr>
              <w:keepNext/>
              <w:spacing w:line="360" w:lineRule="auto"/>
              <w:jc w:val="center"/>
              <w:rPr>
                <w:rFonts w:hint="eastAsia" w:ascii="宋体" w:hAnsi="宋体" w:cs="宋体"/>
                <w:color w:val="000000"/>
                <w:szCs w:val="21"/>
              </w:rPr>
            </w:pPr>
          </w:p>
        </w:tc>
        <w:tc>
          <w:tcPr>
            <w:tcW w:w="1279" w:type="pct"/>
            <w:noWrap w:val="0"/>
            <w:vAlign w:val="center"/>
          </w:tcPr>
          <w:p w14:paraId="084253EC">
            <w:pPr>
              <w:keepNext/>
              <w:spacing w:line="360" w:lineRule="auto"/>
              <w:jc w:val="center"/>
              <w:rPr>
                <w:rFonts w:hint="eastAsia" w:ascii="宋体" w:hAnsi="宋体" w:cs="宋体"/>
                <w:color w:val="000000"/>
                <w:szCs w:val="21"/>
              </w:rPr>
            </w:pPr>
          </w:p>
        </w:tc>
        <w:tc>
          <w:tcPr>
            <w:tcW w:w="1153" w:type="pct"/>
            <w:noWrap w:val="0"/>
            <w:vAlign w:val="top"/>
          </w:tcPr>
          <w:p w14:paraId="0A5B7642">
            <w:pPr>
              <w:keepNext/>
              <w:spacing w:line="360" w:lineRule="auto"/>
              <w:jc w:val="center"/>
              <w:rPr>
                <w:rFonts w:hint="eastAsia" w:ascii="宋体" w:hAnsi="宋体" w:cs="宋体"/>
                <w:color w:val="000000"/>
                <w:szCs w:val="21"/>
              </w:rPr>
            </w:pPr>
          </w:p>
        </w:tc>
      </w:tr>
      <w:tr w14:paraId="61002E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71D9F812">
            <w:pPr>
              <w:keepNext/>
              <w:spacing w:line="360" w:lineRule="auto"/>
              <w:jc w:val="center"/>
              <w:rPr>
                <w:rFonts w:hint="eastAsia" w:ascii="宋体" w:hAnsi="宋体" w:cs="宋体"/>
                <w:color w:val="000000"/>
                <w:szCs w:val="21"/>
              </w:rPr>
            </w:pPr>
          </w:p>
        </w:tc>
        <w:tc>
          <w:tcPr>
            <w:tcW w:w="627" w:type="pct"/>
            <w:noWrap w:val="0"/>
            <w:vAlign w:val="center"/>
          </w:tcPr>
          <w:p w14:paraId="5AF8903D">
            <w:pPr>
              <w:keepNext/>
              <w:spacing w:line="360" w:lineRule="auto"/>
              <w:jc w:val="center"/>
              <w:rPr>
                <w:rFonts w:hint="eastAsia" w:ascii="宋体" w:hAnsi="宋体" w:cs="宋体"/>
                <w:color w:val="000000"/>
                <w:szCs w:val="21"/>
              </w:rPr>
            </w:pPr>
          </w:p>
        </w:tc>
        <w:tc>
          <w:tcPr>
            <w:tcW w:w="502" w:type="pct"/>
            <w:noWrap w:val="0"/>
            <w:vAlign w:val="center"/>
          </w:tcPr>
          <w:p w14:paraId="2381383C">
            <w:pPr>
              <w:keepNext/>
              <w:spacing w:line="360" w:lineRule="auto"/>
              <w:jc w:val="center"/>
              <w:rPr>
                <w:rFonts w:hint="eastAsia" w:ascii="宋体" w:hAnsi="宋体" w:cs="宋体"/>
                <w:color w:val="000000"/>
                <w:szCs w:val="21"/>
              </w:rPr>
            </w:pPr>
          </w:p>
        </w:tc>
        <w:tc>
          <w:tcPr>
            <w:tcW w:w="502" w:type="pct"/>
            <w:noWrap w:val="0"/>
            <w:vAlign w:val="center"/>
          </w:tcPr>
          <w:p w14:paraId="334262CB">
            <w:pPr>
              <w:keepNext/>
              <w:spacing w:line="360" w:lineRule="auto"/>
              <w:jc w:val="center"/>
              <w:rPr>
                <w:rFonts w:hint="eastAsia" w:ascii="宋体" w:hAnsi="宋体" w:cs="宋体"/>
                <w:color w:val="000000"/>
                <w:szCs w:val="21"/>
              </w:rPr>
            </w:pPr>
          </w:p>
        </w:tc>
        <w:tc>
          <w:tcPr>
            <w:tcW w:w="1279" w:type="pct"/>
            <w:noWrap w:val="0"/>
            <w:vAlign w:val="center"/>
          </w:tcPr>
          <w:p w14:paraId="64D1BC0E">
            <w:pPr>
              <w:keepNext/>
              <w:spacing w:line="360" w:lineRule="auto"/>
              <w:jc w:val="center"/>
              <w:rPr>
                <w:rFonts w:hint="eastAsia" w:ascii="宋体" w:hAnsi="宋体" w:cs="宋体"/>
                <w:color w:val="000000"/>
                <w:szCs w:val="21"/>
              </w:rPr>
            </w:pPr>
          </w:p>
        </w:tc>
        <w:tc>
          <w:tcPr>
            <w:tcW w:w="1153" w:type="pct"/>
            <w:noWrap w:val="0"/>
            <w:vAlign w:val="top"/>
          </w:tcPr>
          <w:p w14:paraId="66513B11">
            <w:pPr>
              <w:keepNext/>
              <w:spacing w:line="360" w:lineRule="auto"/>
              <w:jc w:val="center"/>
              <w:rPr>
                <w:rFonts w:hint="eastAsia" w:ascii="宋体" w:hAnsi="宋体" w:cs="宋体"/>
                <w:color w:val="000000"/>
                <w:szCs w:val="21"/>
              </w:rPr>
            </w:pPr>
          </w:p>
        </w:tc>
      </w:tr>
      <w:tr w14:paraId="23898B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tcBorders>
              <w:bottom w:val="single" w:color="auto" w:sz="12" w:space="0"/>
            </w:tcBorders>
            <w:noWrap w:val="0"/>
            <w:vAlign w:val="center"/>
          </w:tcPr>
          <w:p w14:paraId="6247C18C">
            <w:pPr>
              <w:keepNext/>
              <w:spacing w:line="360" w:lineRule="auto"/>
              <w:jc w:val="center"/>
              <w:rPr>
                <w:rFonts w:hint="eastAsia" w:ascii="宋体" w:hAnsi="宋体" w:cs="宋体"/>
                <w:color w:val="000000"/>
                <w:szCs w:val="21"/>
              </w:rPr>
            </w:pPr>
          </w:p>
        </w:tc>
        <w:tc>
          <w:tcPr>
            <w:tcW w:w="627" w:type="pct"/>
            <w:tcBorders>
              <w:bottom w:val="single" w:color="auto" w:sz="12" w:space="0"/>
            </w:tcBorders>
            <w:noWrap w:val="0"/>
            <w:vAlign w:val="center"/>
          </w:tcPr>
          <w:p w14:paraId="57E46C66">
            <w:pPr>
              <w:keepNext/>
              <w:spacing w:line="360" w:lineRule="auto"/>
              <w:jc w:val="center"/>
              <w:rPr>
                <w:rFonts w:hint="eastAsia" w:ascii="宋体" w:hAnsi="宋体" w:cs="宋体"/>
                <w:color w:val="000000"/>
                <w:szCs w:val="21"/>
              </w:rPr>
            </w:pPr>
          </w:p>
        </w:tc>
        <w:tc>
          <w:tcPr>
            <w:tcW w:w="502" w:type="pct"/>
            <w:tcBorders>
              <w:bottom w:val="single" w:color="auto" w:sz="12" w:space="0"/>
            </w:tcBorders>
            <w:noWrap w:val="0"/>
            <w:vAlign w:val="center"/>
          </w:tcPr>
          <w:p w14:paraId="2BA70D54">
            <w:pPr>
              <w:keepNext/>
              <w:spacing w:line="360" w:lineRule="auto"/>
              <w:jc w:val="center"/>
              <w:rPr>
                <w:rFonts w:hint="eastAsia" w:ascii="宋体" w:hAnsi="宋体" w:cs="宋体"/>
                <w:color w:val="000000"/>
                <w:szCs w:val="21"/>
              </w:rPr>
            </w:pPr>
          </w:p>
        </w:tc>
        <w:tc>
          <w:tcPr>
            <w:tcW w:w="502" w:type="pct"/>
            <w:tcBorders>
              <w:bottom w:val="single" w:color="auto" w:sz="12" w:space="0"/>
            </w:tcBorders>
            <w:noWrap w:val="0"/>
            <w:vAlign w:val="center"/>
          </w:tcPr>
          <w:p w14:paraId="469E5BAF">
            <w:pPr>
              <w:keepNext/>
              <w:spacing w:line="360" w:lineRule="auto"/>
              <w:jc w:val="center"/>
              <w:rPr>
                <w:rFonts w:hint="eastAsia" w:ascii="宋体" w:hAnsi="宋体" w:cs="宋体"/>
                <w:color w:val="000000"/>
                <w:szCs w:val="21"/>
              </w:rPr>
            </w:pPr>
          </w:p>
        </w:tc>
        <w:tc>
          <w:tcPr>
            <w:tcW w:w="1279" w:type="pct"/>
            <w:tcBorders>
              <w:bottom w:val="single" w:color="auto" w:sz="12" w:space="0"/>
            </w:tcBorders>
            <w:noWrap w:val="0"/>
            <w:vAlign w:val="center"/>
          </w:tcPr>
          <w:p w14:paraId="76D6B892">
            <w:pPr>
              <w:keepNext/>
              <w:spacing w:line="360" w:lineRule="auto"/>
              <w:jc w:val="center"/>
              <w:rPr>
                <w:rFonts w:hint="eastAsia" w:ascii="宋体" w:hAnsi="宋体" w:cs="宋体"/>
                <w:color w:val="000000"/>
                <w:szCs w:val="21"/>
              </w:rPr>
            </w:pPr>
          </w:p>
        </w:tc>
        <w:tc>
          <w:tcPr>
            <w:tcW w:w="1153" w:type="pct"/>
            <w:tcBorders>
              <w:bottom w:val="single" w:color="auto" w:sz="12" w:space="0"/>
            </w:tcBorders>
            <w:noWrap w:val="0"/>
            <w:vAlign w:val="top"/>
          </w:tcPr>
          <w:p w14:paraId="5CBA14AA">
            <w:pPr>
              <w:keepNext/>
              <w:spacing w:line="360" w:lineRule="auto"/>
              <w:jc w:val="center"/>
              <w:rPr>
                <w:rFonts w:hint="eastAsia" w:ascii="宋体" w:hAnsi="宋体" w:cs="宋体"/>
                <w:color w:val="000000"/>
                <w:szCs w:val="21"/>
              </w:rPr>
            </w:pPr>
          </w:p>
        </w:tc>
      </w:tr>
    </w:tbl>
    <w:p w14:paraId="57AEE2E7">
      <w:pPr>
        <w:keepNext/>
        <w:keepLines/>
        <w:spacing w:before="120" w:after="120" w:line="360" w:lineRule="auto"/>
        <w:jc w:val="left"/>
        <w:outlineLvl w:val="2"/>
        <w:rPr>
          <w:rFonts w:hint="eastAsia" w:ascii="宋体" w:hAnsi="宋体" w:cs="宋体"/>
          <w:bCs/>
          <w:color w:val="000000"/>
          <w:sz w:val="24"/>
        </w:rPr>
      </w:pPr>
      <w:r>
        <w:rPr>
          <w:rFonts w:hint="eastAsia" w:ascii="宋体" w:hAnsi="宋体" w:cs="宋体"/>
          <w:bCs/>
          <w:color w:val="000000"/>
          <w:sz w:val="24"/>
        </w:rPr>
        <w:br w:type="page"/>
      </w:r>
      <w:bookmarkStart w:id="887" w:name="_Toc95223493"/>
      <w:r>
        <w:rPr>
          <w:rFonts w:hint="eastAsia" w:ascii="宋体" w:hAnsi="宋体" w:cs="宋体"/>
          <w:bCs/>
          <w:color w:val="000000"/>
          <w:sz w:val="24"/>
        </w:rPr>
        <w:t>附</w:t>
      </w:r>
      <w:bookmarkStart w:id="888" w:name="_Toc296944568"/>
      <w:bookmarkStart w:id="889" w:name="_Toc296347228"/>
      <w:bookmarkStart w:id="890" w:name="_Toc296503229"/>
      <w:bookmarkStart w:id="891" w:name="_Toc296346730"/>
      <w:bookmarkStart w:id="892" w:name="_Toc296891269"/>
      <w:bookmarkStart w:id="893" w:name="_Toc296891057"/>
      <w:r>
        <w:rPr>
          <w:rFonts w:hint="eastAsia" w:ascii="宋体" w:hAnsi="宋体" w:cs="宋体"/>
          <w:bCs/>
          <w:color w:val="000000"/>
          <w:sz w:val="24"/>
        </w:rPr>
        <w:t>件7：分包人主要施工管理人员表</w:t>
      </w:r>
      <w:bookmarkEnd w:id="887"/>
    </w:p>
    <w:bookmarkEnd w:id="888"/>
    <w:bookmarkEnd w:id="889"/>
    <w:bookmarkEnd w:id="890"/>
    <w:bookmarkEnd w:id="891"/>
    <w:bookmarkEnd w:id="892"/>
    <w:bookmarkEnd w:id="893"/>
    <w:p w14:paraId="18407CBC">
      <w:pPr>
        <w:spacing w:before="120" w:beforeLines="50" w:after="120" w:afterLines="50" w:line="360" w:lineRule="auto"/>
        <w:jc w:val="center"/>
        <w:rPr>
          <w:rFonts w:hint="eastAsia" w:ascii="宋体" w:hAnsi="宋体" w:cs="宋体"/>
          <w:b/>
          <w:color w:val="000000"/>
          <w:szCs w:val="21"/>
        </w:rPr>
      </w:pPr>
      <w:bookmarkStart w:id="894" w:name="_Toc22101"/>
      <w:bookmarkStart w:id="895" w:name="_Toc95223494"/>
      <w:bookmarkStart w:id="896" w:name="_Toc179"/>
      <w:r>
        <w:rPr>
          <w:rFonts w:hint="eastAsia" w:ascii="宋体" w:hAnsi="宋体" w:cs="宋体"/>
          <w:b/>
          <w:color w:val="000000"/>
          <w:szCs w:val="21"/>
        </w:rPr>
        <w:t>分包人主要施工管理人员表</w:t>
      </w:r>
      <w:bookmarkEnd w:id="894"/>
      <w:bookmarkEnd w:id="895"/>
      <w:bookmarkEnd w:id="896"/>
    </w:p>
    <w:tbl>
      <w:tblPr>
        <w:tblStyle w:val="47"/>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525"/>
        <w:gridCol w:w="1156"/>
        <w:gridCol w:w="925"/>
        <w:gridCol w:w="674"/>
        <w:gridCol w:w="3119"/>
        <w:gridCol w:w="1616"/>
      </w:tblGrid>
      <w:tr w14:paraId="6C4D1B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Borders>
              <w:top w:val="single" w:color="auto" w:sz="12" w:space="0"/>
              <w:bottom w:val="double" w:color="auto" w:sz="6" w:space="0"/>
            </w:tcBorders>
            <w:noWrap w:val="0"/>
            <w:vAlign w:val="center"/>
          </w:tcPr>
          <w:p w14:paraId="26146530">
            <w:pPr>
              <w:keepNext/>
              <w:spacing w:line="360" w:lineRule="auto"/>
              <w:jc w:val="center"/>
              <w:rPr>
                <w:rFonts w:hint="eastAsia" w:ascii="宋体" w:hAnsi="宋体" w:cs="宋体"/>
                <w:color w:val="000000"/>
                <w:szCs w:val="21"/>
              </w:rPr>
            </w:pPr>
            <w:r>
              <w:rPr>
                <w:rFonts w:hint="eastAsia" w:ascii="宋体" w:hAnsi="宋体" w:cs="宋体"/>
                <w:color w:val="000000"/>
                <w:szCs w:val="21"/>
              </w:rPr>
              <w:t>名    称</w:t>
            </w:r>
          </w:p>
        </w:tc>
        <w:tc>
          <w:tcPr>
            <w:tcW w:w="641" w:type="pct"/>
            <w:tcBorders>
              <w:top w:val="single" w:color="auto" w:sz="12" w:space="0"/>
              <w:bottom w:val="double" w:color="auto" w:sz="6" w:space="0"/>
            </w:tcBorders>
            <w:noWrap w:val="0"/>
            <w:vAlign w:val="center"/>
          </w:tcPr>
          <w:p w14:paraId="32B89496">
            <w:pPr>
              <w:keepNext/>
              <w:spacing w:line="360" w:lineRule="auto"/>
              <w:jc w:val="center"/>
              <w:rPr>
                <w:rFonts w:hint="eastAsia" w:ascii="宋体" w:hAnsi="宋体" w:cs="宋体"/>
                <w:color w:val="000000"/>
                <w:szCs w:val="21"/>
              </w:rPr>
            </w:pPr>
            <w:r>
              <w:rPr>
                <w:rFonts w:hint="eastAsia" w:ascii="宋体" w:hAnsi="宋体" w:cs="宋体"/>
                <w:color w:val="000000"/>
                <w:szCs w:val="21"/>
              </w:rPr>
              <w:t>姓名</w:t>
            </w:r>
          </w:p>
        </w:tc>
        <w:tc>
          <w:tcPr>
            <w:tcW w:w="513" w:type="pct"/>
            <w:tcBorders>
              <w:top w:val="single" w:color="auto" w:sz="12" w:space="0"/>
              <w:bottom w:val="double" w:color="auto" w:sz="6" w:space="0"/>
            </w:tcBorders>
            <w:noWrap w:val="0"/>
            <w:vAlign w:val="center"/>
          </w:tcPr>
          <w:p w14:paraId="4433EF6B">
            <w:pPr>
              <w:keepNext/>
              <w:spacing w:line="360" w:lineRule="auto"/>
              <w:jc w:val="center"/>
              <w:rPr>
                <w:rFonts w:hint="eastAsia" w:ascii="宋体" w:hAnsi="宋体" w:cs="宋体"/>
                <w:color w:val="000000"/>
                <w:szCs w:val="21"/>
              </w:rPr>
            </w:pPr>
            <w:r>
              <w:rPr>
                <w:rFonts w:hint="eastAsia" w:ascii="宋体" w:hAnsi="宋体" w:cs="宋体"/>
                <w:color w:val="000000"/>
                <w:szCs w:val="21"/>
              </w:rPr>
              <w:t>职务</w:t>
            </w:r>
          </w:p>
        </w:tc>
        <w:tc>
          <w:tcPr>
            <w:tcW w:w="374" w:type="pct"/>
            <w:tcBorders>
              <w:top w:val="single" w:color="auto" w:sz="12" w:space="0"/>
              <w:bottom w:val="double" w:color="auto" w:sz="6" w:space="0"/>
            </w:tcBorders>
            <w:noWrap w:val="0"/>
            <w:vAlign w:val="center"/>
          </w:tcPr>
          <w:p w14:paraId="6E5E4C77">
            <w:pPr>
              <w:keepNext/>
              <w:spacing w:line="360" w:lineRule="auto"/>
              <w:jc w:val="center"/>
              <w:rPr>
                <w:rFonts w:hint="eastAsia" w:ascii="宋体" w:hAnsi="宋体" w:cs="宋体"/>
                <w:color w:val="000000"/>
                <w:szCs w:val="21"/>
              </w:rPr>
            </w:pPr>
            <w:r>
              <w:rPr>
                <w:rFonts w:hint="eastAsia" w:ascii="宋体" w:hAnsi="宋体" w:cs="宋体"/>
                <w:color w:val="000000"/>
                <w:szCs w:val="21"/>
              </w:rPr>
              <w:t>职称</w:t>
            </w:r>
          </w:p>
        </w:tc>
        <w:tc>
          <w:tcPr>
            <w:tcW w:w="1730" w:type="pct"/>
            <w:tcBorders>
              <w:top w:val="single" w:color="auto" w:sz="12" w:space="0"/>
              <w:bottom w:val="double" w:color="auto" w:sz="6" w:space="0"/>
            </w:tcBorders>
            <w:noWrap w:val="0"/>
            <w:vAlign w:val="center"/>
          </w:tcPr>
          <w:p w14:paraId="3E545CD0">
            <w:pPr>
              <w:keepNext/>
              <w:spacing w:line="360" w:lineRule="auto"/>
              <w:jc w:val="center"/>
              <w:rPr>
                <w:rFonts w:hint="eastAsia" w:ascii="宋体" w:hAnsi="宋体" w:cs="宋体"/>
                <w:color w:val="000000"/>
                <w:szCs w:val="21"/>
              </w:rPr>
            </w:pPr>
            <w:r>
              <w:rPr>
                <w:rFonts w:hint="eastAsia" w:ascii="宋体" w:hAnsi="宋体" w:cs="宋体"/>
                <w:color w:val="000000"/>
                <w:szCs w:val="21"/>
              </w:rPr>
              <w:t>主要资历、经验及承担过的项目</w:t>
            </w:r>
          </w:p>
        </w:tc>
        <w:tc>
          <w:tcPr>
            <w:tcW w:w="896" w:type="pct"/>
            <w:tcBorders>
              <w:top w:val="single" w:color="auto" w:sz="12" w:space="0"/>
              <w:bottom w:val="double" w:color="auto" w:sz="6" w:space="0"/>
            </w:tcBorders>
            <w:noWrap w:val="0"/>
            <w:vAlign w:val="center"/>
          </w:tcPr>
          <w:p w14:paraId="1DD3F435">
            <w:pPr>
              <w:keepNext/>
              <w:spacing w:line="360" w:lineRule="auto"/>
              <w:jc w:val="center"/>
              <w:rPr>
                <w:rFonts w:hint="eastAsia" w:ascii="宋体" w:hAnsi="宋体" w:cs="宋体"/>
                <w:color w:val="000000"/>
                <w:szCs w:val="21"/>
              </w:rPr>
            </w:pPr>
            <w:r>
              <w:rPr>
                <w:rFonts w:hint="eastAsia" w:ascii="宋体" w:hAnsi="宋体" w:cs="宋体"/>
                <w:color w:val="000000"/>
                <w:szCs w:val="21"/>
              </w:rPr>
              <w:t>身份证号码</w:t>
            </w:r>
          </w:p>
        </w:tc>
      </w:tr>
      <w:tr w14:paraId="230222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104" w:type="pct"/>
            <w:gridSpan w:val="5"/>
            <w:tcBorders>
              <w:top w:val="double" w:color="auto" w:sz="6" w:space="0"/>
            </w:tcBorders>
            <w:noWrap w:val="0"/>
            <w:vAlign w:val="center"/>
          </w:tcPr>
          <w:p w14:paraId="1A3FAA52">
            <w:pPr>
              <w:keepNext/>
              <w:spacing w:line="360" w:lineRule="auto"/>
              <w:rPr>
                <w:rFonts w:hint="eastAsia" w:ascii="宋体" w:hAnsi="宋体" w:cs="宋体"/>
                <w:color w:val="000000"/>
                <w:szCs w:val="21"/>
              </w:rPr>
            </w:pPr>
            <w:r>
              <w:rPr>
                <w:rFonts w:hint="eastAsia" w:ascii="宋体" w:hAnsi="宋体" w:cs="宋体"/>
                <w:color w:val="000000"/>
                <w:szCs w:val="21"/>
              </w:rPr>
              <w:t>一、总部人员</w:t>
            </w:r>
          </w:p>
        </w:tc>
        <w:tc>
          <w:tcPr>
            <w:tcW w:w="896" w:type="pct"/>
            <w:tcBorders>
              <w:top w:val="double" w:color="auto" w:sz="6" w:space="0"/>
            </w:tcBorders>
            <w:noWrap w:val="0"/>
            <w:vAlign w:val="top"/>
          </w:tcPr>
          <w:p w14:paraId="75739233">
            <w:pPr>
              <w:keepNext/>
              <w:spacing w:line="360" w:lineRule="auto"/>
              <w:rPr>
                <w:rFonts w:hint="eastAsia" w:ascii="宋体" w:hAnsi="宋体" w:cs="宋体"/>
                <w:color w:val="000000"/>
                <w:szCs w:val="21"/>
              </w:rPr>
            </w:pPr>
          </w:p>
        </w:tc>
      </w:tr>
      <w:tr w14:paraId="75DEDD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Borders>
              <w:top w:val="nil"/>
              <w:bottom w:val="nil"/>
            </w:tcBorders>
            <w:noWrap w:val="0"/>
            <w:vAlign w:val="center"/>
          </w:tcPr>
          <w:p w14:paraId="3D94AE54">
            <w:pPr>
              <w:keepNext/>
              <w:spacing w:line="360" w:lineRule="auto"/>
              <w:rPr>
                <w:rFonts w:hint="eastAsia" w:ascii="宋体" w:hAnsi="宋体" w:cs="宋体"/>
                <w:color w:val="000000"/>
                <w:szCs w:val="21"/>
              </w:rPr>
            </w:pPr>
            <w:r>
              <w:rPr>
                <w:rFonts w:hint="eastAsia" w:ascii="宋体" w:hAnsi="宋体" w:cs="宋体"/>
                <w:color w:val="000000"/>
                <w:szCs w:val="21"/>
              </w:rPr>
              <w:t>项目主管</w:t>
            </w:r>
          </w:p>
        </w:tc>
        <w:tc>
          <w:tcPr>
            <w:tcW w:w="641" w:type="pct"/>
            <w:tcBorders>
              <w:top w:val="nil"/>
            </w:tcBorders>
            <w:noWrap w:val="0"/>
            <w:vAlign w:val="center"/>
          </w:tcPr>
          <w:p w14:paraId="54095929">
            <w:pPr>
              <w:keepNext/>
              <w:spacing w:line="360" w:lineRule="auto"/>
              <w:rPr>
                <w:rFonts w:hint="eastAsia" w:ascii="宋体" w:hAnsi="宋体" w:cs="宋体"/>
                <w:color w:val="000000"/>
                <w:szCs w:val="21"/>
              </w:rPr>
            </w:pPr>
          </w:p>
        </w:tc>
        <w:tc>
          <w:tcPr>
            <w:tcW w:w="513" w:type="pct"/>
            <w:tcBorders>
              <w:top w:val="nil"/>
            </w:tcBorders>
            <w:noWrap w:val="0"/>
            <w:vAlign w:val="center"/>
          </w:tcPr>
          <w:p w14:paraId="36C3E486">
            <w:pPr>
              <w:keepNext/>
              <w:spacing w:line="360" w:lineRule="auto"/>
              <w:rPr>
                <w:rFonts w:hint="eastAsia" w:ascii="宋体" w:hAnsi="宋体" w:cs="宋体"/>
                <w:color w:val="000000"/>
                <w:szCs w:val="21"/>
              </w:rPr>
            </w:pPr>
          </w:p>
        </w:tc>
        <w:tc>
          <w:tcPr>
            <w:tcW w:w="374" w:type="pct"/>
            <w:tcBorders>
              <w:top w:val="nil"/>
            </w:tcBorders>
            <w:noWrap w:val="0"/>
            <w:vAlign w:val="center"/>
          </w:tcPr>
          <w:p w14:paraId="1FF383DD">
            <w:pPr>
              <w:keepNext/>
              <w:spacing w:line="360" w:lineRule="auto"/>
              <w:rPr>
                <w:rFonts w:hint="eastAsia" w:ascii="宋体" w:hAnsi="宋体" w:cs="宋体"/>
                <w:color w:val="000000"/>
                <w:szCs w:val="21"/>
              </w:rPr>
            </w:pPr>
          </w:p>
        </w:tc>
        <w:tc>
          <w:tcPr>
            <w:tcW w:w="1730" w:type="pct"/>
            <w:tcBorders>
              <w:top w:val="nil"/>
            </w:tcBorders>
            <w:noWrap w:val="0"/>
            <w:vAlign w:val="center"/>
          </w:tcPr>
          <w:p w14:paraId="4E1A9B7B">
            <w:pPr>
              <w:keepNext/>
              <w:spacing w:line="360" w:lineRule="auto"/>
              <w:rPr>
                <w:rFonts w:hint="eastAsia" w:ascii="宋体" w:hAnsi="宋体" w:cs="宋体"/>
                <w:color w:val="000000"/>
                <w:szCs w:val="21"/>
              </w:rPr>
            </w:pPr>
          </w:p>
        </w:tc>
        <w:tc>
          <w:tcPr>
            <w:tcW w:w="896" w:type="pct"/>
            <w:tcBorders>
              <w:top w:val="nil"/>
            </w:tcBorders>
            <w:noWrap w:val="0"/>
            <w:vAlign w:val="top"/>
          </w:tcPr>
          <w:p w14:paraId="6C13F00B">
            <w:pPr>
              <w:keepNext/>
              <w:spacing w:line="360" w:lineRule="auto"/>
              <w:rPr>
                <w:rFonts w:hint="eastAsia" w:ascii="宋体" w:hAnsi="宋体" w:cs="宋体"/>
                <w:color w:val="000000"/>
                <w:szCs w:val="21"/>
              </w:rPr>
            </w:pPr>
          </w:p>
        </w:tc>
      </w:tr>
      <w:tr w14:paraId="6EA6ED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Borders>
              <w:bottom w:val="nil"/>
            </w:tcBorders>
            <w:noWrap w:val="0"/>
            <w:vAlign w:val="center"/>
          </w:tcPr>
          <w:p w14:paraId="4CCC8DFC">
            <w:pPr>
              <w:keepNext/>
              <w:spacing w:line="360" w:lineRule="auto"/>
              <w:rPr>
                <w:rFonts w:hint="eastAsia" w:ascii="宋体" w:hAnsi="宋体" w:cs="宋体"/>
                <w:color w:val="000000"/>
                <w:szCs w:val="21"/>
              </w:rPr>
            </w:pPr>
          </w:p>
        </w:tc>
        <w:tc>
          <w:tcPr>
            <w:tcW w:w="641" w:type="pct"/>
            <w:noWrap w:val="0"/>
            <w:vAlign w:val="center"/>
          </w:tcPr>
          <w:p w14:paraId="53F18643">
            <w:pPr>
              <w:keepNext/>
              <w:spacing w:line="360" w:lineRule="auto"/>
              <w:rPr>
                <w:rFonts w:hint="eastAsia" w:ascii="宋体" w:hAnsi="宋体" w:cs="宋体"/>
                <w:color w:val="000000"/>
                <w:szCs w:val="21"/>
              </w:rPr>
            </w:pPr>
          </w:p>
        </w:tc>
        <w:tc>
          <w:tcPr>
            <w:tcW w:w="513" w:type="pct"/>
            <w:noWrap w:val="0"/>
            <w:vAlign w:val="center"/>
          </w:tcPr>
          <w:p w14:paraId="117B61F3">
            <w:pPr>
              <w:keepNext/>
              <w:spacing w:line="360" w:lineRule="auto"/>
              <w:rPr>
                <w:rFonts w:hint="eastAsia" w:ascii="宋体" w:hAnsi="宋体" w:cs="宋体"/>
                <w:color w:val="000000"/>
                <w:szCs w:val="21"/>
              </w:rPr>
            </w:pPr>
          </w:p>
        </w:tc>
        <w:tc>
          <w:tcPr>
            <w:tcW w:w="374" w:type="pct"/>
            <w:noWrap w:val="0"/>
            <w:vAlign w:val="center"/>
          </w:tcPr>
          <w:p w14:paraId="51694BBE">
            <w:pPr>
              <w:keepNext/>
              <w:spacing w:line="360" w:lineRule="auto"/>
              <w:rPr>
                <w:rFonts w:hint="eastAsia" w:ascii="宋体" w:hAnsi="宋体" w:cs="宋体"/>
                <w:color w:val="000000"/>
                <w:szCs w:val="21"/>
              </w:rPr>
            </w:pPr>
          </w:p>
        </w:tc>
        <w:tc>
          <w:tcPr>
            <w:tcW w:w="1730" w:type="pct"/>
            <w:noWrap w:val="0"/>
            <w:vAlign w:val="center"/>
          </w:tcPr>
          <w:p w14:paraId="187F19DB">
            <w:pPr>
              <w:keepNext/>
              <w:spacing w:line="360" w:lineRule="auto"/>
              <w:rPr>
                <w:rFonts w:hint="eastAsia" w:ascii="宋体" w:hAnsi="宋体" w:cs="宋体"/>
                <w:color w:val="000000"/>
                <w:szCs w:val="21"/>
              </w:rPr>
            </w:pPr>
          </w:p>
        </w:tc>
        <w:tc>
          <w:tcPr>
            <w:tcW w:w="896" w:type="pct"/>
            <w:noWrap w:val="0"/>
            <w:vAlign w:val="top"/>
          </w:tcPr>
          <w:p w14:paraId="2250A50C">
            <w:pPr>
              <w:keepNext/>
              <w:spacing w:line="360" w:lineRule="auto"/>
              <w:rPr>
                <w:rFonts w:hint="eastAsia" w:ascii="宋体" w:hAnsi="宋体" w:cs="宋体"/>
                <w:color w:val="000000"/>
                <w:szCs w:val="21"/>
              </w:rPr>
            </w:pPr>
          </w:p>
        </w:tc>
      </w:tr>
      <w:tr w14:paraId="7583E2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Borders>
              <w:top w:val="nil"/>
              <w:bottom w:val="nil"/>
            </w:tcBorders>
            <w:noWrap w:val="0"/>
            <w:vAlign w:val="center"/>
          </w:tcPr>
          <w:p w14:paraId="0692C0CB">
            <w:pPr>
              <w:keepNext/>
              <w:spacing w:line="360" w:lineRule="auto"/>
              <w:rPr>
                <w:rFonts w:hint="eastAsia" w:ascii="宋体" w:hAnsi="宋体" w:cs="宋体"/>
                <w:color w:val="000000"/>
                <w:szCs w:val="21"/>
              </w:rPr>
            </w:pPr>
            <w:r>
              <w:rPr>
                <w:rFonts w:hint="eastAsia" w:ascii="宋体" w:hAnsi="宋体" w:cs="宋体"/>
                <w:color w:val="000000"/>
                <w:szCs w:val="21"/>
              </w:rPr>
              <w:t>其他人员</w:t>
            </w:r>
          </w:p>
        </w:tc>
        <w:tc>
          <w:tcPr>
            <w:tcW w:w="641" w:type="pct"/>
            <w:noWrap w:val="0"/>
            <w:vAlign w:val="center"/>
          </w:tcPr>
          <w:p w14:paraId="30DD3A9B">
            <w:pPr>
              <w:keepNext/>
              <w:spacing w:line="360" w:lineRule="auto"/>
              <w:rPr>
                <w:rFonts w:hint="eastAsia" w:ascii="宋体" w:hAnsi="宋体" w:cs="宋体"/>
                <w:color w:val="000000"/>
                <w:szCs w:val="21"/>
              </w:rPr>
            </w:pPr>
          </w:p>
        </w:tc>
        <w:tc>
          <w:tcPr>
            <w:tcW w:w="513" w:type="pct"/>
            <w:noWrap w:val="0"/>
            <w:vAlign w:val="center"/>
          </w:tcPr>
          <w:p w14:paraId="5E0F0DF6">
            <w:pPr>
              <w:keepNext/>
              <w:spacing w:line="360" w:lineRule="auto"/>
              <w:rPr>
                <w:rFonts w:hint="eastAsia" w:ascii="宋体" w:hAnsi="宋体" w:cs="宋体"/>
                <w:color w:val="000000"/>
                <w:szCs w:val="21"/>
              </w:rPr>
            </w:pPr>
          </w:p>
        </w:tc>
        <w:tc>
          <w:tcPr>
            <w:tcW w:w="374" w:type="pct"/>
            <w:noWrap w:val="0"/>
            <w:vAlign w:val="center"/>
          </w:tcPr>
          <w:p w14:paraId="73E2BD67">
            <w:pPr>
              <w:keepNext/>
              <w:spacing w:line="360" w:lineRule="auto"/>
              <w:rPr>
                <w:rFonts w:hint="eastAsia" w:ascii="宋体" w:hAnsi="宋体" w:cs="宋体"/>
                <w:color w:val="000000"/>
                <w:szCs w:val="21"/>
              </w:rPr>
            </w:pPr>
          </w:p>
        </w:tc>
        <w:tc>
          <w:tcPr>
            <w:tcW w:w="1730" w:type="pct"/>
            <w:noWrap w:val="0"/>
            <w:vAlign w:val="center"/>
          </w:tcPr>
          <w:p w14:paraId="4A390DCF">
            <w:pPr>
              <w:keepNext/>
              <w:spacing w:line="360" w:lineRule="auto"/>
              <w:rPr>
                <w:rFonts w:hint="eastAsia" w:ascii="宋体" w:hAnsi="宋体" w:cs="宋体"/>
                <w:color w:val="000000"/>
                <w:szCs w:val="21"/>
              </w:rPr>
            </w:pPr>
          </w:p>
        </w:tc>
        <w:tc>
          <w:tcPr>
            <w:tcW w:w="896" w:type="pct"/>
            <w:noWrap w:val="0"/>
            <w:vAlign w:val="top"/>
          </w:tcPr>
          <w:p w14:paraId="0F479ED4">
            <w:pPr>
              <w:keepNext/>
              <w:spacing w:line="360" w:lineRule="auto"/>
              <w:rPr>
                <w:rFonts w:hint="eastAsia" w:ascii="宋体" w:hAnsi="宋体" w:cs="宋体"/>
                <w:color w:val="000000"/>
                <w:szCs w:val="21"/>
              </w:rPr>
            </w:pPr>
          </w:p>
        </w:tc>
      </w:tr>
      <w:tr w14:paraId="047007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Borders>
              <w:top w:val="nil"/>
              <w:bottom w:val="nil"/>
            </w:tcBorders>
            <w:noWrap w:val="0"/>
            <w:vAlign w:val="center"/>
          </w:tcPr>
          <w:p w14:paraId="25E5A08A">
            <w:pPr>
              <w:keepNext/>
              <w:spacing w:line="360" w:lineRule="auto"/>
              <w:rPr>
                <w:rFonts w:hint="eastAsia" w:ascii="宋体" w:hAnsi="宋体" w:cs="宋体"/>
                <w:color w:val="000000"/>
                <w:szCs w:val="21"/>
              </w:rPr>
            </w:pPr>
          </w:p>
        </w:tc>
        <w:tc>
          <w:tcPr>
            <w:tcW w:w="641" w:type="pct"/>
            <w:noWrap w:val="0"/>
            <w:vAlign w:val="center"/>
          </w:tcPr>
          <w:p w14:paraId="18558432">
            <w:pPr>
              <w:keepNext/>
              <w:spacing w:line="360" w:lineRule="auto"/>
              <w:rPr>
                <w:rFonts w:hint="eastAsia" w:ascii="宋体" w:hAnsi="宋体" w:cs="宋体"/>
                <w:color w:val="000000"/>
                <w:szCs w:val="21"/>
              </w:rPr>
            </w:pPr>
          </w:p>
        </w:tc>
        <w:tc>
          <w:tcPr>
            <w:tcW w:w="513" w:type="pct"/>
            <w:noWrap w:val="0"/>
            <w:vAlign w:val="center"/>
          </w:tcPr>
          <w:p w14:paraId="528EB0A3">
            <w:pPr>
              <w:keepNext/>
              <w:spacing w:line="360" w:lineRule="auto"/>
              <w:rPr>
                <w:rFonts w:hint="eastAsia" w:ascii="宋体" w:hAnsi="宋体" w:cs="宋体"/>
                <w:color w:val="000000"/>
                <w:szCs w:val="21"/>
              </w:rPr>
            </w:pPr>
          </w:p>
        </w:tc>
        <w:tc>
          <w:tcPr>
            <w:tcW w:w="374" w:type="pct"/>
            <w:noWrap w:val="0"/>
            <w:vAlign w:val="center"/>
          </w:tcPr>
          <w:p w14:paraId="1837A690">
            <w:pPr>
              <w:keepNext/>
              <w:spacing w:line="360" w:lineRule="auto"/>
              <w:rPr>
                <w:rFonts w:hint="eastAsia" w:ascii="宋体" w:hAnsi="宋体" w:cs="宋体"/>
                <w:color w:val="000000"/>
                <w:szCs w:val="21"/>
              </w:rPr>
            </w:pPr>
          </w:p>
        </w:tc>
        <w:tc>
          <w:tcPr>
            <w:tcW w:w="1730" w:type="pct"/>
            <w:noWrap w:val="0"/>
            <w:vAlign w:val="center"/>
          </w:tcPr>
          <w:p w14:paraId="6B995B68">
            <w:pPr>
              <w:keepNext/>
              <w:spacing w:line="360" w:lineRule="auto"/>
              <w:rPr>
                <w:rFonts w:hint="eastAsia" w:ascii="宋体" w:hAnsi="宋体" w:cs="宋体"/>
                <w:color w:val="000000"/>
                <w:szCs w:val="21"/>
              </w:rPr>
            </w:pPr>
          </w:p>
        </w:tc>
        <w:tc>
          <w:tcPr>
            <w:tcW w:w="896" w:type="pct"/>
            <w:noWrap w:val="0"/>
            <w:vAlign w:val="top"/>
          </w:tcPr>
          <w:p w14:paraId="418895D3">
            <w:pPr>
              <w:keepNext/>
              <w:spacing w:line="360" w:lineRule="auto"/>
              <w:rPr>
                <w:rFonts w:hint="eastAsia" w:ascii="宋体" w:hAnsi="宋体" w:cs="宋体"/>
                <w:color w:val="000000"/>
                <w:szCs w:val="21"/>
              </w:rPr>
            </w:pPr>
          </w:p>
        </w:tc>
      </w:tr>
      <w:tr w14:paraId="0F8CFC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104" w:type="pct"/>
            <w:gridSpan w:val="5"/>
            <w:noWrap w:val="0"/>
            <w:vAlign w:val="center"/>
          </w:tcPr>
          <w:p w14:paraId="1B97093F">
            <w:pPr>
              <w:keepNext/>
              <w:spacing w:line="360" w:lineRule="auto"/>
              <w:rPr>
                <w:rFonts w:hint="eastAsia" w:ascii="宋体" w:hAnsi="宋体" w:cs="宋体"/>
                <w:color w:val="000000"/>
                <w:szCs w:val="21"/>
              </w:rPr>
            </w:pPr>
            <w:r>
              <w:rPr>
                <w:rFonts w:hint="eastAsia" w:ascii="宋体" w:hAnsi="宋体" w:cs="宋体"/>
                <w:color w:val="000000"/>
                <w:szCs w:val="21"/>
              </w:rPr>
              <w:t>二、现场人员</w:t>
            </w:r>
          </w:p>
        </w:tc>
        <w:tc>
          <w:tcPr>
            <w:tcW w:w="896" w:type="pct"/>
            <w:noWrap w:val="0"/>
            <w:vAlign w:val="top"/>
          </w:tcPr>
          <w:p w14:paraId="3D776CB1">
            <w:pPr>
              <w:keepNext/>
              <w:spacing w:line="360" w:lineRule="auto"/>
              <w:rPr>
                <w:rFonts w:hint="eastAsia" w:ascii="宋体" w:hAnsi="宋体" w:cs="宋体"/>
                <w:color w:val="000000"/>
                <w:szCs w:val="21"/>
              </w:rPr>
            </w:pPr>
          </w:p>
        </w:tc>
      </w:tr>
      <w:tr w14:paraId="370679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0D1C2BAD">
            <w:pPr>
              <w:spacing w:line="360" w:lineRule="auto"/>
              <w:rPr>
                <w:rFonts w:hint="eastAsia" w:ascii="宋体" w:hAnsi="宋体" w:cs="宋体"/>
                <w:color w:val="000000"/>
                <w:szCs w:val="22"/>
              </w:rPr>
            </w:pPr>
            <w:r>
              <w:rPr>
                <w:rFonts w:hint="eastAsia" w:ascii="宋体" w:hAnsi="宋体" w:cs="宋体"/>
                <w:color w:val="000000"/>
                <w:szCs w:val="22"/>
              </w:rPr>
              <w:t>项目经理</w:t>
            </w:r>
          </w:p>
        </w:tc>
        <w:tc>
          <w:tcPr>
            <w:tcW w:w="641" w:type="pct"/>
            <w:noWrap w:val="0"/>
            <w:vAlign w:val="center"/>
          </w:tcPr>
          <w:p w14:paraId="469EB2A7">
            <w:pPr>
              <w:keepNext/>
              <w:spacing w:line="360" w:lineRule="auto"/>
              <w:rPr>
                <w:rFonts w:hint="eastAsia" w:ascii="宋体" w:hAnsi="宋体" w:cs="宋体"/>
                <w:color w:val="000000"/>
                <w:szCs w:val="21"/>
              </w:rPr>
            </w:pPr>
          </w:p>
        </w:tc>
        <w:tc>
          <w:tcPr>
            <w:tcW w:w="513" w:type="pct"/>
            <w:noWrap w:val="0"/>
            <w:vAlign w:val="center"/>
          </w:tcPr>
          <w:p w14:paraId="0F5D62BD">
            <w:pPr>
              <w:keepNext/>
              <w:spacing w:line="360" w:lineRule="auto"/>
              <w:rPr>
                <w:rFonts w:hint="eastAsia" w:ascii="宋体" w:hAnsi="宋体" w:cs="宋体"/>
                <w:color w:val="000000"/>
                <w:szCs w:val="21"/>
              </w:rPr>
            </w:pPr>
          </w:p>
        </w:tc>
        <w:tc>
          <w:tcPr>
            <w:tcW w:w="374" w:type="pct"/>
            <w:noWrap w:val="0"/>
            <w:vAlign w:val="center"/>
          </w:tcPr>
          <w:p w14:paraId="5F8163C3">
            <w:pPr>
              <w:keepNext/>
              <w:spacing w:line="360" w:lineRule="auto"/>
              <w:rPr>
                <w:rFonts w:hint="eastAsia" w:ascii="宋体" w:hAnsi="宋体" w:cs="宋体"/>
                <w:color w:val="000000"/>
                <w:szCs w:val="21"/>
              </w:rPr>
            </w:pPr>
          </w:p>
        </w:tc>
        <w:tc>
          <w:tcPr>
            <w:tcW w:w="1730" w:type="pct"/>
            <w:noWrap w:val="0"/>
            <w:vAlign w:val="center"/>
          </w:tcPr>
          <w:p w14:paraId="3DE3B9C3">
            <w:pPr>
              <w:keepNext/>
              <w:spacing w:line="360" w:lineRule="auto"/>
              <w:rPr>
                <w:rFonts w:hint="eastAsia" w:ascii="宋体" w:hAnsi="宋体" w:cs="宋体"/>
                <w:color w:val="000000"/>
                <w:szCs w:val="21"/>
              </w:rPr>
            </w:pPr>
          </w:p>
        </w:tc>
        <w:tc>
          <w:tcPr>
            <w:tcW w:w="896" w:type="pct"/>
            <w:noWrap w:val="0"/>
            <w:vAlign w:val="top"/>
          </w:tcPr>
          <w:p w14:paraId="4ADFB88B">
            <w:pPr>
              <w:keepNext/>
              <w:spacing w:line="360" w:lineRule="auto"/>
              <w:rPr>
                <w:rFonts w:hint="eastAsia" w:ascii="宋体" w:hAnsi="宋体" w:cs="宋体"/>
                <w:color w:val="000000"/>
                <w:szCs w:val="21"/>
              </w:rPr>
            </w:pPr>
          </w:p>
        </w:tc>
      </w:tr>
      <w:tr w14:paraId="12BB57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43B398A3">
            <w:pPr>
              <w:spacing w:line="360" w:lineRule="auto"/>
              <w:rPr>
                <w:rFonts w:hint="eastAsia" w:ascii="宋体" w:hAnsi="宋体" w:cs="宋体"/>
                <w:color w:val="000000"/>
                <w:szCs w:val="22"/>
              </w:rPr>
            </w:pPr>
            <w:r>
              <w:rPr>
                <w:rFonts w:hint="eastAsia" w:ascii="宋体" w:hAnsi="宋体" w:cs="宋体"/>
                <w:color w:val="000000"/>
                <w:szCs w:val="22"/>
              </w:rPr>
              <w:t>项目副经理</w:t>
            </w:r>
          </w:p>
        </w:tc>
        <w:tc>
          <w:tcPr>
            <w:tcW w:w="641" w:type="pct"/>
            <w:noWrap w:val="0"/>
            <w:vAlign w:val="center"/>
          </w:tcPr>
          <w:p w14:paraId="5E255BDD">
            <w:pPr>
              <w:keepNext/>
              <w:spacing w:line="360" w:lineRule="auto"/>
              <w:rPr>
                <w:rFonts w:hint="eastAsia" w:ascii="宋体" w:hAnsi="宋体" w:cs="宋体"/>
                <w:color w:val="000000"/>
                <w:szCs w:val="21"/>
              </w:rPr>
            </w:pPr>
          </w:p>
        </w:tc>
        <w:tc>
          <w:tcPr>
            <w:tcW w:w="513" w:type="pct"/>
            <w:noWrap w:val="0"/>
            <w:vAlign w:val="center"/>
          </w:tcPr>
          <w:p w14:paraId="112E296F">
            <w:pPr>
              <w:keepNext/>
              <w:spacing w:line="360" w:lineRule="auto"/>
              <w:rPr>
                <w:rFonts w:hint="eastAsia" w:ascii="宋体" w:hAnsi="宋体" w:cs="宋体"/>
                <w:color w:val="000000"/>
                <w:szCs w:val="21"/>
              </w:rPr>
            </w:pPr>
          </w:p>
        </w:tc>
        <w:tc>
          <w:tcPr>
            <w:tcW w:w="374" w:type="pct"/>
            <w:noWrap w:val="0"/>
            <w:vAlign w:val="center"/>
          </w:tcPr>
          <w:p w14:paraId="1104B48F">
            <w:pPr>
              <w:keepNext/>
              <w:spacing w:line="360" w:lineRule="auto"/>
              <w:rPr>
                <w:rFonts w:hint="eastAsia" w:ascii="宋体" w:hAnsi="宋体" w:cs="宋体"/>
                <w:color w:val="000000"/>
                <w:szCs w:val="21"/>
              </w:rPr>
            </w:pPr>
          </w:p>
        </w:tc>
        <w:tc>
          <w:tcPr>
            <w:tcW w:w="1730" w:type="pct"/>
            <w:noWrap w:val="0"/>
            <w:vAlign w:val="center"/>
          </w:tcPr>
          <w:p w14:paraId="1E63D4AA">
            <w:pPr>
              <w:keepNext/>
              <w:spacing w:line="360" w:lineRule="auto"/>
              <w:rPr>
                <w:rFonts w:hint="eastAsia" w:ascii="宋体" w:hAnsi="宋体" w:cs="宋体"/>
                <w:color w:val="000000"/>
                <w:szCs w:val="21"/>
              </w:rPr>
            </w:pPr>
          </w:p>
        </w:tc>
        <w:tc>
          <w:tcPr>
            <w:tcW w:w="896" w:type="pct"/>
            <w:noWrap w:val="0"/>
            <w:vAlign w:val="top"/>
          </w:tcPr>
          <w:p w14:paraId="0E80CA76">
            <w:pPr>
              <w:keepNext/>
              <w:spacing w:line="360" w:lineRule="auto"/>
              <w:rPr>
                <w:rFonts w:hint="eastAsia" w:ascii="宋体" w:hAnsi="宋体" w:cs="宋体"/>
                <w:color w:val="000000"/>
                <w:szCs w:val="21"/>
              </w:rPr>
            </w:pPr>
          </w:p>
        </w:tc>
      </w:tr>
      <w:tr w14:paraId="22F002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078EEF05">
            <w:pPr>
              <w:spacing w:line="360" w:lineRule="auto"/>
              <w:rPr>
                <w:rFonts w:hint="eastAsia" w:ascii="宋体" w:hAnsi="宋体" w:cs="宋体"/>
                <w:color w:val="000000"/>
                <w:szCs w:val="22"/>
              </w:rPr>
            </w:pPr>
            <w:r>
              <w:rPr>
                <w:rFonts w:hint="eastAsia" w:ascii="宋体" w:hAnsi="宋体" w:cs="宋体"/>
                <w:color w:val="000000"/>
                <w:szCs w:val="22"/>
              </w:rPr>
              <w:t>项目技术负责人</w:t>
            </w:r>
          </w:p>
        </w:tc>
        <w:tc>
          <w:tcPr>
            <w:tcW w:w="641" w:type="pct"/>
            <w:noWrap w:val="0"/>
            <w:vAlign w:val="center"/>
          </w:tcPr>
          <w:p w14:paraId="3F6EF9F2">
            <w:pPr>
              <w:keepNext/>
              <w:spacing w:line="360" w:lineRule="auto"/>
              <w:rPr>
                <w:rFonts w:hint="eastAsia" w:ascii="宋体" w:hAnsi="宋体" w:cs="宋体"/>
                <w:color w:val="000000"/>
                <w:szCs w:val="21"/>
              </w:rPr>
            </w:pPr>
          </w:p>
        </w:tc>
        <w:tc>
          <w:tcPr>
            <w:tcW w:w="513" w:type="pct"/>
            <w:noWrap w:val="0"/>
            <w:vAlign w:val="center"/>
          </w:tcPr>
          <w:p w14:paraId="0530AA1F">
            <w:pPr>
              <w:keepNext/>
              <w:spacing w:line="360" w:lineRule="auto"/>
              <w:rPr>
                <w:rFonts w:hint="eastAsia" w:ascii="宋体" w:hAnsi="宋体" w:cs="宋体"/>
                <w:color w:val="000000"/>
                <w:szCs w:val="21"/>
              </w:rPr>
            </w:pPr>
          </w:p>
        </w:tc>
        <w:tc>
          <w:tcPr>
            <w:tcW w:w="374" w:type="pct"/>
            <w:noWrap w:val="0"/>
            <w:vAlign w:val="center"/>
          </w:tcPr>
          <w:p w14:paraId="1F5F45D2">
            <w:pPr>
              <w:keepNext/>
              <w:spacing w:line="360" w:lineRule="auto"/>
              <w:rPr>
                <w:rFonts w:hint="eastAsia" w:ascii="宋体" w:hAnsi="宋体" w:cs="宋体"/>
                <w:color w:val="000000"/>
                <w:szCs w:val="21"/>
              </w:rPr>
            </w:pPr>
          </w:p>
        </w:tc>
        <w:tc>
          <w:tcPr>
            <w:tcW w:w="1730" w:type="pct"/>
            <w:noWrap w:val="0"/>
            <w:vAlign w:val="center"/>
          </w:tcPr>
          <w:p w14:paraId="1E2B9750">
            <w:pPr>
              <w:keepNext/>
              <w:spacing w:line="360" w:lineRule="auto"/>
              <w:rPr>
                <w:rFonts w:hint="eastAsia" w:ascii="宋体" w:hAnsi="宋体" w:cs="宋体"/>
                <w:color w:val="000000"/>
                <w:szCs w:val="21"/>
              </w:rPr>
            </w:pPr>
          </w:p>
        </w:tc>
        <w:tc>
          <w:tcPr>
            <w:tcW w:w="896" w:type="pct"/>
            <w:noWrap w:val="0"/>
            <w:vAlign w:val="top"/>
          </w:tcPr>
          <w:p w14:paraId="4D7D1170">
            <w:pPr>
              <w:keepNext/>
              <w:spacing w:line="360" w:lineRule="auto"/>
              <w:rPr>
                <w:rFonts w:hint="eastAsia" w:ascii="宋体" w:hAnsi="宋体" w:cs="宋体"/>
                <w:color w:val="000000"/>
                <w:szCs w:val="21"/>
              </w:rPr>
            </w:pPr>
          </w:p>
        </w:tc>
      </w:tr>
      <w:tr w14:paraId="389EEC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3262C41E">
            <w:pPr>
              <w:spacing w:line="360" w:lineRule="auto"/>
              <w:rPr>
                <w:rFonts w:hint="eastAsia" w:ascii="宋体" w:hAnsi="宋体" w:cs="宋体"/>
                <w:color w:val="000000"/>
                <w:szCs w:val="22"/>
              </w:rPr>
            </w:pPr>
            <w:r>
              <w:rPr>
                <w:rFonts w:hint="eastAsia" w:ascii="宋体" w:hAnsi="宋体" w:cs="宋体"/>
                <w:color w:val="000000"/>
                <w:szCs w:val="22"/>
              </w:rPr>
              <w:t>施工员</w:t>
            </w:r>
          </w:p>
        </w:tc>
        <w:tc>
          <w:tcPr>
            <w:tcW w:w="641" w:type="pct"/>
            <w:noWrap w:val="0"/>
            <w:vAlign w:val="center"/>
          </w:tcPr>
          <w:p w14:paraId="573C31B0">
            <w:pPr>
              <w:keepNext/>
              <w:spacing w:line="360" w:lineRule="auto"/>
              <w:rPr>
                <w:rFonts w:hint="eastAsia" w:ascii="宋体" w:hAnsi="宋体" w:cs="宋体"/>
                <w:color w:val="000000"/>
                <w:szCs w:val="21"/>
              </w:rPr>
            </w:pPr>
          </w:p>
        </w:tc>
        <w:tc>
          <w:tcPr>
            <w:tcW w:w="513" w:type="pct"/>
            <w:noWrap w:val="0"/>
            <w:vAlign w:val="center"/>
          </w:tcPr>
          <w:p w14:paraId="4C76416D">
            <w:pPr>
              <w:keepNext/>
              <w:spacing w:line="360" w:lineRule="auto"/>
              <w:rPr>
                <w:rFonts w:hint="eastAsia" w:ascii="宋体" w:hAnsi="宋体" w:cs="宋体"/>
                <w:color w:val="000000"/>
                <w:szCs w:val="21"/>
              </w:rPr>
            </w:pPr>
          </w:p>
        </w:tc>
        <w:tc>
          <w:tcPr>
            <w:tcW w:w="374" w:type="pct"/>
            <w:noWrap w:val="0"/>
            <w:vAlign w:val="center"/>
          </w:tcPr>
          <w:p w14:paraId="1905AE81">
            <w:pPr>
              <w:keepNext/>
              <w:spacing w:line="360" w:lineRule="auto"/>
              <w:rPr>
                <w:rFonts w:hint="eastAsia" w:ascii="宋体" w:hAnsi="宋体" w:cs="宋体"/>
                <w:color w:val="000000"/>
                <w:szCs w:val="21"/>
              </w:rPr>
            </w:pPr>
          </w:p>
        </w:tc>
        <w:tc>
          <w:tcPr>
            <w:tcW w:w="1730" w:type="pct"/>
            <w:noWrap w:val="0"/>
            <w:vAlign w:val="center"/>
          </w:tcPr>
          <w:p w14:paraId="3C03A9F5">
            <w:pPr>
              <w:keepNext/>
              <w:spacing w:line="360" w:lineRule="auto"/>
              <w:rPr>
                <w:rFonts w:hint="eastAsia" w:ascii="宋体" w:hAnsi="宋体" w:cs="宋体"/>
                <w:color w:val="000000"/>
                <w:szCs w:val="21"/>
              </w:rPr>
            </w:pPr>
          </w:p>
        </w:tc>
        <w:tc>
          <w:tcPr>
            <w:tcW w:w="896" w:type="pct"/>
            <w:noWrap w:val="0"/>
            <w:vAlign w:val="top"/>
          </w:tcPr>
          <w:p w14:paraId="0558B03E">
            <w:pPr>
              <w:keepNext/>
              <w:spacing w:line="360" w:lineRule="auto"/>
              <w:rPr>
                <w:rFonts w:hint="eastAsia" w:ascii="宋体" w:hAnsi="宋体" w:cs="宋体"/>
                <w:color w:val="000000"/>
                <w:szCs w:val="21"/>
              </w:rPr>
            </w:pPr>
          </w:p>
        </w:tc>
      </w:tr>
      <w:tr w14:paraId="0EDE20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13C9AABF">
            <w:pPr>
              <w:spacing w:line="360" w:lineRule="auto"/>
              <w:rPr>
                <w:rFonts w:hint="eastAsia" w:ascii="宋体" w:hAnsi="宋体" w:cs="宋体"/>
                <w:color w:val="000000"/>
                <w:szCs w:val="22"/>
              </w:rPr>
            </w:pPr>
            <w:r>
              <w:rPr>
                <w:rFonts w:hint="eastAsia" w:ascii="宋体" w:hAnsi="宋体" w:cs="宋体"/>
                <w:color w:val="000000"/>
                <w:szCs w:val="22"/>
              </w:rPr>
              <w:t>质检员（质量员）</w:t>
            </w:r>
          </w:p>
        </w:tc>
        <w:tc>
          <w:tcPr>
            <w:tcW w:w="641" w:type="pct"/>
            <w:noWrap w:val="0"/>
            <w:vAlign w:val="center"/>
          </w:tcPr>
          <w:p w14:paraId="62B9C44D">
            <w:pPr>
              <w:keepNext/>
              <w:spacing w:line="360" w:lineRule="auto"/>
              <w:rPr>
                <w:rFonts w:hint="eastAsia" w:ascii="宋体" w:hAnsi="宋体" w:cs="宋体"/>
                <w:color w:val="000000"/>
                <w:szCs w:val="21"/>
              </w:rPr>
            </w:pPr>
          </w:p>
        </w:tc>
        <w:tc>
          <w:tcPr>
            <w:tcW w:w="513" w:type="pct"/>
            <w:noWrap w:val="0"/>
            <w:vAlign w:val="center"/>
          </w:tcPr>
          <w:p w14:paraId="5BD80349">
            <w:pPr>
              <w:keepNext/>
              <w:spacing w:line="360" w:lineRule="auto"/>
              <w:rPr>
                <w:rFonts w:hint="eastAsia" w:ascii="宋体" w:hAnsi="宋体" w:cs="宋体"/>
                <w:color w:val="000000"/>
                <w:szCs w:val="21"/>
              </w:rPr>
            </w:pPr>
          </w:p>
        </w:tc>
        <w:tc>
          <w:tcPr>
            <w:tcW w:w="374" w:type="pct"/>
            <w:noWrap w:val="0"/>
            <w:vAlign w:val="center"/>
          </w:tcPr>
          <w:p w14:paraId="1BE4708D">
            <w:pPr>
              <w:keepNext/>
              <w:spacing w:line="360" w:lineRule="auto"/>
              <w:rPr>
                <w:rFonts w:hint="eastAsia" w:ascii="宋体" w:hAnsi="宋体" w:cs="宋体"/>
                <w:color w:val="000000"/>
                <w:szCs w:val="21"/>
              </w:rPr>
            </w:pPr>
          </w:p>
        </w:tc>
        <w:tc>
          <w:tcPr>
            <w:tcW w:w="1730" w:type="pct"/>
            <w:noWrap w:val="0"/>
            <w:vAlign w:val="center"/>
          </w:tcPr>
          <w:p w14:paraId="6DADFEE6">
            <w:pPr>
              <w:keepNext/>
              <w:spacing w:line="360" w:lineRule="auto"/>
              <w:rPr>
                <w:rFonts w:hint="eastAsia" w:ascii="宋体" w:hAnsi="宋体" w:cs="宋体"/>
                <w:color w:val="000000"/>
                <w:szCs w:val="21"/>
              </w:rPr>
            </w:pPr>
          </w:p>
        </w:tc>
        <w:tc>
          <w:tcPr>
            <w:tcW w:w="896" w:type="pct"/>
            <w:noWrap w:val="0"/>
            <w:vAlign w:val="top"/>
          </w:tcPr>
          <w:p w14:paraId="05A8DB12">
            <w:pPr>
              <w:keepNext/>
              <w:spacing w:line="360" w:lineRule="auto"/>
              <w:rPr>
                <w:rFonts w:hint="eastAsia" w:ascii="宋体" w:hAnsi="宋体" w:cs="宋体"/>
                <w:color w:val="000000"/>
                <w:szCs w:val="21"/>
              </w:rPr>
            </w:pPr>
          </w:p>
        </w:tc>
      </w:tr>
      <w:tr w14:paraId="44D073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22201716">
            <w:pPr>
              <w:spacing w:line="360" w:lineRule="auto"/>
              <w:rPr>
                <w:rFonts w:hint="eastAsia" w:ascii="宋体" w:hAnsi="宋体" w:cs="宋体"/>
                <w:color w:val="000000"/>
                <w:szCs w:val="22"/>
              </w:rPr>
            </w:pPr>
            <w:r>
              <w:rPr>
                <w:rFonts w:hint="eastAsia" w:ascii="宋体" w:hAnsi="宋体" w:cs="宋体"/>
                <w:color w:val="000000"/>
                <w:szCs w:val="22"/>
              </w:rPr>
              <w:t>安全员</w:t>
            </w:r>
          </w:p>
        </w:tc>
        <w:tc>
          <w:tcPr>
            <w:tcW w:w="641" w:type="pct"/>
            <w:noWrap w:val="0"/>
            <w:vAlign w:val="center"/>
          </w:tcPr>
          <w:p w14:paraId="146338BC">
            <w:pPr>
              <w:keepNext/>
              <w:spacing w:line="360" w:lineRule="auto"/>
              <w:rPr>
                <w:rFonts w:hint="eastAsia" w:ascii="宋体" w:hAnsi="宋体" w:cs="宋体"/>
                <w:color w:val="000000"/>
                <w:szCs w:val="21"/>
              </w:rPr>
            </w:pPr>
          </w:p>
        </w:tc>
        <w:tc>
          <w:tcPr>
            <w:tcW w:w="513" w:type="pct"/>
            <w:noWrap w:val="0"/>
            <w:vAlign w:val="center"/>
          </w:tcPr>
          <w:p w14:paraId="06652E14">
            <w:pPr>
              <w:keepNext/>
              <w:spacing w:line="360" w:lineRule="auto"/>
              <w:rPr>
                <w:rFonts w:hint="eastAsia" w:ascii="宋体" w:hAnsi="宋体" w:cs="宋体"/>
                <w:color w:val="000000"/>
                <w:szCs w:val="21"/>
              </w:rPr>
            </w:pPr>
          </w:p>
        </w:tc>
        <w:tc>
          <w:tcPr>
            <w:tcW w:w="374" w:type="pct"/>
            <w:noWrap w:val="0"/>
            <w:vAlign w:val="center"/>
          </w:tcPr>
          <w:p w14:paraId="21E7F6BB">
            <w:pPr>
              <w:keepNext/>
              <w:spacing w:line="360" w:lineRule="auto"/>
              <w:rPr>
                <w:rFonts w:hint="eastAsia" w:ascii="宋体" w:hAnsi="宋体" w:cs="宋体"/>
                <w:color w:val="000000"/>
                <w:szCs w:val="21"/>
              </w:rPr>
            </w:pPr>
          </w:p>
        </w:tc>
        <w:tc>
          <w:tcPr>
            <w:tcW w:w="1730" w:type="pct"/>
            <w:noWrap w:val="0"/>
            <w:vAlign w:val="center"/>
          </w:tcPr>
          <w:p w14:paraId="2C766C89">
            <w:pPr>
              <w:keepNext/>
              <w:spacing w:line="360" w:lineRule="auto"/>
              <w:rPr>
                <w:rFonts w:hint="eastAsia" w:ascii="宋体" w:hAnsi="宋体" w:cs="宋体"/>
                <w:color w:val="000000"/>
                <w:szCs w:val="21"/>
              </w:rPr>
            </w:pPr>
          </w:p>
        </w:tc>
        <w:tc>
          <w:tcPr>
            <w:tcW w:w="896" w:type="pct"/>
            <w:noWrap w:val="0"/>
            <w:vAlign w:val="top"/>
          </w:tcPr>
          <w:p w14:paraId="20F75106">
            <w:pPr>
              <w:keepNext/>
              <w:spacing w:line="360" w:lineRule="auto"/>
              <w:rPr>
                <w:rFonts w:hint="eastAsia" w:ascii="宋体" w:hAnsi="宋体" w:cs="宋体"/>
                <w:color w:val="000000"/>
                <w:szCs w:val="21"/>
              </w:rPr>
            </w:pPr>
          </w:p>
        </w:tc>
      </w:tr>
      <w:tr w14:paraId="76F22F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2003D53E">
            <w:pPr>
              <w:spacing w:line="360" w:lineRule="auto"/>
              <w:rPr>
                <w:rFonts w:hint="eastAsia" w:ascii="宋体" w:hAnsi="宋体" w:cs="宋体"/>
                <w:color w:val="000000"/>
                <w:szCs w:val="22"/>
              </w:rPr>
            </w:pPr>
            <w:r>
              <w:rPr>
                <w:rFonts w:hint="eastAsia" w:ascii="宋体" w:hAnsi="宋体" w:cs="宋体"/>
                <w:color w:val="000000"/>
                <w:szCs w:val="22"/>
              </w:rPr>
              <w:t>资料员</w:t>
            </w:r>
          </w:p>
        </w:tc>
        <w:tc>
          <w:tcPr>
            <w:tcW w:w="641" w:type="pct"/>
            <w:noWrap w:val="0"/>
            <w:vAlign w:val="center"/>
          </w:tcPr>
          <w:p w14:paraId="43A30368">
            <w:pPr>
              <w:keepNext/>
              <w:spacing w:line="360" w:lineRule="auto"/>
              <w:rPr>
                <w:rFonts w:hint="eastAsia" w:ascii="宋体" w:hAnsi="宋体" w:cs="宋体"/>
                <w:color w:val="000000"/>
                <w:szCs w:val="21"/>
              </w:rPr>
            </w:pPr>
          </w:p>
        </w:tc>
        <w:tc>
          <w:tcPr>
            <w:tcW w:w="513" w:type="pct"/>
            <w:noWrap w:val="0"/>
            <w:vAlign w:val="center"/>
          </w:tcPr>
          <w:p w14:paraId="28CA5A65">
            <w:pPr>
              <w:keepNext/>
              <w:spacing w:line="360" w:lineRule="auto"/>
              <w:rPr>
                <w:rFonts w:hint="eastAsia" w:ascii="宋体" w:hAnsi="宋体" w:cs="宋体"/>
                <w:color w:val="000000"/>
                <w:szCs w:val="21"/>
              </w:rPr>
            </w:pPr>
          </w:p>
        </w:tc>
        <w:tc>
          <w:tcPr>
            <w:tcW w:w="374" w:type="pct"/>
            <w:noWrap w:val="0"/>
            <w:vAlign w:val="center"/>
          </w:tcPr>
          <w:p w14:paraId="3C7439E5">
            <w:pPr>
              <w:keepNext/>
              <w:spacing w:line="360" w:lineRule="auto"/>
              <w:rPr>
                <w:rFonts w:hint="eastAsia" w:ascii="宋体" w:hAnsi="宋体" w:cs="宋体"/>
                <w:color w:val="000000"/>
                <w:szCs w:val="21"/>
              </w:rPr>
            </w:pPr>
          </w:p>
        </w:tc>
        <w:tc>
          <w:tcPr>
            <w:tcW w:w="1730" w:type="pct"/>
            <w:noWrap w:val="0"/>
            <w:vAlign w:val="center"/>
          </w:tcPr>
          <w:p w14:paraId="4CDDA5BB">
            <w:pPr>
              <w:keepNext/>
              <w:spacing w:line="360" w:lineRule="auto"/>
              <w:rPr>
                <w:rFonts w:hint="eastAsia" w:ascii="宋体" w:hAnsi="宋体" w:cs="宋体"/>
                <w:color w:val="000000"/>
                <w:szCs w:val="21"/>
              </w:rPr>
            </w:pPr>
          </w:p>
        </w:tc>
        <w:tc>
          <w:tcPr>
            <w:tcW w:w="896" w:type="pct"/>
            <w:noWrap w:val="0"/>
            <w:vAlign w:val="top"/>
          </w:tcPr>
          <w:p w14:paraId="4E631971">
            <w:pPr>
              <w:keepNext/>
              <w:spacing w:line="360" w:lineRule="auto"/>
              <w:rPr>
                <w:rFonts w:hint="eastAsia" w:ascii="宋体" w:hAnsi="宋体" w:cs="宋体"/>
                <w:color w:val="000000"/>
                <w:szCs w:val="21"/>
              </w:rPr>
            </w:pPr>
          </w:p>
        </w:tc>
      </w:tr>
      <w:tr w14:paraId="0C8BC9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restart"/>
            <w:noWrap w:val="0"/>
            <w:vAlign w:val="center"/>
          </w:tcPr>
          <w:p w14:paraId="795B3C7D">
            <w:pPr>
              <w:keepNext/>
              <w:spacing w:line="360" w:lineRule="auto"/>
              <w:rPr>
                <w:rFonts w:hint="eastAsia" w:ascii="宋体" w:hAnsi="宋体" w:cs="宋体"/>
                <w:color w:val="000000"/>
                <w:szCs w:val="21"/>
              </w:rPr>
            </w:pPr>
            <w:r>
              <w:rPr>
                <w:rFonts w:hint="eastAsia" w:ascii="宋体" w:hAnsi="宋体" w:cs="宋体"/>
                <w:color w:val="000000"/>
                <w:szCs w:val="21"/>
              </w:rPr>
              <w:t>其他人员</w:t>
            </w:r>
          </w:p>
        </w:tc>
        <w:tc>
          <w:tcPr>
            <w:tcW w:w="641" w:type="pct"/>
            <w:noWrap w:val="0"/>
            <w:vAlign w:val="center"/>
          </w:tcPr>
          <w:p w14:paraId="78FC5437">
            <w:pPr>
              <w:keepNext/>
              <w:spacing w:line="360" w:lineRule="auto"/>
              <w:rPr>
                <w:rFonts w:hint="eastAsia" w:ascii="宋体" w:hAnsi="宋体" w:cs="宋体"/>
                <w:color w:val="000000"/>
                <w:szCs w:val="21"/>
              </w:rPr>
            </w:pPr>
          </w:p>
        </w:tc>
        <w:tc>
          <w:tcPr>
            <w:tcW w:w="513" w:type="pct"/>
            <w:noWrap w:val="0"/>
            <w:vAlign w:val="center"/>
          </w:tcPr>
          <w:p w14:paraId="107C6AF8">
            <w:pPr>
              <w:keepNext/>
              <w:spacing w:line="360" w:lineRule="auto"/>
              <w:rPr>
                <w:rFonts w:hint="eastAsia" w:ascii="宋体" w:hAnsi="宋体" w:cs="宋体"/>
                <w:color w:val="000000"/>
                <w:szCs w:val="21"/>
              </w:rPr>
            </w:pPr>
          </w:p>
        </w:tc>
        <w:tc>
          <w:tcPr>
            <w:tcW w:w="374" w:type="pct"/>
            <w:noWrap w:val="0"/>
            <w:vAlign w:val="center"/>
          </w:tcPr>
          <w:p w14:paraId="5982D898">
            <w:pPr>
              <w:keepNext/>
              <w:spacing w:line="360" w:lineRule="auto"/>
              <w:rPr>
                <w:rFonts w:hint="eastAsia" w:ascii="宋体" w:hAnsi="宋体" w:cs="宋体"/>
                <w:color w:val="000000"/>
                <w:szCs w:val="21"/>
              </w:rPr>
            </w:pPr>
          </w:p>
        </w:tc>
        <w:tc>
          <w:tcPr>
            <w:tcW w:w="1730" w:type="pct"/>
            <w:noWrap w:val="0"/>
            <w:vAlign w:val="center"/>
          </w:tcPr>
          <w:p w14:paraId="26AAB8F0">
            <w:pPr>
              <w:keepNext/>
              <w:spacing w:line="360" w:lineRule="auto"/>
              <w:rPr>
                <w:rFonts w:hint="eastAsia" w:ascii="宋体" w:hAnsi="宋体" w:cs="宋体"/>
                <w:color w:val="000000"/>
                <w:szCs w:val="21"/>
              </w:rPr>
            </w:pPr>
          </w:p>
        </w:tc>
        <w:tc>
          <w:tcPr>
            <w:tcW w:w="896" w:type="pct"/>
            <w:noWrap w:val="0"/>
            <w:vAlign w:val="top"/>
          </w:tcPr>
          <w:p w14:paraId="38622765">
            <w:pPr>
              <w:keepNext/>
              <w:spacing w:line="360" w:lineRule="auto"/>
              <w:rPr>
                <w:rFonts w:hint="eastAsia" w:ascii="宋体" w:hAnsi="宋体" w:cs="宋体"/>
                <w:color w:val="000000"/>
                <w:szCs w:val="21"/>
              </w:rPr>
            </w:pPr>
          </w:p>
        </w:tc>
      </w:tr>
      <w:tr w14:paraId="1242C4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continue"/>
            <w:noWrap w:val="0"/>
            <w:vAlign w:val="center"/>
          </w:tcPr>
          <w:p w14:paraId="1AE625F2">
            <w:pPr>
              <w:keepNext/>
              <w:spacing w:line="360" w:lineRule="auto"/>
              <w:rPr>
                <w:rFonts w:hint="eastAsia" w:ascii="宋体" w:hAnsi="宋体" w:cs="宋体"/>
                <w:color w:val="000000"/>
                <w:szCs w:val="21"/>
              </w:rPr>
            </w:pPr>
          </w:p>
        </w:tc>
        <w:tc>
          <w:tcPr>
            <w:tcW w:w="641" w:type="pct"/>
            <w:tcBorders>
              <w:bottom w:val="nil"/>
            </w:tcBorders>
            <w:noWrap w:val="0"/>
            <w:vAlign w:val="center"/>
          </w:tcPr>
          <w:p w14:paraId="18EFA55A">
            <w:pPr>
              <w:keepNext/>
              <w:spacing w:line="360" w:lineRule="auto"/>
              <w:rPr>
                <w:rFonts w:hint="eastAsia" w:ascii="宋体" w:hAnsi="宋体" w:cs="宋体"/>
                <w:color w:val="000000"/>
                <w:szCs w:val="21"/>
              </w:rPr>
            </w:pPr>
          </w:p>
        </w:tc>
        <w:tc>
          <w:tcPr>
            <w:tcW w:w="513" w:type="pct"/>
            <w:tcBorders>
              <w:bottom w:val="nil"/>
            </w:tcBorders>
            <w:noWrap w:val="0"/>
            <w:vAlign w:val="center"/>
          </w:tcPr>
          <w:p w14:paraId="75DEF166">
            <w:pPr>
              <w:keepNext/>
              <w:spacing w:line="360" w:lineRule="auto"/>
              <w:rPr>
                <w:rFonts w:hint="eastAsia" w:ascii="宋体" w:hAnsi="宋体" w:cs="宋体"/>
                <w:color w:val="000000"/>
                <w:szCs w:val="21"/>
              </w:rPr>
            </w:pPr>
          </w:p>
        </w:tc>
        <w:tc>
          <w:tcPr>
            <w:tcW w:w="374" w:type="pct"/>
            <w:tcBorders>
              <w:bottom w:val="nil"/>
            </w:tcBorders>
            <w:noWrap w:val="0"/>
            <w:vAlign w:val="center"/>
          </w:tcPr>
          <w:p w14:paraId="17EDA1AF">
            <w:pPr>
              <w:keepNext/>
              <w:spacing w:line="360" w:lineRule="auto"/>
              <w:rPr>
                <w:rFonts w:hint="eastAsia" w:ascii="宋体" w:hAnsi="宋体" w:cs="宋体"/>
                <w:color w:val="000000"/>
                <w:szCs w:val="21"/>
              </w:rPr>
            </w:pPr>
          </w:p>
        </w:tc>
        <w:tc>
          <w:tcPr>
            <w:tcW w:w="1730" w:type="pct"/>
            <w:tcBorders>
              <w:bottom w:val="nil"/>
            </w:tcBorders>
            <w:noWrap w:val="0"/>
            <w:vAlign w:val="center"/>
          </w:tcPr>
          <w:p w14:paraId="3D072168">
            <w:pPr>
              <w:keepNext/>
              <w:spacing w:line="360" w:lineRule="auto"/>
              <w:rPr>
                <w:rFonts w:hint="eastAsia" w:ascii="宋体" w:hAnsi="宋体" w:cs="宋体"/>
                <w:color w:val="000000"/>
                <w:szCs w:val="21"/>
              </w:rPr>
            </w:pPr>
          </w:p>
        </w:tc>
        <w:tc>
          <w:tcPr>
            <w:tcW w:w="896" w:type="pct"/>
            <w:tcBorders>
              <w:bottom w:val="nil"/>
            </w:tcBorders>
            <w:noWrap w:val="0"/>
            <w:vAlign w:val="top"/>
          </w:tcPr>
          <w:p w14:paraId="5C36A08F">
            <w:pPr>
              <w:keepNext/>
              <w:spacing w:line="360" w:lineRule="auto"/>
              <w:rPr>
                <w:rFonts w:hint="eastAsia" w:ascii="宋体" w:hAnsi="宋体" w:cs="宋体"/>
                <w:color w:val="000000"/>
                <w:szCs w:val="21"/>
              </w:rPr>
            </w:pPr>
          </w:p>
        </w:tc>
      </w:tr>
      <w:tr w14:paraId="6DBAFD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continue"/>
            <w:noWrap w:val="0"/>
            <w:vAlign w:val="center"/>
          </w:tcPr>
          <w:p w14:paraId="1A718956">
            <w:pPr>
              <w:keepNext/>
              <w:spacing w:line="360" w:lineRule="auto"/>
              <w:rPr>
                <w:rFonts w:hint="eastAsia" w:ascii="宋体" w:hAnsi="宋体" w:cs="宋体"/>
                <w:color w:val="000000"/>
                <w:szCs w:val="21"/>
              </w:rPr>
            </w:pPr>
          </w:p>
        </w:tc>
        <w:tc>
          <w:tcPr>
            <w:tcW w:w="641" w:type="pct"/>
            <w:noWrap w:val="0"/>
            <w:vAlign w:val="center"/>
          </w:tcPr>
          <w:p w14:paraId="6774367C">
            <w:pPr>
              <w:keepNext/>
              <w:spacing w:line="360" w:lineRule="auto"/>
              <w:rPr>
                <w:rFonts w:hint="eastAsia" w:ascii="宋体" w:hAnsi="宋体" w:cs="宋体"/>
                <w:color w:val="000000"/>
                <w:szCs w:val="21"/>
              </w:rPr>
            </w:pPr>
          </w:p>
        </w:tc>
        <w:tc>
          <w:tcPr>
            <w:tcW w:w="513" w:type="pct"/>
            <w:noWrap w:val="0"/>
            <w:vAlign w:val="center"/>
          </w:tcPr>
          <w:p w14:paraId="79AD48F6">
            <w:pPr>
              <w:keepNext/>
              <w:spacing w:line="360" w:lineRule="auto"/>
              <w:rPr>
                <w:rFonts w:hint="eastAsia" w:ascii="宋体" w:hAnsi="宋体" w:cs="宋体"/>
                <w:color w:val="000000"/>
                <w:szCs w:val="21"/>
              </w:rPr>
            </w:pPr>
          </w:p>
        </w:tc>
        <w:tc>
          <w:tcPr>
            <w:tcW w:w="374" w:type="pct"/>
            <w:noWrap w:val="0"/>
            <w:vAlign w:val="center"/>
          </w:tcPr>
          <w:p w14:paraId="3435CFE4">
            <w:pPr>
              <w:keepNext/>
              <w:spacing w:line="360" w:lineRule="auto"/>
              <w:rPr>
                <w:rFonts w:hint="eastAsia" w:ascii="宋体" w:hAnsi="宋体" w:cs="宋体"/>
                <w:color w:val="000000"/>
                <w:szCs w:val="21"/>
              </w:rPr>
            </w:pPr>
          </w:p>
        </w:tc>
        <w:tc>
          <w:tcPr>
            <w:tcW w:w="1730" w:type="pct"/>
            <w:noWrap w:val="0"/>
            <w:vAlign w:val="center"/>
          </w:tcPr>
          <w:p w14:paraId="111740E0">
            <w:pPr>
              <w:keepNext/>
              <w:spacing w:line="360" w:lineRule="auto"/>
              <w:rPr>
                <w:rFonts w:hint="eastAsia" w:ascii="宋体" w:hAnsi="宋体" w:cs="宋体"/>
                <w:color w:val="000000"/>
                <w:szCs w:val="21"/>
              </w:rPr>
            </w:pPr>
          </w:p>
        </w:tc>
        <w:tc>
          <w:tcPr>
            <w:tcW w:w="896" w:type="pct"/>
            <w:noWrap w:val="0"/>
            <w:vAlign w:val="top"/>
          </w:tcPr>
          <w:p w14:paraId="5F1E93D9">
            <w:pPr>
              <w:keepNext/>
              <w:spacing w:line="360" w:lineRule="auto"/>
              <w:rPr>
                <w:rFonts w:hint="eastAsia" w:ascii="宋体" w:hAnsi="宋体" w:cs="宋体"/>
                <w:color w:val="000000"/>
                <w:szCs w:val="21"/>
              </w:rPr>
            </w:pPr>
          </w:p>
        </w:tc>
      </w:tr>
      <w:tr w14:paraId="203655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continue"/>
            <w:noWrap w:val="0"/>
            <w:vAlign w:val="center"/>
          </w:tcPr>
          <w:p w14:paraId="3CC0408F">
            <w:pPr>
              <w:keepNext/>
              <w:spacing w:line="360" w:lineRule="auto"/>
              <w:rPr>
                <w:rFonts w:hint="eastAsia" w:ascii="宋体" w:hAnsi="宋体" w:cs="宋体"/>
                <w:color w:val="000000"/>
                <w:szCs w:val="21"/>
              </w:rPr>
            </w:pPr>
          </w:p>
        </w:tc>
        <w:tc>
          <w:tcPr>
            <w:tcW w:w="641" w:type="pct"/>
            <w:noWrap w:val="0"/>
            <w:vAlign w:val="center"/>
          </w:tcPr>
          <w:p w14:paraId="1A23BCF7">
            <w:pPr>
              <w:keepNext/>
              <w:spacing w:line="360" w:lineRule="auto"/>
              <w:rPr>
                <w:rFonts w:hint="eastAsia" w:ascii="宋体" w:hAnsi="宋体" w:cs="宋体"/>
                <w:color w:val="000000"/>
                <w:szCs w:val="21"/>
              </w:rPr>
            </w:pPr>
          </w:p>
        </w:tc>
        <w:tc>
          <w:tcPr>
            <w:tcW w:w="513" w:type="pct"/>
            <w:noWrap w:val="0"/>
            <w:vAlign w:val="center"/>
          </w:tcPr>
          <w:p w14:paraId="5190AFB6">
            <w:pPr>
              <w:keepNext/>
              <w:spacing w:line="360" w:lineRule="auto"/>
              <w:rPr>
                <w:rFonts w:hint="eastAsia" w:ascii="宋体" w:hAnsi="宋体" w:cs="宋体"/>
                <w:color w:val="000000"/>
                <w:szCs w:val="21"/>
              </w:rPr>
            </w:pPr>
          </w:p>
        </w:tc>
        <w:tc>
          <w:tcPr>
            <w:tcW w:w="374" w:type="pct"/>
            <w:noWrap w:val="0"/>
            <w:vAlign w:val="center"/>
          </w:tcPr>
          <w:p w14:paraId="0A697DF7">
            <w:pPr>
              <w:keepNext/>
              <w:spacing w:line="360" w:lineRule="auto"/>
              <w:rPr>
                <w:rFonts w:hint="eastAsia" w:ascii="宋体" w:hAnsi="宋体" w:cs="宋体"/>
                <w:color w:val="000000"/>
                <w:szCs w:val="21"/>
              </w:rPr>
            </w:pPr>
          </w:p>
        </w:tc>
        <w:tc>
          <w:tcPr>
            <w:tcW w:w="1730" w:type="pct"/>
            <w:noWrap w:val="0"/>
            <w:vAlign w:val="center"/>
          </w:tcPr>
          <w:p w14:paraId="4710C6AD">
            <w:pPr>
              <w:keepNext/>
              <w:spacing w:line="360" w:lineRule="auto"/>
              <w:rPr>
                <w:rFonts w:hint="eastAsia" w:ascii="宋体" w:hAnsi="宋体" w:cs="宋体"/>
                <w:color w:val="000000"/>
                <w:szCs w:val="21"/>
              </w:rPr>
            </w:pPr>
          </w:p>
        </w:tc>
        <w:tc>
          <w:tcPr>
            <w:tcW w:w="896" w:type="pct"/>
            <w:noWrap w:val="0"/>
            <w:vAlign w:val="top"/>
          </w:tcPr>
          <w:p w14:paraId="44C42A9C">
            <w:pPr>
              <w:keepNext/>
              <w:spacing w:line="360" w:lineRule="auto"/>
              <w:rPr>
                <w:rFonts w:hint="eastAsia" w:ascii="宋体" w:hAnsi="宋体" w:cs="宋体"/>
                <w:color w:val="000000"/>
                <w:szCs w:val="21"/>
              </w:rPr>
            </w:pPr>
          </w:p>
        </w:tc>
      </w:tr>
      <w:tr w14:paraId="1F3BC8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continue"/>
            <w:noWrap w:val="0"/>
            <w:vAlign w:val="center"/>
          </w:tcPr>
          <w:p w14:paraId="68A70479">
            <w:pPr>
              <w:keepNext/>
              <w:spacing w:line="360" w:lineRule="auto"/>
              <w:rPr>
                <w:rFonts w:hint="eastAsia" w:ascii="宋体" w:hAnsi="宋体" w:cs="宋体"/>
                <w:color w:val="000000"/>
                <w:szCs w:val="21"/>
              </w:rPr>
            </w:pPr>
          </w:p>
        </w:tc>
        <w:tc>
          <w:tcPr>
            <w:tcW w:w="641" w:type="pct"/>
            <w:noWrap w:val="0"/>
            <w:vAlign w:val="center"/>
          </w:tcPr>
          <w:p w14:paraId="1E59129D">
            <w:pPr>
              <w:keepNext/>
              <w:spacing w:line="360" w:lineRule="auto"/>
              <w:rPr>
                <w:rFonts w:hint="eastAsia" w:ascii="宋体" w:hAnsi="宋体" w:cs="宋体"/>
                <w:color w:val="000000"/>
                <w:szCs w:val="21"/>
              </w:rPr>
            </w:pPr>
          </w:p>
        </w:tc>
        <w:tc>
          <w:tcPr>
            <w:tcW w:w="513" w:type="pct"/>
            <w:noWrap w:val="0"/>
            <w:vAlign w:val="center"/>
          </w:tcPr>
          <w:p w14:paraId="1C3ADE05">
            <w:pPr>
              <w:keepNext/>
              <w:spacing w:line="360" w:lineRule="auto"/>
              <w:rPr>
                <w:rFonts w:hint="eastAsia" w:ascii="宋体" w:hAnsi="宋体" w:cs="宋体"/>
                <w:color w:val="000000"/>
                <w:szCs w:val="21"/>
              </w:rPr>
            </w:pPr>
          </w:p>
        </w:tc>
        <w:tc>
          <w:tcPr>
            <w:tcW w:w="374" w:type="pct"/>
            <w:noWrap w:val="0"/>
            <w:vAlign w:val="center"/>
          </w:tcPr>
          <w:p w14:paraId="7B662B55">
            <w:pPr>
              <w:keepNext/>
              <w:spacing w:line="360" w:lineRule="auto"/>
              <w:rPr>
                <w:rFonts w:hint="eastAsia" w:ascii="宋体" w:hAnsi="宋体" w:cs="宋体"/>
                <w:color w:val="000000"/>
                <w:szCs w:val="21"/>
              </w:rPr>
            </w:pPr>
          </w:p>
        </w:tc>
        <w:tc>
          <w:tcPr>
            <w:tcW w:w="1730" w:type="pct"/>
            <w:noWrap w:val="0"/>
            <w:vAlign w:val="center"/>
          </w:tcPr>
          <w:p w14:paraId="5532B4E8">
            <w:pPr>
              <w:keepNext/>
              <w:spacing w:line="360" w:lineRule="auto"/>
              <w:rPr>
                <w:rFonts w:hint="eastAsia" w:ascii="宋体" w:hAnsi="宋体" w:cs="宋体"/>
                <w:color w:val="000000"/>
                <w:szCs w:val="21"/>
              </w:rPr>
            </w:pPr>
          </w:p>
        </w:tc>
        <w:tc>
          <w:tcPr>
            <w:tcW w:w="896" w:type="pct"/>
            <w:noWrap w:val="0"/>
            <w:vAlign w:val="top"/>
          </w:tcPr>
          <w:p w14:paraId="4F12449A">
            <w:pPr>
              <w:keepNext/>
              <w:spacing w:line="360" w:lineRule="auto"/>
              <w:rPr>
                <w:rFonts w:hint="eastAsia" w:ascii="宋体" w:hAnsi="宋体" w:cs="宋体"/>
                <w:color w:val="000000"/>
                <w:szCs w:val="21"/>
              </w:rPr>
            </w:pPr>
          </w:p>
        </w:tc>
      </w:tr>
      <w:tr w14:paraId="67B22B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continue"/>
            <w:tcBorders>
              <w:bottom w:val="single" w:color="auto" w:sz="12" w:space="0"/>
            </w:tcBorders>
            <w:noWrap w:val="0"/>
            <w:vAlign w:val="center"/>
          </w:tcPr>
          <w:p w14:paraId="488B55DA">
            <w:pPr>
              <w:keepNext/>
              <w:spacing w:line="360" w:lineRule="auto"/>
              <w:rPr>
                <w:rFonts w:hint="eastAsia" w:ascii="宋体" w:hAnsi="宋体" w:cs="宋体"/>
                <w:color w:val="000000"/>
                <w:szCs w:val="21"/>
              </w:rPr>
            </w:pPr>
          </w:p>
        </w:tc>
        <w:tc>
          <w:tcPr>
            <w:tcW w:w="641" w:type="pct"/>
            <w:tcBorders>
              <w:bottom w:val="single" w:color="auto" w:sz="12" w:space="0"/>
            </w:tcBorders>
            <w:noWrap w:val="0"/>
            <w:vAlign w:val="center"/>
          </w:tcPr>
          <w:p w14:paraId="66F0D4B0">
            <w:pPr>
              <w:keepNext/>
              <w:spacing w:line="360" w:lineRule="auto"/>
              <w:rPr>
                <w:rFonts w:hint="eastAsia" w:ascii="宋体" w:hAnsi="宋体" w:cs="宋体"/>
                <w:color w:val="000000"/>
                <w:szCs w:val="21"/>
              </w:rPr>
            </w:pPr>
          </w:p>
        </w:tc>
        <w:tc>
          <w:tcPr>
            <w:tcW w:w="513" w:type="pct"/>
            <w:tcBorders>
              <w:bottom w:val="single" w:color="auto" w:sz="12" w:space="0"/>
            </w:tcBorders>
            <w:noWrap w:val="0"/>
            <w:vAlign w:val="center"/>
          </w:tcPr>
          <w:p w14:paraId="300E5678">
            <w:pPr>
              <w:keepNext/>
              <w:spacing w:line="360" w:lineRule="auto"/>
              <w:rPr>
                <w:rFonts w:hint="eastAsia" w:ascii="宋体" w:hAnsi="宋体" w:cs="宋体"/>
                <w:color w:val="000000"/>
                <w:szCs w:val="21"/>
              </w:rPr>
            </w:pPr>
          </w:p>
        </w:tc>
        <w:tc>
          <w:tcPr>
            <w:tcW w:w="374" w:type="pct"/>
            <w:tcBorders>
              <w:bottom w:val="single" w:color="auto" w:sz="12" w:space="0"/>
            </w:tcBorders>
            <w:noWrap w:val="0"/>
            <w:vAlign w:val="center"/>
          </w:tcPr>
          <w:p w14:paraId="5024FEBA">
            <w:pPr>
              <w:keepNext/>
              <w:spacing w:line="360" w:lineRule="auto"/>
              <w:rPr>
                <w:rFonts w:hint="eastAsia" w:ascii="宋体" w:hAnsi="宋体" w:cs="宋体"/>
                <w:color w:val="000000"/>
                <w:szCs w:val="21"/>
              </w:rPr>
            </w:pPr>
          </w:p>
        </w:tc>
        <w:tc>
          <w:tcPr>
            <w:tcW w:w="1730" w:type="pct"/>
            <w:tcBorders>
              <w:bottom w:val="single" w:color="auto" w:sz="12" w:space="0"/>
            </w:tcBorders>
            <w:noWrap w:val="0"/>
            <w:vAlign w:val="center"/>
          </w:tcPr>
          <w:p w14:paraId="6F125130">
            <w:pPr>
              <w:keepNext/>
              <w:spacing w:line="360" w:lineRule="auto"/>
              <w:rPr>
                <w:rFonts w:hint="eastAsia" w:ascii="宋体" w:hAnsi="宋体" w:cs="宋体"/>
                <w:color w:val="000000"/>
                <w:szCs w:val="21"/>
              </w:rPr>
            </w:pPr>
          </w:p>
        </w:tc>
        <w:tc>
          <w:tcPr>
            <w:tcW w:w="896" w:type="pct"/>
            <w:tcBorders>
              <w:bottom w:val="single" w:color="auto" w:sz="12" w:space="0"/>
            </w:tcBorders>
            <w:noWrap w:val="0"/>
            <w:vAlign w:val="top"/>
          </w:tcPr>
          <w:p w14:paraId="145C487F">
            <w:pPr>
              <w:keepNext/>
              <w:spacing w:line="360" w:lineRule="auto"/>
              <w:rPr>
                <w:rFonts w:hint="eastAsia" w:ascii="宋体" w:hAnsi="宋体" w:cs="宋体"/>
                <w:color w:val="000000"/>
                <w:szCs w:val="21"/>
              </w:rPr>
            </w:pPr>
          </w:p>
        </w:tc>
      </w:tr>
    </w:tbl>
    <w:p w14:paraId="6DE6886F">
      <w:pPr>
        <w:keepNext/>
        <w:keepLines/>
        <w:spacing w:before="120" w:after="120" w:line="360" w:lineRule="auto"/>
        <w:jc w:val="left"/>
        <w:outlineLvl w:val="2"/>
        <w:rPr>
          <w:rFonts w:hint="eastAsia" w:ascii="宋体" w:hAnsi="宋体" w:cs="宋体"/>
          <w:bCs/>
          <w:color w:val="000000"/>
          <w:sz w:val="24"/>
        </w:rPr>
      </w:pPr>
      <w:r>
        <w:rPr>
          <w:rFonts w:hint="eastAsia" w:ascii="宋体" w:hAnsi="宋体" w:cs="宋体"/>
          <w:bCs/>
          <w:color w:val="000000"/>
          <w:sz w:val="24"/>
        </w:rPr>
        <w:br w:type="page"/>
      </w:r>
      <w:bookmarkStart w:id="897" w:name="_Toc25726"/>
      <w:bookmarkStart w:id="898" w:name="_Toc7655"/>
      <w:bookmarkStart w:id="899" w:name="_Toc95223495"/>
      <w:r>
        <w:rPr>
          <w:rFonts w:hint="eastAsia" w:ascii="宋体" w:hAnsi="宋体" w:cs="宋体"/>
          <w:bCs/>
          <w:color w:val="000000"/>
          <w:sz w:val="24"/>
        </w:rPr>
        <w:t>附</w:t>
      </w:r>
      <w:bookmarkStart w:id="900" w:name="_Toc296891271"/>
      <w:bookmarkStart w:id="901" w:name="_Toc296503231"/>
      <w:bookmarkStart w:id="902" w:name="_Toc296891059"/>
      <w:bookmarkStart w:id="903" w:name="_Toc296346732"/>
      <w:bookmarkStart w:id="904" w:name="_Toc296347230"/>
      <w:bookmarkStart w:id="905" w:name="_Toc296944570"/>
      <w:r>
        <w:rPr>
          <w:rFonts w:hint="eastAsia" w:ascii="宋体" w:hAnsi="宋体" w:cs="宋体"/>
          <w:bCs/>
          <w:color w:val="000000"/>
          <w:sz w:val="24"/>
        </w:rPr>
        <w:t>件8：廉政协议</w:t>
      </w:r>
      <w:bookmarkEnd w:id="897"/>
      <w:bookmarkEnd w:id="898"/>
      <w:bookmarkEnd w:id="899"/>
    </w:p>
    <w:bookmarkEnd w:id="900"/>
    <w:bookmarkEnd w:id="901"/>
    <w:bookmarkEnd w:id="902"/>
    <w:bookmarkEnd w:id="903"/>
    <w:bookmarkEnd w:id="904"/>
    <w:bookmarkEnd w:id="905"/>
    <w:p w14:paraId="3F405457">
      <w:pPr>
        <w:widowControl/>
        <w:spacing w:line="360" w:lineRule="auto"/>
        <w:ind w:firstLine="641"/>
        <w:jc w:val="center"/>
        <w:rPr>
          <w:rFonts w:hint="eastAsia" w:ascii="宋体" w:hAnsi="宋体" w:cs="宋体"/>
          <w:b/>
          <w:bCs/>
          <w:color w:val="000000"/>
          <w:kern w:val="0"/>
          <w:sz w:val="32"/>
          <w:szCs w:val="32"/>
        </w:rPr>
      </w:pPr>
      <w:bookmarkStart w:id="906" w:name="_Toc7607"/>
      <w:bookmarkStart w:id="907" w:name="_Toc95223496"/>
      <w:bookmarkStart w:id="908" w:name="_Toc9808"/>
      <w:r>
        <w:rPr>
          <w:rFonts w:hint="eastAsia" w:ascii="宋体" w:hAnsi="宋体" w:cs="宋体"/>
          <w:b/>
          <w:bCs/>
          <w:color w:val="000000"/>
          <w:kern w:val="0"/>
          <w:sz w:val="32"/>
          <w:szCs w:val="32"/>
        </w:rPr>
        <w:t>廉 政 协 议</w:t>
      </w:r>
      <w:bookmarkEnd w:id="906"/>
      <w:bookmarkEnd w:id="907"/>
      <w:bookmarkEnd w:id="908"/>
    </w:p>
    <w:p w14:paraId="7E5DF8F2">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为促进双方诚信经营、廉洁从业，防范商业贿赂，保护国家、集体和当事人的合法权益，根据国家有关法律法规和安徽省、项目所在地廉政建设的规定，</w:t>
      </w:r>
      <w:r>
        <w:rPr>
          <w:rFonts w:hint="eastAsia" w:ascii="宋体" w:hAnsi="宋体" w:cs="宋体"/>
          <w:color w:val="000000"/>
          <w:kern w:val="0"/>
          <w:szCs w:val="21"/>
          <w:u w:val="single"/>
        </w:rPr>
        <w:t xml:space="preserve">                 </w:t>
      </w:r>
      <w:r>
        <w:rPr>
          <w:rFonts w:hint="eastAsia" w:ascii="宋体" w:hAnsi="宋体" w:cs="宋体"/>
          <w:color w:val="000000"/>
          <w:kern w:val="0"/>
          <w:szCs w:val="21"/>
        </w:rPr>
        <w:t>(以下称甲方)与</w:t>
      </w:r>
      <w:r>
        <w:rPr>
          <w:rFonts w:hint="eastAsia" w:ascii="宋体" w:hAnsi="宋体" w:cs="宋体"/>
          <w:color w:val="000000"/>
          <w:kern w:val="0"/>
          <w:szCs w:val="21"/>
          <w:u w:val="single"/>
        </w:rPr>
        <w:t xml:space="preserve">                     </w:t>
      </w:r>
      <w:r>
        <w:rPr>
          <w:rFonts w:hint="eastAsia" w:ascii="宋体" w:hAnsi="宋体" w:cs="宋体"/>
          <w:color w:val="000000"/>
          <w:kern w:val="0"/>
          <w:szCs w:val="21"/>
        </w:rPr>
        <w:t>(以下称乙方)，特此订立本协议共同遵照执行。</w:t>
      </w:r>
    </w:p>
    <w:p w14:paraId="61EDAF90">
      <w:pPr>
        <w:widowControl/>
        <w:spacing w:line="360" w:lineRule="auto"/>
        <w:ind w:firstLine="420" w:firstLineChars="200"/>
        <w:jc w:val="left"/>
        <w:rPr>
          <w:rFonts w:hint="eastAsia" w:ascii="宋体" w:hAnsi="宋体" w:cs="宋体"/>
          <w:color w:val="000000"/>
          <w:kern w:val="0"/>
          <w:szCs w:val="21"/>
        </w:rPr>
      </w:pPr>
      <w:bookmarkStart w:id="909" w:name="_Toc9888"/>
      <w:bookmarkStart w:id="910" w:name="_Toc95223497"/>
      <w:bookmarkStart w:id="911" w:name="_Toc21306"/>
      <w:r>
        <w:rPr>
          <w:rFonts w:hint="eastAsia" w:ascii="宋体" w:hAnsi="宋体" w:cs="宋体"/>
          <w:color w:val="000000"/>
          <w:kern w:val="0"/>
          <w:szCs w:val="21"/>
        </w:rPr>
        <w:t>第一条 甲乙双方的权利和义务</w:t>
      </w:r>
      <w:bookmarkEnd w:id="909"/>
      <w:bookmarkEnd w:id="910"/>
      <w:bookmarkEnd w:id="911"/>
    </w:p>
    <w:p w14:paraId="0C3A26A4">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1CE2AE5F">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（二）严格执行</w:t>
      </w:r>
      <w:r>
        <w:rPr>
          <w:rFonts w:hint="eastAsia" w:ascii="宋体" w:hAnsi="宋体" w:cs="宋体"/>
          <w:color w:val="000000"/>
          <w:kern w:val="0"/>
          <w:szCs w:val="21"/>
          <w:u w:val="single"/>
        </w:rPr>
        <w:t xml:space="preserve">                                </w:t>
      </w:r>
      <w:r>
        <w:rPr>
          <w:rFonts w:hint="eastAsia" w:ascii="宋体" w:hAnsi="宋体" w:cs="宋体"/>
          <w:color w:val="000000"/>
          <w:kern w:val="0"/>
          <w:szCs w:val="21"/>
        </w:rPr>
        <w:t>的合同要求，自觉履行合同约定的相关义务。</w:t>
      </w:r>
    </w:p>
    <w:p w14:paraId="477C61C0">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（三）在业务活动中坚持公开、公正、诚信、透明的原则，不得损害国家、集体利益。</w:t>
      </w:r>
    </w:p>
    <w:p w14:paraId="4BAAC7D4">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（四）建立健全廉政制度，开展廉政教育，公布举报电话，监督并认真查处违法违纪行为。</w:t>
      </w:r>
    </w:p>
    <w:p w14:paraId="554A90D5">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（五）发现对方在业务活动中有违反廉政规定的行为，应及时提醒对方纠正。情节严重的，应向其上级有关部门举报、建议给予处理，并有权要求告知处理结果。</w:t>
      </w:r>
    </w:p>
    <w:p w14:paraId="2F378BA1">
      <w:pPr>
        <w:widowControl/>
        <w:spacing w:line="360" w:lineRule="auto"/>
        <w:ind w:firstLine="420" w:firstLineChars="200"/>
        <w:jc w:val="left"/>
        <w:rPr>
          <w:rFonts w:hint="eastAsia" w:ascii="宋体" w:hAnsi="宋体" w:cs="宋体"/>
          <w:color w:val="000000"/>
          <w:kern w:val="0"/>
          <w:szCs w:val="21"/>
        </w:rPr>
      </w:pPr>
      <w:bookmarkStart w:id="912" w:name="_Toc1917"/>
      <w:bookmarkStart w:id="913" w:name="_Toc95223498"/>
      <w:bookmarkStart w:id="914" w:name="_Toc3866"/>
      <w:r>
        <w:rPr>
          <w:rFonts w:hint="eastAsia" w:ascii="宋体" w:hAnsi="宋体" w:cs="宋体"/>
          <w:color w:val="000000"/>
          <w:kern w:val="0"/>
          <w:szCs w:val="21"/>
        </w:rPr>
        <w:t>第二条 甲方的义务</w:t>
      </w:r>
      <w:bookmarkEnd w:id="912"/>
      <w:bookmarkEnd w:id="913"/>
      <w:bookmarkEnd w:id="914"/>
    </w:p>
    <w:p w14:paraId="7661A700">
      <w:pPr>
        <w:widowControl/>
        <w:spacing w:line="360" w:lineRule="auto"/>
        <w:ind w:firstLine="525" w:firstLineChars="250"/>
        <w:jc w:val="left"/>
        <w:rPr>
          <w:rFonts w:hint="eastAsia" w:ascii="宋体" w:hAnsi="宋体" w:cs="宋体"/>
          <w:color w:val="000000"/>
          <w:kern w:val="0"/>
          <w:szCs w:val="21"/>
        </w:rPr>
      </w:pPr>
      <w:r>
        <w:rPr>
          <w:rFonts w:hint="eastAsia" w:ascii="宋体" w:hAnsi="宋体" w:cs="宋体"/>
          <w:color w:val="000000"/>
          <w:kern w:val="0"/>
          <w:szCs w:val="21"/>
        </w:rPr>
        <w:t>(一)甲方及其工作人员不得索要或接受乙方的礼金、有价证券和贵重物品，不得在乙方报销任何应由甲方单位或个人支付的费用等。</w:t>
      </w:r>
    </w:p>
    <w:p w14:paraId="1F06C4FF">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5F59BBD1">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（三） 甲方及其工作人员不得要求或者接受乙方为其住房装修、婚丧嫁娶活动、配偶子女工作安排以及出国出境、旅游等提供方便等。</w:t>
      </w:r>
    </w:p>
    <w:p w14:paraId="2A1E9BDE">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（四） 甲方工作人员不得在乙方有股权关联的企业兼职，不得向乙方介绍家属或者亲友从事与甲方业务有关的经济活动。</w:t>
      </w:r>
    </w:p>
    <w:p w14:paraId="3BA0AB57">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（五）甲方工作人员不得以明显低于市场的价格向乙方购买房屋、汽车等物品；不得以明显高于市场的价格向乙方出售房屋、汽车等物品；不得以其他交易形式非法收受请托人财物。</w:t>
      </w:r>
    </w:p>
    <w:p w14:paraId="76F182AB">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（六）甲方工作人员不得利用职务之便收受乙方以回扣、手续费、加班费、咨询费、劳务费、协调费、辛苦费等各种名义给予或赠送的钱物。</w:t>
      </w:r>
    </w:p>
    <w:p w14:paraId="0CB56910">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（七）甲方工作人员不得接受乙方给予或赠送的干股或红利。</w:t>
      </w:r>
    </w:p>
    <w:p w14:paraId="40486B9D">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（八）甲方任何人不得以个人的名义向乙方推荐设备、部件等供货商以及其他合作单位。</w:t>
      </w:r>
    </w:p>
    <w:p w14:paraId="2BA96BA5">
      <w:pPr>
        <w:widowControl/>
        <w:spacing w:line="360" w:lineRule="auto"/>
        <w:ind w:firstLine="420" w:firstLineChars="200"/>
        <w:jc w:val="left"/>
        <w:rPr>
          <w:rFonts w:hint="eastAsia" w:ascii="宋体" w:hAnsi="宋体" w:cs="宋体"/>
          <w:color w:val="000000"/>
          <w:kern w:val="0"/>
          <w:szCs w:val="21"/>
        </w:rPr>
      </w:pPr>
      <w:bookmarkStart w:id="915" w:name="_Toc10556"/>
      <w:bookmarkStart w:id="916" w:name="_Toc20831"/>
      <w:bookmarkStart w:id="917" w:name="_Toc95223499"/>
      <w:r>
        <w:rPr>
          <w:rFonts w:hint="eastAsia" w:ascii="宋体" w:hAnsi="宋体" w:cs="宋体"/>
          <w:color w:val="000000"/>
          <w:kern w:val="0"/>
          <w:szCs w:val="21"/>
        </w:rPr>
        <w:t>第三条 乙方的义务</w:t>
      </w:r>
      <w:bookmarkEnd w:id="915"/>
      <w:bookmarkEnd w:id="916"/>
      <w:bookmarkEnd w:id="917"/>
    </w:p>
    <w:p w14:paraId="0D5C5A9A">
      <w:pPr>
        <w:widowControl/>
        <w:spacing w:line="360" w:lineRule="auto"/>
        <w:ind w:firstLine="525" w:firstLineChars="250"/>
        <w:jc w:val="left"/>
        <w:rPr>
          <w:rFonts w:hint="eastAsia" w:ascii="宋体" w:hAnsi="宋体" w:cs="宋体"/>
          <w:color w:val="000000"/>
          <w:kern w:val="0"/>
          <w:szCs w:val="21"/>
        </w:rPr>
      </w:pPr>
      <w:r>
        <w:rPr>
          <w:rFonts w:hint="eastAsia" w:ascii="宋体" w:hAnsi="宋体" w:cs="宋体"/>
          <w:color w:val="000000"/>
          <w:kern w:val="0"/>
          <w:szCs w:val="21"/>
        </w:rPr>
        <w:t>(一)乙方不得以任何理由向甲方及其工作人员行贿或馈赠礼金、有价证券、贵重礼品。</w:t>
      </w:r>
    </w:p>
    <w:p w14:paraId="43C73AB3">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w:t>
      </w:r>
      <w:r>
        <w:rPr>
          <w:rFonts w:hint="eastAsia" w:ascii="宋体" w:hAnsi="宋体" w:cs="宋体"/>
          <w:color w:val="000000"/>
          <w:kern w:val="0"/>
          <w:szCs w:val="21"/>
          <w:lang w:val="en-US" w:eastAsia="zh-CN"/>
        </w:rPr>
        <w:t>二</w:t>
      </w:r>
      <w:r>
        <w:rPr>
          <w:rFonts w:hint="eastAsia" w:ascii="宋体" w:hAnsi="宋体" w:cs="宋体"/>
          <w:color w:val="000000"/>
          <w:kern w:val="0"/>
          <w:szCs w:val="21"/>
        </w:rPr>
        <w:t>)乙方不得以任何名义为甲方及其工作人员报销应由甲方单位或个人支付的任何费用。</w:t>
      </w:r>
    </w:p>
    <w:p w14:paraId="6A046270">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(三)乙方不得以任何理由安排甲方工作人员参加可能影响相关业务公开、公正、公平性的宴请及娱乐活动。</w:t>
      </w:r>
    </w:p>
    <w:p w14:paraId="65084392">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（四）乙方不得为甲方单位和个人购置或提供通讯工具和高档办公用品等物品，也不得为甲方提供与工作无关的房屋、汽车等。</w:t>
      </w:r>
    </w:p>
    <w:p w14:paraId="7D494AED">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（五）乙方不得与甲方工作人员就合同中的质量、数量、价格、工程量、验收等条款进行私下商谈或者达成默契。</w:t>
      </w:r>
    </w:p>
    <w:p w14:paraId="2DDD0495">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（六）乙方不得以回扣、手续费、加班费、咨询费、劳务费、协调费、辛苦费等各种名义向甲方工作人员给予或赠送钱物。</w:t>
      </w:r>
    </w:p>
    <w:p w14:paraId="7BEB8604">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（七）乙方不得向甲方工作人员提供干股或红利。</w:t>
      </w:r>
    </w:p>
    <w:p w14:paraId="3767CB1C">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（八）乙方须按</w:t>
      </w:r>
      <w:r>
        <w:rPr>
          <w:rFonts w:hint="eastAsia" w:ascii="宋体" w:hAnsi="宋体" w:cs="宋体"/>
          <w:color w:val="000000"/>
          <w:kern w:val="0"/>
          <w:szCs w:val="21"/>
          <w:u w:val="single"/>
        </w:rPr>
        <w:t xml:space="preserve">         </w:t>
      </w:r>
      <w:r>
        <w:rPr>
          <w:rFonts w:hint="eastAsia" w:ascii="宋体" w:hAnsi="宋体" w:cs="宋体"/>
          <w:color w:val="000000"/>
          <w:kern w:val="0"/>
          <w:szCs w:val="21"/>
        </w:rPr>
        <w:t>专项纪检监察工作组(如有)要求开展相关工作。</w:t>
      </w:r>
    </w:p>
    <w:p w14:paraId="7A4FA4F2">
      <w:pPr>
        <w:widowControl/>
        <w:spacing w:line="360" w:lineRule="auto"/>
        <w:ind w:firstLine="420" w:firstLineChars="200"/>
        <w:jc w:val="left"/>
        <w:rPr>
          <w:rFonts w:hint="eastAsia" w:ascii="宋体" w:hAnsi="宋体" w:cs="宋体"/>
          <w:color w:val="000000"/>
          <w:kern w:val="0"/>
          <w:szCs w:val="21"/>
        </w:rPr>
      </w:pPr>
      <w:bookmarkStart w:id="918" w:name="_Toc2198"/>
      <w:bookmarkStart w:id="919" w:name="_Toc14507"/>
      <w:bookmarkStart w:id="920" w:name="_Toc95223500"/>
      <w:r>
        <w:rPr>
          <w:rFonts w:hint="eastAsia" w:ascii="宋体" w:hAnsi="宋体" w:cs="宋体"/>
          <w:color w:val="000000"/>
          <w:kern w:val="0"/>
          <w:szCs w:val="21"/>
        </w:rPr>
        <w:t>第四条 违约责任</w:t>
      </w:r>
      <w:bookmarkEnd w:id="918"/>
      <w:bookmarkEnd w:id="919"/>
      <w:bookmarkEnd w:id="920"/>
    </w:p>
    <w:p w14:paraId="57B00438">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0124D820">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甲方投诉联系部门：</w:t>
      </w:r>
      <w:r>
        <w:rPr>
          <w:rFonts w:hint="eastAsia" w:ascii="宋体" w:hAnsi="宋体" w:cs="宋体"/>
          <w:color w:val="000000"/>
          <w:kern w:val="0"/>
          <w:szCs w:val="21"/>
          <w:u w:val="single"/>
        </w:rPr>
        <w:t xml:space="preserve">           </w:t>
      </w:r>
      <w:r>
        <w:rPr>
          <w:rFonts w:hint="eastAsia" w:ascii="宋体" w:hAnsi="宋体" w:cs="宋体"/>
          <w:color w:val="000000"/>
          <w:kern w:val="0"/>
          <w:szCs w:val="21"/>
        </w:rPr>
        <w:t>，联系电话：</w:t>
      </w:r>
      <w:r>
        <w:rPr>
          <w:rFonts w:hint="eastAsia" w:ascii="宋体" w:hAnsi="宋体" w:cs="宋体"/>
          <w:color w:val="000000"/>
          <w:kern w:val="0"/>
          <w:szCs w:val="21"/>
          <w:u w:val="single"/>
        </w:rPr>
        <w:t xml:space="preserve">           </w:t>
      </w:r>
      <w:r>
        <w:rPr>
          <w:rFonts w:hint="eastAsia" w:ascii="宋体" w:hAnsi="宋体" w:cs="宋体"/>
          <w:color w:val="000000"/>
          <w:kern w:val="0"/>
          <w:szCs w:val="21"/>
        </w:rPr>
        <w:t>。</w:t>
      </w:r>
    </w:p>
    <w:p w14:paraId="4A447090">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（二）乙方及其工作人员违反本协议第一、三条规定。根据具体情节和造成的后果，甲方有权对乙方采取以下一种或多种处理办法：</w:t>
      </w:r>
    </w:p>
    <w:p w14:paraId="240655D3">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 xml:space="preserve">1. 全额收取乙方合同履约保证金不予退还； </w:t>
      </w:r>
    </w:p>
    <w:p w14:paraId="0B9DE33F">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2. 追究乙方其他违约责任；</w:t>
      </w:r>
    </w:p>
    <w:p w14:paraId="1BCCD4B9">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3. 终止或解除双方已签订的包括本合同在内的所有合同；</w:t>
      </w:r>
    </w:p>
    <w:p w14:paraId="20DCF346">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4. 乙方一定期限内（6个月至3年，具体由甲方根据情况而定）不得参与甲方作为发包人（业主）的工程项目投标。</w:t>
      </w:r>
    </w:p>
    <w:p w14:paraId="07FB2132">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甲方作出的处理意见，乙方应无条件接受并承担给甲方造成的损失，全额返还通过不正当手段从甲方获取的非法所得，并承担相应的法律责任。</w:t>
      </w:r>
    </w:p>
    <w:p w14:paraId="09BAA8D2">
      <w:pPr>
        <w:widowControl/>
        <w:spacing w:line="360" w:lineRule="auto"/>
        <w:ind w:firstLine="420" w:firstLineChars="200"/>
        <w:jc w:val="left"/>
        <w:rPr>
          <w:rFonts w:hint="eastAsia" w:ascii="宋体" w:hAnsi="宋体" w:cs="宋体"/>
          <w:color w:val="000000"/>
          <w:kern w:val="0"/>
          <w:szCs w:val="21"/>
        </w:rPr>
      </w:pPr>
      <w:bookmarkStart w:id="921" w:name="_Toc2334"/>
      <w:bookmarkStart w:id="922" w:name="_Toc10228"/>
      <w:bookmarkStart w:id="923" w:name="_Toc95223501"/>
      <w:r>
        <w:rPr>
          <w:rFonts w:hint="eastAsia" w:ascii="宋体" w:hAnsi="宋体" w:cs="宋体"/>
          <w:color w:val="000000"/>
          <w:kern w:val="0"/>
          <w:szCs w:val="21"/>
        </w:rPr>
        <w:t>第五条 双方约定</w:t>
      </w:r>
      <w:bookmarkEnd w:id="921"/>
      <w:bookmarkEnd w:id="922"/>
      <w:bookmarkEnd w:id="923"/>
    </w:p>
    <w:p w14:paraId="045B4244">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本协议由双方或双方上级单位负责监督。可由甲方或甲方上级单位的纪检监察部门约请乙方或乙方上级单位的纪检监察部门对本协议履行情况进行检查，提出在本协议规定范围内的裁定意见。</w:t>
      </w:r>
    </w:p>
    <w:p w14:paraId="0AA7BB2F">
      <w:pPr>
        <w:widowControl/>
        <w:spacing w:line="360" w:lineRule="auto"/>
        <w:ind w:firstLine="420" w:firstLineChars="200"/>
        <w:jc w:val="left"/>
        <w:rPr>
          <w:rFonts w:hint="eastAsia" w:ascii="宋体" w:hAnsi="宋体" w:cs="宋体"/>
          <w:color w:val="000000"/>
          <w:kern w:val="0"/>
          <w:szCs w:val="21"/>
        </w:rPr>
      </w:pPr>
      <w:bookmarkStart w:id="924" w:name="_Toc17717"/>
      <w:bookmarkStart w:id="925" w:name="_Toc95223502"/>
      <w:bookmarkStart w:id="926" w:name="_Toc32140"/>
      <w:r>
        <w:rPr>
          <w:rFonts w:hint="eastAsia" w:ascii="宋体" w:hAnsi="宋体" w:cs="宋体"/>
          <w:color w:val="000000"/>
          <w:kern w:val="0"/>
          <w:szCs w:val="21"/>
        </w:rPr>
        <w:t>第六条  本协议有效期为甲乙双方签署之日起至合同终止。</w:t>
      </w:r>
      <w:bookmarkEnd w:id="924"/>
      <w:bookmarkEnd w:id="925"/>
      <w:bookmarkEnd w:id="926"/>
      <w:r>
        <w:rPr>
          <w:rFonts w:hint="eastAsia" w:ascii="宋体" w:hAnsi="宋体" w:cs="宋体"/>
          <w:color w:val="000000"/>
          <w:kern w:val="0"/>
          <w:szCs w:val="21"/>
        </w:rPr>
        <w:t xml:space="preserve">  </w:t>
      </w:r>
    </w:p>
    <w:p w14:paraId="64D3B180">
      <w:pPr>
        <w:widowControl/>
        <w:spacing w:line="360" w:lineRule="auto"/>
        <w:ind w:firstLine="420" w:firstLineChars="200"/>
        <w:jc w:val="left"/>
        <w:rPr>
          <w:rFonts w:hint="eastAsia" w:ascii="宋体" w:hAnsi="宋体" w:cs="宋体"/>
          <w:color w:val="000000"/>
          <w:kern w:val="0"/>
          <w:szCs w:val="21"/>
        </w:rPr>
      </w:pPr>
      <w:bookmarkStart w:id="927" w:name="_Toc1871"/>
      <w:bookmarkStart w:id="928" w:name="_Toc24032"/>
      <w:bookmarkStart w:id="929" w:name="_Toc95223503"/>
      <w:r>
        <w:rPr>
          <w:rFonts w:hint="eastAsia" w:ascii="宋体" w:hAnsi="宋体" w:cs="宋体"/>
          <w:color w:val="000000"/>
          <w:kern w:val="0"/>
          <w:szCs w:val="21"/>
        </w:rPr>
        <w:t>第七条  本协议作为合同的附件，与本合同具有同等法律效力。</w:t>
      </w:r>
      <w:bookmarkEnd w:id="927"/>
      <w:bookmarkEnd w:id="928"/>
      <w:bookmarkEnd w:id="929"/>
    </w:p>
    <w:p w14:paraId="48CACDC6">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 xml:space="preserve"> </w:t>
      </w:r>
    </w:p>
    <w:p w14:paraId="477026E5">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 xml:space="preserve">甲方（盖章）： </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乙方（盖章）：</w:t>
      </w:r>
      <w:r>
        <w:rPr>
          <w:rFonts w:hint="eastAsia" w:ascii="宋体" w:hAnsi="宋体" w:cs="宋体"/>
          <w:color w:val="000000"/>
          <w:kern w:val="0"/>
          <w:szCs w:val="21"/>
          <w:u w:val="single"/>
        </w:rPr>
        <w:t xml:space="preserve">                      </w:t>
      </w:r>
    </w:p>
    <w:p w14:paraId="0D1FC570">
      <w:pPr>
        <w:widowControl/>
        <w:spacing w:line="360" w:lineRule="auto"/>
        <w:ind w:firstLine="420" w:firstLineChars="200"/>
        <w:jc w:val="left"/>
        <w:rPr>
          <w:rFonts w:hint="eastAsia" w:ascii="宋体" w:hAnsi="宋体" w:cs="宋体"/>
          <w:color w:val="000000"/>
          <w:kern w:val="0"/>
          <w:szCs w:val="21"/>
        </w:rPr>
      </w:pPr>
    </w:p>
    <w:p w14:paraId="602B8195">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法定代表人或                                法定代表人或</w:t>
      </w:r>
    </w:p>
    <w:p w14:paraId="21AD5850">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授权代表：</w:t>
      </w:r>
      <w:r>
        <w:rPr>
          <w:rFonts w:hint="eastAsia" w:ascii="宋体" w:hAnsi="宋体" w:cs="宋体"/>
          <w:color w:val="000000"/>
          <w:kern w:val="0"/>
          <w:szCs w:val="21"/>
          <w:u w:val="single"/>
        </w:rPr>
        <w:t xml:space="preserve">              </w:t>
      </w:r>
      <w:r>
        <w:rPr>
          <w:rFonts w:hint="eastAsia" w:ascii="宋体" w:hAnsi="宋体" w:cs="宋体"/>
          <w:color w:val="000000"/>
          <w:kern w:val="0"/>
          <w:szCs w:val="21"/>
        </w:rPr>
        <w:t>(职务)              授权代表：</w:t>
      </w:r>
      <w:r>
        <w:rPr>
          <w:rFonts w:hint="eastAsia" w:ascii="宋体" w:hAnsi="宋体" w:cs="宋体"/>
          <w:color w:val="000000"/>
          <w:kern w:val="0"/>
          <w:szCs w:val="21"/>
          <w:u w:val="single"/>
        </w:rPr>
        <w:t xml:space="preserve">             </w:t>
      </w:r>
      <w:r>
        <w:rPr>
          <w:rFonts w:hint="eastAsia" w:ascii="宋体" w:hAnsi="宋体" w:cs="宋体"/>
          <w:color w:val="000000"/>
          <w:kern w:val="0"/>
          <w:szCs w:val="21"/>
        </w:rPr>
        <w:t>(职务)</w:t>
      </w:r>
    </w:p>
    <w:p w14:paraId="207C0100">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姓名：</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姓名：</w:t>
      </w:r>
      <w:r>
        <w:rPr>
          <w:rFonts w:hint="eastAsia" w:ascii="宋体" w:hAnsi="宋体" w:cs="宋体"/>
          <w:color w:val="000000"/>
          <w:kern w:val="0"/>
          <w:szCs w:val="21"/>
          <w:u w:val="single"/>
        </w:rPr>
        <w:t xml:space="preserve">             </w:t>
      </w:r>
    </w:p>
    <w:p w14:paraId="3ADE98FC">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签字：</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签字：</w:t>
      </w:r>
      <w:r>
        <w:rPr>
          <w:rFonts w:hint="eastAsia" w:ascii="宋体" w:hAnsi="宋体" w:cs="宋体"/>
          <w:color w:val="000000"/>
          <w:kern w:val="0"/>
          <w:szCs w:val="21"/>
          <w:u w:val="single"/>
        </w:rPr>
        <w:t xml:space="preserve">             </w:t>
      </w:r>
    </w:p>
    <w:p w14:paraId="5F795282">
      <w:pPr>
        <w:widowControl/>
        <w:spacing w:line="360" w:lineRule="auto"/>
        <w:ind w:firstLine="420" w:firstLineChars="200"/>
        <w:jc w:val="left"/>
        <w:rPr>
          <w:rFonts w:hint="eastAsia" w:ascii="宋体" w:hAnsi="宋体" w:cs="宋体"/>
          <w:color w:val="000000"/>
          <w:kern w:val="0"/>
          <w:szCs w:val="21"/>
        </w:rPr>
      </w:pPr>
    </w:p>
    <w:p w14:paraId="4BE5BDF0">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廉政监督联系人                              廉政监督联系人</w:t>
      </w:r>
    </w:p>
    <w:p w14:paraId="41473A64">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姓名：</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姓名：</w:t>
      </w:r>
      <w:r>
        <w:rPr>
          <w:rFonts w:hint="eastAsia" w:ascii="宋体" w:hAnsi="宋体" w:cs="宋体"/>
          <w:color w:val="000000"/>
          <w:kern w:val="0"/>
          <w:szCs w:val="21"/>
          <w:u w:val="single"/>
        </w:rPr>
        <w:t xml:space="preserve">                       </w:t>
      </w:r>
    </w:p>
    <w:p w14:paraId="4CC497F7">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签字：</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签字：</w:t>
      </w:r>
      <w:r>
        <w:rPr>
          <w:rFonts w:hint="eastAsia" w:ascii="宋体" w:hAnsi="宋体" w:cs="宋体"/>
          <w:color w:val="000000"/>
          <w:kern w:val="0"/>
          <w:szCs w:val="21"/>
          <w:u w:val="single"/>
        </w:rPr>
        <w:t xml:space="preserve">                       </w:t>
      </w:r>
    </w:p>
    <w:p w14:paraId="65B3392A">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电话：</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电话：</w:t>
      </w:r>
      <w:r>
        <w:rPr>
          <w:rFonts w:hint="eastAsia" w:ascii="宋体" w:hAnsi="宋体" w:cs="宋体"/>
          <w:color w:val="000000"/>
          <w:kern w:val="0"/>
          <w:szCs w:val="21"/>
          <w:u w:val="single"/>
        </w:rPr>
        <w:t xml:space="preserve">                       </w:t>
      </w:r>
    </w:p>
    <w:p w14:paraId="017F93D1">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地址：</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地址：</w:t>
      </w:r>
      <w:r>
        <w:rPr>
          <w:rFonts w:hint="eastAsia" w:ascii="宋体" w:hAnsi="宋体" w:cs="宋体"/>
          <w:color w:val="000000"/>
          <w:kern w:val="0"/>
          <w:szCs w:val="21"/>
          <w:u w:val="single"/>
        </w:rPr>
        <w:t xml:space="preserve">                       </w:t>
      </w:r>
    </w:p>
    <w:p w14:paraId="66B4E8F5">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日期：</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日期：</w:t>
      </w:r>
      <w:r>
        <w:rPr>
          <w:rFonts w:hint="eastAsia" w:ascii="宋体" w:hAnsi="宋体" w:cs="宋体"/>
          <w:color w:val="000000"/>
          <w:kern w:val="0"/>
          <w:szCs w:val="21"/>
          <w:u w:val="single"/>
        </w:rPr>
        <w:t xml:space="preserve">                       </w:t>
      </w:r>
    </w:p>
    <w:p w14:paraId="6775D691">
      <w:pPr>
        <w:keepNext/>
        <w:keepLines/>
        <w:spacing w:before="120" w:after="120" w:line="360" w:lineRule="auto"/>
        <w:jc w:val="left"/>
        <w:outlineLvl w:val="2"/>
        <w:rPr>
          <w:rFonts w:hint="eastAsia" w:ascii="宋体" w:hAnsi="宋体" w:cs="宋体"/>
          <w:color w:val="000000"/>
          <w:szCs w:val="21"/>
        </w:rPr>
      </w:pPr>
      <w:r>
        <w:rPr>
          <w:rFonts w:hint="eastAsia" w:ascii="宋体" w:hAnsi="宋体" w:cs="宋体"/>
          <w:bCs/>
          <w:color w:val="000000"/>
          <w:kern w:val="0"/>
          <w:sz w:val="24"/>
          <w:szCs w:val="21"/>
        </w:rPr>
        <w:br w:type="page"/>
      </w:r>
      <w:bookmarkStart w:id="930" w:name="_Toc95223504"/>
      <w:r>
        <w:rPr>
          <w:rFonts w:hint="eastAsia" w:ascii="宋体" w:hAnsi="宋体" w:cs="宋体"/>
          <w:bCs/>
          <w:color w:val="000000"/>
          <w:sz w:val="24"/>
        </w:rPr>
        <w:t>附件9：履约保证金</w:t>
      </w:r>
      <w:bookmarkEnd w:id="930"/>
    </w:p>
    <w:p w14:paraId="200A71B3">
      <w:pPr>
        <w:adjustRightInd w:val="0"/>
        <w:snapToGrid w:val="0"/>
        <w:spacing w:line="360" w:lineRule="auto"/>
        <w:jc w:val="center"/>
        <w:rPr>
          <w:rFonts w:hint="eastAsia" w:ascii="宋体" w:hAnsi="宋体" w:cs="宋体"/>
          <w:b/>
          <w:bCs/>
          <w:color w:val="000000"/>
          <w:sz w:val="32"/>
          <w:szCs w:val="32"/>
        </w:rPr>
      </w:pPr>
      <w:bookmarkStart w:id="931" w:name="_Toc25855"/>
      <w:bookmarkStart w:id="932" w:name="_Toc95223505"/>
      <w:bookmarkStart w:id="933" w:name="_Toc8655"/>
      <w:r>
        <w:rPr>
          <w:rFonts w:hint="eastAsia" w:ascii="宋体" w:hAnsi="宋体" w:cs="宋体"/>
          <w:b/>
          <w:bCs/>
          <w:color w:val="000000"/>
          <w:sz w:val="32"/>
          <w:szCs w:val="32"/>
        </w:rPr>
        <w:t>履约保函示范文本</w:t>
      </w:r>
      <w:bookmarkEnd w:id="931"/>
      <w:bookmarkEnd w:id="932"/>
      <w:bookmarkEnd w:id="933"/>
    </w:p>
    <w:p w14:paraId="17DE69EE">
      <w:pPr>
        <w:wordWrap w:val="0"/>
        <w:adjustRightInd w:val="0"/>
        <w:snapToGrid w:val="0"/>
        <w:spacing w:line="360" w:lineRule="auto"/>
        <w:jc w:val="right"/>
        <w:rPr>
          <w:rFonts w:hint="eastAsia" w:ascii="宋体" w:hAnsi="宋体" w:cs="宋体"/>
          <w:color w:val="000000"/>
          <w:szCs w:val="21"/>
        </w:rPr>
      </w:pPr>
      <w:r>
        <w:rPr>
          <w:rFonts w:hint="eastAsia" w:ascii="宋体" w:hAnsi="宋体" w:cs="宋体"/>
          <w:color w:val="000000"/>
          <w:szCs w:val="21"/>
        </w:rPr>
        <w:t xml:space="preserve">编号：           </w:t>
      </w:r>
    </w:p>
    <w:p w14:paraId="66CDFEC9">
      <w:pPr>
        <w:adjustRightInd w:val="0"/>
        <w:snapToGrid w:val="0"/>
        <w:spacing w:line="360" w:lineRule="auto"/>
        <w:rPr>
          <w:rFonts w:hint="eastAsia" w:ascii="宋体" w:hAnsi="宋体" w:cs="宋体"/>
          <w:color w:val="000000"/>
          <w:szCs w:val="21"/>
        </w:rPr>
      </w:pPr>
    </w:p>
    <w:p w14:paraId="791C3E11">
      <w:pPr>
        <w:adjustRightInd w:val="0"/>
        <w:snapToGrid w:val="0"/>
        <w:spacing w:line="360" w:lineRule="auto"/>
        <w:rPr>
          <w:rFonts w:hint="eastAsia"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rPr>
        <w:t xml:space="preserve">（受益人名称）： </w:t>
      </w:r>
    </w:p>
    <w:p w14:paraId="1E0481F9">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鉴于</w:t>
      </w:r>
      <w:r>
        <w:rPr>
          <w:rFonts w:hint="eastAsia" w:ascii="宋体" w:hAnsi="宋体" w:cs="宋体"/>
          <w:color w:val="000000"/>
          <w:szCs w:val="21"/>
          <w:u w:val="single"/>
        </w:rPr>
        <w:t xml:space="preserve">        </w:t>
      </w:r>
      <w:r>
        <w:rPr>
          <w:rFonts w:hint="eastAsia" w:ascii="宋体" w:hAnsi="宋体" w:cs="宋体"/>
          <w:color w:val="000000"/>
          <w:szCs w:val="21"/>
        </w:rPr>
        <w:t>（以下简称“受益人”）与</w:t>
      </w:r>
      <w:r>
        <w:rPr>
          <w:rFonts w:hint="eastAsia" w:ascii="宋体" w:hAnsi="宋体" w:cs="宋体"/>
          <w:color w:val="000000"/>
          <w:szCs w:val="21"/>
          <w:u w:val="single"/>
        </w:rPr>
        <w:t xml:space="preserve">         </w:t>
      </w:r>
      <w:r>
        <w:rPr>
          <w:rFonts w:hint="eastAsia" w:ascii="宋体" w:hAnsi="宋体" w:cs="宋体"/>
          <w:color w:val="000000"/>
          <w:szCs w:val="21"/>
        </w:rPr>
        <w:t>（以下简称“申请人”）于</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日就</w:t>
      </w:r>
      <w:r>
        <w:rPr>
          <w:rFonts w:hint="eastAsia" w:ascii="宋体" w:hAnsi="宋体" w:cs="宋体"/>
          <w:snapToGrid w:val="0"/>
          <w:color w:val="000000"/>
          <w:kern w:val="0"/>
          <w:szCs w:val="21"/>
          <w:u w:val="single"/>
        </w:rPr>
        <w:t xml:space="preserve">        </w:t>
      </w:r>
      <w:r>
        <w:rPr>
          <w:rFonts w:hint="eastAsia" w:ascii="宋体" w:hAnsi="宋体" w:cs="宋体"/>
          <w:snapToGrid w:val="0"/>
          <w:color w:val="000000"/>
          <w:kern w:val="0"/>
          <w:szCs w:val="21"/>
        </w:rPr>
        <w:t>（标段编号）的</w:t>
      </w:r>
      <w:r>
        <w:rPr>
          <w:rFonts w:hint="eastAsia" w:ascii="宋体" w:hAnsi="宋体" w:cs="宋体"/>
          <w:snapToGrid w:val="0"/>
          <w:color w:val="000000"/>
          <w:kern w:val="0"/>
          <w:szCs w:val="21"/>
          <w:u w:val="single"/>
        </w:rPr>
        <w:t xml:space="preserve">         </w:t>
      </w:r>
      <w:r>
        <w:rPr>
          <w:rFonts w:hint="eastAsia" w:ascii="宋体" w:hAnsi="宋体" w:cs="宋体"/>
          <w:snapToGrid w:val="0"/>
          <w:color w:val="000000"/>
          <w:kern w:val="0"/>
          <w:szCs w:val="21"/>
        </w:rPr>
        <w:t>（标段名称）</w:t>
      </w:r>
      <w:r>
        <w:rPr>
          <w:rFonts w:hint="eastAsia" w:ascii="宋体" w:hAnsi="宋体" w:cs="宋体"/>
          <w:color w:val="000000"/>
          <w:szCs w:val="21"/>
        </w:rPr>
        <w:t>有关事项协商一致共同签订</w:t>
      </w:r>
      <w:r>
        <w:rPr>
          <w:rFonts w:hint="eastAsia" w:ascii="宋体" w:hAnsi="宋体" w:cs="宋体"/>
          <w:color w:val="000000"/>
          <w:szCs w:val="21"/>
          <w:u w:val="single"/>
        </w:rPr>
        <w:t>《        》</w:t>
      </w:r>
      <w:r>
        <w:rPr>
          <w:rFonts w:hint="eastAsia" w:ascii="宋体" w:hAnsi="宋体" w:cs="宋体"/>
          <w:color w:val="000000"/>
          <w:szCs w:val="21"/>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63F2D6C1">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一、本保函担保范围：承包人未按照基础合同的约定履行义务，应当向受益人承担的违约责任和赔偿因此造成的损失、利息、律师费、诉讼费用等实现债权的费用。</w:t>
      </w:r>
    </w:p>
    <w:p w14:paraId="3483343C">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二、本保函担保金额最高不超过人民币（大写）</w:t>
      </w:r>
      <w:r>
        <w:rPr>
          <w:rFonts w:hint="eastAsia" w:ascii="宋体" w:hAnsi="宋体" w:cs="宋体"/>
          <w:color w:val="000000"/>
          <w:szCs w:val="21"/>
          <w:u w:val="single"/>
        </w:rPr>
        <w:t xml:space="preserve">          </w:t>
      </w:r>
      <w:r>
        <w:rPr>
          <w:rFonts w:hint="eastAsia" w:ascii="宋体" w:hAnsi="宋体" w:cs="宋体"/>
          <w:color w:val="000000"/>
          <w:szCs w:val="21"/>
        </w:rPr>
        <w:t>元（¥</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475A0BCE">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三、本保函有效期自开立之日起至基础合同约定的缺陷责任期满之日止。 </w:t>
      </w:r>
    </w:p>
    <w:p w14:paraId="379869AB">
      <w:pPr>
        <w:adjustRightInd w:val="0"/>
        <w:snapToGrid w:val="0"/>
        <w:spacing w:line="360" w:lineRule="auto"/>
        <w:ind w:firstLine="480"/>
        <w:rPr>
          <w:rFonts w:hint="eastAsia" w:ascii="宋体" w:hAnsi="宋体" w:cs="宋体"/>
          <w:color w:val="000000"/>
          <w:szCs w:val="21"/>
        </w:rPr>
      </w:pPr>
      <w:bookmarkStart w:id="934" w:name="_Hlk40302764"/>
      <w:r>
        <w:rPr>
          <w:rFonts w:hint="eastAsia" w:ascii="宋体" w:hAnsi="宋体" w:cs="宋体"/>
          <w:color w:val="000000"/>
          <w:szCs w:val="21"/>
        </w:rPr>
        <w:t>四、开立人承诺，在收到受益人发来的书面付款通知后的七日内无条件支付，前述书面付款通知即为付款要求之单据，且应满足以下要求：</w:t>
      </w:r>
    </w:p>
    <w:bookmarkEnd w:id="934"/>
    <w:p w14:paraId="046B5C79">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（1）付款通知到达的日期在本保函的有效期内；</w:t>
      </w:r>
    </w:p>
    <w:p w14:paraId="2EBDF048">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（2）载明要求支付的金额；</w:t>
      </w:r>
    </w:p>
    <w:p w14:paraId="3C51C0E8">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（3）载明申请人违反合同义务的条款和内容；</w:t>
      </w:r>
    </w:p>
    <w:p w14:paraId="6D656C40">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（4）声明不存在合同文件约定或我国法律规定免除申请人或开立人支付责任的情形；</w:t>
      </w:r>
    </w:p>
    <w:p w14:paraId="39D683CE">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（5）付款通知应在本保函有效期内到达的地址是：</w:t>
      </w:r>
      <w:r>
        <w:rPr>
          <w:rFonts w:hint="eastAsia" w:ascii="宋体" w:hAnsi="宋体" w:cs="宋体"/>
          <w:color w:val="000000"/>
          <w:szCs w:val="21"/>
          <w:u w:val="single"/>
        </w:rPr>
        <w:t xml:space="preserve">             </w:t>
      </w:r>
      <w:r>
        <w:rPr>
          <w:rFonts w:hint="eastAsia" w:ascii="宋体" w:hAnsi="宋体" w:cs="宋体"/>
          <w:color w:val="000000"/>
          <w:szCs w:val="21"/>
        </w:rPr>
        <w:t>。</w:t>
      </w:r>
    </w:p>
    <w:p w14:paraId="6BD6955B">
      <w:pPr>
        <w:adjustRightInd w:val="0"/>
        <w:snapToGrid w:val="0"/>
        <w:spacing w:line="360" w:lineRule="auto"/>
        <w:rPr>
          <w:rFonts w:hint="eastAsia" w:ascii="宋体" w:hAnsi="宋体" w:cs="宋体"/>
          <w:color w:val="000000"/>
          <w:szCs w:val="21"/>
        </w:rPr>
      </w:pPr>
      <w:r>
        <w:rPr>
          <w:rFonts w:hint="eastAsia" w:ascii="宋体" w:hAnsi="宋体" w:cs="宋体"/>
          <w:color w:val="000000"/>
          <w:szCs w:val="21"/>
        </w:rPr>
        <w:t xml:space="preserve">    </w:t>
      </w:r>
      <w:bookmarkStart w:id="935" w:name="_Hlk40303486"/>
      <w:r>
        <w:rPr>
          <w:rFonts w:hint="eastAsia" w:ascii="宋体" w:hAnsi="宋体" w:cs="宋体"/>
          <w:color w:val="000000"/>
          <w:szCs w:val="21"/>
        </w:rPr>
        <w:t>受益人发出的书面付款通知应由其法定代表人（负责人）或授权代理人签字并加盖公章。</w:t>
      </w:r>
      <w:bookmarkEnd w:id="935"/>
    </w:p>
    <w:p w14:paraId="6388B95A">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五、本保函项下的权利不得转让，不得设定担保。受益人未经我方书面同意转 让本保函或其项下任何权利，对我方不发生法律效力。 </w:t>
      </w:r>
    </w:p>
    <w:p w14:paraId="76CD3120">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六、与本保函有关的基础合同不成立、不生效、无效、被撤销、被解除，不影响本保函的独立有效。 </w:t>
      </w:r>
    </w:p>
    <w:p w14:paraId="0053D08E">
      <w:pPr>
        <w:adjustRightInd w:val="0"/>
        <w:snapToGrid w:val="0"/>
        <w:spacing w:line="360" w:lineRule="auto"/>
        <w:ind w:firstLine="420" w:firstLineChars="200"/>
        <w:rPr>
          <w:rFonts w:hint="eastAsia" w:ascii="宋体" w:hAnsi="宋体" w:cs="宋体"/>
          <w:color w:val="000000"/>
          <w:szCs w:val="21"/>
        </w:rPr>
      </w:pPr>
      <w:bookmarkStart w:id="936" w:name="_Hlk40303383"/>
      <w:bookmarkStart w:id="937" w:name="_Hlk40354981"/>
      <w:r>
        <w:rPr>
          <w:rFonts w:hint="eastAsia" w:ascii="宋体" w:hAnsi="宋体" w:cs="宋体"/>
          <w:color w:val="000000"/>
          <w:szCs w:val="21"/>
        </w:rPr>
        <w:t xml:space="preserve">七、本保函项下的义务和责任均在保函有效期到期后自动消灭。 </w:t>
      </w:r>
    </w:p>
    <w:p w14:paraId="3F029539">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八、本保函适用的法律为中华人民共和国法律，因本保函产生的纠纷案件，</w:t>
      </w:r>
      <w:bookmarkEnd w:id="936"/>
      <w:r>
        <w:rPr>
          <w:rFonts w:hint="eastAsia" w:ascii="宋体" w:hAnsi="宋体" w:cs="宋体"/>
          <w:color w:val="000000"/>
          <w:szCs w:val="21"/>
        </w:rPr>
        <w:t xml:space="preserve">由受益人所在地人民法院管辖。 </w:t>
      </w:r>
    </w:p>
    <w:bookmarkEnd w:id="937"/>
    <w:p w14:paraId="7A7DEB52">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九、本保函自我方法定代表人或授权代表签字并加盖公章之日起生效。 </w:t>
      </w:r>
    </w:p>
    <w:p w14:paraId="2B7A0F5D">
      <w:pPr>
        <w:adjustRightInd w:val="0"/>
        <w:snapToGrid w:val="0"/>
        <w:spacing w:line="360" w:lineRule="auto"/>
        <w:ind w:firstLine="420" w:firstLineChars="200"/>
        <w:rPr>
          <w:rFonts w:hint="eastAsia" w:ascii="宋体" w:hAnsi="宋体" w:cs="宋体"/>
          <w:color w:val="000000"/>
          <w:szCs w:val="21"/>
        </w:rPr>
      </w:pPr>
    </w:p>
    <w:p w14:paraId="58FB3C66">
      <w:pPr>
        <w:adjustRightInd w:val="0"/>
        <w:snapToGrid w:val="0"/>
        <w:spacing w:line="360" w:lineRule="auto"/>
        <w:ind w:firstLine="420" w:firstLineChars="200"/>
        <w:rPr>
          <w:rFonts w:hint="eastAsia" w:ascii="宋体" w:hAnsi="宋体" w:cs="宋体"/>
          <w:color w:val="000000"/>
          <w:szCs w:val="21"/>
        </w:rPr>
      </w:pPr>
    </w:p>
    <w:p w14:paraId="4FA1832F">
      <w:pPr>
        <w:adjustRightInd w:val="0"/>
        <w:snapToGrid w:val="0"/>
        <w:spacing w:line="360" w:lineRule="auto"/>
        <w:ind w:firstLine="420" w:firstLineChars="200"/>
        <w:rPr>
          <w:rFonts w:hint="eastAsia" w:ascii="宋体" w:hAnsi="宋体" w:cs="宋体"/>
          <w:color w:val="000000"/>
          <w:szCs w:val="21"/>
        </w:rPr>
      </w:pPr>
    </w:p>
    <w:p w14:paraId="6B6D5681">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开 立 人：</w:t>
      </w:r>
      <w:r>
        <w:rPr>
          <w:rFonts w:hint="eastAsia" w:ascii="宋体" w:hAnsi="宋体" w:cs="宋体"/>
          <w:color w:val="000000"/>
          <w:szCs w:val="21"/>
          <w:u w:val="single"/>
        </w:rPr>
        <w:t xml:space="preserve">                              </w:t>
      </w:r>
      <w:r>
        <w:rPr>
          <w:rFonts w:hint="eastAsia" w:ascii="宋体" w:hAnsi="宋体" w:cs="宋体"/>
          <w:color w:val="000000"/>
          <w:szCs w:val="21"/>
        </w:rPr>
        <w:t xml:space="preserve">（公章） </w:t>
      </w:r>
    </w:p>
    <w:p w14:paraId="17B941D8">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法定代表人（或授权代表）：</w:t>
      </w:r>
      <w:r>
        <w:rPr>
          <w:rFonts w:hint="eastAsia" w:ascii="宋体" w:hAnsi="宋体" w:cs="宋体"/>
          <w:color w:val="000000"/>
          <w:szCs w:val="21"/>
          <w:u w:val="single"/>
        </w:rPr>
        <w:t xml:space="preserve">               </w:t>
      </w:r>
      <w:r>
        <w:rPr>
          <w:rFonts w:hint="eastAsia" w:ascii="宋体" w:hAnsi="宋体" w:cs="宋体"/>
          <w:color w:val="000000"/>
          <w:szCs w:val="21"/>
        </w:rPr>
        <w:t xml:space="preserve">（签字） </w:t>
      </w:r>
    </w:p>
    <w:p w14:paraId="2A6FA8F1">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地    址：</w:t>
      </w:r>
      <w:r>
        <w:rPr>
          <w:rFonts w:hint="eastAsia" w:ascii="宋体" w:hAnsi="宋体" w:cs="宋体"/>
          <w:color w:val="000000"/>
          <w:szCs w:val="21"/>
          <w:u w:val="single"/>
        </w:rPr>
        <w:t xml:space="preserve">                                       </w:t>
      </w:r>
    </w:p>
    <w:p w14:paraId="0AEF4E59">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邮政编码：</w:t>
      </w:r>
      <w:r>
        <w:rPr>
          <w:rFonts w:hint="eastAsia" w:ascii="宋体" w:hAnsi="宋体" w:cs="宋体"/>
          <w:color w:val="000000"/>
          <w:szCs w:val="21"/>
          <w:u w:val="single"/>
        </w:rPr>
        <w:t xml:space="preserve">                 </w:t>
      </w:r>
    </w:p>
    <w:p w14:paraId="1BD6E24D">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电    话：</w:t>
      </w:r>
      <w:r>
        <w:rPr>
          <w:rFonts w:hint="eastAsia" w:ascii="宋体" w:hAnsi="宋体" w:cs="宋体"/>
          <w:color w:val="000000"/>
          <w:szCs w:val="21"/>
          <w:u w:val="single"/>
        </w:rPr>
        <w:t xml:space="preserve">                 </w:t>
      </w:r>
    </w:p>
    <w:p w14:paraId="425CF389">
      <w:pPr>
        <w:adjustRightInd w:val="0"/>
        <w:snapToGrid w:val="0"/>
        <w:spacing w:line="360" w:lineRule="auto"/>
        <w:ind w:firstLine="420" w:firstLineChars="200"/>
        <w:rPr>
          <w:rFonts w:hint="eastAsia" w:ascii="宋体" w:hAnsi="宋体" w:cs="宋体"/>
          <w:color w:val="000000"/>
          <w:szCs w:val="21"/>
          <w:u w:val="single"/>
        </w:rPr>
      </w:pPr>
      <w:r>
        <w:rPr>
          <w:rFonts w:hint="eastAsia" w:ascii="宋体" w:hAnsi="宋体" w:cs="宋体"/>
          <w:color w:val="000000"/>
          <w:szCs w:val="21"/>
        </w:rPr>
        <w:t>传    真：</w:t>
      </w:r>
      <w:r>
        <w:rPr>
          <w:rFonts w:hint="eastAsia" w:ascii="宋体" w:hAnsi="宋体" w:cs="宋体"/>
          <w:color w:val="000000"/>
          <w:szCs w:val="21"/>
          <w:u w:val="single"/>
        </w:rPr>
        <w:t xml:space="preserve">                 </w:t>
      </w:r>
    </w:p>
    <w:p w14:paraId="2DCC2162">
      <w:pPr>
        <w:adjustRightInd w:val="0"/>
        <w:snapToGrid w:val="0"/>
        <w:spacing w:line="360" w:lineRule="auto"/>
        <w:ind w:left="1323" w:leftChars="200" w:hanging="903" w:hangingChars="430"/>
        <w:rPr>
          <w:rFonts w:hint="eastAsia" w:ascii="宋体" w:hAnsi="宋体" w:cs="宋体"/>
          <w:color w:val="000000"/>
          <w:szCs w:val="21"/>
        </w:rPr>
      </w:pPr>
      <w:r>
        <w:rPr>
          <w:rFonts w:hint="eastAsia" w:ascii="宋体" w:hAnsi="宋体" w:cs="宋体"/>
          <w:color w:val="000000"/>
          <w:szCs w:val="21"/>
        </w:rPr>
        <w:t>开立时间：</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14:paraId="44EF6527">
      <w:pPr>
        <w:spacing w:line="360" w:lineRule="auto"/>
        <w:ind w:left="1329" w:hanging="1329" w:hangingChars="633"/>
        <w:rPr>
          <w:rFonts w:hint="eastAsia" w:ascii="宋体" w:hAnsi="宋体" w:cs="宋体"/>
          <w:color w:val="000000"/>
          <w:szCs w:val="21"/>
        </w:rPr>
      </w:pPr>
    </w:p>
    <w:p w14:paraId="1C833B37">
      <w:pPr>
        <w:pStyle w:val="14"/>
        <w:rPr>
          <w:rFonts w:hint="eastAsia"/>
        </w:rPr>
      </w:pPr>
    </w:p>
    <w:p w14:paraId="69C8F633">
      <w:pPr>
        <w:rPr>
          <w:rFonts w:hint="eastAsia"/>
        </w:rPr>
      </w:pPr>
    </w:p>
    <w:p w14:paraId="76400CEE">
      <w:pPr>
        <w:pStyle w:val="14"/>
        <w:rPr>
          <w:rFonts w:hint="eastAsia"/>
        </w:rPr>
      </w:pPr>
    </w:p>
    <w:p w14:paraId="76457BD2">
      <w:pPr>
        <w:rPr>
          <w:rFonts w:hint="eastAsia"/>
        </w:rPr>
      </w:pPr>
    </w:p>
    <w:p w14:paraId="2C88A51B">
      <w:pPr>
        <w:pStyle w:val="14"/>
        <w:rPr>
          <w:rFonts w:hint="eastAsia"/>
        </w:rPr>
      </w:pPr>
    </w:p>
    <w:p w14:paraId="3BCEEA04">
      <w:pPr>
        <w:rPr>
          <w:rFonts w:hint="eastAsia"/>
        </w:rPr>
      </w:pPr>
    </w:p>
    <w:p w14:paraId="4C77474F">
      <w:pPr>
        <w:pStyle w:val="14"/>
        <w:rPr>
          <w:rFonts w:hint="eastAsia"/>
        </w:rPr>
      </w:pPr>
    </w:p>
    <w:p w14:paraId="141AAD89">
      <w:pPr>
        <w:rPr>
          <w:rFonts w:hint="eastAsia"/>
        </w:rPr>
      </w:pPr>
    </w:p>
    <w:p w14:paraId="27F03065">
      <w:pPr>
        <w:pStyle w:val="14"/>
        <w:rPr>
          <w:rFonts w:hint="eastAsia"/>
        </w:rPr>
      </w:pPr>
    </w:p>
    <w:p w14:paraId="69D396E4">
      <w:pPr>
        <w:rPr>
          <w:rFonts w:hint="eastAsia"/>
        </w:rPr>
      </w:pPr>
    </w:p>
    <w:p w14:paraId="39270C67">
      <w:pPr>
        <w:pStyle w:val="14"/>
        <w:rPr>
          <w:rFonts w:hint="eastAsia"/>
        </w:rPr>
      </w:pPr>
    </w:p>
    <w:p w14:paraId="4EF26578">
      <w:pPr>
        <w:rPr>
          <w:rFonts w:hint="eastAsia"/>
        </w:rPr>
      </w:pPr>
    </w:p>
    <w:p w14:paraId="34AF1D57">
      <w:pPr>
        <w:pStyle w:val="14"/>
        <w:rPr>
          <w:rFonts w:hint="eastAsia"/>
        </w:rPr>
      </w:pPr>
    </w:p>
    <w:p w14:paraId="4E2EF806">
      <w:pPr>
        <w:rPr>
          <w:rFonts w:hint="eastAsia"/>
        </w:rPr>
      </w:pPr>
    </w:p>
    <w:p w14:paraId="2795EB99">
      <w:pPr>
        <w:pStyle w:val="14"/>
        <w:rPr>
          <w:rFonts w:hint="eastAsia"/>
        </w:rPr>
      </w:pPr>
    </w:p>
    <w:p w14:paraId="3AD96EBF">
      <w:pPr>
        <w:rPr>
          <w:rFonts w:hint="eastAsia"/>
        </w:rPr>
      </w:pPr>
    </w:p>
    <w:p w14:paraId="306DB33B">
      <w:pPr>
        <w:pStyle w:val="14"/>
        <w:rPr>
          <w:rFonts w:hint="eastAsia"/>
        </w:rPr>
      </w:pPr>
    </w:p>
    <w:p w14:paraId="7CA85646">
      <w:pPr>
        <w:rPr>
          <w:rFonts w:hint="eastAsia"/>
        </w:rPr>
      </w:pPr>
    </w:p>
    <w:p w14:paraId="7761C5F1">
      <w:pPr>
        <w:pStyle w:val="14"/>
        <w:rPr>
          <w:rFonts w:hint="eastAsia"/>
        </w:rPr>
      </w:pPr>
    </w:p>
    <w:p w14:paraId="3789AFD7">
      <w:pPr>
        <w:rPr>
          <w:rFonts w:hint="eastAsia"/>
        </w:rPr>
      </w:pPr>
    </w:p>
    <w:p w14:paraId="7E98CAE6">
      <w:pPr>
        <w:pStyle w:val="14"/>
        <w:rPr>
          <w:rFonts w:hint="eastAsia"/>
        </w:rPr>
      </w:pPr>
    </w:p>
    <w:p w14:paraId="493D1F8E">
      <w:pPr>
        <w:rPr>
          <w:rFonts w:hint="eastAsia"/>
        </w:rPr>
      </w:pPr>
    </w:p>
    <w:p w14:paraId="74A9875F">
      <w:pPr>
        <w:pStyle w:val="14"/>
        <w:rPr>
          <w:rFonts w:hint="eastAsia"/>
        </w:rPr>
      </w:pPr>
    </w:p>
    <w:p w14:paraId="729BAD1F">
      <w:pPr>
        <w:pStyle w:val="14"/>
        <w:ind w:left="0" w:leftChars="0" w:firstLine="0" w:firstLineChars="0"/>
        <w:rPr>
          <w:rFonts w:hint="eastAsia"/>
        </w:rPr>
      </w:pPr>
    </w:p>
    <w:p w14:paraId="7DFF9969">
      <w:pPr>
        <w:pStyle w:val="14"/>
        <w:rPr>
          <w:rFonts w:hint="eastAsia"/>
        </w:rPr>
      </w:pPr>
    </w:p>
    <w:p w14:paraId="010E5067">
      <w:pPr>
        <w:rPr>
          <w:rFonts w:hint="eastAsia"/>
        </w:rPr>
      </w:pPr>
    </w:p>
    <w:p w14:paraId="1FB8C0CE">
      <w:pPr>
        <w:pStyle w:val="14"/>
        <w:rPr>
          <w:rFonts w:hint="eastAsia"/>
        </w:rPr>
      </w:pPr>
    </w:p>
    <w:p w14:paraId="68ACD3C1">
      <w:pPr>
        <w:rPr>
          <w:rFonts w:hint="eastAsia"/>
        </w:rPr>
      </w:pPr>
    </w:p>
    <w:p w14:paraId="67A75671">
      <w:pPr>
        <w:pStyle w:val="14"/>
        <w:rPr>
          <w:rFonts w:hint="eastAsia"/>
        </w:rPr>
      </w:pPr>
    </w:p>
    <w:p w14:paraId="74BCE3F1">
      <w:pPr>
        <w:rPr>
          <w:rFonts w:hint="eastAsia"/>
        </w:rPr>
      </w:pPr>
    </w:p>
    <w:p w14:paraId="4745516D">
      <w:pPr>
        <w:pStyle w:val="14"/>
        <w:rPr>
          <w:rFonts w:hint="eastAsia"/>
        </w:rPr>
      </w:pPr>
    </w:p>
    <w:p w14:paraId="068DC3D3">
      <w:pPr>
        <w:rPr>
          <w:rFonts w:hint="eastAsia"/>
        </w:rPr>
      </w:pPr>
    </w:p>
    <w:p w14:paraId="2F73473A">
      <w:pPr>
        <w:keepNext/>
        <w:keepLines/>
        <w:spacing w:before="120" w:after="120" w:line="360" w:lineRule="auto"/>
        <w:jc w:val="left"/>
        <w:outlineLvl w:val="2"/>
        <w:rPr>
          <w:rFonts w:ascii="宋体" w:hAnsi="宋体" w:cs="宋体"/>
          <w:bCs/>
          <w:color w:val="000000"/>
          <w:sz w:val="24"/>
        </w:rPr>
        <w:sectPr>
          <w:footnotePr>
            <w:numFmt w:val="decimalEnclosedCircleChinese"/>
            <w:numRestart w:val="eachPage"/>
          </w:footnotePr>
          <w:pgSz w:w="11907" w:h="16840"/>
          <w:pgMar w:top="1474" w:right="1474" w:bottom="1474" w:left="1474" w:header="799" w:footer="907" w:gutter="0"/>
          <w:cols w:space="720" w:num="1"/>
          <w:docGrid w:linePitch="271" w:charSpace="0"/>
        </w:sectPr>
      </w:pPr>
      <w:bookmarkStart w:id="938" w:name="_Toc95223508"/>
    </w:p>
    <w:p w14:paraId="0A61C7CA">
      <w:pPr>
        <w:keepNext/>
        <w:keepLines/>
        <w:spacing w:before="120" w:after="120" w:line="360" w:lineRule="auto"/>
        <w:jc w:val="left"/>
        <w:outlineLvl w:val="2"/>
        <w:rPr>
          <w:rFonts w:hint="eastAsia" w:ascii="宋体" w:hAnsi="宋体" w:cs="宋体"/>
          <w:bCs/>
          <w:color w:val="000000"/>
          <w:sz w:val="24"/>
        </w:rPr>
      </w:pPr>
      <w:r>
        <w:rPr>
          <w:rFonts w:hint="eastAsia" w:ascii="宋体" w:hAnsi="宋体" w:cs="宋体"/>
          <w:bCs/>
          <w:color w:val="000000"/>
          <w:sz w:val="24"/>
        </w:rPr>
        <w:t>附</w:t>
      </w:r>
      <w:bookmarkStart w:id="939" w:name="_Toc296347232"/>
      <w:bookmarkStart w:id="940" w:name="_Toc296346734"/>
      <w:bookmarkStart w:id="941" w:name="_Toc296891273"/>
      <w:bookmarkStart w:id="942" w:name="_Toc296891061"/>
      <w:bookmarkStart w:id="943" w:name="_Toc296944572"/>
      <w:bookmarkStart w:id="944" w:name="_Toc296503233"/>
      <w:r>
        <w:rPr>
          <w:rFonts w:hint="eastAsia" w:ascii="宋体" w:hAnsi="宋体" w:cs="宋体"/>
          <w:bCs/>
          <w:color w:val="000000"/>
          <w:sz w:val="24"/>
        </w:rPr>
        <w:t>件10：支付担保</w:t>
      </w:r>
      <w:bookmarkEnd w:id="938"/>
      <w:bookmarkEnd w:id="939"/>
      <w:bookmarkEnd w:id="940"/>
      <w:bookmarkEnd w:id="941"/>
      <w:bookmarkEnd w:id="942"/>
      <w:bookmarkEnd w:id="943"/>
      <w:bookmarkEnd w:id="944"/>
    </w:p>
    <w:p w14:paraId="0656DB22">
      <w:pPr>
        <w:adjustRightInd w:val="0"/>
        <w:snapToGrid w:val="0"/>
        <w:spacing w:line="360" w:lineRule="auto"/>
        <w:jc w:val="center"/>
        <w:rPr>
          <w:rFonts w:hint="eastAsia" w:ascii="宋体" w:hAnsi="宋体" w:cs="宋体"/>
          <w:b/>
          <w:bCs/>
          <w:color w:val="000000"/>
          <w:sz w:val="32"/>
          <w:szCs w:val="32"/>
        </w:rPr>
      </w:pPr>
      <w:bookmarkStart w:id="945" w:name="_Toc8319"/>
      <w:bookmarkStart w:id="946" w:name="_Toc3562"/>
      <w:bookmarkStart w:id="947" w:name="_Toc95223509"/>
      <w:r>
        <w:rPr>
          <w:rFonts w:hint="eastAsia" w:ascii="宋体" w:hAnsi="宋体" w:cs="宋体"/>
          <w:b/>
          <w:bCs/>
          <w:color w:val="000000"/>
          <w:sz w:val="32"/>
          <w:szCs w:val="32"/>
        </w:rPr>
        <w:t>支付保函示范文本</w:t>
      </w:r>
      <w:bookmarkEnd w:id="945"/>
      <w:bookmarkEnd w:id="946"/>
      <w:bookmarkEnd w:id="947"/>
    </w:p>
    <w:p w14:paraId="5329F7DC">
      <w:pPr>
        <w:wordWrap w:val="0"/>
        <w:adjustRightInd w:val="0"/>
        <w:snapToGrid w:val="0"/>
        <w:spacing w:line="360" w:lineRule="auto"/>
        <w:jc w:val="right"/>
        <w:rPr>
          <w:rFonts w:hint="eastAsia" w:ascii="宋体" w:hAnsi="宋体" w:cs="宋体"/>
          <w:color w:val="000000"/>
          <w:szCs w:val="21"/>
        </w:rPr>
      </w:pPr>
      <w:r>
        <w:rPr>
          <w:rFonts w:hint="eastAsia" w:ascii="宋体" w:hAnsi="宋体" w:cs="宋体"/>
          <w:color w:val="000000"/>
          <w:szCs w:val="21"/>
        </w:rPr>
        <w:t xml:space="preserve">编号：           </w:t>
      </w:r>
    </w:p>
    <w:p w14:paraId="35123FB3">
      <w:pPr>
        <w:adjustRightInd w:val="0"/>
        <w:snapToGrid w:val="0"/>
        <w:spacing w:line="360" w:lineRule="auto"/>
        <w:rPr>
          <w:rFonts w:hint="eastAsia" w:ascii="宋体" w:hAnsi="宋体" w:cs="宋体"/>
          <w:color w:val="000000"/>
          <w:szCs w:val="21"/>
        </w:rPr>
      </w:pPr>
    </w:p>
    <w:p w14:paraId="53161247">
      <w:pPr>
        <w:adjustRightInd w:val="0"/>
        <w:snapToGrid w:val="0"/>
        <w:spacing w:line="360" w:lineRule="auto"/>
        <w:rPr>
          <w:rFonts w:hint="eastAsia" w:ascii="宋体" w:hAnsi="宋体" w:cs="宋体"/>
          <w:color w:val="000000"/>
          <w:szCs w:val="21"/>
        </w:rPr>
      </w:pPr>
      <w:bookmarkStart w:id="948" w:name="_Hlk40355074"/>
      <w:r>
        <w:rPr>
          <w:rFonts w:hint="eastAsia" w:ascii="宋体" w:hAnsi="宋体" w:cs="宋体"/>
          <w:color w:val="000000"/>
          <w:szCs w:val="21"/>
          <w:u w:val="single"/>
        </w:rPr>
        <w:t xml:space="preserve">              </w:t>
      </w:r>
      <w:r>
        <w:rPr>
          <w:rFonts w:hint="eastAsia" w:ascii="宋体" w:hAnsi="宋体" w:cs="宋体"/>
          <w:color w:val="000000"/>
          <w:szCs w:val="21"/>
        </w:rPr>
        <w:t xml:space="preserve">（受益人名称）： </w:t>
      </w:r>
    </w:p>
    <w:bookmarkEnd w:id="948"/>
    <w:p w14:paraId="6B7CC4B8">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鉴于</w:t>
      </w:r>
      <w:r>
        <w:rPr>
          <w:rFonts w:hint="eastAsia" w:ascii="宋体" w:hAnsi="宋体" w:cs="宋体"/>
          <w:color w:val="000000"/>
          <w:szCs w:val="21"/>
          <w:u w:val="single"/>
        </w:rPr>
        <w:t xml:space="preserve">        </w:t>
      </w:r>
      <w:r>
        <w:rPr>
          <w:rFonts w:hint="eastAsia" w:ascii="宋体" w:hAnsi="宋体" w:cs="宋体"/>
          <w:color w:val="000000"/>
          <w:szCs w:val="21"/>
        </w:rPr>
        <w:t>（以下简称“受益人”）与</w:t>
      </w:r>
      <w:r>
        <w:rPr>
          <w:rFonts w:hint="eastAsia" w:ascii="宋体" w:hAnsi="宋体" w:cs="宋体"/>
          <w:color w:val="000000"/>
          <w:szCs w:val="21"/>
          <w:u w:val="single"/>
        </w:rPr>
        <w:t xml:space="preserve">         </w:t>
      </w:r>
      <w:r>
        <w:rPr>
          <w:rFonts w:hint="eastAsia" w:ascii="宋体" w:hAnsi="宋体" w:cs="宋体"/>
          <w:color w:val="000000"/>
          <w:szCs w:val="21"/>
        </w:rPr>
        <w:t>（以下简称“申请人”）于</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日就</w:t>
      </w:r>
      <w:r>
        <w:rPr>
          <w:rFonts w:hint="eastAsia" w:ascii="宋体" w:hAnsi="宋体" w:cs="宋体"/>
          <w:snapToGrid w:val="0"/>
          <w:color w:val="000000"/>
          <w:kern w:val="0"/>
          <w:szCs w:val="21"/>
          <w:u w:val="single"/>
        </w:rPr>
        <w:t xml:space="preserve">        </w:t>
      </w:r>
      <w:r>
        <w:rPr>
          <w:rFonts w:hint="eastAsia" w:ascii="宋体" w:hAnsi="宋体" w:cs="宋体"/>
          <w:snapToGrid w:val="0"/>
          <w:color w:val="000000"/>
          <w:kern w:val="0"/>
          <w:szCs w:val="21"/>
        </w:rPr>
        <w:t>（标段编号）的</w:t>
      </w:r>
      <w:r>
        <w:rPr>
          <w:rFonts w:hint="eastAsia" w:ascii="宋体" w:hAnsi="宋体" w:cs="宋体"/>
          <w:snapToGrid w:val="0"/>
          <w:color w:val="000000"/>
          <w:kern w:val="0"/>
          <w:szCs w:val="21"/>
          <w:u w:val="single"/>
        </w:rPr>
        <w:t xml:space="preserve">         </w:t>
      </w:r>
      <w:r>
        <w:rPr>
          <w:rFonts w:hint="eastAsia" w:ascii="宋体" w:hAnsi="宋体" w:cs="宋体"/>
          <w:snapToGrid w:val="0"/>
          <w:color w:val="000000"/>
          <w:kern w:val="0"/>
          <w:szCs w:val="21"/>
        </w:rPr>
        <w:t>（标段名称）</w:t>
      </w:r>
      <w:r>
        <w:rPr>
          <w:rFonts w:hint="eastAsia" w:ascii="宋体" w:hAnsi="宋体" w:cs="宋体"/>
          <w:color w:val="000000"/>
          <w:szCs w:val="21"/>
        </w:rPr>
        <w:t>有关事项协商一致共同签订</w:t>
      </w:r>
      <w:r>
        <w:rPr>
          <w:rFonts w:hint="eastAsia" w:ascii="宋体" w:hAnsi="宋体" w:cs="宋体"/>
          <w:color w:val="000000"/>
          <w:szCs w:val="21"/>
          <w:u w:val="single"/>
        </w:rPr>
        <w:t>《        》</w:t>
      </w:r>
      <w:r>
        <w:rPr>
          <w:rFonts w:hint="eastAsia" w:ascii="宋体" w:hAnsi="宋体" w:cs="宋体"/>
          <w:color w:val="000000"/>
          <w:szCs w:val="21"/>
        </w:rPr>
        <w:t xml:space="preserve">（以下简称基础合同”），开立人根据基础合同了解到申请人为基础合同项下之发包人，受益人为基础合同项下之承包人，基于申请人的请求，开立人同意就申请人履行与受益人签订的基础合同项下的工程款（指基础合同约定的除工程质量保修金以外的工程款）付款义务，向受益人提供不可撤销、不可转让的见索即付独立保函（以下简称“本保函”）。 </w:t>
      </w:r>
    </w:p>
    <w:p w14:paraId="2F49B9DF">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一、本保函担保范围：申请人未履行基础合同约定的工程款支付义务，应当向受益人承担的违约责任和赔偿因此造成的损失、利息、律师费、诉讼费用等实现债权的费用。</w:t>
      </w:r>
    </w:p>
    <w:p w14:paraId="2CB89979">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二、本保函担保金额最高不超过人民币（大写）</w:t>
      </w:r>
      <w:r>
        <w:rPr>
          <w:rFonts w:hint="eastAsia" w:ascii="宋体" w:hAnsi="宋体" w:cs="宋体"/>
          <w:color w:val="000000"/>
          <w:szCs w:val="21"/>
          <w:u w:val="single"/>
        </w:rPr>
        <w:t xml:space="preserve">          </w:t>
      </w:r>
      <w:r>
        <w:rPr>
          <w:rFonts w:hint="eastAsia" w:ascii="宋体" w:hAnsi="宋体" w:cs="宋体"/>
          <w:color w:val="000000"/>
          <w:szCs w:val="21"/>
        </w:rPr>
        <w:t>元（¥</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04EA7776">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三、本保函有效期自开立之日起至基础合同约定的除工程质量保修金以外的全部工程结算款项支付之日后</w:t>
      </w:r>
      <w:r>
        <w:rPr>
          <w:rFonts w:hint="eastAsia" w:ascii="宋体" w:hAnsi="宋体" w:cs="宋体"/>
          <w:color w:val="000000"/>
          <w:szCs w:val="21"/>
          <w:u w:val="single"/>
        </w:rPr>
        <w:t xml:space="preserve">    </w:t>
      </w:r>
      <w:r>
        <w:rPr>
          <w:rFonts w:hint="eastAsia" w:ascii="宋体" w:hAnsi="宋体" w:cs="宋体"/>
          <w:color w:val="000000"/>
          <w:szCs w:val="21"/>
        </w:rPr>
        <w:t xml:space="preserve">日止。 </w:t>
      </w:r>
    </w:p>
    <w:p w14:paraId="135F9CCA">
      <w:pPr>
        <w:adjustRightInd w:val="0"/>
        <w:snapToGrid w:val="0"/>
        <w:spacing w:line="360" w:lineRule="auto"/>
        <w:ind w:firstLine="480"/>
        <w:rPr>
          <w:rFonts w:hint="eastAsia" w:ascii="宋体" w:hAnsi="宋体" w:cs="宋体"/>
          <w:color w:val="000000"/>
          <w:szCs w:val="21"/>
        </w:rPr>
      </w:pPr>
      <w:r>
        <w:rPr>
          <w:rFonts w:hint="eastAsia" w:ascii="宋体" w:hAnsi="宋体" w:cs="宋体"/>
          <w:color w:val="000000"/>
          <w:szCs w:val="21"/>
        </w:rPr>
        <w:t>四、开立人承诺，在收到受益人发来的书面付款通知后的七日内无条件支付，前述书面付款通知即为付款要求之单据，且应满足以下要求：</w:t>
      </w:r>
    </w:p>
    <w:p w14:paraId="7DC97487">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（1）付款通知到达的日期在本保函的有效期内；</w:t>
      </w:r>
    </w:p>
    <w:p w14:paraId="53B4D5CC">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（2）载明要求支付的金额；</w:t>
      </w:r>
    </w:p>
    <w:p w14:paraId="17041966">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（3）载明申请人违反合同义务的条款和内容；</w:t>
      </w:r>
    </w:p>
    <w:p w14:paraId="0B399D41">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（4）声明不存在合同文件约定或我国法律规定免除申请人或开立人支付责任的情形；</w:t>
      </w:r>
    </w:p>
    <w:p w14:paraId="6B1D5494">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（5）付款通知应在本保函有效期内到达的地址是：</w:t>
      </w:r>
      <w:r>
        <w:rPr>
          <w:rFonts w:hint="eastAsia" w:ascii="宋体" w:hAnsi="宋体" w:cs="宋体"/>
          <w:color w:val="000000"/>
          <w:szCs w:val="21"/>
          <w:u w:val="single"/>
        </w:rPr>
        <w:t xml:space="preserve">             </w:t>
      </w:r>
      <w:r>
        <w:rPr>
          <w:rFonts w:hint="eastAsia" w:ascii="宋体" w:hAnsi="宋体" w:cs="宋体"/>
          <w:color w:val="000000"/>
          <w:szCs w:val="21"/>
        </w:rPr>
        <w:t>。</w:t>
      </w:r>
    </w:p>
    <w:p w14:paraId="53877287">
      <w:pPr>
        <w:adjustRightInd w:val="0"/>
        <w:snapToGrid w:val="0"/>
        <w:spacing w:line="360" w:lineRule="auto"/>
        <w:rPr>
          <w:rFonts w:hint="eastAsia" w:ascii="宋体" w:hAnsi="宋体" w:cs="宋体"/>
          <w:color w:val="000000"/>
          <w:szCs w:val="21"/>
        </w:rPr>
      </w:pPr>
      <w:r>
        <w:rPr>
          <w:rFonts w:hint="eastAsia" w:ascii="宋体" w:hAnsi="宋体" w:cs="宋体"/>
          <w:color w:val="000000"/>
          <w:szCs w:val="21"/>
        </w:rPr>
        <w:t xml:space="preserve">    受益人发出的书面付款通知应由其法定代表人（负责人）或授权代理人签字并加盖公章。</w:t>
      </w:r>
    </w:p>
    <w:p w14:paraId="6DFC0EC5">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五、本保函项下的权利不得转让，不得设定担保。受益人未经开立人书面同意转让本保函或其项下任何权利，对开立人不发生法律效力。 </w:t>
      </w:r>
    </w:p>
    <w:p w14:paraId="07452721">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六、本保函项下的基础交易不成立、不生效、无效、被撤销、被解除，不影响本保函的独立有效。</w:t>
      </w:r>
    </w:p>
    <w:p w14:paraId="547C452D">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七、本保函项下的义务和责任均在保函有效期到期后自动消灭。 </w:t>
      </w:r>
    </w:p>
    <w:p w14:paraId="1192801C">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八、本保函适用的法律为中华人民共和国法律，因本保函产生的纠纷案件，由申请人所在地人民法院管辖。 </w:t>
      </w:r>
    </w:p>
    <w:p w14:paraId="7F137F51">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九、本保函自我方法定代表人或授权代表签字并加盖公章之日起生效。 </w:t>
      </w:r>
    </w:p>
    <w:p w14:paraId="65AFC0C0">
      <w:pPr>
        <w:adjustRightInd w:val="0"/>
        <w:snapToGrid w:val="0"/>
        <w:spacing w:line="360" w:lineRule="auto"/>
        <w:ind w:firstLine="420" w:firstLineChars="200"/>
        <w:rPr>
          <w:rFonts w:hint="eastAsia" w:ascii="宋体" w:hAnsi="宋体" w:cs="宋体"/>
          <w:color w:val="000000"/>
          <w:szCs w:val="21"/>
        </w:rPr>
      </w:pPr>
    </w:p>
    <w:p w14:paraId="0B766D9B">
      <w:pPr>
        <w:adjustRightInd w:val="0"/>
        <w:snapToGrid w:val="0"/>
        <w:spacing w:line="360" w:lineRule="auto"/>
        <w:ind w:firstLine="420" w:firstLineChars="200"/>
        <w:rPr>
          <w:rFonts w:hint="eastAsia" w:ascii="宋体" w:hAnsi="宋体" w:cs="宋体"/>
          <w:color w:val="000000"/>
          <w:szCs w:val="21"/>
        </w:rPr>
      </w:pPr>
    </w:p>
    <w:p w14:paraId="3CB074E3">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开 立 人：</w:t>
      </w:r>
      <w:r>
        <w:rPr>
          <w:rFonts w:hint="eastAsia" w:ascii="宋体" w:hAnsi="宋体" w:cs="宋体"/>
          <w:color w:val="000000"/>
          <w:szCs w:val="21"/>
          <w:u w:val="single"/>
        </w:rPr>
        <w:t xml:space="preserve">                              </w:t>
      </w:r>
      <w:r>
        <w:rPr>
          <w:rFonts w:hint="eastAsia" w:ascii="宋体" w:hAnsi="宋体" w:cs="宋体"/>
          <w:color w:val="000000"/>
          <w:szCs w:val="21"/>
        </w:rPr>
        <w:t xml:space="preserve">（公章） </w:t>
      </w:r>
    </w:p>
    <w:p w14:paraId="0280D01C">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法定代表人（或授权代表）：</w:t>
      </w:r>
      <w:r>
        <w:rPr>
          <w:rFonts w:hint="eastAsia" w:ascii="宋体" w:hAnsi="宋体" w:cs="宋体"/>
          <w:color w:val="000000"/>
          <w:szCs w:val="21"/>
          <w:u w:val="single"/>
        </w:rPr>
        <w:t xml:space="preserve">               </w:t>
      </w:r>
      <w:r>
        <w:rPr>
          <w:rFonts w:hint="eastAsia" w:ascii="宋体" w:hAnsi="宋体" w:cs="宋体"/>
          <w:color w:val="000000"/>
          <w:szCs w:val="21"/>
        </w:rPr>
        <w:t xml:space="preserve">（签字） </w:t>
      </w:r>
    </w:p>
    <w:p w14:paraId="51E175D4">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地    址：</w:t>
      </w:r>
      <w:r>
        <w:rPr>
          <w:rFonts w:hint="eastAsia" w:ascii="宋体" w:hAnsi="宋体" w:cs="宋体"/>
          <w:color w:val="000000"/>
          <w:szCs w:val="21"/>
          <w:u w:val="single"/>
        </w:rPr>
        <w:t xml:space="preserve">                                       </w:t>
      </w:r>
    </w:p>
    <w:p w14:paraId="3E98A475">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邮政编码：</w:t>
      </w:r>
      <w:r>
        <w:rPr>
          <w:rFonts w:hint="eastAsia" w:ascii="宋体" w:hAnsi="宋体" w:cs="宋体"/>
          <w:color w:val="000000"/>
          <w:szCs w:val="21"/>
          <w:u w:val="single"/>
        </w:rPr>
        <w:t xml:space="preserve">                 </w:t>
      </w:r>
    </w:p>
    <w:p w14:paraId="5C0C9E62">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电    话：</w:t>
      </w:r>
      <w:r>
        <w:rPr>
          <w:rFonts w:hint="eastAsia" w:ascii="宋体" w:hAnsi="宋体" w:cs="宋体"/>
          <w:color w:val="000000"/>
          <w:szCs w:val="21"/>
          <w:u w:val="single"/>
        </w:rPr>
        <w:t xml:space="preserve">                 </w:t>
      </w:r>
    </w:p>
    <w:p w14:paraId="2B58F205">
      <w:pPr>
        <w:adjustRightInd w:val="0"/>
        <w:snapToGrid w:val="0"/>
        <w:spacing w:line="360" w:lineRule="auto"/>
        <w:ind w:firstLine="420" w:firstLineChars="200"/>
        <w:rPr>
          <w:rFonts w:hint="eastAsia" w:ascii="宋体" w:hAnsi="宋体" w:cs="宋体"/>
          <w:color w:val="000000"/>
          <w:szCs w:val="21"/>
          <w:u w:val="single"/>
        </w:rPr>
      </w:pPr>
      <w:r>
        <w:rPr>
          <w:rFonts w:hint="eastAsia" w:ascii="宋体" w:hAnsi="宋体" w:cs="宋体"/>
          <w:color w:val="000000"/>
          <w:szCs w:val="21"/>
        </w:rPr>
        <w:t>传    真：</w:t>
      </w:r>
      <w:r>
        <w:rPr>
          <w:rFonts w:hint="eastAsia" w:ascii="宋体" w:hAnsi="宋体" w:cs="宋体"/>
          <w:color w:val="000000"/>
          <w:szCs w:val="21"/>
          <w:u w:val="single"/>
        </w:rPr>
        <w:t xml:space="preserve">                 </w:t>
      </w:r>
    </w:p>
    <w:p w14:paraId="28F623DE">
      <w:pPr>
        <w:adjustRightInd w:val="0"/>
        <w:snapToGrid w:val="0"/>
        <w:spacing w:line="360" w:lineRule="auto"/>
        <w:ind w:left="1323" w:leftChars="200" w:hanging="903" w:hangingChars="430"/>
        <w:rPr>
          <w:rFonts w:hint="eastAsia" w:ascii="宋体" w:hAnsi="宋体" w:cs="宋体"/>
          <w:color w:val="000000"/>
          <w:szCs w:val="21"/>
        </w:rPr>
      </w:pPr>
      <w:r>
        <w:rPr>
          <w:rFonts w:hint="eastAsia" w:ascii="宋体" w:hAnsi="宋体" w:cs="宋体"/>
          <w:color w:val="000000"/>
          <w:szCs w:val="21"/>
        </w:rPr>
        <w:t>开立时间：</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14:paraId="0D107849">
      <w:pPr>
        <w:adjustRightInd w:val="0"/>
        <w:snapToGrid w:val="0"/>
        <w:spacing w:line="360" w:lineRule="auto"/>
        <w:rPr>
          <w:rFonts w:hint="eastAsia" w:ascii="宋体" w:hAnsi="宋体" w:cs="宋体"/>
          <w:color w:val="000000"/>
          <w:szCs w:val="21"/>
        </w:rPr>
      </w:pPr>
    </w:p>
    <w:p w14:paraId="61F38DE4">
      <w:pPr>
        <w:adjustRightInd w:val="0"/>
        <w:snapToGrid w:val="0"/>
        <w:spacing w:line="360" w:lineRule="auto"/>
        <w:rPr>
          <w:rFonts w:hint="eastAsia" w:ascii="宋体" w:hAnsi="宋体" w:cs="宋体"/>
          <w:color w:val="000000"/>
          <w:szCs w:val="21"/>
        </w:rPr>
      </w:pPr>
    </w:p>
    <w:p w14:paraId="02F1FD1A">
      <w:pPr>
        <w:adjustRightInd w:val="0"/>
        <w:snapToGrid w:val="0"/>
        <w:spacing w:line="360" w:lineRule="auto"/>
        <w:rPr>
          <w:rFonts w:hint="eastAsia" w:ascii="宋体" w:hAnsi="宋体" w:cs="宋体"/>
          <w:color w:val="000000"/>
          <w:szCs w:val="21"/>
        </w:rPr>
      </w:pPr>
    </w:p>
    <w:p w14:paraId="75BE426D">
      <w:pPr>
        <w:keepNext/>
        <w:keepLines/>
        <w:adjustRightInd w:val="0"/>
        <w:snapToGrid w:val="0"/>
        <w:spacing w:line="360" w:lineRule="auto"/>
        <w:jc w:val="left"/>
        <w:outlineLvl w:val="2"/>
        <w:rPr>
          <w:rFonts w:hint="eastAsia" w:ascii="宋体" w:hAnsi="宋体" w:cs="宋体"/>
          <w:bCs/>
          <w:color w:val="000000"/>
          <w:sz w:val="24"/>
        </w:rPr>
      </w:pPr>
      <w:r>
        <w:rPr>
          <w:rFonts w:hint="eastAsia" w:ascii="宋体" w:hAnsi="宋体" w:cs="宋体"/>
          <w:bCs/>
          <w:color w:val="000000"/>
          <w:sz w:val="24"/>
        </w:rPr>
        <w:br w:type="page"/>
      </w:r>
      <w:bookmarkStart w:id="949" w:name="_Toc95223510"/>
      <w:r>
        <w:rPr>
          <w:rFonts w:hint="eastAsia" w:ascii="宋体" w:hAnsi="宋体" w:cs="宋体"/>
          <w:bCs/>
          <w:color w:val="000000"/>
          <w:sz w:val="24"/>
        </w:rPr>
        <w:t>附件11：暂估价一览表</w:t>
      </w:r>
      <w:bookmarkEnd w:id="949"/>
    </w:p>
    <w:p w14:paraId="49EE82A1">
      <w:pPr>
        <w:spacing w:before="120" w:beforeLines="50" w:after="120" w:afterLines="50" w:line="440" w:lineRule="exact"/>
        <w:jc w:val="center"/>
        <w:rPr>
          <w:rFonts w:hint="eastAsia" w:ascii="宋体" w:hAnsi="宋体" w:cs="宋体"/>
          <w:color w:val="000000"/>
          <w:szCs w:val="21"/>
        </w:rPr>
      </w:pPr>
      <w:r>
        <w:rPr>
          <w:rFonts w:hint="eastAsia" w:ascii="宋体" w:hAnsi="宋体" w:cs="宋体"/>
          <w:color w:val="000000"/>
          <w:szCs w:val="21"/>
        </w:rPr>
        <w:t>12-1：材料暂估价表</w:t>
      </w:r>
    </w:p>
    <w:tbl>
      <w:tblPr>
        <w:tblStyle w:val="47"/>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6E0265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4D6AF0EF">
            <w:pPr>
              <w:keepNext/>
              <w:spacing w:line="440" w:lineRule="exact"/>
              <w:rPr>
                <w:rFonts w:hint="eastAsia" w:ascii="宋体" w:hAnsi="宋体" w:cs="宋体"/>
                <w:color w:val="000000"/>
                <w:szCs w:val="21"/>
              </w:rPr>
            </w:pPr>
            <w:r>
              <w:rPr>
                <w:rFonts w:hint="eastAsia" w:ascii="宋体" w:hAnsi="宋体" w:cs="宋体"/>
                <w:color w:val="000000"/>
                <w:szCs w:val="21"/>
              </w:rPr>
              <w:t>序号</w:t>
            </w:r>
          </w:p>
        </w:tc>
        <w:tc>
          <w:tcPr>
            <w:tcW w:w="1984" w:type="dxa"/>
            <w:tcBorders>
              <w:top w:val="single" w:color="auto" w:sz="12" w:space="0"/>
              <w:bottom w:val="double" w:color="auto" w:sz="6" w:space="0"/>
            </w:tcBorders>
            <w:noWrap w:val="0"/>
            <w:vAlign w:val="top"/>
          </w:tcPr>
          <w:p w14:paraId="09299411">
            <w:pPr>
              <w:keepNext/>
              <w:spacing w:line="440" w:lineRule="exact"/>
              <w:rPr>
                <w:rFonts w:hint="eastAsia" w:ascii="宋体" w:hAnsi="宋体" w:cs="宋体"/>
                <w:color w:val="000000"/>
                <w:szCs w:val="21"/>
              </w:rPr>
            </w:pPr>
            <w:r>
              <w:rPr>
                <w:rFonts w:hint="eastAsia" w:ascii="宋体" w:hAnsi="宋体" w:cs="宋体"/>
                <w:color w:val="000000"/>
                <w:szCs w:val="21"/>
              </w:rPr>
              <w:t>名称</w:t>
            </w:r>
          </w:p>
        </w:tc>
        <w:tc>
          <w:tcPr>
            <w:tcW w:w="851" w:type="dxa"/>
            <w:tcBorders>
              <w:top w:val="single" w:color="auto" w:sz="12" w:space="0"/>
              <w:bottom w:val="double" w:color="auto" w:sz="6" w:space="0"/>
            </w:tcBorders>
            <w:noWrap w:val="0"/>
            <w:vAlign w:val="top"/>
          </w:tcPr>
          <w:p w14:paraId="3D720567">
            <w:pPr>
              <w:keepNext/>
              <w:spacing w:line="440" w:lineRule="exact"/>
              <w:rPr>
                <w:rFonts w:hint="eastAsia" w:ascii="宋体" w:hAnsi="宋体" w:cs="宋体"/>
                <w:color w:val="000000"/>
                <w:szCs w:val="21"/>
              </w:rPr>
            </w:pPr>
            <w:r>
              <w:rPr>
                <w:rFonts w:hint="eastAsia" w:ascii="宋体" w:hAnsi="宋体" w:cs="宋体"/>
                <w:color w:val="000000"/>
                <w:szCs w:val="21"/>
              </w:rPr>
              <w:t>单位</w:t>
            </w:r>
          </w:p>
        </w:tc>
        <w:tc>
          <w:tcPr>
            <w:tcW w:w="774" w:type="dxa"/>
            <w:tcBorders>
              <w:top w:val="single" w:color="auto" w:sz="12" w:space="0"/>
              <w:bottom w:val="double" w:color="auto" w:sz="6" w:space="0"/>
            </w:tcBorders>
            <w:noWrap w:val="0"/>
            <w:vAlign w:val="top"/>
          </w:tcPr>
          <w:p w14:paraId="16BB018D">
            <w:pPr>
              <w:keepNext/>
              <w:spacing w:line="440" w:lineRule="exact"/>
              <w:rPr>
                <w:rFonts w:hint="eastAsia" w:ascii="宋体" w:hAnsi="宋体" w:cs="宋体"/>
                <w:color w:val="000000"/>
                <w:szCs w:val="21"/>
              </w:rPr>
            </w:pPr>
            <w:r>
              <w:rPr>
                <w:rFonts w:hint="eastAsia" w:ascii="宋体" w:hAnsi="宋体" w:cs="宋体"/>
                <w:color w:val="000000"/>
                <w:szCs w:val="21"/>
              </w:rPr>
              <w:t>数量</w:t>
            </w:r>
          </w:p>
        </w:tc>
        <w:tc>
          <w:tcPr>
            <w:tcW w:w="1352" w:type="dxa"/>
            <w:tcBorders>
              <w:top w:val="single" w:color="auto" w:sz="12" w:space="0"/>
              <w:bottom w:val="double" w:color="auto" w:sz="6" w:space="0"/>
            </w:tcBorders>
            <w:noWrap w:val="0"/>
            <w:vAlign w:val="top"/>
          </w:tcPr>
          <w:p w14:paraId="1D9834B5">
            <w:pPr>
              <w:keepNext/>
              <w:spacing w:line="440" w:lineRule="exact"/>
              <w:rPr>
                <w:rFonts w:hint="eastAsia" w:ascii="宋体" w:hAnsi="宋体" w:cs="宋体"/>
                <w:color w:val="000000"/>
                <w:szCs w:val="21"/>
              </w:rPr>
            </w:pPr>
            <w:r>
              <w:rPr>
                <w:rFonts w:hint="eastAsia" w:ascii="宋体" w:hAnsi="宋体" w:cs="宋体"/>
                <w:color w:val="000000"/>
                <w:szCs w:val="21"/>
              </w:rPr>
              <w:t>单价（元）</w:t>
            </w:r>
          </w:p>
        </w:tc>
        <w:tc>
          <w:tcPr>
            <w:tcW w:w="1418" w:type="dxa"/>
            <w:tcBorders>
              <w:top w:val="single" w:color="auto" w:sz="12" w:space="0"/>
              <w:bottom w:val="double" w:color="auto" w:sz="6" w:space="0"/>
            </w:tcBorders>
            <w:noWrap w:val="0"/>
            <w:vAlign w:val="top"/>
          </w:tcPr>
          <w:p w14:paraId="04DA02AB">
            <w:pPr>
              <w:keepNext/>
              <w:spacing w:line="440" w:lineRule="exact"/>
              <w:rPr>
                <w:rFonts w:hint="eastAsia" w:ascii="宋体" w:hAnsi="宋体" w:cs="宋体"/>
                <w:color w:val="000000"/>
                <w:szCs w:val="21"/>
              </w:rPr>
            </w:pPr>
            <w:r>
              <w:rPr>
                <w:rFonts w:hint="eastAsia" w:ascii="宋体" w:hAnsi="宋体" w:cs="宋体"/>
                <w:color w:val="000000"/>
                <w:szCs w:val="21"/>
              </w:rPr>
              <w:t>合价（元）</w:t>
            </w:r>
          </w:p>
        </w:tc>
        <w:tc>
          <w:tcPr>
            <w:tcW w:w="1701" w:type="dxa"/>
            <w:tcBorders>
              <w:top w:val="single" w:color="auto" w:sz="12" w:space="0"/>
              <w:bottom w:val="double" w:color="auto" w:sz="6" w:space="0"/>
            </w:tcBorders>
            <w:noWrap w:val="0"/>
            <w:vAlign w:val="top"/>
          </w:tcPr>
          <w:p w14:paraId="554A6ADF">
            <w:pPr>
              <w:keepNext/>
              <w:spacing w:line="440" w:lineRule="exact"/>
              <w:rPr>
                <w:rFonts w:hint="eastAsia" w:ascii="宋体" w:hAnsi="宋体" w:cs="宋体"/>
                <w:color w:val="000000"/>
                <w:szCs w:val="21"/>
              </w:rPr>
            </w:pPr>
            <w:r>
              <w:rPr>
                <w:rFonts w:hint="eastAsia" w:ascii="宋体" w:hAnsi="宋体" w:cs="宋体"/>
                <w:color w:val="000000"/>
                <w:szCs w:val="21"/>
              </w:rPr>
              <w:t>备注</w:t>
            </w:r>
          </w:p>
        </w:tc>
      </w:tr>
      <w:tr w14:paraId="5E1540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14:paraId="6474CEAA">
            <w:pPr>
              <w:keepNext/>
              <w:spacing w:line="440" w:lineRule="exact"/>
              <w:rPr>
                <w:rFonts w:hint="eastAsia" w:ascii="宋体" w:hAnsi="宋体" w:cs="宋体"/>
                <w:color w:val="000000"/>
                <w:szCs w:val="21"/>
              </w:rPr>
            </w:pPr>
          </w:p>
        </w:tc>
        <w:tc>
          <w:tcPr>
            <w:tcW w:w="1984" w:type="dxa"/>
            <w:tcBorders>
              <w:top w:val="double" w:color="auto" w:sz="6" w:space="0"/>
            </w:tcBorders>
            <w:noWrap w:val="0"/>
            <w:vAlign w:val="top"/>
          </w:tcPr>
          <w:p w14:paraId="264AD185">
            <w:pPr>
              <w:keepNext/>
              <w:spacing w:line="440" w:lineRule="exact"/>
              <w:rPr>
                <w:rFonts w:hint="eastAsia" w:ascii="宋体" w:hAnsi="宋体" w:cs="宋体"/>
                <w:color w:val="000000"/>
                <w:szCs w:val="21"/>
              </w:rPr>
            </w:pPr>
          </w:p>
        </w:tc>
        <w:tc>
          <w:tcPr>
            <w:tcW w:w="851" w:type="dxa"/>
            <w:tcBorders>
              <w:top w:val="double" w:color="auto" w:sz="6" w:space="0"/>
            </w:tcBorders>
            <w:noWrap w:val="0"/>
            <w:vAlign w:val="top"/>
          </w:tcPr>
          <w:p w14:paraId="544669AE">
            <w:pPr>
              <w:keepNext/>
              <w:spacing w:line="440" w:lineRule="exact"/>
              <w:rPr>
                <w:rFonts w:hint="eastAsia" w:ascii="宋体" w:hAnsi="宋体" w:cs="宋体"/>
                <w:color w:val="000000"/>
                <w:szCs w:val="21"/>
              </w:rPr>
            </w:pPr>
          </w:p>
        </w:tc>
        <w:tc>
          <w:tcPr>
            <w:tcW w:w="774" w:type="dxa"/>
            <w:tcBorders>
              <w:top w:val="double" w:color="auto" w:sz="6" w:space="0"/>
            </w:tcBorders>
            <w:noWrap w:val="0"/>
            <w:vAlign w:val="top"/>
          </w:tcPr>
          <w:p w14:paraId="19E9DE36">
            <w:pPr>
              <w:keepNext/>
              <w:spacing w:line="440" w:lineRule="exact"/>
              <w:rPr>
                <w:rFonts w:hint="eastAsia" w:ascii="宋体" w:hAnsi="宋体" w:cs="宋体"/>
                <w:color w:val="000000"/>
                <w:szCs w:val="21"/>
              </w:rPr>
            </w:pPr>
          </w:p>
        </w:tc>
        <w:tc>
          <w:tcPr>
            <w:tcW w:w="1352" w:type="dxa"/>
            <w:tcBorders>
              <w:top w:val="double" w:color="auto" w:sz="6" w:space="0"/>
            </w:tcBorders>
            <w:noWrap w:val="0"/>
            <w:vAlign w:val="top"/>
          </w:tcPr>
          <w:p w14:paraId="3D3C18DF">
            <w:pPr>
              <w:keepNext/>
              <w:spacing w:line="440" w:lineRule="exact"/>
              <w:rPr>
                <w:rFonts w:hint="eastAsia" w:ascii="宋体" w:hAnsi="宋体" w:cs="宋体"/>
                <w:color w:val="000000"/>
                <w:szCs w:val="21"/>
              </w:rPr>
            </w:pPr>
          </w:p>
        </w:tc>
        <w:tc>
          <w:tcPr>
            <w:tcW w:w="1418" w:type="dxa"/>
            <w:tcBorders>
              <w:top w:val="double" w:color="auto" w:sz="6" w:space="0"/>
            </w:tcBorders>
            <w:noWrap w:val="0"/>
            <w:vAlign w:val="top"/>
          </w:tcPr>
          <w:p w14:paraId="7BF16C5C">
            <w:pPr>
              <w:keepNext/>
              <w:spacing w:line="440" w:lineRule="exact"/>
              <w:rPr>
                <w:rFonts w:hint="eastAsia" w:ascii="宋体" w:hAnsi="宋体" w:cs="宋体"/>
                <w:color w:val="000000"/>
                <w:szCs w:val="21"/>
              </w:rPr>
            </w:pPr>
          </w:p>
        </w:tc>
        <w:tc>
          <w:tcPr>
            <w:tcW w:w="1701" w:type="dxa"/>
            <w:tcBorders>
              <w:top w:val="double" w:color="auto" w:sz="6" w:space="0"/>
            </w:tcBorders>
            <w:noWrap w:val="0"/>
            <w:vAlign w:val="top"/>
          </w:tcPr>
          <w:p w14:paraId="2529EC6D">
            <w:pPr>
              <w:keepNext/>
              <w:spacing w:line="440" w:lineRule="exact"/>
              <w:rPr>
                <w:rFonts w:hint="eastAsia" w:ascii="宋体" w:hAnsi="宋体" w:cs="宋体"/>
                <w:color w:val="000000"/>
                <w:szCs w:val="21"/>
              </w:rPr>
            </w:pPr>
          </w:p>
        </w:tc>
      </w:tr>
      <w:tr w14:paraId="4989DF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247A9BCB">
            <w:pPr>
              <w:keepNext/>
              <w:spacing w:line="440" w:lineRule="exact"/>
              <w:rPr>
                <w:rFonts w:hint="eastAsia" w:ascii="宋体" w:hAnsi="宋体" w:cs="宋体"/>
                <w:color w:val="000000"/>
                <w:szCs w:val="21"/>
              </w:rPr>
            </w:pPr>
          </w:p>
        </w:tc>
        <w:tc>
          <w:tcPr>
            <w:tcW w:w="1984" w:type="dxa"/>
            <w:tcBorders>
              <w:top w:val="nil"/>
            </w:tcBorders>
            <w:noWrap w:val="0"/>
            <w:vAlign w:val="top"/>
          </w:tcPr>
          <w:p w14:paraId="19624C60">
            <w:pPr>
              <w:keepNext/>
              <w:spacing w:line="440" w:lineRule="exact"/>
              <w:rPr>
                <w:rFonts w:hint="eastAsia" w:ascii="宋体" w:hAnsi="宋体" w:cs="宋体"/>
                <w:color w:val="000000"/>
                <w:szCs w:val="21"/>
              </w:rPr>
            </w:pPr>
          </w:p>
        </w:tc>
        <w:tc>
          <w:tcPr>
            <w:tcW w:w="851" w:type="dxa"/>
            <w:tcBorders>
              <w:top w:val="nil"/>
            </w:tcBorders>
            <w:noWrap w:val="0"/>
            <w:vAlign w:val="top"/>
          </w:tcPr>
          <w:p w14:paraId="2B40EDF4">
            <w:pPr>
              <w:keepNext/>
              <w:spacing w:line="440" w:lineRule="exact"/>
              <w:rPr>
                <w:rFonts w:hint="eastAsia" w:ascii="宋体" w:hAnsi="宋体" w:cs="宋体"/>
                <w:color w:val="000000"/>
                <w:szCs w:val="21"/>
              </w:rPr>
            </w:pPr>
          </w:p>
        </w:tc>
        <w:tc>
          <w:tcPr>
            <w:tcW w:w="774" w:type="dxa"/>
            <w:tcBorders>
              <w:top w:val="nil"/>
            </w:tcBorders>
            <w:noWrap w:val="0"/>
            <w:vAlign w:val="top"/>
          </w:tcPr>
          <w:p w14:paraId="54542D99">
            <w:pPr>
              <w:keepNext/>
              <w:spacing w:line="440" w:lineRule="exact"/>
              <w:rPr>
                <w:rFonts w:hint="eastAsia" w:ascii="宋体" w:hAnsi="宋体" w:cs="宋体"/>
                <w:color w:val="000000"/>
                <w:szCs w:val="21"/>
              </w:rPr>
            </w:pPr>
          </w:p>
        </w:tc>
        <w:tc>
          <w:tcPr>
            <w:tcW w:w="1352" w:type="dxa"/>
            <w:tcBorders>
              <w:top w:val="nil"/>
            </w:tcBorders>
            <w:noWrap w:val="0"/>
            <w:vAlign w:val="top"/>
          </w:tcPr>
          <w:p w14:paraId="540F960C">
            <w:pPr>
              <w:keepNext/>
              <w:spacing w:line="440" w:lineRule="exact"/>
              <w:rPr>
                <w:rFonts w:hint="eastAsia" w:ascii="宋体" w:hAnsi="宋体" w:cs="宋体"/>
                <w:color w:val="000000"/>
                <w:szCs w:val="21"/>
              </w:rPr>
            </w:pPr>
          </w:p>
        </w:tc>
        <w:tc>
          <w:tcPr>
            <w:tcW w:w="1418" w:type="dxa"/>
            <w:tcBorders>
              <w:top w:val="nil"/>
            </w:tcBorders>
            <w:noWrap w:val="0"/>
            <w:vAlign w:val="top"/>
          </w:tcPr>
          <w:p w14:paraId="671AF98E">
            <w:pPr>
              <w:keepNext/>
              <w:spacing w:line="440" w:lineRule="exact"/>
              <w:rPr>
                <w:rFonts w:hint="eastAsia" w:ascii="宋体" w:hAnsi="宋体" w:cs="宋体"/>
                <w:color w:val="000000"/>
                <w:szCs w:val="21"/>
              </w:rPr>
            </w:pPr>
          </w:p>
        </w:tc>
        <w:tc>
          <w:tcPr>
            <w:tcW w:w="1701" w:type="dxa"/>
            <w:tcBorders>
              <w:top w:val="nil"/>
            </w:tcBorders>
            <w:noWrap w:val="0"/>
            <w:vAlign w:val="top"/>
          </w:tcPr>
          <w:p w14:paraId="3F9F5CBE">
            <w:pPr>
              <w:keepNext/>
              <w:spacing w:line="440" w:lineRule="exact"/>
              <w:rPr>
                <w:rFonts w:hint="eastAsia" w:ascii="宋体" w:hAnsi="宋体" w:cs="宋体"/>
                <w:color w:val="000000"/>
                <w:szCs w:val="21"/>
              </w:rPr>
            </w:pPr>
          </w:p>
        </w:tc>
      </w:tr>
      <w:tr w14:paraId="11E5E6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29B8922">
            <w:pPr>
              <w:keepNext/>
              <w:spacing w:line="440" w:lineRule="exact"/>
              <w:rPr>
                <w:rFonts w:hint="eastAsia" w:ascii="宋体" w:hAnsi="宋体" w:cs="宋体"/>
                <w:color w:val="000000"/>
                <w:szCs w:val="21"/>
              </w:rPr>
            </w:pPr>
          </w:p>
        </w:tc>
        <w:tc>
          <w:tcPr>
            <w:tcW w:w="1984" w:type="dxa"/>
            <w:noWrap w:val="0"/>
            <w:vAlign w:val="top"/>
          </w:tcPr>
          <w:p w14:paraId="730C9EF9">
            <w:pPr>
              <w:keepNext/>
              <w:spacing w:line="440" w:lineRule="exact"/>
              <w:rPr>
                <w:rFonts w:hint="eastAsia" w:ascii="宋体" w:hAnsi="宋体" w:cs="宋体"/>
                <w:color w:val="000000"/>
                <w:szCs w:val="21"/>
              </w:rPr>
            </w:pPr>
          </w:p>
        </w:tc>
        <w:tc>
          <w:tcPr>
            <w:tcW w:w="851" w:type="dxa"/>
            <w:noWrap w:val="0"/>
            <w:vAlign w:val="top"/>
          </w:tcPr>
          <w:p w14:paraId="76F9A0C3">
            <w:pPr>
              <w:keepNext/>
              <w:spacing w:line="440" w:lineRule="exact"/>
              <w:rPr>
                <w:rFonts w:hint="eastAsia" w:ascii="宋体" w:hAnsi="宋体" w:cs="宋体"/>
                <w:color w:val="000000"/>
                <w:szCs w:val="21"/>
              </w:rPr>
            </w:pPr>
          </w:p>
        </w:tc>
        <w:tc>
          <w:tcPr>
            <w:tcW w:w="774" w:type="dxa"/>
            <w:noWrap w:val="0"/>
            <w:vAlign w:val="top"/>
          </w:tcPr>
          <w:p w14:paraId="136C6564">
            <w:pPr>
              <w:keepNext/>
              <w:spacing w:line="440" w:lineRule="exact"/>
              <w:rPr>
                <w:rFonts w:hint="eastAsia" w:ascii="宋体" w:hAnsi="宋体" w:cs="宋体"/>
                <w:color w:val="000000"/>
                <w:szCs w:val="21"/>
              </w:rPr>
            </w:pPr>
          </w:p>
        </w:tc>
        <w:tc>
          <w:tcPr>
            <w:tcW w:w="1352" w:type="dxa"/>
            <w:noWrap w:val="0"/>
            <w:vAlign w:val="top"/>
          </w:tcPr>
          <w:p w14:paraId="6F672136">
            <w:pPr>
              <w:keepNext/>
              <w:spacing w:line="440" w:lineRule="exact"/>
              <w:rPr>
                <w:rFonts w:hint="eastAsia" w:ascii="宋体" w:hAnsi="宋体" w:cs="宋体"/>
                <w:color w:val="000000"/>
                <w:szCs w:val="21"/>
              </w:rPr>
            </w:pPr>
          </w:p>
        </w:tc>
        <w:tc>
          <w:tcPr>
            <w:tcW w:w="1418" w:type="dxa"/>
            <w:noWrap w:val="0"/>
            <w:vAlign w:val="top"/>
          </w:tcPr>
          <w:p w14:paraId="5A0F0A06">
            <w:pPr>
              <w:keepNext/>
              <w:spacing w:line="440" w:lineRule="exact"/>
              <w:rPr>
                <w:rFonts w:hint="eastAsia" w:ascii="宋体" w:hAnsi="宋体" w:cs="宋体"/>
                <w:color w:val="000000"/>
                <w:szCs w:val="21"/>
              </w:rPr>
            </w:pPr>
          </w:p>
        </w:tc>
        <w:tc>
          <w:tcPr>
            <w:tcW w:w="1701" w:type="dxa"/>
            <w:noWrap w:val="0"/>
            <w:vAlign w:val="top"/>
          </w:tcPr>
          <w:p w14:paraId="0C7584DF">
            <w:pPr>
              <w:keepNext/>
              <w:spacing w:line="440" w:lineRule="exact"/>
              <w:rPr>
                <w:rFonts w:hint="eastAsia" w:ascii="宋体" w:hAnsi="宋体" w:cs="宋体"/>
                <w:color w:val="000000"/>
                <w:szCs w:val="21"/>
              </w:rPr>
            </w:pPr>
          </w:p>
        </w:tc>
      </w:tr>
      <w:tr w14:paraId="4D64CE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8642EAE">
            <w:pPr>
              <w:keepNext/>
              <w:spacing w:line="440" w:lineRule="exact"/>
              <w:rPr>
                <w:rFonts w:hint="eastAsia" w:ascii="宋体" w:hAnsi="宋体" w:cs="宋体"/>
                <w:color w:val="000000"/>
                <w:szCs w:val="21"/>
              </w:rPr>
            </w:pPr>
          </w:p>
        </w:tc>
        <w:tc>
          <w:tcPr>
            <w:tcW w:w="1984" w:type="dxa"/>
            <w:noWrap w:val="0"/>
            <w:vAlign w:val="top"/>
          </w:tcPr>
          <w:p w14:paraId="5A615F81">
            <w:pPr>
              <w:keepNext/>
              <w:spacing w:line="440" w:lineRule="exact"/>
              <w:rPr>
                <w:rFonts w:hint="eastAsia" w:ascii="宋体" w:hAnsi="宋体" w:cs="宋体"/>
                <w:color w:val="000000"/>
                <w:szCs w:val="21"/>
              </w:rPr>
            </w:pPr>
          </w:p>
        </w:tc>
        <w:tc>
          <w:tcPr>
            <w:tcW w:w="851" w:type="dxa"/>
            <w:noWrap w:val="0"/>
            <w:vAlign w:val="top"/>
          </w:tcPr>
          <w:p w14:paraId="2D1DD7BB">
            <w:pPr>
              <w:keepNext/>
              <w:spacing w:line="440" w:lineRule="exact"/>
              <w:rPr>
                <w:rFonts w:hint="eastAsia" w:ascii="宋体" w:hAnsi="宋体" w:cs="宋体"/>
                <w:color w:val="000000"/>
                <w:szCs w:val="21"/>
              </w:rPr>
            </w:pPr>
          </w:p>
        </w:tc>
        <w:tc>
          <w:tcPr>
            <w:tcW w:w="774" w:type="dxa"/>
            <w:noWrap w:val="0"/>
            <w:vAlign w:val="top"/>
          </w:tcPr>
          <w:p w14:paraId="65AD4ED6">
            <w:pPr>
              <w:keepNext/>
              <w:spacing w:line="440" w:lineRule="exact"/>
              <w:rPr>
                <w:rFonts w:hint="eastAsia" w:ascii="宋体" w:hAnsi="宋体" w:cs="宋体"/>
                <w:color w:val="000000"/>
                <w:szCs w:val="21"/>
              </w:rPr>
            </w:pPr>
          </w:p>
        </w:tc>
        <w:tc>
          <w:tcPr>
            <w:tcW w:w="1352" w:type="dxa"/>
            <w:noWrap w:val="0"/>
            <w:vAlign w:val="top"/>
          </w:tcPr>
          <w:p w14:paraId="259DF23F">
            <w:pPr>
              <w:keepNext/>
              <w:spacing w:line="440" w:lineRule="exact"/>
              <w:rPr>
                <w:rFonts w:hint="eastAsia" w:ascii="宋体" w:hAnsi="宋体" w:cs="宋体"/>
                <w:color w:val="000000"/>
                <w:szCs w:val="21"/>
              </w:rPr>
            </w:pPr>
          </w:p>
        </w:tc>
        <w:tc>
          <w:tcPr>
            <w:tcW w:w="1418" w:type="dxa"/>
            <w:noWrap w:val="0"/>
            <w:vAlign w:val="top"/>
          </w:tcPr>
          <w:p w14:paraId="68F09C74">
            <w:pPr>
              <w:keepNext/>
              <w:spacing w:line="440" w:lineRule="exact"/>
              <w:rPr>
                <w:rFonts w:hint="eastAsia" w:ascii="宋体" w:hAnsi="宋体" w:cs="宋体"/>
                <w:color w:val="000000"/>
                <w:szCs w:val="21"/>
              </w:rPr>
            </w:pPr>
          </w:p>
        </w:tc>
        <w:tc>
          <w:tcPr>
            <w:tcW w:w="1701" w:type="dxa"/>
            <w:noWrap w:val="0"/>
            <w:vAlign w:val="top"/>
          </w:tcPr>
          <w:p w14:paraId="07DD68B6">
            <w:pPr>
              <w:keepNext/>
              <w:spacing w:line="440" w:lineRule="exact"/>
              <w:rPr>
                <w:rFonts w:hint="eastAsia" w:ascii="宋体" w:hAnsi="宋体" w:cs="宋体"/>
                <w:color w:val="000000"/>
                <w:szCs w:val="21"/>
              </w:rPr>
            </w:pPr>
          </w:p>
        </w:tc>
      </w:tr>
      <w:tr w14:paraId="1DB39E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14:paraId="36E60D99">
            <w:pPr>
              <w:keepNext/>
              <w:spacing w:line="440" w:lineRule="exact"/>
              <w:rPr>
                <w:rFonts w:hint="eastAsia" w:ascii="宋体" w:hAnsi="宋体" w:cs="宋体"/>
                <w:color w:val="000000"/>
                <w:szCs w:val="21"/>
              </w:rPr>
            </w:pPr>
          </w:p>
        </w:tc>
        <w:tc>
          <w:tcPr>
            <w:tcW w:w="1984" w:type="dxa"/>
            <w:tcBorders>
              <w:bottom w:val="single" w:color="auto" w:sz="12" w:space="0"/>
            </w:tcBorders>
            <w:noWrap w:val="0"/>
            <w:vAlign w:val="top"/>
          </w:tcPr>
          <w:p w14:paraId="41455CC6">
            <w:pPr>
              <w:keepNext/>
              <w:spacing w:line="440" w:lineRule="exact"/>
              <w:rPr>
                <w:rFonts w:hint="eastAsia" w:ascii="宋体" w:hAnsi="宋体" w:cs="宋体"/>
                <w:color w:val="000000"/>
                <w:szCs w:val="21"/>
              </w:rPr>
            </w:pPr>
          </w:p>
        </w:tc>
        <w:tc>
          <w:tcPr>
            <w:tcW w:w="851" w:type="dxa"/>
            <w:tcBorders>
              <w:bottom w:val="single" w:color="auto" w:sz="12" w:space="0"/>
            </w:tcBorders>
            <w:noWrap w:val="0"/>
            <w:vAlign w:val="top"/>
          </w:tcPr>
          <w:p w14:paraId="3602F048">
            <w:pPr>
              <w:keepNext/>
              <w:spacing w:line="440" w:lineRule="exact"/>
              <w:rPr>
                <w:rFonts w:hint="eastAsia" w:ascii="宋体" w:hAnsi="宋体" w:cs="宋体"/>
                <w:color w:val="000000"/>
                <w:szCs w:val="21"/>
              </w:rPr>
            </w:pPr>
          </w:p>
        </w:tc>
        <w:tc>
          <w:tcPr>
            <w:tcW w:w="774" w:type="dxa"/>
            <w:tcBorders>
              <w:bottom w:val="single" w:color="auto" w:sz="12" w:space="0"/>
            </w:tcBorders>
            <w:noWrap w:val="0"/>
            <w:vAlign w:val="top"/>
          </w:tcPr>
          <w:p w14:paraId="7F22E0CA">
            <w:pPr>
              <w:keepNext/>
              <w:spacing w:line="440" w:lineRule="exact"/>
              <w:rPr>
                <w:rFonts w:hint="eastAsia" w:ascii="宋体" w:hAnsi="宋体" w:cs="宋体"/>
                <w:color w:val="000000"/>
                <w:szCs w:val="21"/>
              </w:rPr>
            </w:pPr>
          </w:p>
        </w:tc>
        <w:tc>
          <w:tcPr>
            <w:tcW w:w="1352" w:type="dxa"/>
            <w:tcBorders>
              <w:bottom w:val="single" w:color="auto" w:sz="12" w:space="0"/>
            </w:tcBorders>
            <w:noWrap w:val="0"/>
            <w:vAlign w:val="top"/>
          </w:tcPr>
          <w:p w14:paraId="348361BA">
            <w:pPr>
              <w:keepNext/>
              <w:spacing w:line="440" w:lineRule="exact"/>
              <w:rPr>
                <w:rFonts w:hint="eastAsia" w:ascii="宋体" w:hAnsi="宋体" w:cs="宋体"/>
                <w:color w:val="000000"/>
                <w:szCs w:val="21"/>
              </w:rPr>
            </w:pPr>
          </w:p>
        </w:tc>
        <w:tc>
          <w:tcPr>
            <w:tcW w:w="1418" w:type="dxa"/>
            <w:tcBorders>
              <w:bottom w:val="single" w:color="auto" w:sz="12" w:space="0"/>
            </w:tcBorders>
            <w:noWrap w:val="0"/>
            <w:vAlign w:val="top"/>
          </w:tcPr>
          <w:p w14:paraId="3BA21419">
            <w:pPr>
              <w:keepNext/>
              <w:spacing w:line="440" w:lineRule="exact"/>
              <w:rPr>
                <w:rFonts w:hint="eastAsia" w:ascii="宋体" w:hAnsi="宋体" w:cs="宋体"/>
                <w:color w:val="000000"/>
                <w:szCs w:val="21"/>
              </w:rPr>
            </w:pPr>
          </w:p>
        </w:tc>
        <w:tc>
          <w:tcPr>
            <w:tcW w:w="1701" w:type="dxa"/>
            <w:tcBorders>
              <w:bottom w:val="single" w:color="auto" w:sz="12" w:space="0"/>
            </w:tcBorders>
            <w:noWrap w:val="0"/>
            <w:vAlign w:val="top"/>
          </w:tcPr>
          <w:p w14:paraId="4543D763">
            <w:pPr>
              <w:keepNext/>
              <w:spacing w:line="440" w:lineRule="exact"/>
              <w:rPr>
                <w:rFonts w:hint="eastAsia" w:ascii="宋体" w:hAnsi="宋体" w:cs="宋体"/>
                <w:color w:val="000000"/>
                <w:szCs w:val="21"/>
              </w:rPr>
            </w:pPr>
          </w:p>
        </w:tc>
      </w:tr>
    </w:tbl>
    <w:p w14:paraId="0B3765DC">
      <w:pPr>
        <w:spacing w:before="120" w:beforeLines="50" w:after="120" w:afterLines="50" w:line="440" w:lineRule="exact"/>
        <w:rPr>
          <w:rFonts w:hint="eastAsia" w:ascii="宋体" w:hAnsi="宋体" w:cs="宋体"/>
          <w:color w:val="000000"/>
          <w:szCs w:val="21"/>
        </w:rPr>
      </w:pPr>
    </w:p>
    <w:p w14:paraId="077D0B9E">
      <w:pPr>
        <w:spacing w:before="120" w:beforeLines="50" w:after="120" w:afterLines="50" w:line="440" w:lineRule="exact"/>
        <w:jc w:val="center"/>
        <w:rPr>
          <w:rFonts w:hint="eastAsia" w:ascii="宋体" w:hAnsi="宋体" w:cs="宋体"/>
          <w:color w:val="000000"/>
          <w:szCs w:val="21"/>
        </w:rPr>
      </w:pPr>
      <w:r>
        <w:rPr>
          <w:rFonts w:hint="eastAsia" w:ascii="宋体" w:hAnsi="宋体" w:cs="宋体"/>
          <w:color w:val="000000"/>
          <w:szCs w:val="21"/>
        </w:rPr>
        <w:t>12-2：工程设备暂估价表</w:t>
      </w:r>
    </w:p>
    <w:tbl>
      <w:tblPr>
        <w:tblStyle w:val="47"/>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0DA0CC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458E9D2F">
            <w:pPr>
              <w:keepNext/>
              <w:spacing w:line="440" w:lineRule="exact"/>
              <w:rPr>
                <w:rFonts w:hint="eastAsia" w:ascii="宋体" w:hAnsi="宋体" w:cs="宋体"/>
                <w:color w:val="000000"/>
                <w:szCs w:val="21"/>
              </w:rPr>
            </w:pPr>
            <w:r>
              <w:rPr>
                <w:rFonts w:hint="eastAsia" w:ascii="宋体" w:hAnsi="宋体" w:cs="宋体"/>
                <w:color w:val="000000"/>
                <w:szCs w:val="21"/>
              </w:rPr>
              <w:t>序号</w:t>
            </w:r>
          </w:p>
        </w:tc>
        <w:tc>
          <w:tcPr>
            <w:tcW w:w="1984" w:type="dxa"/>
            <w:tcBorders>
              <w:top w:val="single" w:color="auto" w:sz="12" w:space="0"/>
              <w:bottom w:val="double" w:color="auto" w:sz="6" w:space="0"/>
            </w:tcBorders>
            <w:noWrap w:val="0"/>
            <w:vAlign w:val="top"/>
          </w:tcPr>
          <w:p w14:paraId="60F004C1">
            <w:pPr>
              <w:keepNext/>
              <w:spacing w:line="440" w:lineRule="exact"/>
              <w:rPr>
                <w:rFonts w:hint="eastAsia" w:ascii="宋体" w:hAnsi="宋体" w:cs="宋体"/>
                <w:color w:val="000000"/>
                <w:szCs w:val="21"/>
              </w:rPr>
            </w:pPr>
            <w:r>
              <w:rPr>
                <w:rFonts w:hint="eastAsia" w:ascii="宋体" w:hAnsi="宋体" w:cs="宋体"/>
                <w:color w:val="000000"/>
                <w:szCs w:val="21"/>
              </w:rPr>
              <w:t>名称</w:t>
            </w:r>
          </w:p>
        </w:tc>
        <w:tc>
          <w:tcPr>
            <w:tcW w:w="851" w:type="dxa"/>
            <w:tcBorders>
              <w:top w:val="single" w:color="auto" w:sz="12" w:space="0"/>
              <w:bottom w:val="double" w:color="auto" w:sz="6" w:space="0"/>
            </w:tcBorders>
            <w:noWrap w:val="0"/>
            <w:vAlign w:val="top"/>
          </w:tcPr>
          <w:p w14:paraId="621643BA">
            <w:pPr>
              <w:keepNext/>
              <w:spacing w:line="440" w:lineRule="exact"/>
              <w:rPr>
                <w:rFonts w:hint="eastAsia" w:ascii="宋体" w:hAnsi="宋体" w:cs="宋体"/>
                <w:color w:val="000000"/>
                <w:szCs w:val="21"/>
              </w:rPr>
            </w:pPr>
            <w:r>
              <w:rPr>
                <w:rFonts w:hint="eastAsia" w:ascii="宋体" w:hAnsi="宋体" w:cs="宋体"/>
                <w:color w:val="000000"/>
                <w:szCs w:val="21"/>
              </w:rPr>
              <w:t>单位</w:t>
            </w:r>
          </w:p>
        </w:tc>
        <w:tc>
          <w:tcPr>
            <w:tcW w:w="774" w:type="dxa"/>
            <w:tcBorders>
              <w:top w:val="single" w:color="auto" w:sz="12" w:space="0"/>
              <w:bottom w:val="double" w:color="auto" w:sz="6" w:space="0"/>
            </w:tcBorders>
            <w:noWrap w:val="0"/>
            <w:vAlign w:val="top"/>
          </w:tcPr>
          <w:p w14:paraId="7CF29550">
            <w:pPr>
              <w:keepNext/>
              <w:spacing w:line="440" w:lineRule="exact"/>
              <w:rPr>
                <w:rFonts w:hint="eastAsia" w:ascii="宋体" w:hAnsi="宋体" w:cs="宋体"/>
                <w:color w:val="000000"/>
                <w:szCs w:val="21"/>
              </w:rPr>
            </w:pPr>
            <w:r>
              <w:rPr>
                <w:rFonts w:hint="eastAsia" w:ascii="宋体" w:hAnsi="宋体" w:cs="宋体"/>
                <w:color w:val="000000"/>
                <w:szCs w:val="21"/>
              </w:rPr>
              <w:t>数量</w:t>
            </w:r>
          </w:p>
        </w:tc>
        <w:tc>
          <w:tcPr>
            <w:tcW w:w="1352" w:type="dxa"/>
            <w:tcBorders>
              <w:top w:val="single" w:color="auto" w:sz="12" w:space="0"/>
              <w:bottom w:val="double" w:color="auto" w:sz="6" w:space="0"/>
            </w:tcBorders>
            <w:noWrap w:val="0"/>
            <w:vAlign w:val="top"/>
          </w:tcPr>
          <w:p w14:paraId="60ACB362">
            <w:pPr>
              <w:keepNext/>
              <w:spacing w:line="440" w:lineRule="exact"/>
              <w:rPr>
                <w:rFonts w:hint="eastAsia" w:ascii="宋体" w:hAnsi="宋体" w:cs="宋体"/>
                <w:color w:val="000000"/>
                <w:szCs w:val="21"/>
              </w:rPr>
            </w:pPr>
            <w:r>
              <w:rPr>
                <w:rFonts w:hint="eastAsia" w:ascii="宋体" w:hAnsi="宋体" w:cs="宋体"/>
                <w:color w:val="000000"/>
                <w:szCs w:val="21"/>
              </w:rPr>
              <w:t>单价（元）</w:t>
            </w:r>
          </w:p>
        </w:tc>
        <w:tc>
          <w:tcPr>
            <w:tcW w:w="1418" w:type="dxa"/>
            <w:tcBorders>
              <w:top w:val="single" w:color="auto" w:sz="12" w:space="0"/>
              <w:bottom w:val="double" w:color="auto" w:sz="6" w:space="0"/>
            </w:tcBorders>
            <w:noWrap w:val="0"/>
            <w:vAlign w:val="top"/>
          </w:tcPr>
          <w:p w14:paraId="48F259FF">
            <w:pPr>
              <w:keepNext/>
              <w:spacing w:line="440" w:lineRule="exact"/>
              <w:rPr>
                <w:rFonts w:hint="eastAsia" w:ascii="宋体" w:hAnsi="宋体" w:cs="宋体"/>
                <w:color w:val="000000"/>
                <w:szCs w:val="21"/>
              </w:rPr>
            </w:pPr>
            <w:r>
              <w:rPr>
                <w:rFonts w:hint="eastAsia" w:ascii="宋体" w:hAnsi="宋体" w:cs="宋体"/>
                <w:color w:val="000000"/>
                <w:szCs w:val="21"/>
              </w:rPr>
              <w:t>合价（元）</w:t>
            </w:r>
          </w:p>
        </w:tc>
        <w:tc>
          <w:tcPr>
            <w:tcW w:w="1701" w:type="dxa"/>
            <w:tcBorders>
              <w:top w:val="single" w:color="auto" w:sz="12" w:space="0"/>
              <w:bottom w:val="double" w:color="auto" w:sz="6" w:space="0"/>
            </w:tcBorders>
            <w:noWrap w:val="0"/>
            <w:vAlign w:val="top"/>
          </w:tcPr>
          <w:p w14:paraId="284CFD90">
            <w:pPr>
              <w:keepNext/>
              <w:spacing w:line="440" w:lineRule="exact"/>
              <w:rPr>
                <w:rFonts w:hint="eastAsia" w:ascii="宋体" w:hAnsi="宋体" w:cs="宋体"/>
                <w:color w:val="000000"/>
                <w:szCs w:val="21"/>
              </w:rPr>
            </w:pPr>
            <w:r>
              <w:rPr>
                <w:rFonts w:hint="eastAsia" w:ascii="宋体" w:hAnsi="宋体" w:cs="宋体"/>
                <w:color w:val="000000"/>
                <w:szCs w:val="21"/>
              </w:rPr>
              <w:t>备注</w:t>
            </w:r>
          </w:p>
        </w:tc>
      </w:tr>
      <w:tr w14:paraId="43BCBF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14:paraId="5085BA38">
            <w:pPr>
              <w:keepNext/>
              <w:spacing w:line="440" w:lineRule="exact"/>
              <w:rPr>
                <w:rFonts w:hint="eastAsia" w:ascii="宋体" w:hAnsi="宋体" w:cs="宋体"/>
                <w:color w:val="000000"/>
                <w:szCs w:val="21"/>
              </w:rPr>
            </w:pPr>
          </w:p>
        </w:tc>
        <w:tc>
          <w:tcPr>
            <w:tcW w:w="1984" w:type="dxa"/>
            <w:tcBorders>
              <w:top w:val="double" w:color="auto" w:sz="6" w:space="0"/>
            </w:tcBorders>
            <w:noWrap w:val="0"/>
            <w:vAlign w:val="top"/>
          </w:tcPr>
          <w:p w14:paraId="2660BF0B">
            <w:pPr>
              <w:keepNext/>
              <w:spacing w:line="440" w:lineRule="exact"/>
              <w:rPr>
                <w:rFonts w:hint="eastAsia" w:ascii="宋体" w:hAnsi="宋体" w:cs="宋体"/>
                <w:color w:val="000000"/>
                <w:szCs w:val="21"/>
              </w:rPr>
            </w:pPr>
          </w:p>
        </w:tc>
        <w:tc>
          <w:tcPr>
            <w:tcW w:w="851" w:type="dxa"/>
            <w:tcBorders>
              <w:top w:val="double" w:color="auto" w:sz="6" w:space="0"/>
            </w:tcBorders>
            <w:noWrap w:val="0"/>
            <w:vAlign w:val="top"/>
          </w:tcPr>
          <w:p w14:paraId="3F0C79E4">
            <w:pPr>
              <w:keepNext/>
              <w:spacing w:line="440" w:lineRule="exact"/>
              <w:rPr>
                <w:rFonts w:hint="eastAsia" w:ascii="宋体" w:hAnsi="宋体" w:cs="宋体"/>
                <w:color w:val="000000"/>
                <w:szCs w:val="21"/>
              </w:rPr>
            </w:pPr>
          </w:p>
        </w:tc>
        <w:tc>
          <w:tcPr>
            <w:tcW w:w="774" w:type="dxa"/>
            <w:tcBorders>
              <w:top w:val="double" w:color="auto" w:sz="6" w:space="0"/>
            </w:tcBorders>
            <w:noWrap w:val="0"/>
            <w:vAlign w:val="top"/>
          </w:tcPr>
          <w:p w14:paraId="69F10040">
            <w:pPr>
              <w:keepNext/>
              <w:spacing w:line="440" w:lineRule="exact"/>
              <w:rPr>
                <w:rFonts w:hint="eastAsia" w:ascii="宋体" w:hAnsi="宋体" w:cs="宋体"/>
                <w:color w:val="000000"/>
                <w:szCs w:val="21"/>
              </w:rPr>
            </w:pPr>
          </w:p>
        </w:tc>
        <w:tc>
          <w:tcPr>
            <w:tcW w:w="1352" w:type="dxa"/>
            <w:tcBorders>
              <w:top w:val="double" w:color="auto" w:sz="6" w:space="0"/>
            </w:tcBorders>
            <w:noWrap w:val="0"/>
            <w:vAlign w:val="top"/>
          </w:tcPr>
          <w:p w14:paraId="0298B7CC">
            <w:pPr>
              <w:keepNext/>
              <w:spacing w:line="440" w:lineRule="exact"/>
              <w:rPr>
                <w:rFonts w:hint="eastAsia" w:ascii="宋体" w:hAnsi="宋体" w:cs="宋体"/>
                <w:color w:val="000000"/>
                <w:szCs w:val="21"/>
              </w:rPr>
            </w:pPr>
          </w:p>
        </w:tc>
        <w:tc>
          <w:tcPr>
            <w:tcW w:w="1418" w:type="dxa"/>
            <w:tcBorders>
              <w:top w:val="double" w:color="auto" w:sz="6" w:space="0"/>
            </w:tcBorders>
            <w:noWrap w:val="0"/>
            <w:vAlign w:val="top"/>
          </w:tcPr>
          <w:p w14:paraId="7BE47594">
            <w:pPr>
              <w:keepNext/>
              <w:spacing w:line="440" w:lineRule="exact"/>
              <w:rPr>
                <w:rFonts w:hint="eastAsia" w:ascii="宋体" w:hAnsi="宋体" w:cs="宋体"/>
                <w:color w:val="000000"/>
                <w:szCs w:val="21"/>
              </w:rPr>
            </w:pPr>
          </w:p>
        </w:tc>
        <w:tc>
          <w:tcPr>
            <w:tcW w:w="1701" w:type="dxa"/>
            <w:tcBorders>
              <w:top w:val="double" w:color="auto" w:sz="6" w:space="0"/>
            </w:tcBorders>
            <w:noWrap w:val="0"/>
            <w:vAlign w:val="top"/>
          </w:tcPr>
          <w:p w14:paraId="5CD6945E">
            <w:pPr>
              <w:keepNext/>
              <w:spacing w:line="440" w:lineRule="exact"/>
              <w:rPr>
                <w:rFonts w:hint="eastAsia" w:ascii="宋体" w:hAnsi="宋体" w:cs="宋体"/>
                <w:color w:val="000000"/>
                <w:szCs w:val="21"/>
              </w:rPr>
            </w:pPr>
          </w:p>
        </w:tc>
      </w:tr>
      <w:tr w14:paraId="1D47FF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406BDE4F">
            <w:pPr>
              <w:keepNext/>
              <w:spacing w:line="440" w:lineRule="exact"/>
              <w:rPr>
                <w:rFonts w:hint="eastAsia" w:ascii="宋体" w:hAnsi="宋体" w:cs="宋体"/>
                <w:color w:val="000000"/>
                <w:szCs w:val="21"/>
              </w:rPr>
            </w:pPr>
          </w:p>
        </w:tc>
        <w:tc>
          <w:tcPr>
            <w:tcW w:w="1984" w:type="dxa"/>
            <w:tcBorders>
              <w:top w:val="nil"/>
            </w:tcBorders>
            <w:noWrap w:val="0"/>
            <w:vAlign w:val="top"/>
          </w:tcPr>
          <w:p w14:paraId="28F9C846">
            <w:pPr>
              <w:keepNext/>
              <w:spacing w:line="440" w:lineRule="exact"/>
              <w:rPr>
                <w:rFonts w:hint="eastAsia" w:ascii="宋体" w:hAnsi="宋体" w:cs="宋体"/>
                <w:color w:val="000000"/>
                <w:szCs w:val="21"/>
              </w:rPr>
            </w:pPr>
          </w:p>
        </w:tc>
        <w:tc>
          <w:tcPr>
            <w:tcW w:w="851" w:type="dxa"/>
            <w:tcBorders>
              <w:top w:val="nil"/>
            </w:tcBorders>
            <w:noWrap w:val="0"/>
            <w:vAlign w:val="top"/>
          </w:tcPr>
          <w:p w14:paraId="70CD45CE">
            <w:pPr>
              <w:keepNext/>
              <w:spacing w:line="440" w:lineRule="exact"/>
              <w:rPr>
                <w:rFonts w:hint="eastAsia" w:ascii="宋体" w:hAnsi="宋体" w:cs="宋体"/>
                <w:color w:val="000000"/>
                <w:szCs w:val="21"/>
              </w:rPr>
            </w:pPr>
          </w:p>
        </w:tc>
        <w:tc>
          <w:tcPr>
            <w:tcW w:w="774" w:type="dxa"/>
            <w:tcBorders>
              <w:top w:val="nil"/>
            </w:tcBorders>
            <w:noWrap w:val="0"/>
            <w:vAlign w:val="top"/>
          </w:tcPr>
          <w:p w14:paraId="092DC39C">
            <w:pPr>
              <w:keepNext/>
              <w:spacing w:line="440" w:lineRule="exact"/>
              <w:rPr>
                <w:rFonts w:hint="eastAsia" w:ascii="宋体" w:hAnsi="宋体" w:cs="宋体"/>
                <w:color w:val="000000"/>
                <w:szCs w:val="21"/>
              </w:rPr>
            </w:pPr>
          </w:p>
        </w:tc>
        <w:tc>
          <w:tcPr>
            <w:tcW w:w="1352" w:type="dxa"/>
            <w:tcBorders>
              <w:top w:val="nil"/>
            </w:tcBorders>
            <w:noWrap w:val="0"/>
            <w:vAlign w:val="top"/>
          </w:tcPr>
          <w:p w14:paraId="14EC4EB7">
            <w:pPr>
              <w:keepNext/>
              <w:spacing w:line="440" w:lineRule="exact"/>
              <w:rPr>
                <w:rFonts w:hint="eastAsia" w:ascii="宋体" w:hAnsi="宋体" w:cs="宋体"/>
                <w:color w:val="000000"/>
                <w:szCs w:val="21"/>
              </w:rPr>
            </w:pPr>
          </w:p>
        </w:tc>
        <w:tc>
          <w:tcPr>
            <w:tcW w:w="1418" w:type="dxa"/>
            <w:tcBorders>
              <w:top w:val="nil"/>
            </w:tcBorders>
            <w:noWrap w:val="0"/>
            <w:vAlign w:val="top"/>
          </w:tcPr>
          <w:p w14:paraId="308DC894">
            <w:pPr>
              <w:keepNext/>
              <w:spacing w:line="440" w:lineRule="exact"/>
              <w:rPr>
                <w:rFonts w:hint="eastAsia" w:ascii="宋体" w:hAnsi="宋体" w:cs="宋体"/>
                <w:color w:val="000000"/>
                <w:szCs w:val="21"/>
              </w:rPr>
            </w:pPr>
          </w:p>
        </w:tc>
        <w:tc>
          <w:tcPr>
            <w:tcW w:w="1701" w:type="dxa"/>
            <w:tcBorders>
              <w:top w:val="nil"/>
            </w:tcBorders>
            <w:noWrap w:val="0"/>
            <w:vAlign w:val="top"/>
          </w:tcPr>
          <w:p w14:paraId="11DBCDC1">
            <w:pPr>
              <w:keepNext/>
              <w:spacing w:line="440" w:lineRule="exact"/>
              <w:rPr>
                <w:rFonts w:hint="eastAsia" w:ascii="宋体" w:hAnsi="宋体" w:cs="宋体"/>
                <w:color w:val="000000"/>
                <w:szCs w:val="21"/>
              </w:rPr>
            </w:pPr>
          </w:p>
        </w:tc>
      </w:tr>
      <w:tr w14:paraId="410144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6094654">
            <w:pPr>
              <w:keepNext/>
              <w:spacing w:line="440" w:lineRule="exact"/>
              <w:rPr>
                <w:rFonts w:hint="eastAsia" w:ascii="宋体" w:hAnsi="宋体" w:cs="宋体"/>
                <w:color w:val="000000"/>
                <w:szCs w:val="21"/>
              </w:rPr>
            </w:pPr>
          </w:p>
        </w:tc>
        <w:tc>
          <w:tcPr>
            <w:tcW w:w="1984" w:type="dxa"/>
            <w:noWrap w:val="0"/>
            <w:vAlign w:val="top"/>
          </w:tcPr>
          <w:p w14:paraId="38EBDC48">
            <w:pPr>
              <w:keepNext/>
              <w:spacing w:line="440" w:lineRule="exact"/>
              <w:rPr>
                <w:rFonts w:hint="eastAsia" w:ascii="宋体" w:hAnsi="宋体" w:cs="宋体"/>
                <w:color w:val="000000"/>
                <w:szCs w:val="21"/>
              </w:rPr>
            </w:pPr>
          </w:p>
        </w:tc>
        <w:tc>
          <w:tcPr>
            <w:tcW w:w="851" w:type="dxa"/>
            <w:noWrap w:val="0"/>
            <w:vAlign w:val="top"/>
          </w:tcPr>
          <w:p w14:paraId="5FCD2AAF">
            <w:pPr>
              <w:keepNext/>
              <w:spacing w:line="440" w:lineRule="exact"/>
              <w:rPr>
                <w:rFonts w:hint="eastAsia" w:ascii="宋体" w:hAnsi="宋体" w:cs="宋体"/>
                <w:color w:val="000000"/>
                <w:szCs w:val="21"/>
              </w:rPr>
            </w:pPr>
          </w:p>
        </w:tc>
        <w:tc>
          <w:tcPr>
            <w:tcW w:w="774" w:type="dxa"/>
            <w:noWrap w:val="0"/>
            <w:vAlign w:val="top"/>
          </w:tcPr>
          <w:p w14:paraId="0F534762">
            <w:pPr>
              <w:keepNext/>
              <w:spacing w:line="440" w:lineRule="exact"/>
              <w:rPr>
                <w:rFonts w:hint="eastAsia" w:ascii="宋体" w:hAnsi="宋体" w:cs="宋体"/>
                <w:color w:val="000000"/>
                <w:szCs w:val="21"/>
              </w:rPr>
            </w:pPr>
          </w:p>
        </w:tc>
        <w:tc>
          <w:tcPr>
            <w:tcW w:w="1352" w:type="dxa"/>
            <w:noWrap w:val="0"/>
            <w:vAlign w:val="top"/>
          </w:tcPr>
          <w:p w14:paraId="01099584">
            <w:pPr>
              <w:keepNext/>
              <w:spacing w:line="440" w:lineRule="exact"/>
              <w:rPr>
                <w:rFonts w:hint="eastAsia" w:ascii="宋体" w:hAnsi="宋体" w:cs="宋体"/>
                <w:color w:val="000000"/>
                <w:szCs w:val="21"/>
              </w:rPr>
            </w:pPr>
          </w:p>
        </w:tc>
        <w:tc>
          <w:tcPr>
            <w:tcW w:w="1418" w:type="dxa"/>
            <w:noWrap w:val="0"/>
            <w:vAlign w:val="top"/>
          </w:tcPr>
          <w:p w14:paraId="37F04168">
            <w:pPr>
              <w:keepNext/>
              <w:spacing w:line="440" w:lineRule="exact"/>
              <w:rPr>
                <w:rFonts w:hint="eastAsia" w:ascii="宋体" w:hAnsi="宋体" w:cs="宋体"/>
                <w:color w:val="000000"/>
                <w:szCs w:val="21"/>
              </w:rPr>
            </w:pPr>
          </w:p>
        </w:tc>
        <w:tc>
          <w:tcPr>
            <w:tcW w:w="1701" w:type="dxa"/>
            <w:noWrap w:val="0"/>
            <w:vAlign w:val="top"/>
          </w:tcPr>
          <w:p w14:paraId="5CD1B971">
            <w:pPr>
              <w:keepNext/>
              <w:spacing w:line="440" w:lineRule="exact"/>
              <w:rPr>
                <w:rFonts w:hint="eastAsia" w:ascii="宋体" w:hAnsi="宋体" w:cs="宋体"/>
                <w:color w:val="000000"/>
                <w:szCs w:val="21"/>
              </w:rPr>
            </w:pPr>
          </w:p>
        </w:tc>
      </w:tr>
      <w:tr w14:paraId="0D120F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14:paraId="3DCF8E6F">
            <w:pPr>
              <w:keepNext/>
              <w:spacing w:line="440" w:lineRule="exact"/>
              <w:rPr>
                <w:rFonts w:hint="eastAsia" w:ascii="宋体" w:hAnsi="宋体" w:cs="宋体"/>
                <w:color w:val="000000"/>
                <w:szCs w:val="21"/>
              </w:rPr>
            </w:pPr>
          </w:p>
        </w:tc>
        <w:tc>
          <w:tcPr>
            <w:tcW w:w="1984" w:type="dxa"/>
            <w:tcBorders>
              <w:bottom w:val="single" w:color="auto" w:sz="12" w:space="0"/>
            </w:tcBorders>
            <w:noWrap w:val="0"/>
            <w:vAlign w:val="top"/>
          </w:tcPr>
          <w:p w14:paraId="07603770">
            <w:pPr>
              <w:keepNext/>
              <w:spacing w:line="440" w:lineRule="exact"/>
              <w:rPr>
                <w:rFonts w:hint="eastAsia" w:ascii="宋体" w:hAnsi="宋体" w:cs="宋体"/>
                <w:color w:val="000000"/>
                <w:szCs w:val="21"/>
              </w:rPr>
            </w:pPr>
          </w:p>
        </w:tc>
        <w:tc>
          <w:tcPr>
            <w:tcW w:w="851" w:type="dxa"/>
            <w:tcBorders>
              <w:bottom w:val="single" w:color="auto" w:sz="12" w:space="0"/>
            </w:tcBorders>
            <w:noWrap w:val="0"/>
            <w:vAlign w:val="top"/>
          </w:tcPr>
          <w:p w14:paraId="24D9DC41">
            <w:pPr>
              <w:keepNext/>
              <w:spacing w:line="440" w:lineRule="exact"/>
              <w:rPr>
                <w:rFonts w:hint="eastAsia" w:ascii="宋体" w:hAnsi="宋体" w:cs="宋体"/>
                <w:color w:val="000000"/>
                <w:szCs w:val="21"/>
              </w:rPr>
            </w:pPr>
          </w:p>
        </w:tc>
        <w:tc>
          <w:tcPr>
            <w:tcW w:w="774" w:type="dxa"/>
            <w:tcBorders>
              <w:bottom w:val="single" w:color="auto" w:sz="12" w:space="0"/>
            </w:tcBorders>
            <w:noWrap w:val="0"/>
            <w:vAlign w:val="top"/>
          </w:tcPr>
          <w:p w14:paraId="6761E755">
            <w:pPr>
              <w:keepNext/>
              <w:spacing w:line="440" w:lineRule="exact"/>
              <w:rPr>
                <w:rFonts w:hint="eastAsia" w:ascii="宋体" w:hAnsi="宋体" w:cs="宋体"/>
                <w:color w:val="000000"/>
                <w:szCs w:val="21"/>
              </w:rPr>
            </w:pPr>
          </w:p>
        </w:tc>
        <w:tc>
          <w:tcPr>
            <w:tcW w:w="1352" w:type="dxa"/>
            <w:tcBorders>
              <w:bottom w:val="single" w:color="auto" w:sz="12" w:space="0"/>
            </w:tcBorders>
            <w:noWrap w:val="0"/>
            <w:vAlign w:val="top"/>
          </w:tcPr>
          <w:p w14:paraId="79B0D5F9">
            <w:pPr>
              <w:keepNext/>
              <w:spacing w:line="440" w:lineRule="exact"/>
              <w:rPr>
                <w:rFonts w:hint="eastAsia" w:ascii="宋体" w:hAnsi="宋体" w:cs="宋体"/>
                <w:color w:val="000000"/>
                <w:szCs w:val="21"/>
              </w:rPr>
            </w:pPr>
          </w:p>
        </w:tc>
        <w:tc>
          <w:tcPr>
            <w:tcW w:w="1418" w:type="dxa"/>
            <w:tcBorders>
              <w:bottom w:val="single" w:color="auto" w:sz="12" w:space="0"/>
            </w:tcBorders>
            <w:noWrap w:val="0"/>
            <w:vAlign w:val="top"/>
          </w:tcPr>
          <w:p w14:paraId="417C019A">
            <w:pPr>
              <w:keepNext/>
              <w:spacing w:line="440" w:lineRule="exact"/>
              <w:rPr>
                <w:rFonts w:hint="eastAsia" w:ascii="宋体" w:hAnsi="宋体" w:cs="宋体"/>
                <w:color w:val="000000"/>
                <w:szCs w:val="21"/>
              </w:rPr>
            </w:pPr>
          </w:p>
        </w:tc>
        <w:tc>
          <w:tcPr>
            <w:tcW w:w="1701" w:type="dxa"/>
            <w:tcBorders>
              <w:bottom w:val="single" w:color="auto" w:sz="12" w:space="0"/>
            </w:tcBorders>
            <w:noWrap w:val="0"/>
            <w:vAlign w:val="top"/>
          </w:tcPr>
          <w:p w14:paraId="0FDECAD0">
            <w:pPr>
              <w:keepNext/>
              <w:spacing w:line="440" w:lineRule="exact"/>
              <w:rPr>
                <w:rFonts w:hint="eastAsia" w:ascii="宋体" w:hAnsi="宋体" w:cs="宋体"/>
                <w:color w:val="000000"/>
                <w:szCs w:val="21"/>
              </w:rPr>
            </w:pPr>
          </w:p>
        </w:tc>
      </w:tr>
    </w:tbl>
    <w:p w14:paraId="7EC6A5FE">
      <w:pPr>
        <w:spacing w:line="440" w:lineRule="exact"/>
        <w:rPr>
          <w:rFonts w:hint="eastAsia" w:ascii="宋体" w:hAnsi="宋体" w:cs="宋体"/>
          <w:color w:val="000000"/>
          <w:szCs w:val="21"/>
        </w:rPr>
      </w:pPr>
    </w:p>
    <w:p w14:paraId="3C52E1D0">
      <w:pPr>
        <w:spacing w:before="120" w:beforeLines="50" w:after="120" w:afterLines="50" w:line="440" w:lineRule="exact"/>
        <w:jc w:val="center"/>
        <w:rPr>
          <w:rFonts w:hint="eastAsia" w:ascii="宋体" w:hAnsi="宋体" w:cs="宋体"/>
          <w:color w:val="000000"/>
          <w:szCs w:val="21"/>
        </w:rPr>
      </w:pPr>
      <w:r>
        <w:rPr>
          <w:rFonts w:hint="eastAsia" w:ascii="宋体" w:hAnsi="宋体" w:cs="宋体"/>
          <w:color w:val="000000"/>
          <w:szCs w:val="21"/>
        </w:rPr>
        <w:t>12-3：专业工程暂估价表</w:t>
      </w:r>
    </w:p>
    <w:tbl>
      <w:tblPr>
        <w:tblStyle w:val="47"/>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676772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3E3C1B68">
            <w:pPr>
              <w:keepNext/>
              <w:spacing w:line="440" w:lineRule="exact"/>
              <w:rPr>
                <w:rFonts w:hint="eastAsia" w:ascii="宋体" w:hAnsi="宋体" w:cs="宋体"/>
                <w:color w:val="000000"/>
                <w:szCs w:val="21"/>
              </w:rPr>
            </w:pPr>
            <w:r>
              <w:rPr>
                <w:rFonts w:hint="eastAsia" w:ascii="宋体" w:hAnsi="宋体" w:cs="宋体"/>
                <w:color w:val="000000"/>
                <w:szCs w:val="21"/>
              </w:rPr>
              <w:t>序号</w:t>
            </w:r>
          </w:p>
        </w:tc>
        <w:tc>
          <w:tcPr>
            <w:tcW w:w="1984" w:type="dxa"/>
            <w:tcBorders>
              <w:top w:val="single" w:color="auto" w:sz="12" w:space="0"/>
              <w:bottom w:val="double" w:color="auto" w:sz="6" w:space="0"/>
            </w:tcBorders>
            <w:noWrap w:val="0"/>
            <w:vAlign w:val="top"/>
          </w:tcPr>
          <w:p w14:paraId="724423E4">
            <w:pPr>
              <w:keepNext/>
              <w:spacing w:line="440" w:lineRule="exact"/>
              <w:rPr>
                <w:rFonts w:hint="eastAsia" w:ascii="宋体" w:hAnsi="宋体" w:cs="宋体"/>
                <w:color w:val="000000"/>
                <w:szCs w:val="21"/>
              </w:rPr>
            </w:pPr>
            <w:r>
              <w:rPr>
                <w:rFonts w:hint="eastAsia" w:ascii="宋体" w:hAnsi="宋体" w:cs="宋体"/>
                <w:color w:val="000000"/>
                <w:szCs w:val="21"/>
              </w:rPr>
              <w:t>名称</w:t>
            </w:r>
          </w:p>
        </w:tc>
        <w:tc>
          <w:tcPr>
            <w:tcW w:w="851" w:type="dxa"/>
            <w:tcBorders>
              <w:top w:val="single" w:color="auto" w:sz="12" w:space="0"/>
              <w:bottom w:val="double" w:color="auto" w:sz="6" w:space="0"/>
            </w:tcBorders>
            <w:noWrap w:val="0"/>
            <w:vAlign w:val="top"/>
          </w:tcPr>
          <w:p w14:paraId="2C8673CC">
            <w:pPr>
              <w:keepNext/>
              <w:spacing w:line="440" w:lineRule="exact"/>
              <w:rPr>
                <w:rFonts w:hint="eastAsia" w:ascii="宋体" w:hAnsi="宋体" w:cs="宋体"/>
                <w:color w:val="000000"/>
                <w:szCs w:val="21"/>
              </w:rPr>
            </w:pPr>
            <w:r>
              <w:rPr>
                <w:rFonts w:hint="eastAsia" w:ascii="宋体" w:hAnsi="宋体" w:cs="宋体"/>
                <w:color w:val="000000"/>
                <w:szCs w:val="21"/>
              </w:rPr>
              <w:t>单位</w:t>
            </w:r>
          </w:p>
        </w:tc>
        <w:tc>
          <w:tcPr>
            <w:tcW w:w="774" w:type="dxa"/>
            <w:tcBorders>
              <w:top w:val="single" w:color="auto" w:sz="12" w:space="0"/>
              <w:bottom w:val="double" w:color="auto" w:sz="6" w:space="0"/>
            </w:tcBorders>
            <w:noWrap w:val="0"/>
            <w:vAlign w:val="top"/>
          </w:tcPr>
          <w:p w14:paraId="0212C8F5">
            <w:pPr>
              <w:keepNext/>
              <w:spacing w:line="440" w:lineRule="exact"/>
              <w:rPr>
                <w:rFonts w:hint="eastAsia" w:ascii="宋体" w:hAnsi="宋体" w:cs="宋体"/>
                <w:color w:val="000000"/>
                <w:szCs w:val="21"/>
              </w:rPr>
            </w:pPr>
            <w:r>
              <w:rPr>
                <w:rFonts w:hint="eastAsia" w:ascii="宋体" w:hAnsi="宋体" w:cs="宋体"/>
                <w:color w:val="000000"/>
                <w:szCs w:val="21"/>
              </w:rPr>
              <w:t>数量</w:t>
            </w:r>
          </w:p>
        </w:tc>
        <w:tc>
          <w:tcPr>
            <w:tcW w:w="1352" w:type="dxa"/>
            <w:tcBorders>
              <w:top w:val="single" w:color="auto" w:sz="12" w:space="0"/>
              <w:bottom w:val="double" w:color="auto" w:sz="6" w:space="0"/>
            </w:tcBorders>
            <w:noWrap w:val="0"/>
            <w:vAlign w:val="top"/>
          </w:tcPr>
          <w:p w14:paraId="22874D65">
            <w:pPr>
              <w:keepNext/>
              <w:spacing w:line="440" w:lineRule="exact"/>
              <w:rPr>
                <w:rFonts w:hint="eastAsia" w:ascii="宋体" w:hAnsi="宋体" w:cs="宋体"/>
                <w:color w:val="000000"/>
                <w:szCs w:val="21"/>
              </w:rPr>
            </w:pPr>
            <w:r>
              <w:rPr>
                <w:rFonts w:hint="eastAsia" w:ascii="宋体" w:hAnsi="宋体" w:cs="宋体"/>
                <w:color w:val="000000"/>
                <w:szCs w:val="21"/>
              </w:rPr>
              <w:t>单价（元）</w:t>
            </w:r>
          </w:p>
        </w:tc>
        <w:tc>
          <w:tcPr>
            <w:tcW w:w="1418" w:type="dxa"/>
            <w:tcBorders>
              <w:top w:val="single" w:color="auto" w:sz="12" w:space="0"/>
              <w:bottom w:val="double" w:color="auto" w:sz="6" w:space="0"/>
            </w:tcBorders>
            <w:noWrap w:val="0"/>
            <w:vAlign w:val="top"/>
          </w:tcPr>
          <w:p w14:paraId="071E7B62">
            <w:pPr>
              <w:keepNext/>
              <w:spacing w:line="440" w:lineRule="exact"/>
              <w:rPr>
                <w:rFonts w:hint="eastAsia" w:ascii="宋体" w:hAnsi="宋体" w:cs="宋体"/>
                <w:color w:val="000000"/>
                <w:szCs w:val="21"/>
              </w:rPr>
            </w:pPr>
            <w:r>
              <w:rPr>
                <w:rFonts w:hint="eastAsia" w:ascii="宋体" w:hAnsi="宋体" w:cs="宋体"/>
                <w:color w:val="000000"/>
                <w:szCs w:val="21"/>
              </w:rPr>
              <w:t>合价（元）</w:t>
            </w:r>
          </w:p>
        </w:tc>
        <w:tc>
          <w:tcPr>
            <w:tcW w:w="1701" w:type="dxa"/>
            <w:tcBorders>
              <w:top w:val="single" w:color="auto" w:sz="12" w:space="0"/>
              <w:bottom w:val="double" w:color="auto" w:sz="6" w:space="0"/>
            </w:tcBorders>
            <w:noWrap w:val="0"/>
            <w:vAlign w:val="top"/>
          </w:tcPr>
          <w:p w14:paraId="7173EFF0">
            <w:pPr>
              <w:keepNext/>
              <w:spacing w:line="440" w:lineRule="exact"/>
              <w:rPr>
                <w:rFonts w:hint="eastAsia" w:ascii="宋体" w:hAnsi="宋体" w:cs="宋体"/>
                <w:color w:val="000000"/>
                <w:szCs w:val="21"/>
              </w:rPr>
            </w:pPr>
            <w:r>
              <w:rPr>
                <w:rFonts w:hint="eastAsia" w:ascii="宋体" w:hAnsi="宋体" w:cs="宋体"/>
                <w:color w:val="000000"/>
                <w:szCs w:val="21"/>
              </w:rPr>
              <w:t>备注</w:t>
            </w:r>
          </w:p>
        </w:tc>
      </w:tr>
      <w:tr w14:paraId="353003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14:paraId="439C5BFB">
            <w:pPr>
              <w:keepNext/>
              <w:spacing w:line="440" w:lineRule="exact"/>
              <w:rPr>
                <w:rFonts w:hint="eastAsia" w:ascii="宋体" w:hAnsi="宋体" w:cs="宋体"/>
                <w:color w:val="000000"/>
                <w:szCs w:val="21"/>
              </w:rPr>
            </w:pPr>
          </w:p>
        </w:tc>
        <w:tc>
          <w:tcPr>
            <w:tcW w:w="1984" w:type="dxa"/>
            <w:tcBorders>
              <w:top w:val="double" w:color="auto" w:sz="6" w:space="0"/>
            </w:tcBorders>
            <w:noWrap w:val="0"/>
            <w:vAlign w:val="top"/>
          </w:tcPr>
          <w:p w14:paraId="0264A07D">
            <w:pPr>
              <w:keepNext/>
              <w:spacing w:line="440" w:lineRule="exact"/>
              <w:rPr>
                <w:rFonts w:hint="eastAsia" w:ascii="宋体" w:hAnsi="宋体" w:cs="宋体"/>
                <w:color w:val="000000"/>
                <w:szCs w:val="21"/>
              </w:rPr>
            </w:pPr>
          </w:p>
        </w:tc>
        <w:tc>
          <w:tcPr>
            <w:tcW w:w="851" w:type="dxa"/>
            <w:tcBorders>
              <w:top w:val="double" w:color="auto" w:sz="6" w:space="0"/>
            </w:tcBorders>
            <w:noWrap w:val="0"/>
            <w:vAlign w:val="top"/>
          </w:tcPr>
          <w:p w14:paraId="5E5AF91C">
            <w:pPr>
              <w:keepNext/>
              <w:spacing w:line="440" w:lineRule="exact"/>
              <w:rPr>
                <w:rFonts w:hint="eastAsia" w:ascii="宋体" w:hAnsi="宋体" w:cs="宋体"/>
                <w:color w:val="000000"/>
                <w:szCs w:val="21"/>
              </w:rPr>
            </w:pPr>
          </w:p>
        </w:tc>
        <w:tc>
          <w:tcPr>
            <w:tcW w:w="774" w:type="dxa"/>
            <w:tcBorders>
              <w:top w:val="double" w:color="auto" w:sz="6" w:space="0"/>
            </w:tcBorders>
            <w:noWrap w:val="0"/>
            <w:vAlign w:val="top"/>
          </w:tcPr>
          <w:p w14:paraId="3D3029BC">
            <w:pPr>
              <w:keepNext/>
              <w:spacing w:line="440" w:lineRule="exact"/>
              <w:rPr>
                <w:rFonts w:hint="eastAsia" w:ascii="宋体" w:hAnsi="宋体" w:cs="宋体"/>
                <w:color w:val="000000"/>
                <w:szCs w:val="21"/>
              </w:rPr>
            </w:pPr>
          </w:p>
        </w:tc>
        <w:tc>
          <w:tcPr>
            <w:tcW w:w="1352" w:type="dxa"/>
            <w:tcBorders>
              <w:top w:val="double" w:color="auto" w:sz="6" w:space="0"/>
            </w:tcBorders>
            <w:noWrap w:val="0"/>
            <w:vAlign w:val="top"/>
          </w:tcPr>
          <w:p w14:paraId="59FFBC7A">
            <w:pPr>
              <w:keepNext/>
              <w:spacing w:line="440" w:lineRule="exact"/>
              <w:rPr>
                <w:rFonts w:hint="eastAsia" w:ascii="宋体" w:hAnsi="宋体" w:cs="宋体"/>
                <w:color w:val="000000"/>
                <w:szCs w:val="21"/>
              </w:rPr>
            </w:pPr>
          </w:p>
        </w:tc>
        <w:tc>
          <w:tcPr>
            <w:tcW w:w="1418" w:type="dxa"/>
            <w:tcBorders>
              <w:top w:val="double" w:color="auto" w:sz="6" w:space="0"/>
            </w:tcBorders>
            <w:noWrap w:val="0"/>
            <w:vAlign w:val="top"/>
          </w:tcPr>
          <w:p w14:paraId="0EC12B2B">
            <w:pPr>
              <w:keepNext/>
              <w:spacing w:line="440" w:lineRule="exact"/>
              <w:rPr>
                <w:rFonts w:hint="eastAsia" w:ascii="宋体" w:hAnsi="宋体" w:cs="宋体"/>
                <w:color w:val="000000"/>
                <w:szCs w:val="21"/>
              </w:rPr>
            </w:pPr>
          </w:p>
        </w:tc>
        <w:tc>
          <w:tcPr>
            <w:tcW w:w="1701" w:type="dxa"/>
            <w:tcBorders>
              <w:top w:val="double" w:color="auto" w:sz="6" w:space="0"/>
            </w:tcBorders>
            <w:noWrap w:val="0"/>
            <w:vAlign w:val="top"/>
          </w:tcPr>
          <w:p w14:paraId="5608B9DE">
            <w:pPr>
              <w:keepNext/>
              <w:spacing w:line="440" w:lineRule="exact"/>
              <w:rPr>
                <w:rFonts w:hint="eastAsia" w:ascii="宋体" w:hAnsi="宋体" w:cs="宋体"/>
                <w:color w:val="000000"/>
                <w:szCs w:val="21"/>
              </w:rPr>
            </w:pPr>
          </w:p>
        </w:tc>
      </w:tr>
      <w:tr w14:paraId="6D743D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6E6E82D0">
            <w:pPr>
              <w:keepNext/>
              <w:spacing w:line="440" w:lineRule="exact"/>
              <w:rPr>
                <w:rFonts w:hint="eastAsia" w:ascii="宋体" w:hAnsi="宋体" w:cs="宋体"/>
                <w:color w:val="000000"/>
                <w:szCs w:val="21"/>
              </w:rPr>
            </w:pPr>
          </w:p>
        </w:tc>
        <w:tc>
          <w:tcPr>
            <w:tcW w:w="1984" w:type="dxa"/>
            <w:tcBorders>
              <w:top w:val="nil"/>
            </w:tcBorders>
            <w:noWrap w:val="0"/>
            <w:vAlign w:val="top"/>
          </w:tcPr>
          <w:p w14:paraId="12284527">
            <w:pPr>
              <w:keepNext/>
              <w:spacing w:line="440" w:lineRule="exact"/>
              <w:rPr>
                <w:rFonts w:hint="eastAsia" w:ascii="宋体" w:hAnsi="宋体" w:cs="宋体"/>
                <w:color w:val="000000"/>
                <w:szCs w:val="21"/>
              </w:rPr>
            </w:pPr>
          </w:p>
        </w:tc>
        <w:tc>
          <w:tcPr>
            <w:tcW w:w="851" w:type="dxa"/>
            <w:tcBorders>
              <w:top w:val="nil"/>
            </w:tcBorders>
            <w:noWrap w:val="0"/>
            <w:vAlign w:val="top"/>
          </w:tcPr>
          <w:p w14:paraId="70E69608">
            <w:pPr>
              <w:keepNext/>
              <w:spacing w:line="440" w:lineRule="exact"/>
              <w:rPr>
                <w:rFonts w:hint="eastAsia" w:ascii="宋体" w:hAnsi="宋体" w:cs="宋体"/>
                <w:color w:val="000000"/>
                <w:szCs w:val="21"/>
              </w:rPr>
            </w:pPr>
          </w:p>
        </w:tc>
        <w:tc>
          <w:tcPr>
            <w:tcW w:w="774" w:type="dxa"/>
            <w:tcBorders>
              <w:top w:val="nil"/>
            </w:tcBorders>
            <w:noWrap w:val="0"/>
            <w:vAlign w:val="top"/>
          </w:tcPr>
          <w:p w14:paraId="0DD0295D">
            <w:pPr>
              <w:keepNext/>
              <w:spacing w:line="440" w:lineRule="exact"/>
              <w:rPr>
                <w:rFonts w:hint="eastAsia" w:ascii="宋体" w:hAnsi="宋体" w:cs="宋体"/>
                <w:color w:val="000000"/>
                <w:szCs w:val="21"/>
              </w:rPr>
            </w:pPr>
          </w:p>
        </w:tc>
        <w:tc>
          <w:tcPr>
            <w:tcW w:w="1352" w:type="dxa"/>
            <w:tcBorders>
              <w:top w:val="nil"/>
            </w:tcBorders>
            <w:noWrap w:val="0"/>
            <w:vAlign w:val="top"/>
          </w:tcPr>
          <w:p w14:paraId="2C1DCAC3">
            <w:pPr>
              <w:keepNext/>
              <w:spacing w:line="440" w:lineRule="exact"/>
              <w:rPr>
                <w:rFonts w:hint="eastAsia" w:ascii="宋体" w:hAnsi="宋体" w:cs="宋体"/>
                <w:color w:val="000000"/>
                <w:szCs w:val="21"/>
              </w:rPr>
            </w:pPr>
          </w:p>
        </w:tc>
        <w:tc>
          <w:tcPr>
            <w:tcW w:w="1418" w:type="dxa"/>
            <w:tcBorders>
              <w:top w:val="nil"/>
            </w:tcBorders>
            <w:noWrap w:val="0"/>
            <w:vAlign w:val="top"/>
          </w:tcPr>
          <w:p w14:paraId="24B5B493">
            <w:pPr>
              <w:keepNext/>
              <w:spacing w:line="440" w:lineRule="exact"/>
              <w:rPr>
                <w:rFonts w:hint="eastAsia" w:ascii="宋体" w:hAnsi="宋体" w:cs="宋体"/>
                <w:color w:val="000000"/>
                <w:szCs w:val="21"/>
              </w:rPr>
            </w:pPr>
          </w:p>
        </w:tc>
        <w:tc>
          <w:tcPr>
            <w:tcW w:w="1701" w:type="dxa"/>
            <w:tcBorders>
              <w:top w:val="nil"/>
            </w:tcBorders>
            <w:noWrap w:val="0"/>
            <w:vAlign w:val="top"/>
          </w:tcPr>
          <w:p w14:paraId="145F922C">
            <w:pPr>
              <w:keepNext/>
              <w:spacing w:line="440" w:lineRule="exact"/>
              <w:rPr>
                <w:rFonts w:hint="eastAsia" w:ascii="宋体" w:hAnsi="宋体" w:cs="宋体"/>
                <w:color w:val="000000"/>
                <w:szCs w:val="21"/>
              </w:rPr>
            </w:pPr>
          </w:p>
        </w:tc>
      </w:tr>
      <w:tr w14:paraId="7C17F4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B6FE335">
            <w:pPr>
              <w:keepNext/>
              <w:spacing w:line="440" w:lineRule="exact"/>
              <w:rPr>
                <w:rFonts w:hint="eastAsia" w:ascii="宋体" w:hAnsi="宋体" w:cs="宋体"/>
                <w:color w:val="000000"/>
                <w:szCs w:val="21"/>
              </w:rPr>
            </w:pPr>
          </w:p>
        </w:tc>
        <w:tc>
          <w:tcPr>
            <w:tcW w:w="1984" w:type="dxa"/>
            <w:noWrap w:val="0"/>
            <w:vAlign w:val="top"/>
          </w:tcPr>
          <w:p w14:paraId="45C64E04">
            <w:pPr>
              <w:keepNext/>
              <w:spacing w:line="440" w:lineRule="exact"/>
              <w:rPr>
                <w:rFonts w:hint="eastAsia" w:ascii="宋体" w:hAnsi="宋体" w:cs="宋体"/>
                <w:color w:val="000000"/>
                <w:szCs w:val="21"/>
              </w:rPr>
            </w:pPr>
          </w:p>
        </w:tc>
        <w:tc>
          <w:tcPr>
            <w:tcW w:w="851" w:type="dxa"/>
            <w:noWrap w:val="0"/>
            <w:vAlign w:val="top"/>
          </w:tcPr>
          <w:p w14:paraId="357A14D0">
            <w:pPr>
              <w:keepNext/>
              <w:spacing w:line="440" w:lineRule="exact"/>
              <w:rPr>
                <w:rFonts w:hint="eastAsia" w:ascii="宋体" w:hAnsi="宋体" w:cs="宋体"/>
                <w:color w:val="000000"/>
                <w:szCs w:val="21"/>
              </w:rPr>
            </w:pPr>
          </w:p>
        </w:tc>
        <w:tc>
          <w:tcPr>
            <w:tcW w:w="774" w:type="dxa"/>
            <w:noWrap w:val="0"/>
            <w:vAlign w:val="top"/>
          </w:tcPr>
          <w:p w14:paraId="74BFE32C">
            <w:pPr>
              <w:keepNext/>
              <w:spacing w:line="440" w:lineRule="exact"/>
              <w:rPr>
                <w:rFonts w:hint="eastAsia" w:ascii="宋体" w:hAnsi="宋体" w:cs="宋体"/>
                <w:color w:val="000000"/>
                <w:szCs w:val="21"/>
              </w:rPr>
            </w:pPr>
          </w:p>
        </w:tc>
        <w:tc>
          <w:tcPr>
            <w:tcW w:w="1352" w:type="dxa"/>
            <w:noWrap w:val="0"/>
            <w:vAlign w:val="top"/>
          </w:tcPr>
          <w:p w14:paraId="4BB5C7A5">
            <w:pPr>
              <w:keepNext/>
              <w:spacing w:line="440" w:lineRule="exact"/>
              <w:rPr>
                <w:rFonts w:hint="eastAsia" w:ascii="宋体" w:hAnsi="宋体" w:cs="宋体"/>
                <w:color w:val="000000"/>
                <w:szCs w:val="21"/>
              </w:rPr>
            </w:pPr>
          </w:p>
        </w:tc>
        <w:tc>
          <w:tcPr>
            <w:tcW w:w="1418" w:type="dxa"/>
            <w:noWrap w:val="0"/>
            <w:vAlign w:val="top"/>
          </w:tcPr>
          <w:p w14:paraId="0118D557">
            <w:pPr>
              <w:keepNext/>
              <w:spacing w:line="440" w:lineRule="exact"/>
              <w:rPr>
                <w:rFonts w:hint="eastAsia" w:ascii="宋体" w:hAnsi="宋体" w:cs="宋体"/>
                <w:color w:val="000000"/>
                <w:szCs w:val="21"/>
              </w:rPr>
            </w:pPr>
          </w:p>
        </w:tc>
        <w:tc>
          <w:tcPr>
            <w:tcW w:w="1701" w:type="dxa"/>
            <w:noWrap w:val="0"/>
            <w:vAlign w:val="top"/>
          </w:tcPr>
          <w:p w14:paraId="72920754">
            <w:pPr>
              <w:keepNext/>
              <w:spacing w:line="440" w:lineRule="exact"/>
              <w:rPr>
                <w:rFonts w:hint="eastAsia" w:ascii="宋体" w:hAnsi="宋体" w:cs="宋体"/>
                <w:color w:val="000000"/>
                <w:szCs w:val="21"/>
              </w:rPr>
            </w:pPr>
          </w:p>
        </w:tc>
      </w:tr>
      <w:tr w14:paraId="4E179C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14:paraId="25107FFF">
            <w:pPr>
              <w:keepNext/>
              <w:spacing w:line="440" w:lineRule="exact"/>
              <w:rPr>
                <w:rFonts w:hint="eastAsia" w:ascii="宋体" w:hAnsi="宋体" w:cs="宋体"/>
                <w:color w:val="000000"/>
                <w:szCs w:val="21"/>
              </w:rPr>
            </w:pPr>
          </w:p>
        </w:tc>
        <w:tc>
          <w:tcPr>
            <w:tcW w:w="1984" w:type="dxa"/>
            <w:tcBorders>
              <w:bottom w:val="single" w:color="auto" w:sz="12" w:space="0"/>
            </w:tcBorders>
            <w:noWrap w:val="0"/>
            <w:vAlign w:val="top"/>
          </w:tcPr>
          <w:p w14:paraId="768B1051">
            <w:pPr>
              <w:keepNext/>
              <w:spacing w:line="440" w:lineRule="exact"/>
              <w:rPr>
                <w:rFonts w:hint="eastAsia" w:ascii="宋体" w:hAnsi="宋体" w:cs="宋体"/>
                <w:color w:val="000000"/>
                <w:szCs w:val="21"/>
              </w:rPr>
            </w:pPr>
          </w:p>
        </w:tc>
        <w:tc>
          <w:tcPr>
            <w:tcW w:w="851" w:type="dxa"/>
            <w:tcBorders>
              <w:bottom w:val="single" w:color="auto" w:sz="12" w:space="0"/>
            </w:tcBorders>
            <w:noWrap w:val="0"/>
            <w:vAlign w:val="top"/>
          </w:tcPr>
          <w:p w14:paraId="39BBEDE4">
            <w:pPr>
              <w:keepNext/>
              <w:spacing w:line="440" w:lineRule="exact"/>
              <w:rPr>
                <w:rFonts w:hint="eastAsia" w:ascii="宋体" w:hAnsi="宋体" w:cs="宋体"/>
                <w:color w:val="000000"/>
                <w:szCs w:val="21"/>
              </w:rPr>
            </w:pPr>
          </w:p>
        </w:tc>
        <w:tc>
          <w:tcPr>
            <w:tcW w:w="774" w:type="dxa"/>
            <w:tcBorders>
              <w:bottom w:val="single" w:color="auto" w:sz="12" w:space="0"/>
            </w:tcBorders>
            <w:noWrap w:val="0"/>
            <w:vAlign w:val="top"/>
          </w:tcPr>
          <w:p w14:paraId="566F379B">
            <w:pPr>
              <w:keepNext/>
              <w:spacing w:line="440" w:lineRule="exact"/>
              <w:rPr>
                <w:rFonts w:hint="eastAsia" w:ascii="宋体" w:hAnsi="宋体" w:cs="宋体"/>
                <w:color w:val="000000"/>
                <w:szCs w:val="21"/>
              </w:rPr>
            </w:pPr>
          </w:p>
        </w:tc>
        <w:tc>
          <w:tcPr>
            <w:tcW w:w="1352" w:type="dxa"/>
            <w:tcBorders>
              <w:bottom w:val="single" w:color="auto" w:sz="12" w:space="0"/>
            </w:tcBorders>
            <w:noWrap w:val="0"/>
            <w:vAlign w:val="top"/>
          </w:tcPr>
          <w:p w14:paraId="05B28DCA">
            <w:pPr>
              <w:keepNext/>
              <w:spacing w:line="440" w:lineRule="exact"/>
              <w:rPr>
                <w:rFonts w:hint="eastAsia" w:ascii="宋体" w:hAnsi="宋体" w:cs="宋体"/>
                <w:color w:val="000000"/>
                <w:szCs w:val="21"/>
              </w:rPr>
            </w:pPr>
          </w:p>
        </w:tc>
        <w:tc>
          <w:tcPr>
            <w:tcW w:w="1418" w:type="dxa"/>
            <w:tcBorders>
              <w:bottom w:val="single" w:color="auto" w:sz="12" w:space="0"/>
            </w:tcBorders>
            <w:noWrap w:val="0"/>
            <w:vAlign w:val="top"/>
          </w:tcPr>
          <w:p w14:paraId="6E2C0550">
            <w:pPr>
              <w:keepNext/>
              <w:spacing w:line="440" w:lineRule="exact"/>
              <w:rPr>
                <w:rFonts w:hint="eastAsia" w:ascii="宋体" w:hAnsi="宋体" w:cs="宋体"/>
                <w:color w:val="000000"/>
                <w:szCs w:val="21"/>
              </w:rPr>
            </w:pPr>
          </w:p>
        </w:tc>
        <w:tc>
          <w:tcPr>
            <w:tcW w:w="1701" w:type="dxa"/>
            <w:tcBorders>
              <w:bottom w:val="single" w:color="auto" w:sz="12" w:space="0"/>
            </w:tcBorders>
            <w:noWrap w:val="0"/>
            <w:vAlign w:val="top"/>
          </w:tcPr>
          <w:p w14:paraId="18C61A61">
            <w:pPr>
              <w:keepNext/>
              <w:spacing w:line="440" w:lineRule="exact"/>
              <w:rPr>
                <w:rFonts w:hint="eastAsia" w:ascii="宋体" w:hAnsi="宋体" w:cs="宋体"/>
                <w:color w:val="000000"/>
                <w:szCs w:val="21"/>
              </w:rPr>
            </w:pPr>
          </w:p>
        </w:tc>
      </w:tr>
    </w:tbl>
    <w:p w14:paraId="69A4248F">
      <w:pPr>
        <w:rPr>
          <w:rFonts w:hint="eastAsia" w:ascii="宋体" w:hAnsi="宋体" w:cs="宋体"/>
          <w:color w:val="000000"/>
          <w:szCs w:val="21"/>
        </w:rPr>
      </w:pPr>
    </w:p>
    <w:p w14:paraId="27D60EF3">
      <w:pPr>
        <w:rPr>
          <w:rFonts w:hint="eastAsia" w:ascii="宋体" w:hAnsi="宋体" w:cs="宋体"/>
          <w:color w:val="000000"/>
          <w:szCs w:val="22"/>
        </w:rPr>
      </w:pPr>
    </w:p>
    <w:p w14:paraId="21E00BB7">
      <w:pPr>
        <w:rPr>
          <w:rFonts w:hint="eastAsia" w:ascii="宋体" w:hAnsi="宋体" w:cs="宋体"/>
          <w:color w:val="000000"/>
          <w:szCs w:val="22"/>
        </w:rPr>
      </w:pPr>
    </w:p>
    <w:p w14:paraId="76251519">
      <w:pPr>
        <w:keepNext/>
        <w:keepLines/>
        <w:spacing w:before="120" w:after="120" w:line="360" w:lineRule="auto"/>
        <w:jc w:val="left"/>
        <w:outlineLvl w:val="2"/>
        <w:rPr>
          <w:rFonts w:hint="eastAsia" w:ascii="宋体" w:hAnsi="宋体" w:cs="宋体"/>
          <w:color w:val="000000"/>
        </w:rPr>
        <w:sectPr>
          <w:footnotePr>
            <w:numFmt w:val="decimalEnclosedCircleChinese"/>
            <w:numRestart w:val="eachPage"/>
          </w:footnotePr>
          <w:pgSz w:w="11907" w:h="16840"/>
          <w:pgMar w:top="1474" w:right="1474" w:bottom="1474" w:left="1474" w:header="799" w:footer="907" w:gutter="0"/>
          <w:cols w:space="720" w:num="1"/>
          <w:docGrid w:linePitch="271" w:charSpace="0"/>
        </w:sectPr>
      </w:pPr>
    </w:p>
    <w:p w14:paraId="0E815E15">
      <w:pPr>
        <w:keepNext/>
        <w:keepLines/>
        <w:spacing w:before="120" w:after="120" w:line="360" w:lineRule="auto"/>
        <w:jc w:val="left"/>
        <w:outlineLvl w:val="2"/>
        <w:rPr>
          <w:rFonts w:hint="eastAsia" w:ascii="宋体" w:hAnsi="宋体" w:cs="宋体"/>
          <w:bCs/>
          <w:color w:val="000000"/>
          <w:sz w:val="24"/>
        </w:rPr>
      </w:pPr>
      <w:bookmarkStart w:id="950" w:name="_Toc95223511"/>
      <w:r>
        <w:rPr>
          <w:rFonts w:hint="eastAsia" w:ascii="宋体" w:hAnsi="宋体" w:cs="宋体"/>
          <w:bCs/>
          <w:color w:val="000000"/>
          <w:sz w:val="24"/>
        </w:rPr>
        <w:t>附件12：安全生产合同</w:t>
      </w:r>
      <w:bookmarkEnd w:id="950"/>
    </w:p>
    <w:p w14:paraId="16311529">
      <w:pPr>
        <w:adjustRightInd w:val="0"/>
        <w:snapToGrid w:val="0"/>
        <w:spacing w:line="360" w:lineRule="auto"/>
        <w:jc w:val="center"/>
        <w:rPr>
          <w:rFonts w:hint="eastAsia" w:ascii="宋体" w:hAnsi="宋体" w:cs="宋体"/>
          <w:b/>
          <w:color w:val="000000"/>
          <w:sz w:val="32"/>
          <w:szCs w:val="32"/>
        </w:rPr>
      </w:pPr>
      <w:bookmarkStart w:id="951" w:name="_Toc32439"/>
      <w:bookmarkStart w:id="952" w:name="_Toc95223512"/>
      <w:bookmarkStart w:id="953" w:name="_Toc16956"/>
      <w:r>
        <w:rPr>
          <w:rFonts w:hint="eastAsia" w:ascii="宋体" w:hAnsi="宋体" w:cs="宋体"/>
          <w:b/>
          <w:color w:val="000000"/>
          <w:sz w:val="32"/>
          <w:szCs w:val="32"/>
        </w:rPr>
        <w:t>安全生产合同</w:t>
      </w:r>
      <w:bookmarkEnd w:id="951"/>
      <w:bookmarkEnd w:id="952"/>
      <w:bookmarkEnd w:id="953"/>
    </w:p>
    <w:p w14:paraId="2BF6B125">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为在</w:t>
      </w:r>
      <w:r>
        <w:rPr>
          <w:rFonts w:hint="eastAsia" w:ascii="宋体" w:hAnsi="宋体" w:cs="宋体"/>
          <w:color w:val="000000"/>
          <w:szCs w:val="21"/>
          <w:u w:val="single"/>
        </w:rPr>
        <w:t xml:space="preserve">            </w:t>
      </w:r>
      <w:r>
        <w:rPr>
          <w:rFonts w:hint="eastAsia" w:ascii="宋体" w:hAnsi="宋体" w:cs="宋体"/>
          <w:color w:val="000000"/>
          <w:szCs w:val="21"/>
        </w:rPr>
        <w:t>（项目名称）</w:t>
      </w:r>
      <w:r>
        <w:rPr>
          <w:rFonts w:hint="eastAsia" w:ascii="宋体" w:hAnsi="宋体" w:cs="宋体"/>
          <w:color w:val="000000"/>
          <w:szCs w:val="21"/>
          <w:u w:val="single"/>
        </w:rPr>
        <w:t xml:space="preserve">    </w:t>
      </w:r>
      <w:r>
        <w:rPr>
          <w:rFonts w:hint="eastAsia" w:ascii="宋体" w:hAnsi="宋体" w:cs="宋体"/>
          <w:color w:val="000000"/>
          <w:szCs w:val="21"/>
        </w:rPr>
        <w:t>（标段）施工合同的实施过程中创造安全、高效的施工环境，切实搞好本项目的安全管理工作，本项目发包人</w:t>
      </w:r>
      <w:r>
        <w:rPr>
          <w:rFonts w:hint="eastAsia" w:ascii="宋体" w:hAnsi="宋体" w:cs="宋体"/>
          <w:color w:val="000000"/>
          <w:szCs w:val="21"/>
          <w:u w:val="single"/>
        </w:rPr>
        <w:t xml:space="preserve">       </w:t>
      </w:r>
      <w:r>
        <w:rPr>
          <w:rFonts w:hint="eastAsia" w:ascii="宋体" w:hAnsi="宋体" w:cs="宋体"/>
          <w:color w:val="000000"/>
          <w:szCs w:val="21"/>
        </w:rPr>
        <w:t>（发包人名称，以下简称“发包人”）与承包人</w:t>
      </w:r>
      <w:r>
        <w:rPr>
          <w:rFonts w:hint="eastAsia" w:ascii="宋体" w:hAnsi="宋体" w:cs="宋体"/>
          <w:color w:val="000000"/>
          <w:szCs w:val="21"/>
          <w:u w:val="single"/>
        </w:rPr>
        <w:t xml:space="preserve">         </w:t>
      </w:r>
      <w:r>
        <w:rPr>
          <w:rFonts w:hint="eastAsia" w:ascii="宋体" w:hAnsi="宋体" w:cs="宋体"/>
          <w:color w:val="000000"/>
          <w:szCs w:val="21"/>
        </w:rPr>
        <w:t>（承包人名称，以下简称“承包人”）特此签订安全生产合同：</w:t>
      </w:r>
    </w:p>
    <w:p w14:paraId="5E2ABC17">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1.发包人职责</w:t>
      </w:r>
    </w:p>
    <w:p w14:paraId="3B51A493">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（1）严格遵守国家有关安全生产的法律法规，认真执行工程承包合同中的有关安全要求。</w:t>
      </w:r>
    </w:p>
    <w:p w14:paraId="01345DF8">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（2）按照“安全第一、预防为主”和坚持“管生产必须管安全”的原则进行安全生产管理，做到生产与安全工作同时计划、布置、检查、总结和评比。</w:t>
      </w:r>
    </w:p>
    <w:p w14:paraId="374DF670">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（3）重要的安全设施必须坚持与主体工程“三同时”的原则，即：同时设计、审批，同时施工，同时验收，投入使用。</w:t>
      </w:r>
    </w:p>
    <w:p w14:paraId="12F3CE58">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（4）定期召开安全生产调度会，及时传达中央及地方有关安全生产的精神。</w:t>
      </w:r>
    </w:p>
    <w:p w14:paraId="2142C9EC">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（5）组织对承包人施工现场安全生产检查，监督承包人及时处理发现的各种安全隐患。</w:t>
      </w:r>
    </w:p>
    <w:p w14:paraId="27CAA762">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2.承包人职责</w:t>
      </w:r>
    </w:p>
    <w:p w14:paraId="197870BB">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240F67AB">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7E19E5F4">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7025E977">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（4）承包人在任何时候都应采取各种合理的预防措施，防止其员工发生任何违法、违禁、暴力或妨碍治安的行为。</w:t>
      </w:r>
    </w:p>
    <w:p w14:paraId="7C462648">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2F1B2B2A">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4F4117B9">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（7）操作人员上岗，必须按规定穿戴防护用品。施工负责人和安全检查员应随时检查劳动防护用品的穿戴情况，不按规定穿戴防护用品的人员不得上岗。</w:t>
      </w:r>
    </w:p>
    <w:p w14:paraId="1E280170">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（8）所有施工机具设备和高空作业的设备均应定期检查，并有安全员的签字记录，保证其经常处于完好状态；不合格的机具、设备和劳动保护用品严禁使用：</w:t>
      </w:r>
    </w:p>
    <w:p w14:paraId="1C0E4923">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（9）施工中采用新技术、新工艺、新设备、新材料时，必须制定相应的安全技术措施，施工现场必须具有相关的安全标志牌。</w:t>
      </w:r>
    </w:p>
    <w:p w14:paraId="18C3E45A">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17074C82">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（11）安全生产费用按照《建设工程安全生产管理条例》的相关规定使用和管理。</w:t>
      </w:r>
    </w:p>
    <w:p w14:paraId="7C9159BF">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3.违约责任</w:t>
      </w:r>
    </w:p>
    <w:p w14:paraId="1B4202E4">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如因发包人或承包人违约造成安全事故，将依法追究责任。</w:t>
      </w:r>
    </w:p>
    <w:p w14:paraId="58543053">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4.本合同由双方法定代表人或其授权的代理人签署并加盖单位章后生效，全部工程竣工验收后失效。</w:t>
      </w:r>
    </w:p>
    <w:p w14:paraId="4BA2A912">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5.本合同正本—式</w:t>
      </w:r>
      <w:r>
        <w:rPr>
          <w:rFonts w:hint="eastAsia" w:ascii="宋体" w:hAnsi="宋体" w:cs="宋体"/>
          <w:color w:val="000000"/>
          <w:szCs w:val="21"/>
          <w:u w:val="single"/>
        </w:rPr>
        <w:t xml:space="preserve">   </w:t>
      </w:r>
      <w:r>
        <w:rPr>
          <w:rFonts w:hint="eastAsia" w:ascii="宋体" w:hAnsi="宋体" w:cs="宋体"/>
          <w:color w:val="000000"/>
          <w:szCs w:val="21"/>
        </w:rPr>
        <w:t>份，副本</w:t>
      </w:r>
      <w:r>
        <w:rPr>
          <w:rFonts w:hint="eastAsia" w:ascii="宋体" w:hAnsi="宋体" w:cs="宋体"/>
          <w:color w:val="000000"/>
          <w:szCs w:val="21"/>
          <w:u w:val="single"/>
        </w:rPr>
        <w:t xml:space="preserve">  </w:t>
      </w:r>
      <w:r>
        <w:rPr>
          <w:rFonts w:hint="eastAsia" w:ascii="宋体" w:hAnsi="宋体" w:cs="宋体"/>
          <w:color w:val="000000"/>
          <w:szCs w:val="21"/>
        </w:rPr>
        <w:t>份，合同双方各执正本—份，副本</w:t>
      </w:r>
      <w:r>
        <w:rPr>
          <w:rFonts w:hint="eastAsia" w:ascii="宋体" w:hAnsi="宋体" w:cs="宋体"/>
          <w:color w:val="000000"/>
          <w:szCs w:val="21"/>
          <w:u w:val="single"/>
        </w:rPr>
        <w:t xml:space="preserve">  </w:t>
      </w:r>
      <w:r>
        <w:rPr>
          <w:rFonts w:hint="eastAsia" w:ascii="宋体" w:hAnsi="宋体" w:cs="宋体"/>
          <w:color w:val="000000"/>
          <w:szCs w:val="21"/>
        </w:rPr>
        <w:t>份，当正本与副本的内容不一致时，以正本为准。</w:t>
      </w:r>
    </w:p>
    <w:p w14:paraId="1B334BA6">
      <w:pPr>
        <w:spacing w:line="360" w:lineRule="auto"/>
        <w:rPr>
          <w:rFonts w:hint="eastAsia" w:ascii="宋体" w:hAnsi="宋体" w:cs="宋体"/>
          <w:color w:val="000000"/>
          <w:szCs w:val="21"/>
        </w:rPr>
      </w:pPr>
    </w:p>
    <w:p w14:paraId="0DC4D82C">
      <w:pPr>
        <w:spacing w:line="360" w:lineRule="auto"/>
        <w:rPr>
          <w:rFonts w:hint="eastAsia" w:ascii="宋体" w:hAnsi="宋体" w:cs="宋体"/>
          <w:color w:val="000000"/>
          <w:szCs w:val="21"/>
        </w:rPr>
      </w:pPr>
    </w:p>
    <w:p w14:paraId="386A0618">
      <w:pPr>
        <w:spacing w:line="360" w:lineRule="auto"/>
        <w:rPr>
          <w:rFonts w:hint="eastAsia" w:ascii="宋体" w:hAnsi="宋体" w:cs="宋体"/>
          <w:color w:val="000000"/>
          <w:szCs w:val="21"/>
        </w:rPr>
      </w:pPr>
      <w:r>
        <w:rPr>
          <w:rFonts w:hint="eastAsia" w:ascii="宋体" w:hAnsi="宋体" w:cs="宋体"/>
          <w:color w:val="000000"/>
          <w:szCs w:val="21"/>
        </w:rPr>
        <w:t>发包人：</w:t>
      </w:r>
      <w:r>
        <w:rPr>
          <w:rFonts w:hint="eastAsia" w:ascii="宋体" w:hAnsi="宋体" w:cs="宋体"/>
          <w:color w:val="000000"/>
          <w:szCs w:val="21"/>
          <w:u w:val="single"/>
        </w:rPr>
        <w:t xml:space="preserve">                </w:t>
      </w:r>
      <w:r>
        <w:rPr>
          <w:rFonts w:hint="eastAsia" w:ascii="宋体" w:hAnsi="宋体" w:cs="宋体"/>
          <w:color w:val="000000"/>
          <w:szCs w:val="21"/>
        </w:rPr>
        <w:t>（盖单位章）           承包人：</w:t>
      </w:r>
      <w:r>
        <w:rPr>
          <w:rFonts w:hint="eastAsia" w:ascii="宋体" w:hAnsi="宋体" w:cs="宋体"/>
          <w:color w:val="000000"/>
          <w:szCs w:val="21"/>
          <w:u w:val="single"/>
        </w:rPr>
        <w:t xml:space="preserve">                   </w:t>
      </w:r>
      <w:r>
        <w:rPr>
          <w:rFonts w:hint="eastAsia" w:ascii="宋体" w:hAnsi="宋体" w:cs="宋体"/>
          <w:color w:val="000000"/>
          <w:szCs w:val="21"/>
        </w:rPr>
        <w:t>（盖单位章）</w:t>
      </w:r>
    </w:p>
    <w:p w14:paraId="60726E5B">
      <w:pPr>
        <w:spacing w:line="360" w:lineRule="auto"/>
        <w:rPr>
          <w:rFonts w:hint="eastAsia" w:ascii="宋体" w:hAnsi="宋体" w:cs="宋体"/>
          <w:color w:val="000000"/>
          <w:szCs w:val="21"/>
        </w:rPr>
      </w:pPr>
    </w:p>
    <w:p w14:paraId="7DB6572D">
      <w:pPr>
        <w:spacing w:line="360" w:lineRule="auto"/>
        <w:rPr>
          <w:rFonts w:hint="eastAsia" w:ascii="宋体" w:hAnsi="宋体" w:cs="宋体"/>
          <w:color w:val="000000"/>
          <w:szCs w:val="21"/>
        </w:rPr>
      </w:pPr>
      <w:r>
        <w:rPr>
          <w:rFonts w:hint="eastAsia" w:ascii="宋体" w:hAnsi="宋体" w:cs="宋体"/>
          <w:color w:val="000000"/>
          <w:szCs w:val="21"/>
        </w:rPr>
        <w:t>法定代表人或其委托代理人：</w:t>
      </w:r>
      <w:r>
        <w:rPr>
          <w:rFonts w:hint="eastAsia" w:ascii="宋体" w:hAnsi="宋体" w:cs="宋体"/>
          <w:color w:val="000000"/>
          <w:szCs w:val="21"/>
          <w:u w:val="single"/>
        </w:rPr>
        <w:t xml:space="preserve">    </w:t>
      </w:r>
      <w:r>
        <w:rPr>
          <w:rFonts w:hint="eastAsia" w:ascii="宋体" w:hAnsi="宋体" w:cs="宋体"/>
          <w:color w:val="000000"/>
          <w:szCs w:val="21"/>
        </w:rPr>
        <w:t>（签字）           法定代表人或其委托代理人：</w:t>
      </w:r>
      <w:r>
        <w:rPr>
          <w:rFonts w:hint="eastAsia" w:ascii="宋体" w:hAnsi="宋体" w:cs="宋体"/>
          <w:color w:val="000000"/>
          <w:szCs w:val="21"/>
          <w:u w:val="single"/>
        </w:rPr>
        <w:t xml:space="preserve">     </w:t>
      </w:r>
      <w:r>
        <w:rPr>
          <w:rFonts w:hint="eastAsia" w:ascii="宋体" w:hAnsi="宋体" w:cs="宋体"/>
          <w:color w:val="000000"/>
          <w:szCs w:val="21"/>
        </w:rPr>
        <w:t>（签字）</w:t>
      </w:r>
    </w:p>
    <w:p w14:paraId="67196D8A">
      <w:pPr>
        <w:spacing w:line="360" w:lineRule="auto"/>
        <w:rPr>
          <w:rFonts w:hint="eastAsia" w:ascii="宋体" w:hAnsi="宋体" w:cs="宋体"/>
          <w:color w:val="000000"/>
          <w:szCs w:val="21"/>
        </w:rPr>
      </w:pPr>
    </w:p>
    <w:p w14:paraId="2F670A70">
      <w:pPr>
        <w:spacing w:line="360" w:lineRule="auto"/>
        <w:ind w:firstLine="840"/>
        <w:rPr>
          <w:rFonts w:ascii="宋体" w:hAnsi="宋体" w:cs="宋体"/>
          <w:bCs/>
          <w:color w:val="000000"/>
          <w:kern w:val="44"/>
          <w:sz w:val="32"/>
          <w:szCs w:val="44"/>
        </w:rPr>
      </w:pPr>
      <w:r>
        <w:rPr>
          <w:rFonts w:hint="eastAsia" w:ascii="宋体" w:hAnsi="宋体" w:cs="宋体"/>
          <w:color w:val="000000"/>
          <w:szCs w:val="21"/>
        </w:rPr>
        <w:t xml:space="preserve">   </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 xml:space="preserve">日                       </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14:paraId="6E0E33CA">
      <w:pPr>
        <w:rPr>
          <w:rFonts w:ascii="宋体" w:hAnsi="宋体" w:cs="宋体"/>
          <w:sz w:val="32"/>
          <w:szCs w:val="44"/>
        </w:rPr>
      </w:pPr>
    </w:p>
    <w:p w14:paraId="2BD0D5E9">
      <w:pPr>
        <w:rPr>
          <w:rFonts w:ascii="宋体" w:hAnsi="宋体" w:cs="宋体"/>
          <w:sz w:val="32"/>
          <w:szCs w:val="44"/>
        </w:rPr>
      </w:pPr>
    </w:p>
    <w:p w14:paraId="05A97EBE">
      <w:pPr>
        <w:tabs>
          <w:tab w:val="left" w:pos="2820"/>
        </w:tabs>
        <w:outlineLvl w:val="2"/>
        <w:rPr>
          <w:rFonts w:hint="eastAsia" w:ascii="宋体" w:hAnsi="宋体" w:cs="宋体"/>
          <w:sz w:val="32"/>
          <w:szCs w:val="44"/>
        </w:rPr>
      </w:pPr>
      <w:r>
        <w:rPr>
          <w:rFonts w:hint="eastAsia" w:ascii="宋体" w:hAnsi="宋体" w:cs="宋体"/>
          <w:sz w:val="32"/>
          <w:szCs w:val="44"/>
        </w:rPr>
        <w:br w:type="page"/>
      </w:r>
      <w:bookmarkStart w:id="954" w:name="_Toc95223513"/>
      <w:r>
        <w:rPr>
          <w:rFonts w:hint="eastAsia" w:ascii="宋体" w:hAnsi="宋体" w:cs="宋体"/>
          <w:bCs/>
          <w:color w:val="000000"/>
          <w:sz w:val="24"/>
        </w:rPr>
        <w:t>附件1</w:t>
      </w:r>
      <w:r>
        <w:rPr>
          <w:rFonts w:hint="eastAsia" w:ascii="宋体" w:hAnsi="宋体" w:cs="宋体"/>
          <w:bCs/>
          <w:color w:val="000000"/>
          <w:sz w:val="24"/>
          <w:lang w:val="en-US" w:eastAsia="zh-CN"/>
        </w:rPr>
        <w:t>3</w:t>
      </w:r>
      <w:r>
        <w:rPr>
          <w:rFonts w:hint="eastAsia" w:ascii="宋体" w:hAnsi="宋体" w:cs="宋体"/>
          <w:bCs/>
          <w:color w:val="000000"/>
          <w:sz w:val="24"/>
        </w:rPr>
        <w:t>：</w:t>
      </w:r>
      <w:bookmarkEnd w:id="954"/>
    </w:p>
    <w:p w14:paraId="03D018A6">
      <w:pPr>
        <w:adjustRightInd w:val="0"/>
        <w:snapToGrid w:val="0"/>
        <w:spacing w:line="360" w:lineRule="auto"/>
        <w:jc w:val="center"/>
        <w:rPr>
          <w:rFonts w:hint="eastAsia" w:ascii="宋体" w:hAnsi="宋体" w:cs="宋体"/>
          <w:b/>
          <w:color w:val="000000"/>
          <w:sz w:val="32"/>
          <w:szCs w:val="32"/>
        </w:rPr>
      </w:pPr>
      <w:bookmarkStart w:id="955" w:name="_Toc95223514"/>
      <w:bookmarkStart w:id="956" w:name="_Toc19059"/>
      <w:bookmarkStart w:id="957" w:name="_Toc20282"/>
      <w:r>
        <w:rPr>
          <w:rFonts w:hint="eastAsia" w:ascii="宋体" w:hAnsi="宋体" w:cs="宋体"/>
          <w:b/>
          <w:color w:val="000000"/>
          <w:sz w:val="32"/>
          <w:szCs w:val="32"/>
        </w:rPr>
        <w:t>项目经理质量终身责任制承诺</w:t>
      </w:r>
      <w:bookmarkEnd w:id="955"/>
      <w:bookmarkEnd w:id="956"/>
      <w:bookmarkEnd w:id="957"/>
    </w:p>
    <w:p w14:paraId="56731305">
      <w:pPr>
        <w:adjustRightInd w:val="0"/>
        <w:snapToGrid w:val="0"/>
        <w:spacing w:line="360" w:lineRule="auto"/>
        <w:rPr>
          <w:rFonts w:hint="eastAsia" w:ascii="宋体" w:hAnsi="宋体" w:cs="宋体"/>
          <w:bCs/>
          <w:color w:val="000000"/>
          <w:sz w:val="24"/>
          <w:szCs w:val="21"/>
        </w:rPr>
      </w:pPr>
      <w:r>
        <w:rPr>
          <w:rFonts w:hint="eastAsia" w:ascii="宋体" w:hAnsi="宋体" w:cs="宋体"/>
          <w:bCs/>
          <w:color w:val="000000"/>
          <w:sz w:val="24"/>
          <w:szCs w:val="21"/>
        </w:rPr>
        <w:t>致：______________(招标人名称)</w:t>
      </w:r>
    </w:p>
    <w:p w14:paraId="277186F9">
      <w:pPr>
        <w:adjustRightInd w:val="0"/>
        <w:snapToGrid w:val="0"/>
        <w:spacing w:line="360" w:lineRule="auto"/>
        <w:ind w:firstLine="480" w:firstLineChars="200"/>
        <w:rPr>
          <w:rFonts w:hint="eastAsia" w:ascii="宋体" w:hAnsi="宋体" w:cs="宋体"/>
          <w:bCs/>
          <w:color w:val="000000"/>
          <w:sz w:val="24"/>
          <w:szCs w:val="21"/>
        </w:rPr>
      </w:pPr>
      <w:r>
        <w:rPr>
          <w:rFonts w:hint="eastAsia" w:ascii="宋体" w:hAnsi="宋体" w:cs="宋体"/>
          <w:bCs/>
          <w:color w:val="000000"/>
          <w:sz w:val="24"/>
          <w:szCs w:val="21"/>
        </w:rPr>
        <w:t>本人作为拟委任的施工项目经理，承担相关质量终身责任，现郑重承诺如下：</w:t>
      </w:r>
    </w:p>
    <w:p w14:paraId="7189D1B4">
      <w:pPr>
        <w:adjustRightInd w:val="0"/>
        <w:snapToGrid w:val="0"/>
        <w:spacing w:line="360" w:lineRule="auto"/>
        <w:ind w:firstLine="480" w:firstLineChars="200"/>
        <w:rPr>
          <w:rFonts w:hint="eastAsia" w:ascii="宋体" w:hAnsi="宋体" w:cs="宋体"/>
          <w:bCs/>
          <w:color w:val="000000"/>
          <w:sz w:val="24"/>
          <w:szCs w:val="21"/>
        </w:rPr>
      </w:pPr>
      <w:r>
        <w:rPr>
          <w:rFonts w:hint="eastAsia" w:ascii="宋体" w:hAnsi="宋体" w:cs="宋体"/>
          <w:bCs/>
          <w:color w:val="000000"/>
          <w:sz w:val="24"/>
          <w:szCs w:val="21"/>
        </w:rPr>
        <w:t>一、在取得施工许可证后进行施工。</w:t>
      </w:r>
    </w:p>
    <w:p w14:paraId="3C1D143B">
      <w:pPr>
        <w:adjustRightInd w:val="0"/>
        <w:snapToGrid w:val="0"/>
        <w:spacing w:line="360" w:lineRule="auto"/>
        <w:ind w:firstLine="480" w:firstLineChars="200"/>
        <w:rPr>
          <w:rFonts w:hint="eastAsia" w:ascii="宋体" w:hAnsi="宋体" w:cs="宋体"/>
          <w:bCs/>
          <w:color w:val="000000"/>
          <w:sz w:val="24"/>
          <w:szCs w:val="21"/>
        </w:rPr>
      </w:pPr>
      <w:r>
        <w:rPr>
          <w:rFonts w:hint="eastAsia" w:ascii="宋体" w:hAnsi="宋体" w:cs="宋体"/>
          <w:bCs/>
          <w:color w:val="000000"/>
          <w:sz w:val="24"/>
          <w:szCs w:val="21"/>
        </w:rPr>
        <w:t>二、严格执行施工规范及标准。</w:t>
      </w:r>
    </w:p>
    <w:p w14:paraId="5F9963B1">
      <w:pPr>
        <w:adjustRightInd w:val="0"/>
        <w:snapToGrid w:val="0"/>
        <w:spacing w:line="360" w:lineRule="auto"/>
        <w:ind w:firstLine="480" w:firstLineChars="200"/>
        <w:rPr>
          <w:rFonts w:hint="eastAsia" w:ascii="宋体" w:hAnsi="宋体" w:cs="宋体"/>
          <w:bCs/>
          <w:color w:val="000000"/>
          <w:sz w:val="24"/>
          <w:szCs w:val="21"/>
        </w:rPr>
      </w:pPr>
      <w:r>
        <w:rPr>
          <w:rFonts w:hint="eastAsia" w:ascii="宋体" w:hAnsi="宋体" w:cs="宋体"/>
          <w:bCs/>
          <w:color w:val="000000"/>
          <w:sz w:val="24"/>
          <w:szCs w:val="21"/>
        </w:rPr>
        <w:t>三、严格按规定配备施工项目部关键岗位人员，并确保所有人员到岗履职。</w:t>
      </w:r>
    </w:p>
    <w:p w14:paraId="524417EA">
      <w:pPr>
        <w:adjustRightInd w:val="0"/>
        <w:snapToGrid w:val="0"/>
        <w:spacing w:line="360" w:lineRule="auto"/>
        <w:ind w:firstLine="480" w:firstLineChars="200"/>
        <w:rPr>
          <w:rFonts w:hint="eastAsia" w:ascii="宋体" w:hAnsi="宋体" w:cs="宋体"/>
          <w:bCs/>
          <w:color w:val="000000"/>
          <w:sz w:val="24"/>
          <w:szCs w:val="21"/>
        </w:rPr>
      </w:pPr>
      <w:r>
        <w:rPr>
          <w:rFonts w:hint="eastAsia" w:ascii="宋体" w:hAnsi="宋体" w:cs="宋体"/>
          <w:bCs/>
          <w:color w:val="000000"/>
          <w:sz w:val="24"/>
          <w:szCs w:val="21"/>
        </w:rPr>
        <w:t>四、严格按照经施工图审查机构审查合格的工程设计文件及合同约定的质量标准精心组织施工。</w:t>
      </w:r>
    </w:p>
    <w:p w14:paraId="7859F936">
      <w:pPr>
        <w:adjustRightInd w:val="0"/>
        <w:snapToGrid w:val="0"/>
        <w:spacing w:line="360" w:lineRule="auto"/>
        <w:ind w:firstLine="480" w:firstLineChars="200"/>
        <w:rPr>
          <w:rFonts w:hint="eastAsia" w:ascii="宋体" w:hAnsi="宋体" w:cs="宋体"/>
          <w:bCs/>
          <w:color w:val="000000"/>
          <w:sz w:val="24"/>
          <w:szCs w:val="21"/>
        </w:rPr>
      </w:pPr>
      <w:r>
        <w:rPr>
          <w:rFonts w:hint="eastAsia" w:ascii="宋体" w:hAnsi="宋体" w:cs="宋体"/>
          <w:bCs/>
          <w:color w:val="000000"/>
          <w:sz w:val="24"/>
          <w:szCs w:val="21"/>
        </w:rPr>
        <w:t>五、施工中采用合格的建筑材料、建筑构配件和设备等，并严格按规定执行见证取样制度。</w:t>
      </w:r>
    </w:p>
    <w:p w14:paraId="4FFF62D5">
      <w:pPr>
        <w:adjustRightInd w:val="0"/>
        <w:snapToGrid w:val="0"/>
        <w:spacing w:line="360" w:lineRule="auto"/>
        <w:ind w:firstLine="480" w:firstLineChars="200"/>
        <w:rPr>
          <w:rFonts w:hint="eastAsia" w:ascii="宋体" w:hAnsi="宋体" w:cs="宋体"/>
          <w:bCs/>
          <w:color w:val="000000"/>
          <w:sz w:val="24"/>
          <w:szCs w:val="21"/>
        </w:rPr>
      </w:pPr>
      <w:r>
        <w:rPr>
          <w:rFonts w:hint="eastAsia" w:ascii="宋体" w:hAnsi="宋体" w:cs="宋体"/>
          <w:bCs/>
          <w:color w:val="000000"/>
          <w:sz w:val="24"/>
          <w:szCs w:val="21"/>
        </w:rPr>
        <w:t>六、建立、健全质量检查、验收制度，严格工序管理，做好隐蔽工程质量的检查和记录。</w:t>
      </w:r>
    </w:p>
    <w:p w14:paraId="6BCB028E">
      <w:pPr>
        <w:adjustRightInd w:val="0"/>
        <w:snapToGrid w:val="0"/>
        <w:spacing w:line="360" w:lineRule="auto"/>
        <w:ind w:firstLine="480" w:firstLineChars="200"/>
        <w:rPr>
          <w:rFonts w:hint="eastAsia" w:ascii="宋体" w:hAnsi="宋体" w:cs="宋体"/>
          <w:bCs/>
          <w:color w:val="000000"/>
          <w:sz w:val="24"/>
          <w:szCs w:val="21"/>
        </w:rPr>
      </w:pPr>
      <w:r>
        <w:rPr>
          <w:rFonts w:hint="eastAsia" w:ascii="宋体" w:hAnsi="宋体" w:cs="宋体"/>
          <w:bCs/>
          <w:color w:val="000000"/>
          <w:sz w:val="24"/>
          <w:szCs w:val="21"/>
        </w:rPr>
        <w:t>七、对施工中出现的质量问题，及时进行整改。严格依法依规履行义务。</w:t>
      </w:r>
    </w:p>
    <w:p w14:paraId="1385A6C9">
      <w:pPr>
        <w:adjustRightInd w:val="0"/>
        <w:snapToGrid w:val="0"/>
        <w:spacing w:line="360" w:lineRule="auto"/>
        <w:ind w:firstLine="480" w:firstLineChars="200"/>
        <w:rPr>
          <w:rFonts w:hint="eastAsia" w:ascii="宋体" w:hAnsi="宋体" w:cs="宋体"/>
          <w:bCs/>
          <w:color w:val="000000"/>
          <w:sz w:val="24"/>
          <w:szCs w:val="21"/>
        </w:rPr>
      </w:pPr>
      <w:r>
        <w:rPr>
          <w:rFonts w:hint="eastAsia" w:ascii="宋体" w:hAnsi="宋体" w:cs="宋体"/>
          <w:bCs/>
          <w:color w:val="000000"/>
          <w:sz w:val="24"/>
          <w:szCs w:val="21"/>
        </w:rPr>
        <w:t>八、履行相关工程质量检查、验收及事故处理等职责。</w:t>
      </w:r>
    </w:p>
    <w:p w14:paraId="763143A0">
      <w:pPr>
        <w:adjustRightInd w:val="0"/>
        <w:snapToGrid w:val="0"/>
        <w:spacing w:line="360" w:lineRule="auto"/>
        <w:ind w:firstLine="480" w:firstLineChars="200"/>
        <w:rPr>
          <w:rFonts w:hint="eastAsia" w:ascii="宋体" w:hAnsi="宋体" w:cs="宋体"/>
          <w:bCs/>
          <w:color w:val="000000"/>
          <w:sz w:val="24"/>
          <w:szCs w:val="21"/>
        </w:rPr>
      </w:pPr>
      <w:r>
        <w:rPr>
          <w:rFonts w:hint="eastAsia" w:ascii="宋体" w:hAnsi="宋体" w:cs="宋体"/>
          <w:bCs/>
          <w:color w:val="000000"/>
          <w:sz w:val="24"/>
          <w:szCs w:val="21"/>
        </w:rPr>
        <w:t>九、履行其他法律法规规定的职责。</w:t>
      </w:r>
    </w:p>
    <w:p w14:paraId="6C9BBE34">
      <w:pPr>
        <w:spacing w:line="360" w:lineRule="auto"/>
        <w:ind w:left="359" w:leftChars="171" w:firstLine="720" w:firstLineChars="300"/>
        <w:rPr>
          <w:rFonts w:hint="eastAsia" w:ascii="宋体" w:hAnsi="宋体" w:cs="宋体"/>
          <w:bCs/>
          <w:color w:val="000000"/>
          <w:sz w:val="24"/>
          <w:szCs w:val="21"/>
        </w:rPr>
      </w:pPr>
    </w:p>
    <w:p w14:paraId="6C926A78">
      <w:pPr>
        <w:spacing w:line="360" w:lineRule="auto"/>
        <w:ind w:left="359" w:leftChars="171" w:firstLine="720" w:firstLineChars="300"/>
        <w:rPr>
          <w:rFonts w:hint="eastAsia" w:ascii="宋体" w:hAnsi="宋体" w:cs="宋体"/>
          <w:bCs/>
          <w:color w:val="000000"/>
          <w:sz w:val="24"/>
          <w:szCs w:val="21"/>
        </w:rPr>
      </w:pPr>
    </w:p>
    <w:p w14:paraId="0E156356">
      <w:pPr>
        <w:spacing w:line="360" w:lineRule="auto"/>
        <w:ind w:left="359" w:leftChars="171" w:firstLine="720" w:firstLineChars="300"/>
        <w:rPr>
          <w:rFonts w:hint="eastAsia" w:ascii="宋体" w:hAnsi="宋体" w:cs="宋体"/>
          <w:bCs/>
          <w:color w:val="000000"/>
          <w:sz w:val="24"/>
          <w:szCs w:val="21"/>
        </w:rPr>
      </w:pPr>
      <w:r>
        <w:rPr>
          <w:rFonts w:hint="eastAsia" w:ascii="宋体" w:hAnsi="宋体" w:cs="宋体"/>
          <w:bCs/>
          <w:color w:val="000000"/>
          <w:sz w:val="24"/>
          <w:szCs w:val="21"/>
        </w:rPr>
        <w:t>项目经理：</w:t>
      </w:r>
      <w:r>
        <w:rPr>
          <w:rFonts w:hint="eastAsia" w:ascii="宋体" w:hAnsi="宋体" w:cs="宋体"/>
          <w:bCs/>
          <w:color w:val="000000"/>
          <w:sz w:val="24"/>
          <w:szCs w:val="21"/>
          <w:u w:val="single"/>
        </w:rPr>
        <w:t xml:space="preserve">                   </w:t>
      </w:r>
      <w:r>
        <w:rPr>
          <w:rFonts w:hint="eastAsia" w:ascii="宋体" w:hAnsi="宋体" w:cs="宋体"/>
          <w:bCs/>
          <w:color w:val="000000"/>
          <w:sz w:val="24"/>
          <w:szCs w:val="21"/>
        </w:rPr>
        <w:t>（签字）</w:t>
      </w:r>
    </w:p>
    <w:p w14:paraId="6C56527F">
      <w:pPr>
        <w:spacing w:line="360" w:lineRule="auto"/>
        <w:ind w:left="359" w:leftChars="171" w:firstLine="720" w:firstLineChars="300"/>
        <w:rPr>
          <w:rFonts w:hint="eastAsia" w:ascii="宋体" w:hAnsi="宋体" w:cs="宋体"/>
          <w:bCs/>
          <w:color w:val="000000"/>
          <w:sz w:val="24"/>
          <w:szCs w:val="21"/>
        </w:rPr>
      </w:pPr>
      <w:r>
        <w:rPr>
          <w:rFonts w:hint="eastAsia" w:ascii="宋体" w:hAnsi="宋体" w:cs="宋体"/>
          <w:bCs/>
          <w:color w:val="000000"/>
          <w:sz w:val="24"/>
          <w:szCs w:val="21"/>
        </w:rPr>
        <w:t>日期：_____年____月____日</w:t>
      </w:r>
    </w:p>
    <w:p w14:paraId="11057693">
      <w:pPr>
        <w:rPr>
          <w:rFonts w:hint="eastAsia"/>
        </w:rPr>
      </w:pPr>
    </w:p>
    <w:p w14:paraId="4C2A5DB5">
      <w:pPr>
        <w:rPr>
          <w:rFonts w:hint="eastAsia"/>
        </w:rPr>
      </w:pPr>
      <w:r>
        <w:rPr>
          <w:rFonts w:hint="eastAsia"/>
        </w:rPr>
        <w:br w:type="page"/>
      </w:r>
    </w:p>
    <w:p w14:paraId="6658E593">
      <w:pPr>
        <w:rPr>
          <w:rFonts w:hint="eastAsia"/>
        </w:rPr>
      </w:pPr>
    </w:p>
    <w:bookmarkEnd w:id="852"/>
    <w:bookmarkEnd w:id="853"/>
    <w:bookmarkEnd w:id="854"/>
    <w:bookmarkEnd w:id="855"/>
    <w:p w14:paraId="1A8499CE">
      <w:pPr>
        <w:pStyle w:val="14"/>
        <w:ind w:left="0" w:leftChars="0" w:firstLine="0" w:firstLineChars="0"/>
        <w:jc w:val="center"/>
        <w:outlineLvl w:val="0"/>
        <w:rPr>
          <w:rFonts w:hint="eastAsia"/>
          <w:color w:val="000000"/>
        </w:rPr>
      </w:pPr>
      <w:bookmarkStart w:id="958" w:name="_Toc95223515"/>
      <w:bookmarkStart w:id="959" w:name="_Toc4767"/>
      <w:bookmarkStart w:id="960" w:name="_Toc144974855"/>
      <w:bookmarkStart w:id="961" w:name="_Toc78803398"/>
      <w:bookmarkStart w:id="962" w:name="_Toc152042575"/>
      <w:bookmarkStart w:id="963" w:name="_Toc35425136"/>
      <w:bookmarkStart w:id="964" w:name="_Toc152045786"/>
      <w:bookmarkStart w:id="965" w:name="_Toc506107340"/>
      <w:bookmarkStart w:id="966" w:name="_Toc15058934"/>
      <w:bookmarkStart w:id="967" w:name="_Toc246997097"/>
      <w:bookmarkStart w:id="968" w:name="_Toc247085872"/>
      <w:bookmarkStart w:id="969" w:name="_Toc179632806"/>
      <w:bookmarkStart w:id="970" w:name="_Toc324404888"/>
      <w:bookmarkStart w:id="971" w:name="_Toc246996354"/>
      <w:bookmarkStart w:id="972" w:name="_Toc35424970"/>
      <w:r>
        <w:rPr>
          <w:rFonts w:hint="eastAsia" w:ascii="宋体" w:hAnsi="宋体" w:cs="宋体"/>
          <w:bCs/>
          <w:color w:val="000000"/>
          <w:kern w:val="44"/>
          <w:sz w:val="36"/>
          <w:szCs w:val="36"/>
        </w:rPr>
        <w:t>第六章  工程量清单</w:t>
      </w:r>
      <w:bookmarkEnd w:id="958"/>
      <w:bookmarkEnd w:id="959"/>
    </w:p>
    <w:p w14:paraId="2A8C1C8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bCs/>
          <w:color w:val="000000"/>
          <w:kern w:val="44"/>
          <w:sz w:val="32"/>
          <w:szCs w:val="44"/>
        </w:rPr>
      </w:pPr>
      <w:r>
        <w:rPr>
          <w:rFonts w:hint="eastAsia" w:ascii="宋体" w:hAnsi="宋体" w:cs="宋体"/>
          <w:color w:val="000000"/>
          <w:szCs w:val="21"/>
        </w:rPr>
        <w:t>另册。</w:t>
      </w:r>
    </w:p>
    <w:p w14:paraId="0C2CCCBA">
      <w:pPr>
        <w:rPr>
          <w:rFonts w:hint="eastAsia" w:ascii="宋体" w:hAnsi="宋体" w:cs="宋体"/>
          <w:b/>
          <w:color w:val="000000"/>
        </w:rPr>
      </w:pPr>
    </w:p>
    <w:p w14:paraId="087D1176">
      <w:pPr>
        <w:pStyle w:val="14"/>
        <w:ind w:left="0" w:leftChars="0" w:firstLine="0" w:firstLineChars="0"/>
        <w:jc w:val="center"/>
        <w:outlineLvl w:val="0"/>
        <w:rPr>
          <w:rFonts w:hint="eastAsia" w:ascii="宋体" w:hAnsi="宋体" w:cs="宋体"/>
          <w:bCs/>
          <w:color w:val="000000"/>
          <w:kern w:val="44"/>
          <w:sz w:val="36"/>
          <w:szCs w:val="36"/>
        </w:rPr>
      </w:pPr>
      <w:bookmarkStart w:id="973" w:name="_Toc95223522"/>
      <w:r>
        <w:rPr>
          <w:rFonts w:hint="eastAsia" w:ascii="宋体" w:hAnsi="宋体" w:cs="宋体"/>
          <w:bCs/>
          <w:color w:val="000000"/>
          <w:kern w:val="44"/>
          <w:sz w:val="36"/>
          <w:szCs w:val="36"/>
        </w:rPr>
        <w:t xml:space="preserve">第七章 </w:t>
      </w:r>
      <w:bookmarkStart w:id="974" w:name="_Toc10656"/>
      <w:r>
        <w:rPr>
          <w:rFonts w:hint="eastAsia" w:ascii="宋体" w:hAnsi="宋体" w:cs="宋体"/>
          <w:bCs/>
          <w:color w:val="000000"/>
          <w:kern w:val="44"/>
          <w:sz w:val="36"/>
          <w:szCs w:val="36"/>
        </w:rPr>
        <w:t>图  纸</w:t>
      </w:r>
      <w:bookmarkEnd w:id="973"/>
      <w:bookmarkEnd w:id="974"/>
    </w:p>
    <w:p w14:paraId="0C219A0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bCs/>
          <w:color w:val="000000"/>
          <w:kern w:val="44"/>
          <w:sz w:val="32"/>
          <w:szCs w:val="44"/>
        </w:rPr>
      </w:pPr>
      <w:r>
        <w:rPr>
          <w:rFonts w:hint="eastAsia" w:ascii="宋体" w:hAnsi="宋体" w:cs="宋体"/>
          <w:color w:val="000000"/>
          <w:szCs w:val="21"/>
        </w:rPr>
        <w:t>另册。</w:t>
      </w:r>
    </w:p>
    <w:p w14:paraId="111AFB31">
      <w:pPr>
        <w:outlineLvl w:val="1"/>
        <w:rPr>
          <w:rFonts w:hint="eastAsia" w:ascii="宋体" w:hAnsi="宋体" w:cs="宋体"/>
          <w:color w:val="000000"/>
        </w:rPr>
      </w:pPr>
    </w:p>
    <w:p w14:paraId="48B5E51C">
      <w:pPr>
        <w:rPr>
          <w:rFonts w:hint="eastAsia" w:ascii="宋体" w:hAnsi="宋体" w:cs="宋体"/>
          <w:color w:val="000000"/>
        </w:rPr>
      </w:pPr>
    </w:p>
    <w:p w14:paraId="09483549">
      <w:pPr>
        <w:pStyle w:val="2"/>
        <w:adjustRightInd w:val="0"/>
        <w:snapToGrid w:val="0"/>
        <w:spacing w:before="0" w:after="0" w:line="560" w:lineRule="exact"/>
        <w:jc w:val="center"/>
        <w:rPr>
          <w:rFonts w:hint="eastAsia" w:ascii="宋体" w:hAnsi="宋体" w:cs="宋体"/>
          <w:bCs w:val="0"/>
          <w:color w:val="000000"/>
          <w:sz w:val="32"/>
        </w:rPr>
      </w:pPr>
      <w:r>
        <w:rPr>
          <w:rFonts w:hint="eastAsia" w:ascii="宋体" w:hAnsi="宋体" w:cs="宋体"/>
          <w:b w:val="0"/>
          <w:bCs w:val="0"/>
          <w:color w:val="000000"/>
          <w:sz w:val="32"/>
        </w:rPr>
        <w:br w:type="page"/>
      </w:r>
      <w:bookmarkStart w:id="975" w:name="_Toc4608"/>
      <w:bookmarkStart w:id="976" w:name="_Toc95223525"/>
      <w:r>
        <w:rPr>
          <w:rFonts w:hint="eastAsia"/>
          <w:color w:val="000000"/>
        </w:rPr>
        <w:t>第八章  技术标准和要求</w:t>
      </w:r>
      <w:bookmarkEnd w:id="975"/>
      <w:bookmarkEnd w:id="976"/>
    </w:p>
    <w:p w14:paraId="691196AD">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cs="宋体"/>
          <w:color w:val="000000"/>
        </w:rPr>
      </w:pPr>
      <w:bookmarkStart w:id="977" w:name="_Toc32647"/>
      <w:bookmarkStart w:id="978" w:name="_Toc95223526"/>
      <w:r>
        <w:rPr>
          <w:rFonts w:hint="eastAsia" w:ascii="宋体" w:hAnsi="宋体" w:cs="宋体"/>
          <w:bCs/>
          <w:color w:val="000000"/>
          <w:szCs w:val="21"/>
        </w:rPr>
        <w:t>1.</w:t>
      </w:r>
      <w:r>
        <w:rPr>
          <w:rFonts w:hint="eastAsia" w:ascii="宋体" w:hAnsi="宋体" w:cs="宋体"/>
          <w:b/>
          <w:color w:val="000000"/>
        </w:rPr>
        <w:t xml:space="preserve"> </w:t>
      </w:r>
      <w:r>
        <w:rPr>
          <w:rFonts w:hint="eastAsia" w:ascii="宋体" w:hAnsi="宋体" w:cs="宋体"/>
          <w:color w:val="000000"/>
        </w:rPr>
        <w:t>一般要求</w:t>
      </w:r>
      <w:bookmarkEnd w:id="977"/>
      <w:bookmarkEnd w:id="978"/>
    </w:p>
    <w:p w14:paraId="5E812E1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rPr>
      </w:pPr>
      <w:r>
        <w:rPr>
          <w:rFonts w:hint="eastAsia" w:ascii="宋体" w:hAnsi="宋体" w:cs="宋体"/>
          <w:color w:val="auto"/>
        </w:rPr>
        <w:t xml:space="preserve">  </w:t>
      </w:r>
      <w:r>
        <w:rPr>
          <w:rFonts w:hint="eastAsia" w:ascii="宋体" w:hAnsi="宋体" w:cs="宋体"/>
          <w:color w:val="auto"/>
          <w:lang w:val="en-US" w:eastAsia="zh-CN"/>
        </w:rPr>
        <w:t xml:space="preserve"> </w:t>
      </w:r>
      <w:r>
        <w:rPr>
          <w:rFonts w:hint="eastAsia" w:ascii="宋体" w:hAnsi="宋体" w:eastAsia="宋体" w:cs="宋体"/>
          <w:color w:val="auto"/>
          <w:lang w:val="en-US" w:eastAsia="zh-CN"/>
        </w:rPr>
        <w:t>见招标项目施工图纸</w:t>
      </w:r>
      <w:r>
        <w:rPr>
          <w:rFonts w:hint="eastAsia" w:ascii="宋体" w:hAnsi="宋体" w:cs="宋体"/>
          <w:color w:val="auto"/>
          <w:lang w:val="en-US" w:eastAsia="zh-CN"/>
        </w:rPr>
        <w:t>。</w:t>
      </w:r>
    </w:p>
    <w:p w14:paraId="488746F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rPr>
      </w:pPr>
    </w:p>
    <w:p w14:paraId="215AD899">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cs="宋体"/>
          <w:bCs/>
          <w:color w:val="auto"/>
          <w:szCs w:val="21"/>
        </w:rPr>
      </w:pPr>
      <w:bookmarkStart w:id="979" w:name="_Toc26107"/>
      <w:bookmarkStart w:id="980" w:name="_Toc95223527"/>
      <w:r>
        <w:rPr>
          <w:rFonts w:hint="eastAsia" w:ascii="宋体" w:hAnsi="宋体" w:cs="宋体"/>
          <w:bCs/>
          <w:color w:val="auto"/>
          <w:szCs w:val="21"/>
        </w:rPr>
        <w:t>2. 特殊技术标准和要求</w:t>
      </w:r>
      <w:bookmarkEnd w:id="979"/>
      <w:bookmarkEnd w:id="980"/>
    </w:p>
    <w:p w14:paraId="11B962DF">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default" w:ascii="宋体" w:hAnsi="宋体" w:cs="宋体"/>
          <w:bCs/>
          <w:color w:val="auto"/>
          <w:szCs w:val="21"/>
          <w:highlight w:val="none"/>
          <w:lang w:val="en-US"/>
        </w:rPr>
      </w:pPr>
      <w:r>
        <w:rPr>
          <w:rFonts w:hint="eastAsia" w:ascii="宋体" w:hAnsi="宋体" w:cs="宋体"/>
          <w:bCs/>
          <w:color w:val="auto"/>
          <w:szCs w:val="21"/>
        </w:rPr>
        <w:t xml:space="preserve">  </w:t>
      </w:r>
      <w:r>
        <w:rPr>
          <w:rFonts w:hint="eastAsia" w:ascii="宋体" w:hAnsi="宋体" w:cs="宋体"/>
          <w:bCs/>
          <w:color w:val="auto"/>
          <w:szCs w:val="21"/>
          <w:lang w:val="en-US" w:eastAsia="zh-CN"/>
        </w:rPr>
        <w:t xml:space="preserve"> 见招标项目施工图纸；</w:t>
      </w:r>
      <w:r>
        <w:rPr>
          <w:rFonts w:hint="eastAsia" w:ascii="宋体" w:hAnsi="宋体" w:cs="宋体"/>
          <w:bCs/>
          <w:color w:val="auto"/>
          <w:szCs w:val="21"/>
          <w:highlight w:val="none"/>
          <w:lang w:val="en-US" w:eastAsia="zh-CN"/>
        </w:rPr>
        <w:t>其中环控、监控系统应具备可视、可测、可调、可控，且须匹配并接入招标人监控系统服务器平台系统。</w:t>
      </w:r>
    </w:p>
    <w:p w14:paraId="097B6B93">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cs="宋体"/>
          <w:bCs/>
          <w:color w:val="auto"/>
          <w:szCs w:val="21"/>
        </w:rPr>
      </w:pPr>
    </w:p>
    <w:p w14:paraId="7ECBB3F6">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cs="宋体"/>
          <w:bCs/>
          <w:color w:val="auto"/>
          <w:szCs w:val="21"/>
        </w:rPr>
      </w:pPr>
      <w:bookmarkStart w:id="981" w:name="_Toc30517"/>
      <w:bookmarkStart w:id="982" w:name="_Toc95223528"/>
      <w:r>
        <w:rPr>
          <w:rFonts w:hint="eastAsia" w:ascii="宋体" w:hAnsi="宋体" w:cs="宋体"/>
          <w:bCs/>
          <w:color w:val="auto"/>
          <w:szCs w:val="21"/>
        </w:rPr>
        <w:t>3. 适用的国家、行业以及地方标准、规范和规程</w:t>
      </w:r>
      <w:bookmarkEnd w:id="981"/>
      <w:bookmarkEnd w:id="982"/>
    </w:p>
    <w:p w14:paraId="6DA976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eastAsia" w:ascii="宋体" w:hAnsi="宋体" w:cs="宋体"/>
          <w:bCs/>
          <w:color w:val="auto"/>
          <w:szCs w:val="21"/>
          <w:lang w:val="en-US" w:eastAsia="zh-CN"/>
        </w:rPr>
      </w:pPr>
      <w:r>
        <w:rPr>
          <w:rFonts w:hint="eastAsia" w:ascii="宋体" w:hAnsi="宋体" w:cs="宋体"/>
          <w:bCs/>
          <w:color w:val="auto"/>
          <w:szCs w:val="21"/>
          <w:lang w:val="en-US" w:eastAsia="zh-CN"/>
        </w:rPr>
        <w:t>本招标项目施工、验收须达到设计文件的要求和国家及有关部委、安徽省、项目所在市现行的工程建设标准、规范、规定的要求（文件标准之间相互冲突的，以标准较高者为准）。</w:t>
      </w:r>
    </w:p>
    <w:p w14:paraId="4A50246B">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cs="宋体"/>
          <w:bCs/>
          <w:color w:val="auto"/>
          <w:szCs w:val="21"/>
        </w:rPr>
      </w:pPr>
      <w:bookmarkStart w:id="983" w:name="_Toc16564"/>
      <w:bookmarkStart w:id="984" w:name="_Toc95223529"/>
    </w:p>
    <w:p w14:paraId="29B1C382">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cs="宋体"/>
          <w:bCs/>
          <w:color w:val="auto"/>
          <w:szCs w:val="21"/>
          <w:lang w:val="en-US" w:eastAsia="zh-CN"/>
        </w:rPr>
      </w:pPr>
      <w:r>
        <w:rPr>
          <w:rFonts w:hint="eastAsia" w:ascii="宋体" w:hAnsi="宋体" w:cs="宋体"/>
          <w:bCs/>
          <w:color w:val="auto"/>
          <w:szCs w:val="21"/>
          <w:lang w:val="en-US" w:eastAsia="zh-CN"/>
        </w:rPr>
        <w:t>4.</w:t>
      </w:r>
      <w:r>
        <w:rPr>
          <w:rFonts w:hint="eastAsia" w:ascii="宋体" w:hAnsi="宋体" w:cs="宋体"/>
          <w:bCs/>
          <w:color w:val="auto"/>
          <w:szCs w:val="21"/>
        </w:rPr>
        <w:t>招标人</w:t>
      </w:r>
      <w:r>
        <w:rPr>
          <w:rFonts w:hint="eastAsia" w:ascii="宋体" w:hAnsi="宋体" w:cs="宋体"/>
          <w:bCs/>
          <w:color w:val="auto"/>
          <w:szCs w:val="21"/>
          <w:lang w:val="en-US" w:eastAsia="zh-CN"/>
        </w:rPr>
        <w:t>不</w:t>
      </w:r>
      <w:r>
        <w:rPr>
          <w:rFonts w:hint="eastAsia" w:ascii="宋体" w:hAnsi="宋体" w:cs="宋体"/>
          <w:bCs/>
          <w:color w:val="auto"/>
          <w:szCs w:val="21"/>
        </w:rPr>
        <w:t>推荐品牌</w:t>
      </w:r>
      <w:bookmarkEnd w:id="983"/>
      <w:bookmarkEnd w:id="984"/>
      <w:r>
        <w:rPr>
          <w:rFonts w:hint="eastAsia" w:ascii="宋体" w:hAnsi="宋体" w:cs="宋体"/>
          <w:bCs/>
          <w:color w:val="auto"/>
          <w:szCs w:val="21"/>
          <w:lang w:eastAsia="zh-CN"/>
        </w:rPr>
        <w:t>，</w:t>
      </w:r>
      <w:r>
        <w:rPr>
          <w:rFonts w:hint="eastAsia" w:ascii="宋体" w:hAnsi="宋体" w:cs="宋体"/>
          <w:bCs/>
          <w:color w:val="auto"/>
          <w:szCs w:val="21"/>
          <w:lang w:val="en-US" w:eastAsia="zh-CN"/>
        </w:rPr>
        <w:t>其中主要材料或设施设备（甲供材除外），由施工单位提供，需经招标人审核确定。</w:t>
      </w:r>
    </w:p>
    <w:p w14:paraId="2F1EE0D1">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cs="宋体"/>
          <w:bCs/>
          <w:color w:val="auto"/>
          <w:szCs w:val="21"/>
          <w:lang w:val="en-US" w:eastAsia="zh-CN"/>
        </w:rPr>
      </w:pPr>
    </w:p>
    <w:p w14:paraId="4EF05079">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default" w:ascii="宋体" w:hAnsi="宋体" w:cs="宋体"/>
          <w:bCs/>
          <w:color w:val="auto"/>
          <w:szCs w:val="21"/>
          <w:lang w:val="en-US" w:eastAsia="zh-CN"/>
        </w:rPr>
      </w:pPr>
      <w:r>
        <w:rPr>
          <w:rFonts w:hint="eastAsia" w:ascii="宋体" w:hAnsi="宋体" w:cs="宋体"/>
          <w:bCs/>
          <w:color w:val="auto"/>
          <w:szCs w:val="21"/>
          <w:lang w:val="en-US" w:eastAsia="zh-CN"/>
        </w:rPr>
        <w:t>5.本项目的充电桩</w:t>
      </w:r>
      <w:r>
        <w:rPr>
          <w:rFonts w:hint="default" w:ascii="宋体" w:hAnsi="宋体" w:cs="宋体"/>
          <w:bCs/>
          <w:color w:val="auto"/>
          <w:szCs w:val="21"/>
          <w:lang w:val="en-US" w:eastAsia="zh-CN"/>
        </w:rPr>
        <w:t>设施设备（包括电动车充电桩设施设备）</w:t>
      </w:r>
      <w:r>
        <w:rPr>
          <w:rFonts w:hint="eastAsia" w:ascii="宋体" w:hAnsi="宋体" w:cs="宋体"/>
          <w:bCs/>
          <w:color w:val="auto"/>
          <w:szCs w:val="21"/>
          <w:lang w:val="en-US" w:eastAsia="zh-CN"/>
        </w:rPr>
        <w:t>须</w:t>
      </w:r>
      <w:r>
        <w:rPr>
          <w:rFonts w:hint="default" w:ascii="宋体" w:hAnsi="宋体" w:cs="宋体"/>
          <w:bCs/>
          <w:color w:val="auto"/>
          <w:szCs w:val="21"/>
          <w:lang w:val="en-US" w:eastAsia="zh-CN"/>
        </w:rPr>
        <w:t>提供不少于五年的厂家</w:t>
      </w:r>
      <w:r>
        <w:rPr>
          <w:rFonts w:hint="eastAsia" w:ascii="宋体" w:hAnsi="宋体" w:cs="宋体"/>
          <w:bCs/>
          <w:color w:val="auto"/>
          <w:szCs w:val="21"/>
          <w:lang w:val="en-US" w:eastAsia="zh-CN"/>
        </w:rPr>
        <w:t>免费</w:t>
      </w:r>
      <w:r>
        <w:rPr>
          <w:rFonts w:hint="default" w:ascii="宋体" w:hAnsi="宋体" w:cs="宋体"/>
          <w:bCs/>
          <w:color w:val="auto"/>
          <w:szCs w:val="21"/>
          <w:lang w:val="en-US" w:eastAsia="zh-CN"/>
        </w:rPr>
        <w:t>质保服务</w:t>
      </w:r>
      <w:r>
        <w:rPr>
          <w:rFonts w:hint="eastAsia" w:ascii="宋体" w:hAnsi="宋体" w:cs="宋体"/>
          <w:bCs/>
          <w:color w:val="auto"/>
          <w:szCs w:val="21"/>
          <w:lang w:val="en-US" w:eastAsia="zh-CN"/>
        </w:rPr>
        <w:t>。</w:t>
      </w:r>
    </w:p>
    <w:p w14:paraId="33E695AB">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default" w:ascii="宋体" w:hAnsi="宋体" w:cs="宋体"/>
          <w:bCs/>
          <w:color w:val="auto"/>
          <w:szCs w:val="21"/>
          <w:lang w:val="en-US" w:eastAsia="zh-CN"/>
        </w:rPr>
      </w:pPr>
    </w:p>
    <w:p w14:paraId="1D284BBA">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default" w:ascii="宋体" w:hAnsi="宋体" w:cs="宋体"/>
          <w:bCs/>
          <w:color w:val="auto"/>
          <w:szCs w:val="21"/>
          <w:lang w:val="en-US" w:eastAsia="zh-CN"/>
        </w:rPr>
      </w:pPr>
      <w:r>
        <w:rPr>
          <w:rFonts w:hint="eastAsia" w:ascii="宋体" w:hAnsi="宋体" w:cs="宋体"/>
          <w:bCs/>
          <w:color w:val="auto"/>
          <w:szCs w:val="21"/>
          <w:lang w:val="en-US" w:eastAsia="zh-CN"/>
        </w:rPr>
        <w:t>6.</w:t>
      </w:r>
      <w:r>
        <w:rPr>
          <w:rFonts w:hint="default" w:ascii="宋体" w:hAnsi="宋体" w:cs="宋体"/>
          <w:bCs/>
          <w:color w:val="auto"/>
          <w:szCs w:val="21"/>
          <w:lang w:val="en-US" w:eastAsia="zh-CN"/>
        </w:rPr>
        <w:t>在</w:t>
      </w:r>
      <w:r>
        <w:rPr>
          <w:rFonts w:hint="eastAsia" w:ascii="宋体" w:hAnsi="宋体" w:cs="宋体"/>
          <w:bCs/>
          <w:color w:val="auto"/>
          <w:szCs w:val="21"/>
          <w:lang w:val="en-US" w:eastAsia="zh-CN"/>
        </w:rPr>
        <w:t>工程</w:t>
      </w:r>
      <w:r>
        <w:rPr>
          <w:rFonts w:hint="default" w:ascii="宋体" w:hAnsi="宋体" w:cs="宋体"/>
          <w:bCs/>
          <w:color w:val="auto"/>
          <w:szCs w:val="21"/>
          <w:lang w:val="en-US" w:eastAsia="zh-CN"/>
        </w:rPr>
        <w:t>缺陷责任期内</w:t>
      </w:r>
      <w:r>
        <w:rPr>
          <w:rFonts w:hint="eastAsia" w:ascii="宋体" w:hAnsi="宋体" w:cs="宋体"/>
          <w:bCs/>
          <w:color w:val="auto"/>
          <w:szCs w:val="21"/>
          <w:lang w:val="en-US" w:eastAsia="zh-CN"/>
        </w:rPr>
        <w:t xml:space="preserve"> </w:t>
      </w:r>
      <w:r>
        <w:rPr>
          <w:rFonts w:hint="default" w:ascii="宋体" w:hAnsi="宋体" w:cs="宋体"/>
          <w:bCs/>
          <w:color w:val="auto"/>
          <w:szCs w:val="21"/>
          <w:lang w:val="en-US" w:eastAsia="zh-CN"/>
        </w:rPr>
        <w:t>(</w:t>
      </w:r>
      <w:r>
        <w:rPr>
          <w:rFonts w:hint="eastAsia" w:ascii="宋体" w:hAnsi="宋体" w:cs="宋体"/>
          <w:bCs/>
          <w:color w:val="auto"/>
          <w:szCs w:val="21"/>
          <w:lang w:val="en-US" w:eastAsia="zh-CN"/>
        </w:rPr>
        <w:t>自竣工验收合格之日起满2年</w:t>
      </w:r>
      <w:r>
        <w:rPr>
          <w:rFonts w:hint="default" w:ascii="宋体" w:hAnsi="宋体" w:cs="宋体"/>
          <w:bCs/>
          <w:color w:val="auto"/>
          <w:szCs w:val="21"/>
          <w:lang w:val="en-US" w:eastAsia="zh-CN"/>
        </w:rPr>
        <w:t>)，</w:t>
      </w:r>
      <w:r>
        <w:rPr>
          <w:rFonts w:hint="eastAsia" w:ascii="宋体" w:hAnsi="宋体" w:cs="宋体"/>
          <w:bCs/>
          <w:color w:val="auto"/>
          <w:szCs w:val="21"/>
          <w:lang w:val="en-US" w:eastAsia="zh-CN"/>
        </w:rPr>
        <w:t>中标人须免</w:t>
      </w:r>
      <w:r>
        <w:rPr>
          <w:rFonts w:hint="default" w:ascii="宋体" w:hAnsi="宋体" w:cs="宋体"/>
          <w:bCs/>
          <w:color w:val="auto"/>
          <w:szCs w:val="21"/>
          <w:lang w:val="en-US" w:eastAsia="zh-CN"/>
        </w:rPr>
        <w:t>费提供充电设备收费系统服务，</w:t>
      </w:r>
      <w:r>
        <w:rPr>
          <w:rFonts w:hint="eastAsia" w:ascii="宋体" w:hAnsi="宋体" w:cs="宋体"/>
          <w:bCs/>
          <w:color w:val="auto"/>
          <w:szCs w:val="21"/>
          <w:lang w:val="en-US" w:eastAsia="zh-CN"/>
        </w:rPr>
        <w:t>其相关费用包含在合同价中，招标人不另行支付其他费用。</w:t>
      </w:r>
    </w:p>
    <w:p w14:paraId="53B58DDD">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cs="宋体"/>
          <w:bCs/>
          <w:color w:val="auto"/>
          <w:szCs w:val="21"/>
          <w:lang w:val="en-US" w:eastAsia="zh-CN"/>
        </w:rPr>
      </w:pPr>
    </w:p>
    <w:p w14:paraId="3E863B44">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default" w:ascii="宋体" w:hAnsi="宋体" w:cs="宋体"/>
          <w:bCs/>
          <w:color w:val="auto"/>
          <w:szCs w:val="21"/>
          <w:lang w:val="en-US" w:eastAsia="zh-CN"/>
        </w:rPr>
      </w:pPr>
      <w:r>
        <w:rPr>
          <w:rFonts w:hint="eastAsia" w:ascii="宋体" w:hAnsi="宋体" w:cs="宋体"/>
          <w:bCs/>
          <w:color w:val="auto"/>
          <w:szCs w:val="21"/>
          <w:lang w:val="en-US" w:eastAsia="zh-CN"/>
        </w:rPr>
        <w:t>7.项目竣工验收后，中标人须配合招标人完成国网光伏发电项目机制电价竞价工作。</w:t>
      </w:r>
    </w:p>
    <w:p w14:paraId="3A3DFD1F">
      <w:pPr>
        <w:pStyle w:val="2"/>
        <w:adjustRightInd w:val="0"/>
        <w:snapToGrid w:val="0"/>
        <w:spacing w:before="0" w:after="0" w:line="560" w:lineRule="exact"/>
        <w:jc w:val="center"/>
        <w:rPr>
          <w:bCs/>
          <w:szCs w:val="32"/>
          <w:highlight w:val="none"/>
        </w:rPr>
      </w:pPr>
      <w:r>
        <w:rPr>
          <w:rFonts w:hint="eastAsia" w:ascii="宋体" w:hAnsi="宋体" w:cs="宋体"/>
          <w:bCs/>
          <w:color w:val="000000"/>
          <w:szCs w:val="21"/>
        </w:rPr>
        <w:br w:type="page"/>
      </w:r>
      <w:r>
        <w:rPr>
          <w:rFonts w:hint="eastAsia"/>
          <w:color w:val="000000"/>
        </w:rPr>
        <w:t>第</w:t>
      </w:r>
      <w:r>
        <w:rPr>
          <w:rFonts w:hint="eastAsia"/>
          <w:color w:val="000000"/>
          <w:lang w:val="en-US" w:eastAsia="zh-CN"/>
        </w:rPr>
        <w:t>九</w:t>
      </w:r>
      <w:r>
        <w:rPr>
          <w:rFonts w:hint="eastAsia"/>
          <w:color w:val="000000"/>
        </w:rPr>
        <w:t>章  投标文件格式</w:t>
      </w:r>
      <w:bookmarkEnd w:id="960"/>
      <w:bookmarkEnd w:id="961"/>
      <w:bookmarkEnd w:id="962"/>
      <w:bookmarkEnd w:id="963"/>
      <w:bookmarkEnd w:id="964"/>
      <w:bookmarkEnd w:id="965"/>
      <w:bookmarkEnd w:id="966"/>
      <w:bookmarkEnd w:id="967"/>
      <w:bookmarkEnd w:id="968"/>
      <w:bookmarkEnd w:id="969"/>
      <w:bookmarkEnd w:id="970"/>
      <w:bookmarkEnd w:id="971"/>
      <w:bookmarkEnd w:id="972"/>
    </w:p>
    <w:p w14:paraId="7B05D42C">
      <w:pPr>
        <w:rPr>
          <w:highlight w:val="none"/>
        </w:rPr>
      </w:pPr>
    </w:p>
    <w:p w14:paraId="082E4B32">
      <w:pPr>
        <w:rPr>
          <w:highlight w:val="none"/>
        </w:rPr>
      </w:pPr>
    </w:p>
    <w:p w14:paraId="5069B979">
      <w:pPr>
        <w:rPr>
          <w:highlight w:val="none"/>
        </w:rPr>
      </w:pPr>
    </w:p>
    <w:p w14:paraId="56143D65">
      <w:pPr>
        <w:jc w:val="center"/>
        <w:rPr>
          <w:rFonts w:eastAsia="黑体"/>
          <w:sz w:val="20"/>
          <w:szCs w:val="20"/>
          <w:highlight w:val="none"/>
        </w:rPr>
      </w:pPr>
      <w:r>
        <w:rPr>
          <w:rFonts w:eastAsia="黑体"/>
          <w:sz w:val="28"/>
          <w:szCs w:val="28"/>
          <w:highlight w:val="none"/>
        </w:rPr>
        <w:t>（项目名称）</w:t>
      </w:r>
    </w:p>
    <w:p w14:paraId="7576ABA9">
      <w:pPr>
        <w:jc w:val="center"/>
        <w:rPr>
          <w:rFonts w:eastAsia="黑体"/>
          <w:sz w:val="20"/>
          <w:szCs w:val="20"/>
          <w:highlight w:val="none"/>
        </w:rPr>
      </w:pPr>
    </w:p>
    <w:p w14:paraId="7FF06958">
      <w:pPr>
        <w:jc w:val="center"/>
        <w:rPr>
          <w:rFonts w:eastAsia="黑体"/>
          <w:sz w:val="20"/>
          <w:szCs w:val="20"/>
          <w:highlight w:val="none"/>
        </w:rPr>
      </w:pPr>
    </w:p>
    <w:p w14:paraId="3165CB1E">
      <w:pPr>
        <w:jc w:val="center"/>
        <w:rPr>
          <w:rFonts w:eastAsia="黑体"/>
          <w:sz w:val="20"/>
          <w:szCs w:val="20"/>
          <w:highlight w:val="none"/>
        </w:rPr>
      </w:pPr>
    </w:p>
    <w:p w14:paraId="75BA9D51">
      <w:pPr>
        <w:rPr>
          <w:rFonts w:eastAsia="黑体"/>
          <w:sz w:val="20"/>
          <w:szCs w:val="20"/>
          <w:highlight w:val="none"/>
        </w:rPr>
      </w:pPr>
    </w:p>
    <w:p w14:paraId="347DEE05">
      <w:pPr>
        <w:jc w:val="center"/>
        <w:rPr>
          <w:rFonts w:eastAsia="黑体"/>
          <w:sz w:val="44"/>
          <w:szCs w:val="44"/>
          <w:highlight w:val="none"/>
        </w:rPr>
      </w:pPr>
      <w:r>
        <w:rPr>
          <w:rFonts w:eastAsia="黑体"/>
          <w:sz w:val="44"/>
          <w:szCs w:val="44"/>
          <w:highlight w:val="none"/>
        </w:rPr>
        <w:t>投  标  文  件</w:t>
      </w:r>
      <w:r>
        <w:rPr>
          <w:rFonts w:hint="eastAsia" w:eastAsia="黑体"/>
          <w:sz w:val="44"/>
          <w:szCs w:val="44"/>
          <w:highlight w:val="none"/>
        </w:rPr>
        <w:t xml:space="preserve"> 一</w:t>
      </w:r>
    </w:p>
    <w:p w14:paraId="4404D72F">
      <w:pPr>
        <w:jc w:val="center"/>
        <w:rPr>
          <w:rFonts w:eastAsia="黑体"/>
          <w:sz w:val="44"/>
          <w:szCs w:val="44"/>
          <w:highlight w:val="none"/>
        </w:rPr>
      </w:pPr>
      <w:r>
        <w:rPr>
          <w:rFonts w:hint="eastAsia" w:eastAsia="黑体"/>
          <w:sz w:val="44"/>
          <w:szCs w:val="44"/>
          <w:highlight w:val="none"/>
        </w:rPr>
        <w:t>（资信证明文件）</w:t>
      </w:r>
    </w:p>
    <w:p w14:paraId="69FD5586">
      <w:pPr>
        <w:rPr>
          <w:rFonts w:eastAsia="黑体"/>
          <w:sz w:val="28"/>
          <w:szCs w:val="28"/>
          <w:highlight w:val="none"/>
        </w:rPr>
      </w:pPr>
    </w:p>
    <w:p w14:paraId="61671114">
      <w:pPr>
        <w:rPr>
          <w:rFonts w:eastAsia="黑体"/>
          <w:sz w:val="28"/>
          <w:szCs w:val="28"/>
          <w:highlight w:val="none"/>
        </w:rPr>
      </w:pPr>
    </w:p>
    <w:p w14:paraId="7707CE46">
      <w:pPr>
        <w:rPr>
          <w:rFonts w:eastAsia="黑体"/>
          <w:sz w:val="28"/>
          <w:szCs w:val="28"/>
          <w:highlight w:val="none"/>
        </w:rPr>
      </w:pPr>
    </w:p>
    <w:p w14:paraId="3E29662A">
      <w:pPr>
        <w:rPr>
          <w:rFonts w:eastAsia="黑体"/>
          <w:sz w:val="28"/>
          <w:szCs w:val="28"/>
          <w:highlight w:val="none"/>
        </w:rPr>
      </w:pPr>
    </w:p>
    <w:p w14:paraId="69D02104">
      <w:pPr>
        <w:pStyle w:val="14"/>
        <w:ind w:firstLine="420"/>
        <w:rPr>
          <w:rFonts w:ascii="Times New Roman"/>
          <w:szCs w:val="24"/>
          <w:highlight w:val="none"/>
        </w:rPr>
      </w:pPr>
    </w:p>
    <w:p w14:paraId="3062FE47">
      <w:pPr>
        <w:rPr>
          <w:rFonts w:ascii="Times New Roman"/>
          <w:szCs w:val="24"/>
          <w:highlight w:val="none"/>
        </w:rPr>
      </w:pPr>
    </w:p>
    <w:p w14:paraId="78F93F73">
      <w:pPr>
        <w:pStyle w:val="14"/>
        <w:rPr>
          <w:rFonts w:ascii="Times New Roman"/>
          <w:szCs w:val="24"/>
          <w:highlight w:val="none"/>
        </w:rPr>
      </w:pPr>
    </w:p>
    <w:p w14:paraId="1E9D0BD8">
      <w:pPr>
        <w:rPr>
          <w:rFonts w:ascii="Times New Roman"/>
          <w:szCs w:val="24"/>
          <w:highlight w:val="none"/>
        </w:rPr>
      </w:pPr>
    </w:p>
    <w:p w14:paraId="13AFD6AD">
      <w:pPr>
        <w:pStyle w:val="14"/>
      </w:pPr>
    </w:p>
    <w:p w14:paraId="0799C826">
      <w:pPr>
        <w:pStyle w:val="14"/>
        <w:ind w:firstLine="420"/>
        <w:rPr>
          <w:highlight w:val="none"/>
        </w:rPr>
      </w:pPr>
    </w:p>
    <w:p w14:paraId="63F5BB9B">
      <w:pPr>
        <w:rPr>
          <w:rFonts w:eastAsia="黑体"/>
          <w:sz w:val="28"/>
          <w:szCs w:val="28"/>
          <w:highlight w:val="none"/>
        </w:rPr>
      </w:pPr>
    </w:p>
    <w:p w14:paraId="6ECEBDFF">
      <w:pPr>
        <w:keepNext w:val="0"/>
        <w:keepLines w:val="0"/>
        <w:pageBreakBefore w:val="0"/>
        <w:widowControl w:val="0"/>
        <w:kinsoku/>
        <w:wordWrap/>
        <w:overflowPunct/>
        <w:topLinePunct w:val="0"/>
        <w:autoSpaceDE/>
        <w:autoSpaceDN/>
        <w:bidi w:val="0"/>
        <w:adjustRightInd/>
        <w:snapToGrid/>
        <w:spacing w:line="720" w:lineRule="auto"/>
        <w:textAlignment w:val="auto"/>
        <w:rPr>
          <w:rFonts w:eastAsia="黑体"/>
          <w:sz w:val="28"/>
          <w:szCs w:val="28"/>
          <w:highlight w:val="none"/>
        </w:rPr>
      </w:pPr>
    </w:p>
    <w:p w14:paraId="62522776">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u w:val="single"/>
        </w:rPr>
      </w:pPr>
      <w:r>
        <w:rPr>
          <w:rFonts w:hint="eastAsia" w:eastAsia="黑体"/>
          <w:sz w:val="28"/>
          <w:szCs w:val="28"/>
        </w:rPr>
        <w:t xml:space="preserve"> 投标人</w:t>
      </w:r>
      <w:r>
        <w:rPr>
          <w:rFonts w:eastAsia="黑体"/>
          <w:sz w:val="28"/>
          <w:szCs w:val="28"/>
        </w:rPr>
        <w:t>：</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w:t>
      </w:r>
      <w:r>
        <w:rPr>
          <w:rFonts w:hint="eastAsia" w:eastAsia="黑体"/>
          <w:sz w:val="28"/>
          <w:szCs w:val="28"/>
        </w:rPr>
        <w:t>盖</w:t>
      </w:r>
      <w:r>
        <w:rPr>
          <w:rFonts w:eastAsia="黑体"/>
          <w:sz w:val="28"/>
          <w:szCs w:val="28"/>
        </w:rPr>
        <w:t>章）</w:t>
      </w:r>
    </w:p>
    <w:p w14:paraId="097218CB">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rPr>
      </w:pPr>
      <w:r>
        <w:rPr>
          <w:rFonts w:hint="eastAsia" w:eastAsia="黑体"/>
          <w:sz w:val="28"/>
          <w:szCs w:val="28"/>
        </w:rPr>
        <w:t xml:space="preserve">   </w:t>
      </w:r>
      <w:r>
        <w:rPr>
          <w:rFonts w:eastAsia="黑体"/>
          <w:sz w:val="28"/>
          <w:szCs w:val="28"/>
        </w:rPr>
        <w:t>法定代表人</w:t>
      </w:r>
      <w:r>
        <w:rPr>
          <w:rFonts w:hint="eastAsia" w:eastAsia="黑体"/>
          <w:sz w:val="28"/>
          <w:szCs w:val="28"/>
          <w:lang w:val="en-US" w:eastAsia="zh-CN"/>
        </w:rPr>
        <w:t>或授权委托人</w:t>
      </w:r>
      <w:r>
        <w:rPr>
          <w:rFonts w:eastAsia="黑体"/>
          <w:sz w:val="28"/>
          <w:szCs w:val="28"/>
        </w:rPr>
        <w:t>：</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w:t>
      </w:r>
      <w:r>
        <w:rPr>
          <w:rFonts w:hint="eastAsia" w:eastAsia="黑体"/>
          <w:sz w:val="28"/>
          <w:szCs w:val="28"/>
        </w:rPr>
        <w:t>签字或盖章</w:t>
      </w:r>
      <w:r>
        <w:rPr>
          <w:rFonts w:eastAsia="黑体"/>
          <w:sz w:val="28"/>
          <w:szCs w:val="28"/>
        </w:rPr>
        <w:t>）</w:t>
      </w:r>
    </w:p>
    <w:p w14:paraId="211A5DCF">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highlight w:val="none"/>
        </w:rPr>
      </w:pPr>
      <w:r>
        <w:rPr>
          <w:rFonts w:hint="eastAsia" w:eastAsia="黑体"/>
          <w:sz w:val="28"/>
          <w:szCs w:val="28"/>
          <w:highlight w:val="none"/>
          <w:u w:val="single"/>
        </w:rPr>
        <w:t xml:space="preserve">      </w:t>
      </w:r>
      <w:r>
        <w:rPr>
          <w:rFonts w:eastAsia="黑体"/>
          <w:sz w:val="28"/>
          <w:szCs w:val="28"/>
          <w:highlight w:val="none"/>
        </w:rPr>
        <w:t>年</w:t>
      </w:r>
      <w:r>
        <w:rPr>
          <w:rFonts w:hint="eastAsia" w:eastAsia="黑体"/>
          <w:sz w:val="28"/>
          <w:szCs w:val="28"/>
          <w:highlight w:val="none"/>
          <w:u w:val="single"/>
        </w:rPr>
        <w:t xml:space="preserve">     </w:t>
      </w:r>
      <w:r>
        <w:rPr>
          <w:rFonts w:eastAsia="黑体"/>
          <w:sz w:val="28"/>
          <w:szCs w:val="28"/>
          <w:highlight w:val="none"/>
        </w:rPr>
        <w:t>月</w:t>
      </w:r>
      <w:r>
        <w:rPr>
          <w:rFonts w:hint="eastAsia" w:eastAsia="黑体"/>
          <w:sz w:val="28"/>
          <w:szCs w:val="28"/>
          <w:highlight w:val="none"/>
          <w:u w:val="single"/>
        </w:rPr>
        <w:t xml:space="preserve">     </w:t>
      </w:r>
      <w:r>
        <w:rPr>
          <w:rFonts w:eastAsia="黑体"/>
          <w:sz w:val="28"/>
          <w:szCs w:val="28"/>
          <w:highlight w:val="none"/>
        </w:rPr>
        <w:t>日</w:t>
      </w:r>
    </w:p>
    <w:p w14:paraId="7802AEA0">
      <w:pPr>
        <w:rPr>
          <w:highlight w:val="none"/>
        </w:rPr>
      </w:pPr>
      <w:bookmarkStart w:id="985" w:name="_Toc12683"/>
      <w:bookmarkStart w:id="986" w:name="_Toc35424971"/>
      <w:bookmarkStart w:id="987" w:name="_Toc35425137"/>
    </w:p>
    <w:p w14:paraId="0EBCA57C">
      <w:pPr>
        <w:spacing w:beforeLines="50" w:afterLines="50" w:line="440" w:lineRule="exact"/>
        <w:ind w:firstLine="643" w:firstLineChars="200"/>
        <w:jc w:val="left"/>
        <w:rPr>
          <w:rFonts w:ascii="宋体" w:hAnsi="宋体" w:cs="宋体"/>
          <w:b/>
          <w:sz w:val="28"/>
          <w:szCs w:val="28"/>
          <w:highlight w:val="none"/>
        </w:rPr>
      </w:pPr>
      <w:bookmarkStart w:id="988" w:name="_Toc78803399"/>
      <w:r>
        <w:rPr>
          <w:rStyle w:val="120"/>
          <w:rFonts w:hint="eastAsia" w:ascii="宋体" w:hAnsi="宋体" w:cs="宋体"/>
          <w:sz w:val="32"/>
          <w:highlight w:val="none"/>
        </w:rPr>
        <w:br w:type="page"/>
      </w:r>
      <w:r>
        <w:rPr>
          <w:rStyle w:val="120"/>
          <w:rFonts w:hint="eastAsia" w:ascii="宋体" w:hAnsi="宋体" w:cs="宋体"/>
          <w:sz w:val="32"/>
          <w:highlight w:val="none"/>
        </w:rPr>
        <w:t>投标文件一</w:t>
      </w:r>
      <w:bookmarkEnd w:id="985"/>
      <w:bookmarkEnd w:id="986"/>
      <w:bookmarkEnd w:id="987"/>
      <w:bookmarkEnd w:id="988"/>
      <w:r>
        <w:rPr>
          <w:rFonts w:hint="eastAsia" w:ascii="宋体" w:hAnsi="宋体" w:cs="宋体"/>
          <w:b/>
          <w:sz w:val="28"/>
          <w:szCs w:val="28"/>
          <w:highlight w:val="none"/>
        </w:rPr>
        <w:t>：资信证明文件目录</w:t>
      </w:r>
    </w:p>
    <w:p w14:paraId="6711C0C4">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（1）法定代表人身份证明文件和本人有效身份证(或法定代表人授权委托书和委托代理人有效身份证)；</w:t>
      </w:r>
    </w:p>
    <w:p w14:paraId="0C0854E9">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（2）诚信投标承诺书；</w:t>
      </w:r>
    </w:p>
    <w:p w14:paraId="166CCC46">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（3）企业法人营业执照；</w:t>
      </w:r>
    </w:p>
    <w:p w14:paraId="6E5FDD6B">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（4）企业资质证书</w:t>
      </w:r>
      <w:r>
        <w:rPr>
          <w:rFonts w:hint="eastAsia" w:ascii="宋体" w:hAnsi="宋体" w:cs="宋体"/>
          <w:szCs w:val="21"/>
          <w:highlight w:val="none"/>
          <w:lang w:val="en-US" w:eastAsia="zh-CN"/>
        </w:rPr>
        <w:t>及</w:t>
      </w:r>
      <w:r>
        <w:rPr>
          <w:rFonts w:hint="eastAsia" w:ascii="宋体" w:hAnsi="宋体" w:cs="宋体"/>
          <w:color w:val="000000"/>
          <w:szCs w:val="21"/>
        </w:rPr>
        <w:t>企业安全生产许可证</w:t>
      </w:r>
      <w:r>
        <w:rPr>
          <w:rFonts w:hint="eastAsia" w:ascii="宋体" w:hAnsi="宋体" w:cs="宋体"/>
          <w:szCs w:val="21"/>
          <w:highlight w:val="none"/>
        </w:rPr>
        <w:t>；</w:t>
      </w:r>
    </w:p>
    <w:p w14:paraId="46FCAD8C">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（5）</w:t>
      </w:r>
      <w:r>
        <w:rPr>
          <w:rFonts w:hint="eastAsia" w:ascii="宋体" w:hAnsi="宋体" w:cs="宋体"/>
          <w:szCs w:val="21"/>
          <w:highlight w:val="none"/>
          <w:lang w:val="en-US" w:eastAsia="zh-CN"/>
        </w:rPr>
        <w:t>企业有效</w:t>
      </w:r>
      <w:r>
        <w:rPr>
          <w:rFonts w:hint="eastAsia" w:ascii="宋体" w:hAnsi="宋体" w:cs="宋体"/>
          <w:szCs w:val="21"/>
          <w:highlight w:val="none"/>
        </w:rPr>
        <w:t>电力设施许可证</w:t>
      </w:r>
      <w:r>
        <w:rPr>
          <w:rFonts w:hint="eastAsia" w:ascii="宋体" w:hAnsi="宋体" w:cs="宋体"/>
          <w:szCs w:val="21"/>
          <w:highlight w:val="none"/>
          <w:lang w:eastAsia="zh-CN"/>
        </w:rPr>
        <w:t>；</w:t>
      </w:r>
    </w:p>
    <w:p w14:paraId="1681E94C">
      <w:pPr>
        <w:spacing w:line="440" w:lineRule="exact"/>
        <w:ind w:firstLine="420" w:firstLineChars="200"/>
        <w:jc w:val="left"/>
        <w:rPr>
          <w:rFonts w:hint="eastAsia" w:ascii="宋体" w:hAnsi="宋体" w:cs="宋体"/>
          <w:szCs w:val="21"/>
          <w:highlight w:val="none"/>
        </w:rPr>
      </w:pPr>
      <w:r>
        <w:rPr>
          <w:rFonts w:hint="eastAsia" w:ascii="宋体" w:hAnsi="宋体" w:cs="宋体"/>
          <w:color w:val="000000"/>
          <w:szCs w:val="21"/>
          <w:lang w:eastAsia="zh-CN"/>
        </w:rPr>
        <w:t>（</w:t>
      </w:r>
      <w:r>
        <w:rPr>
          <w:rFonts w:hint="eastAsia" w:ascii="宋体" w:hAnsi="宋体" w:cs="宋体"/>
          <w:color w:val="000000"/>
          <w:szCs w:val="21"/>
          <w:lang w:val="en-US" w:eastAsia="zh-CN"/>
        </w:rPr>
        <w:t>6）</w:t>
      </w:r>
      <w:r>
        <w:rPr>
          <w:rFonts w:hint="eastAsia" w:ascii="宋体" w:hAnsi="宋体" w:cs="宋体"/>
          <w:color w:val="000000"/>
          <w:szCs w:val="21"/>
        </w:rPr>
        <w:t>项目经理（建造师）有效身份证、注册证书以及安全生产考核合格证书（B证）</w:t>
      </w:r>
      <w:r>
        <w:rPr>
          <w:rFonts w:hint="eastAsia" w:ascii="宋体" w:hAnsi="宋体" w:cs="宋体"/>
          <w:szCs w:val="21"/>
          <w:highlight w:val="none"/>
        </w:rPr>
        <w:t>；</w:t>
      </w:r>
    </w:p>
    <w:p w14:paraId="7BB10734">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w:t>
      </w:r>
      <w:r>
        <w:rPr>
          <w:rFonts w:hint="eastAsia" w:ascii="宋体" w:hAnsi="宋体" w:cs="宋体"/>
          <w:szCs w:val="21"/>
          <w:highlight w:val="none"/>
          <w:lang w:val="en-US" w:eastAsia="zh-CN"/>
        </w:rPr>
        <w:t>7</w:t>
      </w:r>
      <w:r>
        <w:rPr>
          <w:rFonts w:hint="eastAsia" w:ascii="宋体" w:hAnsi="宋体" w:cs="宋体"/>
          <w:szCs w:val="21"/>
          <w:highlight w:val="none"/>
        </w:rPr>
        <w:t>）</w:t>
      </w:r>
      <w:r>
        <w:rPr>
          <w:rFonts w:hint="eastAsia" w:ascii="宋体" w:hAnsi="宋体" w:cs="宋体"/>
          <w:color w:val="000000"/>
          <w:szCs w:val="21"/>
        </w:rPr>
        <w:t>投标人的法定代表人(或委托代理人)和拟任项目经理（建造师）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r>
        <w:rPr>
          <w:rFonts w:hint="eastAsia" w:ascii="宋体" w:hAnsi="宋体" w:cs="宋体"/>
          <w:color w:val="000000"/>
          <w:szCs w:val="21"/>
          <w:lang w:eastAsia="zh-CN"/>
        </w:rPr>
        <w:t>；</w:t>
      </w:r>
    </w:p>
    <w:p w14:paraId="2737E4A6">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8</w:t>
      </w:r>
      <w:r>
        <w:rPr>
          <w:rFonts w:hint="eastAsia" w:ascii="宋体" w:hAnsi="宋体" w:cs="宋体"/>
          <w:szCs w:val="21"/>
          <w:highlight w:val="none"/>
          <w:lang w:eastAsia="zh-CN"/>
        </w:rPr>
        <w:t>）</w:t>
      </w:r>
      <w:r>
        <w:rPr>
          <w:rFonts w:hint="eastAsia" w:ascii="宋体" w:hAnsi="宋体" w:cs="宋体"/>
          <w:szCs w:val="21"/>
          <w:highlight w:val="none"/>
        </w:rPr>
        <w:t>需要提供的所有证明材料</w:t>
      </w:r>
      <w:r>
        <w:rPr>
          <w:rFonts w:hint="eastAsia" w:ascii="宋体" w:hAnsi="宋体" w:cs="宋体"/>
          <w:szCs w:val="21"/>
          <w:highlight w:val="none"/>
          <w:lang w:eastAsia="zh-CN"/>
        </w:rPr>
        <w:t>。</w:t>
      </w:r>
    </w:p>
    <w:p w14:paraId="59163E6F">
      <w:pPr>
        <w:spacing w:line="360" w:lineRule="auto"/>
        <w:jc w:val="center"/>
        <w:rPr>
          <w:rFonts w:ascii="宋体"/>
          <w:b/>
          <w:sz w:val="28"/>
          <w:szCs w:val="28"/>
          <w:highlight w:val="none"/>
        </w:rPr>
      </w:pPr>
      <w:r>
        <w:rPr>
          <w:rFonts w:hint="eastAsia"/>
          <w:b/>
          <w:sz w:val="28"/>
          <w:szCs w:val="28"/>
          <w:highlight w:val="none"/>
        </w:rPr>
        <w:br w:type="page"/>
      </w:r>
      <w:r>
        <w:rPr>
          <w:rFonts w:hint="eastAsia"/>
          <w:b/>
          <w:sz w:val="28"/>
          <w:szCs w:val="28"/>
          <w:highlight w:val="none"/>
        </w:rPr>
        <w:t>（1）法定代表人身份证明或授权委托书</w:t>
      </w:r>
    </w:p>
    <w:p w14:paraId="1618991E">
      <w:pPr>
        <w:pStyle w:val="74"/>
        <w:keepNext w:val="0"/>
        <w:keepLines w:val="0"/>
        <w:pageBreakBefore w:val="0"/>
        <w:kinsoku/>
        <w:wordWrap/>
        <w:overflowPunct/>
        <w:topLinePunct w:val="0"/>
        <w:autoSpaceDE/>
        <w:autoSpaceDN/>
        <w:bidi w:val="0"/>
        <w:adjustRightInd/>
        <w:snapToGrid/>
        <w:spacing w:beforeLines="100" w:afterLines="100" w:line="440" w:lineRule="exact"/>
        <w:rPr>
          <w:rFonts w:ascii="宋体"/>
          <w:b/>
          <w:color w:val="auto"/>
          <w:sz w:val="24"/>
          <w:szCs w:val="24"/>
          <w:highlight w:val="none"/>
        </w:rPr>
      </w:pPr>
      <w:bookmarkStart w:id="989" w:name="_Toc503196197"/>
      <w:bookmarkStart w:id="990" w:name="_Toc506107356"/>
      <w:bookmarkStart w:id="991" w:name="_Toc26598"/>
      <w:r>
        <w:rPr>
          <w:rFonts w:hint="eastAsia" w:ascii="宋体"/>
          <w:color w:val="auto"/>
          <w:sz w:val="24"/>
          <w:szCs w:val="24"/>
          <w:highlight w:val="none"/>
        </w:rPr>
        <w:t>1、法定代表人身份证明</w:t>
      </w:r>
    </w:p>
    <w:p w14:paraId="5CD0926A">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投标人名称：</w:t>
      </w:r>
      <w:r>
        <w:rPr>
          <w:rFonts w:hint="eastAsia" w:ascii="宋体"/>
          <w:sz w:val="24"/>
          <w:highlight w:val="none"/>
          <w:u w:val="single"/>
        </w:rPr>
        <w:t xml:space="preserve">                            </w:t>
      </w:r>
    </w:p>
    <w:p w14:paraId="30E6B7AC">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单位性质：</w:t>
      </w:r>
      <w:r>
        <w:rPr>
          <w:rFonts w:hint="eastAsia" w:ascii="宋体"/>
          <w:sz w:val="24"/>
          <w:highlight w:val="none"/>
          <w:u w:val="single"/>
        </w:rPr>
        <w:t xml:space="preserve">                              </w:t>
      </w:r>
    </w:p>
    <w:p w14:paraId="2B53194B">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地    址：</w:t>
      </w:r>
      <w:r>
        <w:rPr>
          <w:rFonts w:hint="eastAsia" w:ascii="宋体"/>
          <w:sz w:val="24"/>
          <w:highlight w:val="none"/>
          <w:u w:val="single"/>
        </w:rPr>
        <w:t xml:space="preserve">                              </w:t>
      </w:r>
    </w:p>
    <w:p w14:paraId="2672DE77">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成立时间：</w:t>
      </w:r>
      <w:r>
        <w:rPr>
          <w:rFonts w:hint="eastAsia" w:ascii="宋体"/>
          <w:sz w:val="24"/>
          <w:highlight w:val="none"/>
          <w:u w:val="single"/>
        </w:rPr>
        <w:t xml:space="preserve">     </w:t>
      </w:r>
      <w:r>
        <w:rPr>
          <w:rFonts w:hint="eastAsia" w:ascii="宋体"/>
          <w:sz w:val="24"/>
          <w:highlight w:val="none"/>
        </w:rPr>
        <w:t>年</w:t>
      </w:r>
      <w:r>
        <w:rPr>
          <w:rFonts w:hint="eastAsia" w:ascii="宋体"/>
          <w:sz w:val="24"/>
          <w:highlight w:val="none"/>
          <w:u w:val="single"/>
        </w:rPr>
        <w:t xml:space="preserve">   </w:t>
      </w:r>
      <w:r>
        <w:rPr>
          <w:rFonts w:hint="eastAsia" w:ascii="宋体"/>
          <w:sz w:val="24"/>
          <w:highlight w:val="none"/>
        </w:rPr>
        <w:t>月</w:t>
      </w:r>
      <w:r>
        <w:rPr>
          <w:rFonts w:hint="eastAsia" w:ascii="宋体"/>
          <w:sz w:val="24"/>
          <w:highlight w:val="none"/>
          <w:u w:val="single"/>
        </w:rPr>
        <w:t xml:space="preserve">   </w:t>
      </w:r>
      <w:r>
        <w:rPr>
          <w:rFonts w:hint="eastAsia" w:ascii="宋体"/>
          <w:sz w:val="24"/>
          <w:highlight w:val="none"/>
        </w:rPr>
        <w:t>日</w:t>
      </w:r>
    </w:p>
    <w:p w14:paraId="56E18266">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经营期限：</w:t>
      </w:r>
      <w:r>
        <w:rPr>
          <w:rFonts w:hint="eastAsia" w:ascii="宋体"/>
          <w:sz w:val="24"/>
          <w:highlight w:val="none"/>
          <w:u w:val="single"/>
        </w:rPr>
        <w:t xml:space="preserve">                              </w:t>
      </w:r>
    </w:p>
    <w:p w14:paraId="7220154A">
      <w:pPr>
        <w:keepNext w:val="0"/>
        <w:keepLines w:val="0"/>
        <w:pageBreakBefore w:val="0"/>
        <w:kinsoku/>
        <w:wordWrap/>
        <w:overflowPunct/>
        <w:topLinePunct w:val="0"/>
        <w:autoSpaceDE/>
        <w:autoSpaceDN/>
        <w:bidi w:val="0"/>
        <w:adjustRightInd/>
        <w:snapToGrid/>
        <w:spacing w:line="440" w:lineRule="exact"/>
        <w:jc w:val="left"/>
        <w:rPr>
          <w:rFonts w:ascii="宋体"/>
          <w:sz w:val="24"/>
          <w:highlight w:val="none"/>
          <w:u w:val="single"/>
        </w:rPr>
      </w:pPr>
      <w:r>
        <w:rPr>
          <w:rFonts w:hint="eastAsia" w:ascii="宋体"/>
          <w:spacing w:val="240"/>
          <w:sz w:val="24"/>
          <w:highlight w:val="none"/>
        </w:rPr>
        <w:t>姓</w:t>
      </w:r>
      <w:r>
        <w:rPr>
          <w:rFonts w:hint="eastAsia" w:ascii="宋体"/>
          <w:sz w:val="24"/>
          <w:highlight w:val="none"/>
        </w:rPr>
        <w:t>名：</w:t>
      </w:r>
      <w:r>
        <w:rPr>
          <w:rFonts w:hint="eastAsia" w:ascii="宋体"/>
          <w:sz w:val="24"/>
          <w:highlight w:val="none"/>
          <w:u w:val="single"/>
        </w:rPr>
        <w:t xml:space="preserve">     </w:t>
      </w:r>
      <w:r>
        <w:rPr>
          <w:rFonts w:hint="eastAsia" w:ascii="宋体"/>
          <w:sz w:val="24"/>
          <w:highlight w:val="none"/>
        </w:rPr>
        <w:t>身份证号码：</w:t>
      </w:r>
      <w:r>
        <w:rPr>
          <w:rFonts w:hint="eastAsia" w:ascii="宋体"/>
          <w:sz w:val="24"/>
          <w:highlight w:val="none"/>
          <w:u w:val="single"/>
        </w:rPr>
        <w:t xml:space="preserve">     </w:t>
      </w:r>
      <w:r>
        <w:rPr>
          <w:rFonts w:hint="eastAsia" w:ascii="宋体"/>
          <w:sz w:val="24"/>
          <w:highlight w:val="none"/>
        </w:rPr>
        <w:t>性别</w:t>
      </w:r>
      <w:r>
        <w:rPr>
          <w:rFonts w:hint="eastAsia" w:ascii="宋体"/>
          <w:sz w:val="24"/>
          <w:highlight w:val="none"/>
          <w:u w:val="single"/>
        </w:rPr>
        <w:t xml:space="preserve">：    </w:t>
      </w:r>
      <w:r>
        <w:rPr>
          <w:rFonts w:hint="eastAsia" w:ascii="宋体"/>
          <w:sz w:val="24"/>
          <w:highlight w:val="none"/>
        </w:rPr>
        <w:t>年龄：</w:t>
      </w:r>
      <w:r>
        <w:rPr>
          <w:rFonts w:hint="eastAsia" w:ascii="宋体"/>
          <w:sz w:val="24"/>
          <w:highlight w:val="none"/>
          <w:u w:val="single"/>
        </w:rPr>
        <w:t xml:space="preserve"> </w:t>
      </w:r>
      <w:r>
        <w:rPr>
          <w:rFonts w:hint="eastAsia" w:ascii="宋体"/>
          <w:sz w:val="24"/>
          <w:highlight w:val="none"/>
          <w:u w:val="single"/>
          <w:lang w:val="en-US" w:eastAsia="zh-CN"/>
        </w:rPr>
        <w:t xml:space="preserve">   </w:t>
      </w:r>
      <w:r>
        <w:rPr>
          <w:rFonts w:hint="eastAsia" w:ascii="宋体"/>
          <w:sz w:val="24"/>
          <w:highlight w:val="none"/>
          <w:u w:val="single"/>
        </w:rPr>
        <w:t xml:space="preserve"> </w:t>
      </w:r>
      <w:r>
        <w:rPr>
          <w:rFonts w:hint="eastAsia" w:ascii="宋体"/>
          <w:sz w:val="24"/>
          <w:highlight w:val="none"/>
        </w:rPr>
        <w:t>职务：</w:t>
      </w:r>
      <w:r>
        <w:rPr>
          <w:rFonts w:hint="eastAsia" w:ascii="宋体"/>
          <w:sz w:val="24"/>
          <w:highlight w:val="none"/>
          <w:u w:val="single"/>
        </w:rPr>
        <w:t xml:space="preserve">     </w:t>
      </w:r>
      <w:r>
        <w:rPr>
          <w:rFonts w:hint="eastAsia" w:ascii="宋体"/>
          <w:sz w:val="24"/>
          <w:highlight w:val="none"/>
        </w:rPr>
        <w:t>，系</w:t>
      </w:r>
      <w:r>
        <w:rPr>
          <w:rFonts w:hint="eastAsia" w:ascii="宋体"/>
          <w:sz w:val="24"/>
          <w:highlight w:val="none"/>
          <w:u w:val="single"/>
        </w:rPr>
        <w:t xml:space="preserve">     （投标人名称）</w:t>
      </w:r>
      <w:r>
        <w:rPr>
          <w:rFonts w:hint="eastAsia" w:ascii="宋体"/>
          <w:sz w:val="24"/>
          <w:highlight w:val="none"/>
        </w:rPr>
        <w:t>的法定代表人。</w:t>
      </w:r>
    </w:p>
    <w:p w14:paraId="13BA0D93">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特此证明。</w:t>
      </w:r>
    </w:p>
    <w:p w14:paraId="5AB38E67">
      <w:pPr>
        <w:keepNext w:val="0"/>
        <w:keepLines w:val="0"/>
        <w:pageBreakBefore w:val="0"/>
        <w:kinsoku/>
        <w:wordWrap/>
        <w:overflowPunct/>
        <w:topLinePunct w:val="0"/>
        <w:autoSpaceDE/>
        <w:autoSpaceDN/>
        <w:bidi w:val="0"/>
        <w:adjustRightInd/>
        <w:snapToGrid/>
        <w:spacing w:line="440" w:lineRule="exact"/>
        <w:ind w:firstLine="480" w:firstLineChars="200"/>
        <w:rPr>
          <w:highlight w:val="none"/>
        </w:rPr>
      </w:pPr>
      <w:r>
        <w:rPr>
          <w:rFonts w:hint="eastAsia" w:ascii="宋体"/>
          <w:sz w:val="24"/>
          <w:highlight w:val="none"/>
        </w:rPr>
        <w:t>附：</w:t>
      </w:r>
      <w:r>
        <w:rPr>
          <w:rFonts w:hint="eastAsia" w:ascii="宋体"/>
          <w:b/>
          <w:sz w:val="24"/>
          <w:highlight w:val="none"/>
        </w:rPr>
        <w:t>法定代表人有效身份证扫描件</w:t>
      </w:r>
    </w:p>
    <w:p w14:paraId="3089C1AB">
      <w:pPr>
        <w:keepNext w:val="0"/>
        <w:keepLines w:val="0"/>
        <w:pageBreakBefore w:val="0"/>
        <w:kinsoku/>
        <w:wordWrap/>
        <w:overflowPunct/>
        <w:topLinePunct w:val="0"/>
        <w:autoSpaceDE/>
        <w:autoSpaceDN/>
        <w:bidi w:val="0"/>
        <w:adjustRightInd/>
        <w:snapToGrid/>
        <w:spacing w:line="440" w:lineRule="exact"/>
        <w:ind w:firstLine="3720" w:firstLineChars="1550"/>
        <w:rPr>
          <w:rFonts w:ascii="宋体"/>
          <w:sz w:val="24"/>
          <w:highlight w:val="none"/>
        </w:rPr>
      </w:pPr>
      <w:r>
        <w:rPr>
          <w:rFonts w:hint="eastAsia" w:ascii="宋体"/>
          <w:sz w:val="24"/>
          <w:highlight w:val="none"/>
        </w:rPr>
        <w:t>投标人：</w:t>
      </w:r>
      <w:r>
        <w:rPr>
          <w:rFonts w:hint="eastAsia" w:ascii="宋体"/>
          <w:sz w:val="24"/>
          <w:highlight w:val="none"/>
          <w:u w:val="single"/>
        </w:rPr>
        <w:t xml:space="preserve">            （</w:t>
      </w:r>
      <w:r>
        <w:rPr>
          <w:rFonts w:hint="eastAsia" w:ascii="宋体"/>
          <w:sz w:val="24"/>
          <w:highlight w:val="none"/>
          <w:u w:val="single"/>
          <w:lang w:val="en-US" w:eastAsia="zh-CN"/>
        </w:rPr>
        <w:t>盖</w:t>
      </w:r>
      <w:r>
        <w:rPr>
          <w:rFonts w:hint="eastAsia" w:ascii="宋体"/>
          <w:sz w:val="24"/>
          <w:highlight w:val="none"/>
          <w:u w:val="single"/>
        </w:rPr>
        <w:t>章）</w:t>
      </w:r>
    </w:p>
    <w:p w14:paraId="34409C45">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 xml:space="preserve">                                        年    月     日</w:t>
      </w:r>
    </w:p>
    <w:p w14:paraId="2F0B7B0C">
      <w:pPr>
        <w:keepNext w:val="0"/>
        <w:keepLines w:val="0"/>
        <w:pageBreakBefore w:val="0"/>
        <w:kinsoku/>
        <w:wordWrap/>
        <w:overflowPunct/>
        <w:topLinePunct w:val="0"/>
        <w:autoSpaceDE/>
        <w:autoSpaceDN/>
        <w:bidi w:val="0"/>
        <w:adjustRightInd/>
        <w:snapToGrid/>
        <w:spacing w:line="440" w:lineRule="exact"/>
        <w:rPr>
          <w:highlight w:val="none"/>
        </w:rPr>
      </w:pPr>
    </w:p>
    <w:p w14:paraId="1550066F">
      <w:pPr>
        <w:pStyle w:val="74"/>
        <w:keepNext w:val="0"/>
        <w:keepLines w:val="0"/>
        <w:pageBreakBefore w:val="0"/>
        <w:kinsoku/>
        <w:wordWrap/>
        <w:overflowPunct/>
        <w:topLinePunct w:val="0"/>
        <w:autoSpaceDE/>
        <w:autoSpaceDN/>
        <w:bidi w:val="0"/>
        <w:adjustRightInd/>
        <w:snapToGrid/>
        <w:spacing w:beforeLines="100" w:afterLines="100" w:line="440" w:lineRule="exact"/>
        <w:rPr>
          <w:rFonts w:ascii="宋体"/>
          <w:color w:val="auto"/>
          <w:sz w:val="24"/>
          <w:szCs w:val="24"/>
          <w:highlight w:val="none"/>
        </w:rPr>
      </w:pPr>
      <w:r>
        <w:rPr>
          <w:rFonts w:hint="eastAsia" w:ascii="宋体"/>
          <w:color w:val="auto"/>
          <w:sz w:val="24"/>
          <w:szCs w:val="24"/>
          <w:highlight w:val="none"/>
        </w:rPr>
        <w:t>或1、授权委托书</w:t>
      </w:r>
    </w:p>
    <w:p w14:paraId="00E2E773">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ascii="宋体"/>
          <w:sz w:val="24"/>
          <w:highlight w:val="none"/>
        </w:rPr>
      </w:pPr>
      <w:r>
        <w:rPr>
          <w:rFonts w:hint="eastAsia" w:ascii="宋体"/>
          <w:sz w:val="24"/>
          <w:highlight w:val="none"/>
        </w:rPr>
        <w:t>本人</w:t>
      </w:r>
      <w:r>
        <w:rPr>
          <w:rFonts w:hint="eastAsia" w:ascii="宋体"/>
          <w:sz w:val="24"/>
          <w:highlight w:val="none"/>
          <w:u w:val="single"/>
        </w:rPr>
        <w:t xml:space="preserve"> （姓名）</w:t>
      </w:r>
      <w:r>
        <w:rPr>
          <w:rFonts w:hint="eastAsia" w:ascii="宋体"/>
          <w:sz w:val="24"/>
          <w:highlight w:val="none"/>
        </w:rPr>
        <w:t>系</w:t>
      </w:r>
      <w:r>
        <w:rPr>
          <w:rFonts w:hint="eastAsia" w:ascii="宋体"/>
          <w:sz w:val="24"/>
          <w:highlight w:val="none"/>
          <w:u w:val="single"/>
        </w:rPr>
        <w:t>（投标人）</w:t>
      </w:r>
      <w:r>
        <w:rPr>
          <w:rFonts w:hint="eastAsia" w:ascii="宋体"/>
          <w:sz w:val="24"/>
          <w:highlight w:val="none"/>
        </w:rPr>
        <w:t>的法定代表人，现委托</w:t>
      </w:r>
      <w:r>
        <w:rPr>
          <w:rFonts w:hint="eastAsia" w:ascii="宋体"/>
          <w:sz w:val="24"/>
          <w:highlight w:val="none"/>
          <w:u w:val="single"/>
        </w:rPr>
        <w:t>（姓名）</w:t>
      </w:r>
      <w:r>
        <w:rPr>
          <w:rFonts w:hint="eastAsia" w:ascii="宋体"/>
          <w:sz w:val="24"/>
          <w:highlight w:val="none"/>
        </w:rPr>
        <w:t>为我方代理人。代理人根据授权，以我方名义签署、澄清、说明、补正、递交、撤回、修改</w:t>
      </w:r>
      <w:r>
        <w:rPr>
          <w:rFonts w:hint="eastAsia" w:ascii="宋体"/>
          <w:sz w:val="24"/>
          <w:highlight w:val="none"/>
          <w:u w:val="single"/>
        </w:rPr>
        <w:t xml:space="preserve"> “   ”(项目名称）</w:t>
      </w:r>
      <w:r>
        <w:rPr>
          <w:rFonts w:hint="eastAsia" w:ascii="宋体"/>
          <w:sz w:val="24"/>
          <w:highlight w:val="none"/>
        </w:rPr>
        <w:t>投标文件，全权处理与该项目投标、评审答疑、签订合同以及与合同执行有关的一切事务，其法律后果由我方承担。</w:t>
      </w:r>
    </w:p>
    <w:p w14:paraId="104BA12E">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sz w:val="24"/>
          <w:highlight w:val="none"/>
        </w:rPr>
      </w:pPr>
      <w:r>
        <w:rPr>
          <w:rFonts w:hint="eastAsia" w:ascii="宋体"/>
          <w:sz w:val="24"/>
          <w:highlight w:val="none"/>
        </w:rPr>
        <w:t>委托期限：</w:t>
      </w:r>
      <w:r>
        <w:rPr>
          <w:rFonts w:hint="eastAsia" w:ascii="宋体"/>
          <w:sz w:val="24"/>
          <w:highlight w:val="none"/>
          <w:u w:val="single"/>
          <w:lang w:val="en-US" w:eastAsia="zh-CN"/>
        </w:rPr>
        <w:t xml:space="preserve">              </w:t>
      </w:r>
      <w:r>
        <w:rPr>
          <w:rFonts w:hint="eastAsia" w:ascii="宋体" w:cs="宋体"/>
          <w:sz w:val="24"/>
          <w:highlight w:val="none"/>
        </w:rPr>
        <w:t>。</w:t>
      </w:r>
    </w:p>
    <w:p w14:paraId="5334BA4B">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sz w:val="24"/>
          <w:highlight w:val="none"/>
        </w:rPr>
      </w:pPr>
      <w:r>
        <w:rPr>
          <w:rFonts w:hint="eastAsia" w:ascii="宋体"/>
          <w:sz w:val="24"/>
          <w:highlight w:val="none"/>
        </w:rPr>
        <w:t>代理人无转委托权。</w:t>
      </w:r>
    </w:p>
    <w:p w14:paraId="0A2C1F2B">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b/>
          <w:sz w:val="24"/>
          <w:highlight w:val="none"/>
        </w:rPr>
      </w:pPr>
      <w:r>
        <w:rPr>
          <w:rFonts w:hint="eastAsia" w:ascii="宋体"/>
          <w:sz w:val="24"/>
          <w:highlight w:val="none"/>
        </w:rPr>
        <w:t>附：</w:t>
      </w:r>
      <w:r>
        <w:rPr>
          <w:rFonts w:hint="eastAsia" w:ascii="宋体"/>
          <w:b/>
          <w:sz w:val="24"/>
          <w:highlight w:val="none"/>
        </w:rPr>
        <w:t>委托代理人有效身份证扫描件</w:t>
      </w:r>
    </w:p>
    <w:p w14:paraId="3E1AE668">
      <w:pPr>
        <w:keepNext w:val="0"/>
        <w:keepLines w:val="0"/>
        <w:pageBreakBefore w:val="0"/>
        <w:kinsoku/>
        <w:wordWrap/>
        <w:overflowPunct/>
        <w:topLinePunct w:val="0"/>
        <w:autoSpaceDE/>
        <w:autoSpaceDN/>
        <w:bidi w:val="0"/>
        <w:adjustRightInd/>
        <w:snapToGrid/>
        <w:spacing w:line="440" w:lineRule="exact"/>
        <w:ind w:firstLine="964" w:firstLineChars="400"/>
        <w:rPr>
          <w:rFonts w:ascii="宋体"/>
          <w:b/>
          <w:sz w:val="24"/>
          <w:highlight w:val="none"/>
        </w:rPr>
      </w:pPr>
      <w:r>
        <w:rPr>
          <w:rFonts w:hint="eastAsia" w:ascii="宋体"/>
          <w:b/>
          <w:sz w:val="24"/>
          <w:highlight w:val="none"/>
        </w:rPr>
        <w:t>法定代表人有效身份证扫描件</w:t>
      </w:r>
    </w:p>
    <w:p w14:paraId="3DC4B743">
      <w:pPr>
        <w:keepNext w:val="0"/>
        <w:keepLines w:val="0"/>
        <w:pageBreakBefore w:val="0"/>
        <w:kinsoku/>
        <w:wordWrap/>
        <w:overflowPunct/>
        <w:topLinePunct w:val="0"/>
        <w:autoSpaceDE/>
        <w:autoSpaceDN/>
        <w:bidi w:val="0"/>
        <w:adjustRightInd/>
        <w:snapToGrid/>
        <w:spacing w:line="440" w:lineRule="exact"/>
        <w:ind w:firstLine="833" w:firstLineChars="397"/>
        <w:rPr>
          <w:highlight w:val="none"/>
        </w:rPr>
      </w:pPr>
    </w:p>
    <w:p w14:paraId="4D108BBB">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sz w:val="24"/>
          <w:highlight w:val="none"/>
        </w:rPr>
      </w:pPr>
      <w:r>
        <w:rPr>
          <w:rFonts w:hint="eastAsia" w:ascii="宋体" w:hAnsi="Times New Roman" w:eastAsia="宋体" w:cs="Times New Roman"/>
          <w:sz w:val="24"/>
          <w:highlight w:val="none"/>
        </w:rPr>
        <w:t xml:space="preserve"> 投标人（盖章）：</w:t>
      </w:r>
    </w:p>
    <w:p w14:paraId="63FE0C48">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sz w:val="24"/>
          <w:highlight w:val="none"/>
        </w:rPr>
      </w:pPr>
      <w:r>
        <w:rPr>
          <w:rFonts w:hint="eastAsia" w:ascii="宋体" w:hAnsi="Times New Roman" w:eastAsia="宋体" w:cs="Times New Roman"/>
          <w:sz w:val="24"/>
          <w:highlight w:val="none"/>
        </w:rPr>
        <w:t>法定代表人（身份证号码）：    （签字或盖章）</w:t>
      </w:r>
    </w:p>
    <w:p w14:paraId="3BE5CF08">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sz w:val="24"/>
          <w:highlight w:val="none"/>
        </w:rPr>
      </w:pPr>
      <w:r>
        <w:rPr>
          <w:rFonts w:hint="eastAsia" w:ascii="宋体" w:hAnsi="Times New Roman" w:eastAsia="宋体" w:cs="Times New Roman"/>
          <w:sz w:val="24"/>
          <w:highlight w:val="none"/>
        </w:rPr>
        <w:t>委托代理人（身份证号码）：    （签字或盖章）</w:t>
      </w:r>
    </w:p>
    <w:p w14:paraId="0FCD3FA1">
      <w:pPr>
        <w:keepNext w:val="0"/>
        <w:keepLines w:val="0"/>
        <w:pageBreakBefore w:val="0"/>
        <w:kinsoku/>
        <w:wordWrap/>
        <w:overflowPunct/>
        <w:topLinePunct w:val="0"/>
        <w:autoSpaceDE/>
        <w:autoSpaceDN/>
        <w:bidi w:val="0"/>
        <w:adjustRightInd/>
        <w:snapToGrid/>
        <w:spacing w:line="440" w:lineRule="exact"/>
        <w:ind w:firstLine="5040" w:firstLineChars="2100"/>
        <w:rPr>
          <w:rFonts w:ascii="宋体"/>
          <w:sz w:val="24"/>
          <w:highlight w:val="none"/>
        </w:rPr>
      </w:pPr>
      <w:r>
        <w:rPr>
          <w:rFonts w:hint="eastAsia" w:ascii="宋体"/>
          <w:sz w:val="24"/>
          <w:highlight w:val="none"/>
        </w:rPr>
        <w:t xml:space="preserve">   </w:t>
      </w:r>
    </w:p>
    <w:p w14:paraId="0F4784B3">
      <w:pPr>
        <w:keepNext w:val="0"/>
        <w:keepLines w:val="0"/>
        <w:pageBreakBefore w:val="0"/>
        <w:kinsoku/>
        <w:wordWrap/>
        <w:overflowPunct/>
        <w:topLinePunct w:val="0"/>
        <w:autoSpaceDE/>
        <w:autoSpaceDN/>
        <w:bidi w:val="0"/>
        <w:adjustRightInd/>
        <w:snapToGrid/>
        <w:spacing w:line="440" w:lineRule="exact"/>
        <w:ind w:firstLine="5700" w:firstLineChars="2375"/>
        <w:rPr>
          <w:rFonts w:ascii="宋体"/>
          <w:sz w:val="24"/>
          <w:highlight w:val="none"/>
        </w:rPr>
      </w:pPr>
      <w:r>
        <w:rPr>
          <w:rFonts w:hint="eastAsia" w:ascii="宋体"/>
          <w:sz w:val="24"/>
          <w:highlight w:val="none"/>
        </w:rPr>
        <w:t>年    月    日</w:t>
      </w:r>
    </w:p>
    <w:p w14:paraId="666987B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b/>
          <w:sz w:val="28"/>
          <w:szCs w:val="28"/>
          <w:highlight w:val="none"/>
        </w:rPr>
      </w:pPr>
    </w:p>
    <w:p w14:paraId="1DB5A09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b/>
          <w:sz w:val="28"/>
          <w:szCs w:val="28"/>
          <w:highlight w:val="none"/>
        </w:rPr>
      </w:pPr>
    </w:p>
    <w:p w14:paraId="1B9326C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b/>
          <w:sz w:val="28"/>
          <w:szCs w:val="28"/>
          <w:highlight w:val="none"/>
        </w:rPr>
      </w:pPr>
    </w:p>
    <w:p w14:paraId="5287610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sz w:val="28"/>
          <w:szCs w:val="28"/>
          <w:highlight w:val="none"/>
        </w:rPr>
      </w:pPr>
      <w:r>
        <w:rPr>
          <w:rFonts w:hint="eastAsia"/>
          <w:b/>
          <w:sz w:val="28"/>
          <w:szCs w:val="28"/>
          <w:highlight w:val="none"/>
        </w:rPr>
        <w:t>（2）诚信投标承诺书</w:t>
      </w:r>
      <w:bookmarkEnd w:id="989"/>
      <w:bookmarkEnd w:id="990"/>
      <w:bookmarkEnd w:id="991"/>
    </w:p>
    <w:p w14:paraId="4F449F94">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Cs w:val="21"/>
          <w:highlight w:val="none"/>
        </w:rPr>
      </w:pPr>
      <w:r>
        <w:rPr>
          <w:rFonts w:hint="eastAsia" w:ascii="宋体" w:hAnsi="宋体"/>
          <w:szCs w:val="21"/>
          <w:highlight w:val="none"/>
        </w:rPr>
        <w:t>本人以企业法定代表人的身份郑重承诺：</w:t>
      </w:r>
    </w:p>
    <w:p w14:paraId="65F7576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rPr>
      </w:pPr>
      <w:r>
        <w:rPr>
          <w:rFonts w:hint="eastAsia" w:ascii="宋体" w:hAnsi="宋体"/>
          <w:szCs w:val="21"/>
          <w:highlight w:val="none"/>
        </w:rPr>
        <w:t>一、将遵循公开、公正和诚实信用的原则自愿参加</w:t>
      </w:r>
      <w:r>
        <w:rPr>
          <w:rFonts w:hint="eastAsia" w:ascii="宋体" w:hAnsi="宋体"/>
          <w:szCs w:val="21"/>
          <w:highlight w:val="none"/>
          <w:u w:val="single"/>
        </w:rPr>
        <w:t xml:space="preserve">       （项目名称）        </w:t>
      </w:r>
      <w:r>
        <w:rPr>
          <w:rFonts w:hint="eastAsia" w:ascii="宋体" w:hAnsi="宋体"/>
          <w:szCs w:val="21"/>
          <w:highlight w:val="none"/>
        </w:rPr>
        <w:t>项目的投标；</w:t>
      </w:r>
    </w:p>
    <w:p w14:paraId="01C34AA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rPr>
      </w:pPr>
      <w:r>
        <w:rPr>
          <w:rFonts w:hint="eastAsia" w:ascii="宋体" w:hAnsi="宋体"/>
          <w:szCs w:val="21"/>
          <w:highlight w:val="none"/>
        </w:rPr>
        <w:t>二、所提供的一切材料都是真实、有效、合法的；</w:t>
      </w:r>
    </w:p>
    <w:p w14:paraId="72E8418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rPr>
      </w:pPr>
      <w:r>
        <w:rPr>
          <w:rFonts w:hint="eastAsia" w:ascii="宋体" w:hAnsi="宋体"/>
          <w:szCs w:val="21"/>
          <w:highlight w:val="none"/>
        </w:rPr>
        <w:t>三、不出借、转让资质证书，不让他人挂靠投标，不以他人名义投标或者以其他方式弄虚作假，骗取中标；</w:t>
      </w:r>
    </w:p>
    <w:p w14:paraId="12874A6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rPr>
      </w:pPr>
      <w:r>
        <w:rPr>
          <w:rFonts w:hint="eastAsia" w:ascii="宋体" w:hAnsi="宋体"/>
          <w:szCs w:val="21"/>
          <w:highlight w:val="none"/>
        </w:rPr>
        <w:t>四、不与其他投标人相互串通投标报价，不排挤其他投标人的公平竞争、损害招标人的合法权益；</w:t>
      </w:r>
    </w:p>
    <w:p w14:paraId="5E82D77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rPr>
      </w:pPr>
      <w:r>
        <w:rPr>
          <w:rFonts w:hint="eastAsia" w:ascii="宋体" w:hAnsi="宋体"/>
          <w:szCs w:val="21"/>
          <w:highlight w:val="none"/>
        </w:rPr>
        <w:t>五、不与招标人、招标代理机构或其他投标人串通投标，损害国家利益、社会公共利益或者他人的合法权益；</w:t>
      </w:r>
    </w:p>
    <w:p w14:paraId="42A349F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六、</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（企业名称）或</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（企业名称）法定代表人</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或拟派项目经理（负责人）      没有下列情形：</w:t>
      </w:r>
      <w:bookmarkStart w:id="992" w:name="OLE_LINK134"/>
      <w:bookmarkStart w:id="993" w:name="OLE_LINK133"/>
      <w:r>
        <w:rPr>
          <w:rFonts w:hint="eastAsia" w:ascii="宋体" w:hAnsi="宋体" w:eastAsia="宋体" w:cs="Times New Roman"/>
          <w:szCs w:val="21"/>
          <w:highlight w:val="none"/>
        </w:rPr>
        <w:t>①被列入“信用中国”网站“失信被执行人”的</w:t>
      </w:r>
      <w:r>
        <w:rPr>
          <w:rFonts w:hint="eastAsia" w:ascii="宋体" w:hAnsi="宋体" w:cs="Times New Roman"/>
          <w:szCs w:val="21"/>
          <w:highlight w:val="none"/>
          <w:lang w:eastAsia="zh-CN"/>
        </w:rPr>
        <w:t>；</w:t>
      </w:r>
      <w:r>
        <w:rPr>
          <w:rFonts w:hint="eastAsia" w:ascii="宋体" w:hAnsi="宋体" w:eastAsia="宋体" w:cs="Times New Roman"/>
          <w:szCs w:val="21"/>
          <w:highlight w:val="none"/>
        </w:rPr>
        <w:t>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⑨因拖欠农民工工资被县级及以上有关行政主管部门限制投标资格且在限制期限内的；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bookmarkEnd w:id="992"/>
      <w:bookmarkEnd w:id="993"/>
      <w:r>
        <w:rPr>
          <w:rFonts w:hint="eastAsia" w:ascii="宋体" w:hAnsi="宋体" w:eastAsia="宋体" w:cs="Times New Roman"/>
          <w:szCs w:val="21"/>
          <w:highlight w:val="none"/>
        </w:rPr>
        <w:t>若招标文件对投标人所属分公司、办事处等分支机构有上述1-10项信誉要求，在此一并承诺我公司所属分公司、办事处等分支机构没有上述1-10项情形）</w:t>
      </w:r>
    </w:p>
    <w:p w14:paraId="007134E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七</w:t>
      </w:r>
      <w:r>
        <w:rPr>
          <w:rFonts w:hint="eastAsia" w:ascii="宋体" w:hAnsi="宋体"/>
          <w:szCs w:val="21"/>
          <w:highlight w:val="none"/>
        </w:rPr>
        <w:t>、保证中标后不转包及使用挂靠施工队伍，若有分包征得建设单位同意；</w:t>
      </w:r>
    </w:p>
    <w:p w14:paraId="63C6B49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rPr>
      </w:pPr>
      <w:r>
        <w:rPr>
          <w:rFonts w:hint="eastAsia" w:ascii="宋体" w:hAnsi="宋体"/>
          <w:szCs w:val="21"/>
          <w:highlight w:val="none"/>
        </w:rPr>
        <w:t>八、保证中标之后，按照投标文件承诺派驻管理人员及投入机械设备，如有违反，同意接受建设单位违约处罚；</w:t>
      </w:r>
    </w:p>
    <w:p w14:paraId="775E189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九</w:t>
      </w:r>
      <w:r>
        <w:rPr>
          <w:rFonts w:hint="eastAsia" w:ascii="宋体" w:hAnsi="宋体" w:eastAsia="宋体" w:cs="Times New Roman"/>
          <w:szCs w:val="21"/>
          <w:highlight w:val="none"/>
        </w:rPr>
        <w:t>、保证企业及所属相关人员在本次投标中无行贿等犯罪行为；</w:t>
      </w:r>
    </w:p>
    <w:p w14:paraId="598F4BE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十、</w:t>
      </w:r>
      <w:r>
        <w:rPr>
          <w:rFonts w:hint="eastAsia" w:ascii="宋体" w:hAnsi="宋体" w:eastAsia="宋体" w:cs="Times New Roman"/>
          <w:szCs w:val="21"/>
          <w:highlight w:val="none"/>
        </w:rPr>
        <w:t>如我公司中标，保证中标的项目经理（建造师）无其他尚未完工（以竣工、交工、完工验收报告等手续为准）项目或在已中标项目（以发放中标通知书为准）中担任项目经理（建造师）情形。如有，项目在滁州市区域内的，接受中标无效、记入不良行为记录等处理；项目在滁州市区域外的，保证在中标候选人公示期第一日起开始计算7日内，提供经行政主管部门备案的变更证明材料，否则接受中标无效、记入不良行为记录等处理；</w:t>
      </w:r>
    </w:p>
    <w:p w14:paraId="7B3ACF3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十</w:t>
      </w:r>
      <w:r>
        <w:rPr>
          <w:rFonts w:hint="eastAsia" w:ascii="宋体" w:hAnsi="宋体" w:eastAsia="宋体" w:cs="Times New Roman"/>
          <w:szCs w:val="21"/>
          <w:highlight w:val="none"/>
          <w:lang w:val="en-US" w:eastAsia="zh-CN"/>
        </w:rPr>
        <w:t>一</w:t>
      </w:r>
      <w:r>
        <w:rPr>
          <w:rFonts w:hint="eastAsia" w:ascii="宋体" w:hAnsi="宋体" w:eastAsia="宋体" w:cs="Times New Roman"/>
          <w:szCs w:val="21"/>
          <w:highlight w:val="none"/>
        </w:rPr>
        <w:t>、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2355D54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十</w:t>
      </w:r>
      <w:r>
        <w:rPr>
          <w:rFonts w:hint="eastAsia" w:ascii="宋体" w:hAnsi="宋体" w:eastAsia="宋体" w:cs="Times New Roman"/>
          <w:szCs w:val="21"/>
          <w:highlight w:val="none"/>
          <w:lang w:val="en-US" w:eastAsia="zh-CN"/>
        </w:rPr>
        <w:t>二</w:t>
      </w:r>
      <w:r>
        <w:rPr>
          <w:rFonts w:hint="eastAsia" w:ascii="宋体" w:hAnsi="宋体" w:eastAsia="宋体" w:cs="Times New Roman"/>
          <w:szCs w:val="21"/>
          <w:highlight w:val="none"/>
        </w:rPr>
        <w:t>、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14:paraId="68E9458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十</w:t>
      </w:r>
      <w:r>
        <w:rPr>
          <w:rFonts w:hint="eastAsia" w:ascii="宋体" w:hAnsi="宋体" w:eastAsia="宋体" w:cs="Times New Roman"/>
          <w:szCs w:val="21"/>
          <w:highlight w:val="none"/>
          <w:lang w:val="en-US" w:eastAsia="zh-CN"/>
        </w:rPr>
        <w:t>三</w:t>
      </w:r>
      <w:r>
        <w:rPr>
          <w:rFonts w:hint="eastAsia" w:ascii="宋体" w:hAnsi="宋体" w:eastAsia="宋体" w:cs="Times New Roman"/>
          <w:szCs w:val="21"/>
          <w:highlight w:val="none"/>
        </w:rPr>
        <w:t>、我公司拟任项目经理（建造师）不是投标截止时间前六个月内在滁州市区域内办理过项目经理（建造师）变更备案手续的原项目经理（建造师）。</w:t>
      </w:r>
    </w:p>
    <w:p w14:paraId="6535A94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 xml:space="preserve"> 以上内容我已仔细阅读，本公司若有违反承诺内容的行为，自愿接受取消投标或者中标资格、中标无效、记入不良行为记录等有关处理，愿意承担法律责任，给招标人造成损失的，承担赔偿责任。</w:t>
      </w:r>
    </w:p>
    <w:p w14:paraId="0612BCE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rPr>
      </w:pPr>
    </w:p>
    <w:p w14:paraId="635156B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szCs w:val="21"/>
          <w:highlight w:val="none"/>
        </w:rPr>
      </w:pPr>
      <w:r>
        <w:rPr>
          <w:rFonts w:hint="eastAsia" w:ascii="宋体" w:hAnsi="宋体"/>
          <w:szCs w:val="21"/>
          <w:highlight w:val="none"/>
        </w:rPr>
        <w:t>开户银行：                          基本账户：</w:t>
      </w:r>
    </w:p>
    <w:p w14:paraId="5608ECA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szCs w:val="21"/>
          <w:highlight w:val="none"/>
        </w:rPr>
      </w:pPr>
      <w:r>
        <w:rPr>
          <w:rFonts w:hint="eastAsia" w:ascii="宋体" w:hAnsi="宋体"/>
          <w:szCs w:val="21"/>
          <w:highlight w:val="none"/>
        </w:rPr>
        <w:t>投标人（盖章）：              法定代表人（签字或</w:t>
      </w:r>
      <w:r>
        <w:rPr>
          <w:rFonts w:hint="eastAsia" w:ascii="宋体" w:hAnsi="宋体"/>
          <w:szCs w:val="21"/>
          <w:highlight w:val="none"/>
          <w:lang w:val="en-US" w:eastAsia="zh-CN"/>
        </w:rPr>
        <w:t>盖</w:t>
      </w:r>
      <w:r>
        <w:rPr>
          <w:rFonts w:hint="eastAsia" w:ascii="宋体" w:hAnsi="宋体"/>
          <w:szCs w:val="21"/>
          <w:highlight w:val="none"/>
        </w:rPr>
        <w:t>章）：</w:t>
      </w:r>
    </w:p>
    <w:p w14:paraId="3617905E">
      <w:pPr>
        <w:keepNext w:val="0"/>
        <w:keepLines w:val="0"/>
        <w:pageBreakBefore w:val="0"/>
        <w:widowControl w:val="0"/>
        <w:kinsoku/>
        <w:wordWrap/>
        <w:overflowPunct/>
        <w:topLinePunct w:val="0"/>
        <w:autoSpaceDE/>
        <w:autoSpaceDN/>
        <w:bidi w:val="0"/>
        <w:adjustRightInd/>
        <w:snapToGrid/>
        <w:spacing w:line="440" w:lineRule="exact"/>
        <w:ind w:firstLine="5250" w:firstLineChars="2500"/>
        <w:textAlignment w:val="auto"/>
        <w:rPr>
          <w:highlight w:val="none"/>
        </w:rPr>
      </w:pPr>
      <w:r>
        <w:rPr>
          <w:rFonts w:hint="eastAsia" w:ascii="宋体" w:hAnsi="宋体"/>
          <w:szCs w:val="21"/>
          <w:highlight w:val="none"/>
        </w:rPr>
        <w:t>日期：    年   月   日</w:t>
      </w:r>
    </w:p>
    <w:p w14:paraId="364DDAFB">
      <w:pPr>
        <w:rPr>
          <w:rFonts w:eastAsia="黑体"/>
          <w:sz w:val="28"/>
          <w:szCs w:val="28"/>
          <w:highlight w:val="none"/>
          <w:u w:val="single"/>
        </w:rPr>
      </w:pPr>
      <w:r>
        <w:rPr>
          <w:rFonts w:hint="eastAsia" w:ascii="宋体" w:hAnsi="宋体"/>
          <w:b/>
          <w:sz w:val="32"/>
          <w:szCs w:val="32"/>
          <w:highlight w:val="none"/>
        </w:rPr>
        <w:br w:type="page"/>
      </w:r>
    </w:p>
    <w:p w14:paraId="576EEB9B">
      <w:pPr>
        <w:adjustRightInd w:val="0"/>
        <w:snapToGrid w:val="0"/>
        <w:spacing w:line="560" w:lineRule="exact"/>
        <w:jc w:val="center"/>
        <w:rPr>
          <w:rFonts w:hint="eastAsia" w:eastAsia="黑体"/>
          <w:color w:val="000000"/>
          <w:sz w:val="28"/>
          <w:szCs w:val="28"/>
          <w:u w:val="single"/>
        </w:rPr>
      </w:pPr>
    </w:p>
    <w:p w14:paraId="25D978AE">
      <w:pPr>
        <w:adjustRightInd w:val="0"/>
        <w:snapToGrid w:val="0"/>
        <w:spacing w:line="560" w:lineRule="exact"/>
        <w:jc w:val="center"/>
        <w:rPr>
          <w:rFonts w:hint="eastAsia" w:eastAsia="黑体"/>
          <w:color w:val="000000"/>
          <w:sz w:val="28"/>
          <w:szCs w:val="28"/>
          <w:u w:val="single"/>
        </w:rPr>
      </w:pPr>
    </w:p>
    <w:p w14:paraId="021BBC41">
      <w:pPr>
        <w:adjustRightInd w:val="0"/>
        <w:snapToGrid w:val="0"/>
        <w:spacing w:line="560" w:lineRule="exact"/>
        <w:jc w:val="center"/>
        <w:rPr>
          <w:rFonts w:hint="eastAsia" w:eastAsia="黑体"/>
          <w:color w:val="000000"/>
          <w:sz w:val="28"/>
          <w:szCs w:val="28"/>
          <w:u w:val="single"/>
        </w:rPr>
      </w:pPr>
    </w:p>
    <w:p w14:paraId="45062D82">
      <w:pPr>
        <w:adjustRightInd w:val="0"/>
        <w:snapToGrid w:val="0"/>
        <w:spacing w:line="560" w:lineRule="exact"/>
        <w:jc w:val="center"/>
        <w:rPr>
          <w:rFonts w:hint="eastAsia" w:eastAsia="黑体"/>
          <w:color w:val="000000"/>
          <w:sz w:val="28"/>
          <w:szCs w:val="28"/>
          <w:u w:val="single"/>
        </w:rPr>
      </w:pPr>
    </w:p>
    <w:p w14:paraId="650957C7">
      <w:pPr>
        <w:adjustRightInd w:val="0"/>
        <w:snapToGrid w:val="0"/>
        <w:spacing w:line="560" w:lineRule="exact"/>
        <w:jc w:val="center"/>
        <w:rPr>
          <w:rFonts w:hint="eastAsia" w:eastAsia="黑体"/>
          <w:color w:val="000000"/>
          <w:sz w:val="20"/>
          <w:szCs w:val="20"/>
        </w:rPr>
      </w:pPr>
      <w:r>
        <w:rPr>
          <w:rFonts w:hint="eastAsia" w:eastAsia="黑体"/>
          <w:color w:val="000000"/>
          <w:sz w:val="28"/>
          <w:szCs w:val="28"/>
          <w:u w:val="single"/>
        </w:rPr>
        <w:t xml:space="preserve">                </w:t>
      </w:r>
      <w:r>
        <w:rPr>
          <w:rFonts w:eastAsia="黑体"/>
          <w:color w:val="000000"/>
          <w:sz w:val="28"/>
          <w:szCs w:val="28"/>
        </w:rPr>
        <w:t>（项目名称）</w:t>
      </w:r>
    </w:p>
    <w:p w14:paraId="34CAF67E">
      <w:pPr>
        <w:adjustRightInd w:val="0"/>
        <w:snapToGrid w:val="0"/>
        <w:spacing w:line="560" w:lineRule="exact"/>
        <w:jc w:val="center"/>
        <w:rPr>
          <w:rFonts w:hint="eastAsia" w:eastAsia="黑体"/>
          <w:color w:val="000000"/>
          <w:sz w:val="20"/>
          <w:szCs w:val="20"/>
        </w:rPr>
      </w:pPr>
    </w:p>
    <w:p w14:paraId="51C60653">
      <w:pPr>
        <w:adjustRightInd w:val="0"/>
        <w:snapToGrid w:val="0"/>
        <w:spacing w:line="560" w:lineRule="exact"/>
        <w:rPr>
          <w:rFonts w:hint="eastAsia" w:eastAsia="黑体"/>
          <w:color w:val="000000"/>
          <w:sz w:val="20"/>
          <w:szCs w:val="20"/>
        </w:rPr>
      </w:pPr>
    </w:p>
    <w:p w14:paraId="04FBF58C">
      <w:pPr>
        <w:adjustRightInd w:val="0"/>
        <w:snapToGrid w:val="0"/>
        <w:spacing w:line="560" w:lineRule="exact"/>
        <w:jc w:val="center"/>
        <w:rPr>
          <w:rFonts w:hint="eastAsia" w:eastAsia="黑体"/>
          <w:color w:val="000000"/>
          <w:sz w:val="44"/>
          <w:szCs w:val="44"/>
        </w:rPr>
      </w:pPr>
      <w:r>
        <w:rPr>
          <w:rFonts w:eastAsia="黑体"/>
          <w:color w:val="000000"/>
          <w:sz w:val="44"/>
          <w:szCs w:val="44"/>
        </w:rPr>
        <w:t>投  标  文  件</w:t>
      </w:r>
      <w:r>
        <w:rPr>
          <w:rFonts w:hint="eastAsia" w:eastAsia="黑体"/>
          <w:color w:val="000000"/>
          <w:sz w:val="44"/>
          <w:szCs w:val="44"/>
        </w:rPr>
        <w:t xml:space="preserve">  二</w:t>
      </w:r>
    </w:p>
    <w:p w14:paraId="5ED1A363">
      <w:pPr>
        <w:adjustRightInd w:val="0"/>
        <w:snapToGrid w:val="0"/>
        <w:spacing w:line="560" w:lineRule="exact"/>
        <w:jc w:val="center"/>
        <w:rPr>
          <w:rFonts w:hint="eastAsia" w:eastAsia="黑体"/>
          <w:color w:val="000000"/>
          <w:sz w:val="44"/>
          <w:szCs w:val="44"/>
        </w:rPr>
      </w:pPr>
      <w:r>
        <w:rPr>
          <w:rFonts w:hint="eastAsia" w:eastAsia="黑体"/>
          <w:color w:val="000000"/>
          <w:sz w:val="44"/>
          <w:szCs w:val="44"/>
        </w:rPr>
        <w:t>（技术标文件）</w:t>
      </w:r>
    </w:p>
    <w:p w14:paraId="3F93D178">
      <w:pPr>
        <w:adjustRightInd w:val="0"/>
        <w:snapToGrid w:val="0"/>
        <w:spacing w:line="560" w:lineRule="exact"/>
        <w:rPr>
          <w:rFonts w:eastAsia="黑体"/>
          <w:color w:val="000000"/>
          <w:sz w:val="28"/>
          <w:szCs w:val="28"/>
        </w:rPr>
      </w:pPr>
    </w:p>
    <w:p w14:paraId="14641E1E">
      <w:pPr>
        <w:adjustRightInd w:val="0"/>
        <w:snapToGrid w:val="0"/>
        <w:spacing w:line="560" w:lineRule="exact"/>
        <w:rPr>
          <w:rFonts w:eastAsia="黑体"/>
          <w:color w:val="000000"/>
          <w:sz w:val="28"/>
          <w:szCs w:val="28"/>
        </w:rPr>
      </w:pPr>
    </w:p>
    <w:p w14:paraId="1F90D52E">
      <w:pPr>
        <w:adjustRightInd w:val="0"/>
        <w:snapToGrid w:val="0"/>
        <w:spacing w:line="560" w:lineRule="exact"/>
        <w:rPr>
          <w:rFonts w:eastAsia="黑体"/>
          <w:color w:val="000000"/>
          <w:sz w:val="28"/>
          <w:szCs w:val="28"/>
        </w:rPr>
      </w:pPr>
    </w:p>
    <w:p w14:paraId="7A259675">
      <w:pPr>
        <w:adjustRightInd w:val="0"/>
        <w:snapToGrid w:val="0"/>
        <w:spacing w:line="560" w:lineRule="exact"/>
        <w:rPr>
          <w:rFonts w:eastAsia="黑体"/>
          <w:color w:val="000000"/>
          <w:sz w:val="28"/>
          <w:szCs w:val="28"/>
        </w:rPr>
      </w:pPr>
    </w:p>
    <w:p w14:paraId="2D159310">
      <w:pPr>
        <w:adjustRightInd w:val="0"/>
        <w:snapToGrid w:val="0"/>
        <w:spacing w:line="560" w:lineRule="exact"/>
        <w:rPr>
          <w:rFonts w:hint="eastAsia" w:eastAsia="黑体"/>
          <w:color w:val="000000"/>
          <w:sz w:val="28"/>
          <w:szCs w:val="28"/>
        </w:rPr>
      </w:pPr>
    </w:p>
    <w:p w14:paraId="0F232666">
      <w:pPr>
        <w:pStyle w:val="14"/>
        <w:rPr>
          <w:rFonts w:hint="eastAsia"/>
          <w:color w:val="000000"/>
        </w:rPr>
      </w:pPr>
    </w:p>
    <w:p w14:paraId="592223C0">
      <w:pPr>
        <w:rPr>
          <w:color w:val="000000"/>
        </w:rPr>
      </w:pPr>
    </w:p>
    <w:p w14:paraId="52F3A51E">
      <w:pPr>
        <w:adjustRightInd w:val="0"/>
        <w:snapToGrid w:val="0"/>
        <w:spacing w:line="560" w:lineRule="exact"/>
        <w:rPr>
          <w:rFonts w:eastAsia="黑体"/>
          <w:color w:val="000000"/>
          <w:sz w:val="28"/>
          <w:szCs w:val="28"/>
        </w:rPr>
      </w:pPr>
    </w:p>
    <w:p w14:paraId="5A3D8557">
      <w:pPr>
        <w:pStyle w:val="14"/>
        <w:adjustRightInd w:val="0"/>
        <w:snapToGrid w:val="0"/>
        <w:spacing w:after="0" w:line="560" w:lineRule="exact"/>
        <w:ind w:left="0" w:leftChars="0" w:firstLine="560"/>
        <w:rPr>
          <w:rFonts w:eastAsia="黑体"/>
          <w:color w:val="000000"/>
          <w:sz w:val="28"/>
          <w:szCs w:val="28"/>
        </w:rPr>
      </w:pPr>
    </w:p>
    <w:p w14:paraId="41A8EC40">
      <w:pPr>
        <w:adjustRightInd w:val="0"/>
        <w:snapToGrid w:val="0"/>
        <w:spacing w:line="560" w:lineRule="exact"/>
        <w:rPr>
          <w:rFonts w:eastAsia="黑体"/>
          <w:color w:val="000000"/>
          <w:sz w:val="28"/>
          <w:szCs w:val="28"/>
        </w:rPr>
      </w:pPr>
    </w:p>
    <w:p w14:paraId="6ECD99C8">
      <w:pPr>
        <w:pStyle w:val="14"/>
        <w:adjustRightInd w:val="0"/>
        <w:snapToGrid w:val="0"/>
        <w:spacing w:after="0" w:line="560" w:lineRule="exact"/>
        <w:ind w:left="0" w:leftChars="0" w:firstLine="0" w:firstLineChars="0"/>
        <w:rPr>
          <w:color w:val="000000"/>
        </w:rPr>
      </w:pPr>
    </w:p>
    <w:p w14:paraId="7E1CD6B5">
      <w:pPr>
        <w:adjustRightInd w:val="0"/>
        <w:snapToGrid w:val="0"/>
        <w:spacing w:line="560" w:lineRule="exact"/>
        <w:rPr>
          <w:rFonts w:eastAsia="黑体"/>
          <w:color w:val="000000"/>
          <w:sz w:val="28"/>
          <w:szCs w:val="28"/>
        </w:rPr>
      </w:pPr>
    </w:p>
    <w:p w14:paraId="73834895">
      <w:pPr>
        <w:adjustRightInd w:val="0"/>
        <w:snapToGrid w:val="0"/>
        <w:spacing w:line="560" w:lineRule="exact"/>
        <w:rPr>
          <w:rFonts w:eastAsia="黑体"/>
          <w:color w:val="000000"/>
          <w:sz w:val="28"/>
          <w:szCs w:val="28"/>
        </w:rPr>
      </w:pPr>
    </w:p>
    <w:p w14:paraId="09F05625">
      <w:pPr>
        <w:adjustRightInd w:val="0"/>
        <w:snapToGrid w:val="0"/>
        <w:spacing w:line="560" w:lineRule="exact"/>
        <w:jc w:val="center"/>
        <w:rPr>
          <w:rFonts w:eastAsia="黑体"/>
          <w:color w:val="000000"/>
          <w:sz w:val="28"/>
          <w:szCs w:val="28"/>
          <w:u w:val="single"/>
        </w:rPr>
      </w:pPr>
      <w:r>
        <w:rPr>
          <w:rFonts w:eastAsia="黑体"/>
          <w:color w:val="000000"/>
          <w:sz w:val="28"/>
          <w:szCs w:val="28"/>
        </w:rPr>
        <w:t>投标人：</w:t>
      </w:r>
      <w:r>
        <w:rPr>
          <w:rFonts w:eastAsia="黑体"/>
          <w:color w:val="000000"/>
          <w:sz w:val="28"/>
          <w:szCs w:val="28"/>
          <w:u w:val="single"/>
        </w:rPr>
        <w:t xml:space="preserve">            </w:t>
      </w:r>
      <w:r>
        <w:rPr>
          <w:rFonts w:hint="eastAsia" w:eastAsia="黑体"/>
          <w:color w:val="000000"/>
          <w:sz w:val="28"/>
          <w:szCs w:val="28"/>
          <w:u w:val="single"/>
        </w:rPr>
        <w:t xml:space="preserve">        </w:t>
      </w:r>
      <w:r>
        <w:rPr>
          <w:rFonts w:eastAsia="黑体"/>
          <w:color w:val="000000"/>
          <w:sz w:val="28"/>
          <w:szCs w:val="28"/>
          <w:u w:val="single"/>
        </w:rPr>
        <w:t xml:space="preserve">   </w:t>
      </w:r>
      <w:r>
        <w:rPr>
          <w:rFonts w:hint="eastAsia" w:eastAsia="黑体"/>
          <w:color w:val="000000"/>
          <w:sz w:val="28"/>
          <w:szCs w:val="28"/>
          <w:u w:val="single"/>
        </w:rPr>
        <w:t xml:space="preserve">       </w:t>
      </w:r>
      <w:r>
        <w:rPr>
          <w:rFonts w:eastAsia="黑体"/>
          <w:color w:val="000000"/>
          <w:sz w:val="28"/>
          <w:szCs w:val="28"/>
        </w:rPr>
        <w:t>（</w:t>
      </w:r>
      <w:r>
        <w:rPr>
          <w:rFonts w:hint="eastAsia" w:eastAsia="黑体"/>
          <w:color w:val="000000"/>
          <w:sz w:val="28"/>
          <w:szCs w:val="28"/>
        </w:rPr>
        <w:t>签章</w:t>
      </w:r>
      <w:r>
        <w:rPr>
          <w:rFonts w:eastAsia="黑体"/>
          <w:color w:val="000000"/>
          <w:sz w:val="28"/>
          <w:szCs w:val="28"/>
        </w:rPr>
        <w:t>）</w:t>
      </w:r>
    </w:p>
    <w:p w14:paraId="29A7AEF7">
      <w:pPr>
        <w:adjustRightInd w:val="0"/>
        <w:snapToGrid w:val="0"/>
        <w:spacing w:line="560" w:lineRule="exact"/>
        <w:jc w:val="center"/>
        <w:rPr>
          <w:rFonts w:eastAsia="黑体"/>
          <w:color w:val="000000"/>
          <w:sz w:val="28"/>
          <w:szCs w:val="28"/>
        </w:rPr>
      </w:pPr>
      <w:r>
        <w:rPr>
          <w:rFonts w:hint="eastAsia" w:eastAsia="黑体"/>
          <w:color w:val="000000"/>
          <w:sz w:val="28"/>
          <w:szCs w:val="28"/>
        </w:rPr>
        <w:t>法定代表人</w:t>
      </w:r>
      <w:r>
        <w:rPr>
          <w:rFonts w:eastAsia="黑体"/>
          <w:color w:val="000000"/>
          <w:sz w:val="28"/>
          <w:szCs w:val="28"/>
        </w:rPr>
        <w:t>：</w:t>
      </w:r>
      <w:r>
        <w:rPr>
          <w:rFonts w:eastAsia="黑体"/>
          <w:color w:val="000000"/>
          <w:sz w:val="28"/>
          <w:szCs w:val="28"/>
          <w:u w:val="single"/>
        </w:rPr>
        <w:t xml:space="preserve">   </w:t>
      </w:r>
      <w:r>
        <w:rPr>
          <w:rFonts w:hint="eastAsia" w:eastAsia="黑体"/>
          <w:color w:val="000000"/>
          <w:sz w:val="28"/>
          <w:szCs w:val="28"/>
          <w:u w:val="single"/>
        </w:rPr>
        <w:t xml:space="preserve">               </w:t>
      </w:r>
      <w:r>
        <w:rPr>
          <w:rFonts w:eastAsia="黑体"/>
          <w:color w:val="000000"/>
          <w:sz w:val="28"/>
          <w:szCs w:val="28"/>
        </w:rPr>
        <w:t>（签</w:t>
      </w:r>
      <w:r>
        <w:rPr>
          <w:rFonts w:hint="eastAsia" w:eastAsia="黑体"/>
          <w:color w:val="000000"/>
          <w:sz w:val="28"/>
          <w:szCs w:val="28"/>
        </w:rPr>
        <w:t>章</w:t>
      </w:r>
      <w:r>
        <w:rPr>
          <w:rFonts w:eastAsia="黑体"/>
          <w:color w:val="000000"/>
          <w:sz w:val="28"/>
          <w:szCs w:val="28"/>
        </w:rPr>
        <w:t>）</w:t>
      </w:r>
      <w:r>
        <w:rPr>
          <w:rFonts w:hint="eastAsia" w:ascii="仿宋_GB2312" w:eastAsia="仿宋_GB2312"/>
          <w:color w:val="000000"/>
          <w:sz w:val="28"/>
          <w:szCs w:val="28"/>
          <w:vertAlign w:val="superscript"/>
        </w:rPr>
        <w:t>①</w:t>
      </w:r>
    </w:p>
    <w:p w14:paraId="4767AA77">
      <w:pPr>
        <w:adjustRightInd w:val="0"/>
        <w:snapToGrid w:val="0"/>
        <w:spacing w:line="560" w:lineRule="exact"/>
        <w:jc w:val="center"/>
        <w:rPr>
          <w:rFonts w:hint="eastAsia"/>
          <w:color w:val="000000"/>
        </w:rPr>
      </w:pPr>
      <w:r>
        <w:rPr>
          <w:rFonts w:eastAsia="黑体"/>
          <w:color w:val="000000"/>
          <w:sz w:val="28"/>
          <w:szCs w:val="28"/>
          <w:u w:val="single"/>
        </w:rPr>
        <w:t xml:space="preserve">        </w:t>
      </w:r>
      <w:r>
        <w:rPr>
          <w:rFonts w:eastAsia="黑体"/>
          <w:color w:val="000000"/>
          <w:sz w:val="28"/>
          <w:szCs w:val="28"/>
        </w:rPr>
        <w:t>年</w:t>
      </w:r>
      <w:r>
        <w:rPr>
          <w:rFonts w:eastAsia="黑体"/>
          <w:color w:val="000000"/>
          <w:sz w:val="28"/>
          <w:szCs w:val="28"/>
          <w:u w:val="single"/>
        </w:rPr>
        <w:t xml:space="preserve">        </w:t>
      </w:r>
      <w:r>
        <w:rPr>
          <w:rFonts w:eastAsia="黑体"/>
          <w:color w:val="000000"/>
          <w:sz w:val="28"/>
          <w:szCs w:val="28"/>
        </w:rPr>
        <w:t>月</w:t>
      </w:r>
      <w:r>
        <w:rPr>
          <w:rFonts w:eastAsia="黑体"/>
          <w:color w:val="000000"/>
          <w:sz w:val="28"/>
          <w:szCs w:val="28"/>
          <w:u w:val="single"/>
        </w:rPr>
        <w:t xml:space="preserve">        </w:t>
      </w:r>
      <w:r>
        <w:rPr>
          <w:rFonts w:eastAsia="黑体"/>
          <w:color w:val="000000"/>
          <w:sz w:val="28"/>
          <w:szCs w:val="28"/>
        </w:rPr>
        <w:t>日</w:t>
      </w:r>
    </w:p>
    <w:p w14:paraId="68293451">
      <w:pPr>
        <w:rPr>
          <w:rFonts w:hint="eastAsia"/>
          <w:color w:val="000000"/>
        </w:rPr>
      </w:pPr>
      <w:bookmarkStart w:id="994" w:name="_Toc95223539"/>
      <w:r>
        <w:rPr>
          <w:rFonts w:hint="eastAsia"/>
          <w:color w:val="000000"/>
        </w:rPr>
        <w:br w:type="page"/>
      </w:r>
    </w:p>
    <w:p w14:paraId="1B189BE9">
      <w:pPr>
        <w:spacing w:beforeLines="50" w:afterLines="50" w:line="440" w:lineRule="exact"/>
        <w:jc w:val="left"/>
        <w:rPr>
          <w:rStyle w:val="120"/>
          <w:rFonts w:hint="eastAsia" w:ascii="宋体" w:hAnsi="宋体" w:eastAsia="宋体" w:cs="宋体"/>
          <w:sz w:val="32"/>
          <w:highlight w:val="none"/>
        </w:rPr>
      </w:pPr>
      <w:r>
        <w:rPr>
          <w:rStyle w:val="120"/>
          <w:rFonts w:hint="eastAsia" w:ascii="宋体" w:hAnsi="宋体" w:eastAsia="宋体" w:cs="宋体"/>
          <w:sz w:val="32"/>
          <w:highlight w:val="none"/>
        </w:rPr>
        <w:t>投标文件二：技术标目录</w:t>
      </w:r>
      <w:bookmarkEnd w:id="994"/>
    </w:p>
    <w:p w14:paraId="4A757280">
      <w:pPr>
        <w:adjustRightInd w:val="0"/>
        <w:snapToGrid w:val="0"/>
        <w:spacing w:line="560" w:lineRule="exact"/>
        <w:ind w:firstLine="420" w:firstLineChars="200"/>
        <w:rPr>
          <w:rFonts w:hint="eastAsia" w:ascii="宋体" w:hAnsi="宋体"/>
          <w:color w:val="000000"/>
          <w:szCs w:val="21"/>
        </w:rPr>
      </w:pPr>
      <w:r>
        <w:rPr>
          <w:rFonts w:hint="eastAsia" w:ascii="宋体" w:hAnsi="宋体"/>
          <w:color w:val="000000"/>
          <w:szCs w:val="21"/>
        </w:rPr>
        <w:t>（1）施工组织设计</w:t>
      </w:r>
    </w:p>
    <w:p w14:paraId="161C70FE">
      <w:pPr>
        <w:adjustRightInd w:val="0"/>
        <w:snapToGrid w:val="0"/>
        <w:spacing w:line="560" w:lineRule="exact"/>
        <w:ind w:firstLine="420" w:firstLineChars="200"/>
        <w:rPr>
          <w:rFonts w:hint="eastAsia" w:ascii="宋体" w:hAnsi="宋体"/>
          <w:color w:val="000000"/>
          <w:szCs w:val="21"/>
        </w:rPr>
      </w:pPr>
      <w:r>
        <w:rPr>
          <w:rFonts w:hint="eastAsia" w:ascii="宋体" w:hAnsi="宋体"/>
          <w:color w:val="000000"/>
          <w:szCs w:val="21"/>
        </w:rPr>
        <w:t>（2）其他技术标评审所需资料</w:t>
      </w:r>
    </w:p>
    <w:p w14:paraId="54F384A3">
      <w:pPr>
        <w:adjustRightInd w:val="0"/>
        <w:snapToGrid w:val="0"/>
        <w:spacing w:line="560" w:lineRule="exact"/>
        <w:rPr>
          <w:rFonts w:hint="eastAsia" w:ascii="宋体" w:hAnsi="宋体"/>
          <w:color w:val="000000"/>
          <w:szCs w:val="21"/>
        </w:rPr>
      </w:pPr>
    </w:p>
    <w:p w14:paraId="04ED82F0">
      <w:pPr>
        <w:adjustRightInd w:val="0"/>
        <w:snapToGrid w:val="0"/>
        <w:spacing w:line="560" w:lineRule="exact"/>
        <w:rPr>
          <w:rFonts w:hint="eastAsia" w:ascii="仿宋_GB2312" w:eastAsia="仿宋_GB2312"/>
          <w:color w:val="000000"/>
          <w:szCs w:val="21"/>
        </w:rPr>
      </w:pPr>
    </w:p>
    <w:p w14:paraId="2194FA78">
      <w:pPr>
        <w:rPr>
          <w:highlight w:val="none"/>
        </w:rPr>
      </w:pPr>
    </w:p>
    <w:p w14:paraId="15A2C948">
      <w:pPr>
        <w:rPr>
          <w:highlight w:val="none"/>
        </w:rPr>
      </w:pPr>
      <w:r>
        <w:rPr>
          <w:highlight w:val="none"/>
        </w:rPr>
        <w:br w:type="page"/>
      </w:r>
    </w:p>
    <w:p w14:paraId="32909EE7"/>
    <w:p w14:paraId="37AFF5C8">
      <w:pPr>
        <w:rPr>
          <w:highlight w:val="none"/>
        </w:rPr>
      </w:pPr>
    </w:p>
    <w:p w14:paraId="10A94BA1">
      <w:pPr>
        <w:pStyle w:val="14"/>
      </w:pPr>
    </w:p>
    <w:p w14:paraId="50582D72"/>
    <w:p w14:paraId="4408DAAE">
      <w:pPr>
        <w:pStyle w:val="14"/>
      </w:pPr>
    </w:p>
    <w:p w14:paraId="1ADCBC81"/>
    <w:p w14:paraId="52F921F7">
      <w:pPr>
        <w:jc w:val="center"/>
        <w:rPr>
          <w:rFonts w:eastAsia="黑体"/>
          <w:sz w:val="20"/>
          <w:szCs w:val="20"/>
          <w:highlight w:val="none"/>
        </w:rPr>
      </w:pPr>
      <w:r>
        <w:rPr>
          <w:rFonts w:eastAsia="黑体"/>
          <w:sz w:val="28"/>
          <w:szCs w:val="28"/>
          <w:highlight w:val="none"/>
        </w:rPr>
        <w:t>（项目名称）</w:t>
      </w:r>
    </w:p>
    <w:p w14:paraId="1CB3AF7F">
      <w:pPr>
        <w:jc w:val="center"/>
        <w:rPr>
          <w:rFonts w:eastAsia="黑体"/>
          <w:sz w:val="20"/>
          <w:szCs w:val="20"/>
          <w:highlight w:val="none"/>
        </w:rPr>
      </w:pPr>
    </w:p>
    <w:p w14:paraId="7F67D925">
      <w:pPr>
        <w:rPr>
          <w:rFonts w:eastAsia="黑体"/>
          <w:sz w:val="20"/>
          <w:szCs w:val="20"/>
          <w:highlight w:val="none"/>
        </w:rPr>
      </w:pPr>
    </w:p>
    <w:p w14:paraId="5AE9D7EA">
      <w:pPr>
        <w:jc w:val="center"/>
        <w:rPr>
          <w:rFonts w:hint="eastAsia" w:eastAsia="黑体"/>
          <w:sz w:val="44"/>
          <w:szCs w:val="44"/>
          <w:highlight w:val="none"/>
          <w:lang w:eastAsia="zh-CN"/>
        </w:rPr>
      </w:pPr>
      <w:r>
        <w:rPr>
          <w:rFonts w:eastAsia="黑体"/>
          <w:sz w:val="44"/>
          <w:szCs w:val="44"/>
          <w:highlight w:val="none"/>
        </w:rPr>
        <w:t>投  标  文  件</w:t>
      </w:r>
      <w:r>
        <w:rPr>
          <w:rFonts w:hint="eastAsia" w:eastAsia="黑体"/>
          <w:sz w:val="44"/>
          <w:szCs w:val="44"/>
          <w:highlight w:val="none"/>
        </w:rPr>
        <w:t xml:space="preserve">  </w:t>
      </w:r>
      <w:r>
        <w:rPr>
          <w:rFonts w:hint="eastAsia" w:eastAsia="黑体"/>
          <w:sz w:val="44"/>
          <w:szCs w:val="44"/>
          <w:highlight w:val="none"/>
          <w:lang w:val="en-US" w:eastAsia="zh-CN"/>
        </w:rPr>
        <w:t>二</w:t>
      </w:r>
    </w:p>
    <w:p w14:paraId="4D9A83AD">
      <w:pPr>
        <w:jc w:val="center"/>
        <w:rPr>
          <w:rFonts w:eastAsia="黑体"/>
          <w:sz w:val="44"/>
          <w:szCs w:val="44"/>
          <w:highlight w:val="none"/>
        </w:rPr>
      </w:pPr>
      <w:r>
        <w:rPr>
          <w:rFonts w:hint="eastAsia" w:eastAsia="黑体"/>
          <w:sz w:val="44"/>
          <w:szCs w:val="44"/>
          <w:highlight w:val="none"/>
        </w:rPr>
        <w:t>（商务标文件）</w:t>
      </w:r>
    </w:p>
    <w:p w14:paraId="00AD4571">
      <w:pPr>
        <w:rPr>
          <w:rFonts w:eastAsia="黑体"/>
          <w:sz w:val="28"/>
          <w:szCs w:val="28"/>
          <w:highlight w:val="none"/>
        </w:rPr>
      </w:pPr>
    </w:p>
    <w:p w14:paraId="03FF9373">
      <w:pPr>
        <w:rPr>
          <w:rFonts w:eastAsia="黑体"/>
          <w:sz w:val="28"/>
          <w:szCs w:val="28"/>
          <w:highlight w:val="none"/>
        </w:rPr>
      </w:pPr>
    </w:p>
    <w:p w14:paraId="6F4198FD">
      <w:pPr>
        <w:rPr>
          <w:rFonts w:eastAsia="黑体"/>
          <w:sz w:val="28"/>
          <w:szCs w:val="28"/>
          <w:highlight w:val="none"/>
        </w:rPr>
      </w:pPr>
    </w:p>
    <w:p w14:paraId="18D553B1">
      <w:pPr>
        <w:rPr>
          <w:rFonts w:eastAsia="黑体"/>
          <w:sz w:val="28"/>
          <w:szCs w:val="28"/>
          <w:highlight w:val="none"/>
        </w:rPr>
      </w:pPr>
    </w:p>
    <w:p w14:paraId="0E5FE50F">
      <w:pPr>
        <w:rPr>
          <w:rFonts w:eastAsia="黑体"/>
          <w:sz w:val="28"/>
          <w:szCs w:val="28"/>
          <w:highlight w:val="none"/>
        </w:rPr>
      </w:pPr>
    </w:p>
    <w:p w14:paraId="74AFA9E2">
      <w:pPr>
        <w:rPr>
          <w:rFonts w:eastAsia="黑体"/>
          <w:sz w:val="28"/>
          <w:szCs w:val="28"/>
          <w:highlight w:val="none"/>
        </w:rPr>
      </w:pPr>
    </w:p>
    <w:p w14:paraId="078AB10D">
      <w:pPr>
        <w:rPr>
          <w:rFonts w:eastAsia="黑体"/>
          <w:sz w:val="28"/>
          <w:szCs w:val="28"/>
          <w:highlight w:val="none"/>
        </w:rPr>
      </w:pPr>
    </w:p>
    <w:p w14:paraId="5C03182B">
      <w:pPr>
        <w:rPr>
          <w:rFonts w:eastAsia="黑体"/>
          <w:sz w:val="28"/>
          <w:szCs w:val="28"/>
          <w:highlight w:val="none"/>
        </w:rPr>
      </w:pPr>
    </w:p>
    <w:p w14:paraId="50FB798D">
      <w:pPr>
        <w:rPr>
          <w:rFonts w:eastAsia="黑体"/>
          <w:sz w:val="28"/>
          <w:szCs w:val="28"/>
          <w:highlight w:val="none"/>
        </w:rPr>
      </w:pPr>
    </w:p>
    <w:p w14:paraId="3118FFCA">
      <w:pPr>
        <w:pStyle w:val="14"/>
        <w:rPr>
          <w:rFonts w:eastAsia="黑体"/>
          <w:sz w:val="28"/>
          <w:szCs w:val="28"/>
          <w:highlight w:val="none"/>
        </w:rPr>
      </w:pPr>
    </w:p>
    <w:p w14:paraId="01BE5E84">
      <w:pPr>
        <w:rPr>
          <w:rFonts w:eastAsia="黑体"/>
          <w:sz w:val="28"/>
          <w:szCs w:val="28"/>
          <w:highlight w:val="none"/>
        </w:rPr>
      </w:pPr>
    </w:p>
    <w:p w14:paraId="2FE9E756">
      <w:pPr>
        <w:pStyle w:val="14"/>
        <w:rPr>
          <w:rFonts w:eastAsia="黑体"/>
          <w:sz w:val="28"/>
          <w:szCs w:val="28"/>
          <w:highlight w:val="none"/>
        </w:rPr>
      </w:pPr>
    </w:p>
    <w:p w14:paraId="67B6F8F9">
      <w:pPr>
        <w:rPr>
          <w:rFonts w:eastAsia="黑体"/>
          <w:sz w:val="28"/>
          <w:szCs w:val="28"/>
          <w:highlight w:val="none"/>
        </w:rPr>
      </w:pPr>
    </w:p>
    <w:p w14:paraId="3C7498B7">
      <w:pPr>
        <w:pStyle w:val="14"/>
        <w:rPr>
          <w:rFonts w:eastAsia="黑体"/>
          <w:sz w:val="28"/>
          <w:szCs w:val="28"/>
          <w:highlight w:val="none"/>
        </w:rPr>
      </w:pPr>
    </w:p>
    <w:p w14:paraId="34079401">
      <w:pPr>
        <w:rPr>
          <w:rFonts w:eastAsia="黑体"/>
          <w:sz w:val="28"/>
          <w:szCs w:val="28"/>
          <w:highlight w:val="none"/>
        </w:rPr>
      </w:pPr>
    </w:p>
    <w:p w14:paraId="794B988D">
      <w:pPr>
        <w:pStyle w:val="14"/>
      </w:pPr>
    </w:p>
    <w:p w14:paraId="0682BFC9">
      <w:pPr>
        <w:rPr>
          <w:rFonts w:eastAsia="黑体"/>
          <w:sz w:val="28"/>
          <w:szCs w:val="28"/>
          <w:highlight w:val="none"/>
        </w:rPr>
      </w:pPr>
    </w:p>
    <w:p w14:paraId="68117E32">
      <w:pPr>
        <w:rPr>
          <w:rFonts w:eastAsia="黑体"/>
          <w:sz w:val="28"/>
          <w:szCs w:val="28"/>
          <w:highlight w:val="none"/>
        </w:rPr>
      </w:pPr>
    </w:p>
    <w:p w14:paraId="038F9E36">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u w:val="single"/>
        </w:rPr>
      </w:pPr>
      <w:r>
        <w:rPr>
          <w:rFonts w:hint="eastAsia" w:eastAsia="黑体"/>
          <w:sz w:val="28"/>
          <w:szCs w:val="28"/>
        </w:rPr>
        <w:t xml:space="preserve"> 投标人</w:t>
      </w:r>
      <w:r>
        <w:rPr>
          <w:rFonts w:eastAsia="黑体"/>
          <w:sz w:val="28"/>
          <w:szCs w:val="28"/>
        </w:rPr>
        <w:t>：</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w:t>
      </w:r>
      <w:r>
        <w:rPr>
          <w:rFonts w:hint="eastAsia" w:eastAsia="黑体"/>
          <w:sz w:val="28"/>
          <w:szCs w:val="28"/>
        </w:rPr>
        <w:t>盖</w:t>
      </w:r>
      <w:r>
        <w:rPr>
          <w:rFonts w:eastAsia="黑体"/>
          <w:sz w:val="28"/>
          <w:szCs w:val="28"/>
        </w:rPr>
        <w:t>章）</w:t>
      </w:r>
    </w:p>
    <w:p w14:paraId="4CAB06D8">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rPr>
      </w:pPr>
      <w:r>
        <w:rPr>
          <w:rFonts w:hint="eastAsia" w:eastAsia="黑体"/>
          <w:sz w:val="28"/>
          <w:szCs w:val="28"/>
        </w:rPr>
        <w:t xml:space="preserve">   </w:t>
      </w:r>
      <w:r>
        <w:rPr>
          <w:rFonts w:eastAsia="黑体"/>
          <w:sz w:val="28"/>
          <w:szCs w:val="28"/>
        </w:rPr>
        <w:t>法定代表人</w:t>
      </w:r>
      <w:r>
        <w:rPr>
          <w:rFonts w:hint="eastAsia" w:eastAsia="黑体"/>
          <w:sz w:val="28"/>
          <w:szCs w:val="28"/>
          <w:lang w:val="en-US" w:eastAsia="zh-CN"/>
        </w:rPr>
        <w:t>或授权委托人</w:t>
      </w:r>
      <w:r>
        <w:rPr>
          <w:rFonts w:eastAsia="黑体"/>
          <w:sz w:val="28"/>
          <w:szCs w:val="28"/>
        </w:rPr>
        <w:t>：</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w:t>
      </w:r>
      <w:r>
        <w:rPr>
          <w:rFonts w:hint="eastAsia" w:eastAsia="黑体"/>
          <w:sz w:val="28"/>
          <w:szCs w:val="28"/>
        </w:rPr>
        <w:t>签字或盖章</w:t>
      </w:r>
      <w:r>
        <w:rPr>
          <w:rFonts w:eastAsia="黑体"/>
          <w:sz w:val="28"/>
          <w:szCs w:val="28"/>
        </w:rPr>
        <w:t>）</w:t>
      </w:r>
    </w:p>
    <w:p w14:paraId="350C1BB2">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highlight w:val="none"/>
        </w:rPr>
      </w:pPr>
      <w:r>
        <w:rPr>
          <w:rFonts w:hint="eastAsia" w:eastAsia="黑体"/>
          <w:sz w:val="28"/>
          <w:szCs w:val="28"/>
          <w:highlight w:val="none"/>
          <w:u w:val="single"/>
        </w:rPr>
        <w:t xml:space="preserve">      </w:t>
      </w:r>
      <w:r>
        <w:rPr>
          <w:rFonts w:eastAsia="黑体"/>
          <w:sz w:val="28"/>
          <w:szCs w:val="28"/>
          <w:highlight w:val="none"/>
        </w:rPr>
        <w:t>年</w:t>
      </w:r>
      <w:r>
        <w:rPr>
          <w:rFonts w:hint="eastAsia" w:eastAsia="黑体"/>
          <w:sz w:val="28"/>
          <w:szCs w:val="28"/>
          <w:highlight w:val="none"/>
          <w:u w:val="single"/>
        </w:rPr>
        <w:t xml:space="preserve">     </w:t>
      </w:r>
      <w:r>
        <w:rPr>
          <w:rFonts w:eastAsia="黑体"/>
          <w:sz w:val="28"/>
          <w:szCs w:val="28"/>
          <w:highlight w:val="none"/>
        </w:rPr>
        <w:t>月</w:t>
      </w:r>
      <w:r>
        <w:rPr>
          <w:rFonts w:hint="eastAsia" w:eastAsia="黑体"/>
          <w:sz w:val="28"/>
          <w:szCs w:val="28"/>
          <w:highlight w:val="none"/>
          <w:u w:val="single"/>
        </w:rPr>
        <w:t xml:space="preserve">     </w:t>
      </w:r>
      <w:r>
        <w:rPr>
          <w:rFonts w:eastAsia="黑体"/>
          <w:sz w:val="28"/>
          <w:szCs w:val="28"/>
          <w:highlight w:val="none"/>
        </w:rPr>
        <w:t>日</w:t>
      </w:r>
    </w:p>
    <w:p w14:paraId="2EE77B13">
      <w:pPr>
        <w:rPr>
          <w:highlight w:val="none"/>
        </w:rPr>
      </w:pPr>
    </w:p>
    <w:p w14:paraId="2F4494A4">
      <w:pPr>
        <w:pStyle w:val="14"/>
        <w:ind w:firstLine="420"/>
        <w:rPr>
          <w:highlight w:val="none"/>
        </w:rPr>
      </w:pPr>
    </w:p>
    <w:p w14:paraId="3AB72A24">
      <w:pPr>
        <w:rPr>
          <w:highlight w:val="none"/>
        </w:rPr>
      </w:pPr>
    </w:p>
    <w:p w14:paraId="60A767E1">
      <w:pPr>
        <w:spacing w:beforeLines="50" w:afterLines="50" w:line="440" w:lineRule="exact"/>
        <w:ind w:firstLine="643" w:firstLineChars="200"/>
        <w:jc w:val="left"/>
        <w:rPr>
          <w:rStyle w:val="120"/>
          <w:rFonts w:ascii="宋体" w:hAnsi="宋体" w:cs="宋体"/>
          <w:sz w:val="32"/>
          <w:highlight w:val="none"/>
        </w:rPr>
      </w:pPr>
      <w:bookmarkStart w:id="995" w:name="_Toc35424973"/>
      <w:bookmarkStart w:id="996" w:name="_Toc19174"/>
      <w:bookmarkStart w:id="997" w:name="_Toc35425139"/>
      <w:bookmarkStart w:id="998" w:name="_Toc78803401"/>
      <w:r>
        <w:rPr>
          <w:rStyle w:val="120"/>
          <w:rFonts w:hint="eastAsia" w:ascii="宋体" w:hAnsi="宋体" w:cs="宋体"/>
          <w:sz w:val="32"/>
          <w:highlight w:val="none"/>
        </w:rPr>
        <w:t>投标文件</w:t>
      </w:r>
      <w:bookmarkEnd w:id="995"/>
      <w:bookmarkEnd w:id="996"/>
      <w:bookmarkEnd w:id="997"/>
      <w:r>
        <w:rPr>
          <w:rStyle w:val="120"/>
          <w:rFonts w:hint="eastAsia" w:ascii="宋体" w:hAnsi="宋体" w:cs="宋体"/>
          <w:sz w:val="32"/>
          <w:highlight w:val="none"/>
          <w:lang w:val="en-US"/>
        </w:rPr>
        <w:t>二</w:t>
      </w:r>
      <w:r>
        <w:rPr>
          <w:rStyle w:val="120"/>
          <w:rFonts w:hint="eastAsia" w:ascii="宋体" w:hAnsi="宋体" w:cs="宋体"/>
          <w:sz w:val="32"/>
          <w:highlight w:val="none"/>
        </w:rPr>
        <w:t>：商务标目录</w:t>
      </w:r>
      <w:bookmarkEnd w:id="998"/>
    </w:p>
    <w:p w14:paraId="3318E4A9">
      <w:pPr>
        <w:adjustRightInd w:val="0"/>
        <w:snapToGrid w:val="0"/>
        <w:spacing w:line="560" w:lineRule="exact"/>
        <w:ind w:firstLine="420" w:firstLineChars="200"/>
        <w:rPr>
          <w:rFonts w:hint="eastAsia" w:ascii="宋体" w:hAnsi="宋体"/>
          <w:color w:val="000000"/>
          <w:szCs w:val="21"/>
        </w:rPr>
      </w:pPr>
      <w:r>
        <w:rPr>
          <w:rFonts w:hint="eastAsia" w:ascii="宋体" w:hAnsi="宋体"/>
          <w:color w:val="000000"/>
          <w:szCs w:val="21"/>
        </w:rPr>
        <w:t>（1）投标函；</w:t>
      </w:r>
    </w:p>
    <w:p w14:paraId="4E3CCDEE">
      <w:pPr>
        <w:adjustRightInd w:val="0"/>
        <w:snapToGrid w:val="0"/>
        <w:spacing w:line="560" w:lineRule="exact"/>
        <w:ind w:firstLine="420" w:firstLineChars="200"/>
        <w:rPr>
          <w:rFonts w:hint="eastAsia" w:eastAsia="宋体"/>
          <w:color w:val="000000"/>
          <w:lang w:eastAsia="zh-CN"/>
        </w:rPr>
      </w:pPr>
      <w:r>
        <w:rPr>
          <w:rFonts w:hint="eastAsia" w:ascii="宋体" w:hAnsi="宋体"/>
          <w:color w:val="000000"/>
          <w:szCs w:val="21"/>
        </w:rPr>
        <w:t>（2）工程量清单报价书</w:t>
      </w:r>
      <w:r>
        <w:rPr>
          <w:rFonts w:hint="eastAsia" w:ascii="宋体" w:hAnsi="宋体"/>
          <w:color w:val="000000"/>
          <w:szCs w:val="21"/>
          <w:lang w:eastAsia="zh-CN"/>
        </w:rPr>
        <w:t>；</w:t>
      </w:r>
    </w:p>
    <w:p w14:paraId="292E0F28">
      <w:pPr>
        <w:adjustRightInd w:val="0"/>
        <w:snapToGrid w:val="0"/>
        <w:spacing w:line="5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w:t>
      </w:r>
      <w:r>
        <w:rPr>
          <w:rFonts w:hint="eastAsia" w:ascii="宋体" w:hAnsi="宋体" w:cs="Times New Roman"/>
          <w:color w:val="000000"/>
          <w:szCs w:val="21"/>
          <w:lang w:val="en-US" w:eastAsia="zh-CN"/>
        </w:rPr>
        <w:t>3</w:t>
      </w:r>
      <w:r>
        <w:rPr>
          <w:rFonts w:hint="eastAsia" w:ascii="宋体" w:hAnsi="宋体" w:eastAsia="宋体" w:cs="Times New Roman"/>
          <w:color w:val="000000"/>
          <w:szCs w:val="21"/>
        </w:rPr>
        <w:t>）</w:t>
      </w:r>
      <w:r>
        <w:rPr>
          <w:rFonts w:hint="eastAsia" w:ascii="宋体" w:hAnsi="宋体" w:cs="宋体"/>
          <w:bCs/>
          <w:szCs w:val="21"/>
          <w:highlight w:val="none"/>
        </w:rPr>
        <w:t>货物的详细配置清单；</w:t>
      </w:r>
    </w:p>
    <w:p w14:paraId="7DEC2A54">
      <w:pPr>
        <w:adjustRightInd w:val="0"/>
        <w:snapToGrid w:val="0"/>
        <w:spacing w:line="560" w:lineRule="exact"/>
        <w:ind w:firstLine="420" w:firstLineChars="200"/>
        <w:rPr>
          <w:rFonts w:hint="eastAsia" w:ascii="宋体" w:hAnsi="宋体" w:eastAsia="宋体" w:cs="Times New Roman"/>
          <w:color w:val="000000"/>
          <w:szCs w:val="21"/>
        </w:rPr>
      </w:pPr>
      <w:r>
        <w:rPr>
          <w:rFonts w:hint="eastAsia" w:ascii="宋体" w:hAnsi="宋体" w:cs="Times New Roman"/>
          <w:color w:val="000000"/>
          <w:szCs w:val="21"/>
          <w:lang w:eastAsia="zh-CN"/>
        </w:rPr>
        <w:t>（</w:t>
      </w:r>
      <w:r>
        <w:rPr>
          <w:rFonts w:hint="eastAsia" w:ascii="宋体" w:hAnsi="宋体" w:cs="Times New Roman"/>
          <w:color w:val="000000"/>
          <w:szCs w:val="21"/>
          <w:lang w:val="en-US" w:eastAsia="zh-CN"/>
        </w:rPr>
        <w:t>4）</w:t>
      </w:r>
      <w:r>
        <w:rPr>
          <w:rFonts w:hint="eastAsia" w:ascii="宋体" w:hAnsi="宋体" w:eastAsia="宋体" w:cs="Times New Roman"/>
          <w:color w:val="000000"/>
          <w:szCs w:val="21"/>
        </w:rPr>
        <w:t>全国建筑市场监管公共服务平台(四库一平台)企业注册人员网页截图；</w:t>
      </w:r>
    </w:p>
    <w:p w14:paraId="66686266">
      <w:pPr>
        <w:adjustRightInd w:val="0"/>
        <w:snapToGrid w:val="0"/>
        <w:spacing w:line="5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w:t>
      </w:r>
      <w:r>
        <w:rPr>
          <w:rFonts w:hint="eastAsia" w:ascii="宋体" w:hAnsi="宋体" w:cs="Times New Roman"/>
          <w:color w:val="000000"/>
          <w:szCs w:val="21"/>
          <w:lang w:val="en-US" w:eastAsia="zh-CN"/>
        </w:rPr>
        <w:t>5</w:t>
      </w:r>
      <w:r>
        <w:rPr>
          <w:rFonts w:hint="eastAsia" w:ascii="宋体" w:hAnsi="宋体" w:eastAsia="宋体" w:cs="Times New Roman"/>
          <w:color w:val="000000"/>
          <w:szCs w:val="21"/>
        </w:rPr>
        <w:t>）详细评审所需其他材料。</w:t>
      </w:r>
    </w:p>
    <w:p w14:paraId="03122088">
      <w:pPr>
        <w:spacing w:line="540" w:lineRule="exact"/>
        <w:rPr>
          <w:rFonts w:eastAsia="黑体"/>
          <w:sz w:val="20"/>
          <w:szCs w:val="20"/>
          <w:highlight w:val="none"/>
        </w:rPr>
      </w:pPr>
    </w:p>
    <w:p w14:paraId="3338FC9F">
      <w:pPr>
        <w:spacing w:line="540" w:lineRule="exact"/>
        <w:rPr>
          <w:rFonts w:eastAsia="黑体"/>
          <w:sz w:val="20"/>
          <w:szCs w:val="20"/>
          <w:highlight w:val="none"/>
        </w:rPr>
      </w:pPr>
    </w:p>
    <w:p w14:paraId="3D5F9903">
      <w:pPr>
        <w:spacing w:line="540" w:lineRule="exact"/>
        <w:rPr>
          <w:rFonts w:eastAsia="黑体"/>
          <w:sz w:val="20"/>
          <w:szCs w:val="20"/>
          <w:highlight w:val="none"/>
        </w:rPr>
      </w:pPr>
    </w:p>
    <w:p w14:paraId="6FEF5B0D">
      <w:pPr>
        <w:spacing w:line="360" w:lineRule="auto"/>
        <w:ind w:firstLine="420" w:firstLineChars="200"/>
        <w:jc w:val="right"/>
        <w:rPr>
          <w:szCs w:val="21"/>
          <w:highlight w:val="none"/>
          <w:u w:val="single"/>
        </w:rPr>
      </w:pPr>
    </w:p>
    <w:p w14:paraId="70F20168">
      <w:pPr>
        <w:spacing w:line="360" w:lineRule="auto"/>
        <w:ind w:firstLine="420" w:firstLineChars="200"/>
        <w:jc w:val="right"/>
        <w:rPr>
          <w:szCs w:val="21"/>
          <w:highlight w:val="none"/>
          <w:u w:val="single"/>
        </w:rPr>
      </w:pPr>
    </w:p>
    <w:p w14:paraId="5BDCA848">
      <w:pPr>
        <w:spacing w:line="360" w:lineRule="auto"/>
        <w:ind w:firstLine="420" w:firstLineChars="200"/>
        <w:jc w:val="right"/>
        <w:rPr>
          <w:szCs w:val="21"/>
          <w:highlight w:val="none"/>
          <w:u w:val="single"/>
        </w:rPr>
      </w:pPr>
    </w:p>
    <w:p w14:paraId="5B4A47D5">
      <w:pPr>
        <w:spacing w:line="360" w:lineRule="auto"/>
        <w:ind w:firstLine="420" w:firstLineChars="200"/>
        <w:jc w:val="right"/>
        <w:rPr>
          <w:szCs w:val="21"/>
          <w:highlight w:val="none"/>
          <w:u w:val="single"/>
        </w:rPr>
      </w:pPr>
    </w:p>
    <w:p w14:paraId="6AF87BBA">
      <w:pPr>
        <w:spacing w:line="360" w:lineRule="auto"/>
        <w:ind w:firstLine="420" w:firstLineChars="200"/>
        <w:jc w:val="right"/>
        <w:rPr>
          <w:szCs w:val="21"/>
          <w:highlight w:val="none"/>
          <w:u w:val="single"/>
        </w:rPr>
      </w:pPr>
    </w:p>
    <w:p w14:paraId="49A7FE35">
      <w:pPr>
        <w:spacing w:line="360" w:lineRule="auto"/>
        <w:ind w:firstLine="420" w:firstLineChars="200"/>
        <w:jc w:val="right"/>
        <w:rPr>
          <w:szCs w:val="21"/>
          <w:highlight w:val="none"/>
          <w:u w:val="single"/>
        </w:rPr>
      </w:pPr>
    </w:p>
    <w:p w14:paraId="7EAE036F">
      <w:pPr>
        <w:spacing w:line="360" w:lineRule="auto"/>
        <w:ind w:firstLine="420" w:firstLineChars="200"/>
        <w:jc w:val="right"/>
        <w:rPr>
          <w:szCs w:val="21"/>
          <w:highlight w:val="none"/>
          <w:u w:val="single"/>
        </w:rPr>
      </w:pPr>
    </w:p>
    <w:p w14:paraId="39D3A8B9">
      <w:pPr>
        <w:spacing w:line="360" w:lineRule="auto"/>
        <w:ind w:firstLine="420" w:firstLineChars="200"/>
        <w:jc w:val="right"/>
        <w:rPr>
          <w:szCs w:val="21"/>
          <w:highlight w:val="none"/>
          <w:u w:val="single"/>
        </w:rPr>
      </w:pPr>
    </w:p>
    <w:p w14:paraId="042B576F">
      <w:pPr>
        <w:jc w:val="center"/>
        <w:rPr>
          <w:b/>
          <w:sz w:val="32"/>
          <w:szCs w:val="32"/>
          <w:highlight w:val="none"/>
        </w:rPr>
      </w:pPr>
    </w:p>
    <w:p w14:paraId="29EE3D81">
      <w:pPr>
        <w:jc w:val="center"/>
        <w:rPr>
          <w:b/>
          <w:sz w:val="32"/>
          <w:szCs w:val="32"/>
          <w:highlight w:val="none"/>
        </w:rPr>
      </w:pPr>
    </w:p>
    <w:p w14:paraId="569DA32B">
      <w:pPr>
        <w:jc w:val="center"/>
        <w:rPr>
          <w:b/>
          <w:sz w:val="32"/>
          <w:szCs w:val="32"/>
          <w:highlight w:val="none"/>
        </w:rPr>
      </w:pPr>
    </w:p>
    <w:p w14:paraId="30415CF4">
      <w:pPr>
        <w:jc w:val="center"/>
        <w:rPr>
          <w:b/>
          <w:sz w:val="32"/>
          <w:szCs w:val="32"/>
          <w:highlight w:val="none"/>
        </w:rPr>
      </w:pPr>
    </w:p>
    <w:p w14:paraId="1AAF50B0">
      <w:pPr>
        <w:jc w:val="center"/>
        <w:rPr>
          <w:b/>
          <w:sz w:val="32"/>
          <w:szCs w:val="32"/>
          <w:highlight w:val="none"/>
        </w:rPr>
      </w:pPr>
    </w:p>
    <w:p w14:paraId="5BCCA520">
      <w:pPr>
        <w:jc w:val="center"/>
        <w:rPr>
          <w:b/>
          <w:sz w:val="32"/>
          <w:szCs w:val="32"/>
          <w:highlight w:val="none"/>
        </w:rPr>
      </w:pPr>
    </w:p>
    <w:p w14:paraId="194A658F">
      <w:pPr>
        <w:jc w:val="center"/>
        <w:rPr>
          <w:b/>
          <w:sz w:val="32"/>
          <w:szCs w:val="32"/>
          <w:highlight w:val="none"/>
        </w:rPr>
      </w:pPr>
    </w:p>
    <w:p w14:paraId="3F1030A3">
      <w:pPr>
        <w:spacing w:line="360" w:lineRule="auto"/>
        <w:rPr>
          <w:b/>
          <w:bCs/>
          <w:sz w:val="32"/>
          <w:szCs w:val="32"/>
          <w:highlight w:val="none"/>
        </w:rPr>
      </w:pPr>
    </w:p>
    <w:p w14:paraId="5D358DCD">
      <w:pPr>
        <w:jc w:val="center"/>
        <w:rPr>
          <w:rFonts w:ascii="宋体" w:hAnsi="宋体"/>
          <w:b/>
          <w:sz w:val="32"/>
          <w:szCs w:val="32"/>
          <w:highlight w:val="none"/>
        </w:rPr>
      </w:pPr>
      <w:r>
        <w:rPr>
          <w:rFonts w:hint="eastAsia" w:ascii="宋体" w:hAnsi="宋体"/>
          <w:b/>
          <w:sz w:val="32"/>
          <w:szCs w:val="32"/>
          <w:highlight w:val="none"/>
        </w:rPr>
        <w:br w:type="page"/>
      </w:r>
      <w:r>
        <w:rPr>
          <w:rFonts w:hint="eastAsia" w:ascii="宋体" w:hAnsi="宋体"/>
          <w:b/>
          <w:sz w:val="32"/>
          <w:szCs w:val="32"/>
          <w:highlight w:val="none"/>
        </w:rPr>
        <w:t>（1）投 标 函</w:t>
      </w:r>
    </w:p>
    <w:p w14:paraId="246EE23D">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rPr>
      </w:pPr>
      <w:bookmarkStart w:id="999" w:name="_Toc15058950"/>
      <w:bookmarkStart w:id="1000" w:name="_Toc35424974"/>
      <w:bookmarkStart w:id="1001" w:name="_Toc35425140"/>
      <w:bookmarkStart w:id="1002" w:name="_Toc506107366"/>
      <w:r>
        <w:rPr>
          <w:rFonts w:hint="eastAsia" w:ascii="宋体" w:hAnsi="宋体" w:eastAsia="宋体" w:cs="宋体"/>
          <w:b/>
          <w:bCs/>
          <w:color w:val="auto"/>
        </w:rPr>
        <w:t>致 ：</w:t>
      </w:r>
      <w:r>
        <w:rPr>
          <w:rFonts w:hint="eastAsia" w:ascii="宋体" w:hAnsi="宋体" w:eastAsia="宋体" w:cs="宋体"/>
          <w:b/>
          <w:bCs/>
          <w:color w:val="auto"/>
          <w:u w:val="single"/>
          <w:lang w:val="en-US" w:eastAsia="zh-CN"/>
        </w:rPr>
        <w:t xml:space="preserve">       （招标人） </w:t>
      </w:r>
      <w:r>
        <w:rPr>
          <w:rFonts w:hint="eastAsia" w:ascii="宋体" w:hAnsi="宋体" w:eastAsia="宋体" w:cs="宋体"/>
          <w:color w:val="auto"/>
        </w:rPr>
        <w:t xml:space="preserve">：  </w:t>
      </w:r>
    </w:p>
    <w:p w14:paraId="4655D6FB">
      <w:pPr>
        <w:adjustRightInd w:val="0"/>
        <w:snapToGrid w:val="0"/>
        <w:spacing w:line="560" w:lineRule="exact"/>
        <w:ind w:firstLine="420" w:firstLineChars="200"/>
        <w:rPr>
          <w:rFonts w:ascii="宋体" w:hAnsi="宋体"/>
          <w:color w:val="000000"/>
          <w:sz w:val="21"/>
          <w:szCs w:val="21"/>
        </w:rPr>
      </w:pPr>
      <w:r>
        <w:rPr>
          <w:rFonts w:hint="eastAsia" w:ascii="宋体" w:hAnsi="宋体"/>
          <w:color w:val="000000"/>
          <w:sz w:val="21"/>
          <w:szCs w:val="21"/>
        </w:rPr>
        <w:t>1、根据你方招</w:t>
      </w:r>
      <w:bookmarkStart w:id="1003" w:name="_Toc60061591"/>
      <w:r>
        <w:rPr>
          <w:rFonts w:hint="eastAsia" w:ascii="宋体" w:hAnsi="宋体"/>
          <w:color w:val="000000"/>
          <w:sz w:val="21"/>
          <w:szCs w:val="21"/>
        </w:rPr>
        <w:t>标项目编号为</w:t>
      </w:r>
      <w:r>
        <w:rPr>
          <w:rFonts w:ascii="宋体" w:hAnsi="宋体"/>
          <w:color w:val="000000"/>
          <w:sz w:val="21"/>
          <w:szCs w:val="21"/>
          <w:u w:val="single"/>
        </w:rPr>
        <w:t xml:space="preserve">  </w:t>
      </w:r>
      <w:bookmarkEnd w:id="1003"/>
      <w:r>
        <w:rPr>
          <w:rFonts w:ascii="宋体" w:hAnsi="宋体"/>
          <w:color w:val="000000"/>
          <w:sz w:val="21"/>
          <w:szCs w:val="21"/>
          <w:u w:val="single"/>
        </w:rPr>
        <w:t xml:space="preserve">      </w:t>
      </w:r>
      <w:r>
        <w:rPr>
          <w:rFonts w:ascii="宋体" w:hAnsi="宋体"/>
          <w:color w:val="000000"/>
          <w:sz w:val="21"/>
          <w:szCs w:val="21"/>
        </w:rPr>
        <w:t xml:space="preserve"> </w:t>
      </w:r>
      <w:r>
        <w:rPr>
          <w:rFonts w:hint="eastAsia" w:ascii="宋体" w:hAnsi="宋体"/>
          <w:color w:val="000000"/>
          <w:sz w:val="21"/>
          <w:szCs w:val="21"/>
        </w:rPr>
        <w:t>的</w:t>
      </w:r>
      <w:r>
        <w:rPr>
          <w:rFonts w:ascii="宋体" w:hAnsi="宋体"/>
          <w:color w:val="000000"/>
          <w:sz w:val="21"/>
          <w:szCs w:val="21"/>
        </w:rPr>
        <w:t xml:space="preserve"> </w:t>
      </w:r>
      <w:r>
        <w:rPr>
          <w:rFonts w:ascii="宋体" w:hAnsi="宋体"/>
          <w:color w:val="000000"/>
          <w:sz w:val="21"/>
          <w:szCs w:val="21"/>
          <w:u w:val="single"/>
        </w:rPr>
        <w:t xml:space="preserve">                </w:t>
      </w:r>
      <w:r>
        <w:rPr>
          <w:rFonts w:hint="eastAsia" w:ascii="宋体" w:hAnsi="宋体"/>
          <w:color w:val="000000"/>
          <w:sz w:val="21"/>
          <w:szCs w:val="21"/>
        </w:rPr>
        <w:t>招标文件，遵照《中华人民共和国招标投标法》等有关规定，经踏勘项目现场和研究上述招标文件的投标须知、合同条件、技术规范、图纸、工程量清单和其他有关文件后，我方愿以</w:t>
      </w:r>
      <w:r>
        <w:rPr>
          <w:rFonts w:ascii="宋体" w:hAnsi="宋体"/>
          <w:color w:val="000000"/>
          <w:sz w:val="21"/>
          <w:szCs w:val="21"/>
        </w:rPr>
        <w:t xml:space="preserve"> </w:t>
      </w:r>
      <w:r>
        <w:rPr>
          <w:rFonts w:hint="eastAsia" w:ascii="宋体" w:hAnsi="宋体"/>
          <w:color w:val="000000"/>
          <w:sz w:val="21"/>
          <w:szCs w:val="21"/>
        </w:rPr>
        <w:t>（币种，金额、单位）</w:t>
      </w:r>
      <w:r>
        <w:rPr>
          <w:rFonts w:hint="eastAsia" w:ascii="宋体" w:hAnsi="宋体"/>
          <w:color w:val="000000"/>
          <w:sz w:val="21"/>
          <w:szCs w:val="21"/>
          <w:u w:val="single"/>
        </w:rPr>
        <w:t>人民币           元</w:t>
      </w:r>
      <w:r>
        <w:rPr>
          <w:rFonts w:hint="eastAsia" w:ascii="宋体" w:hAnsi="宋体"/>
          <w:color w:val="000000"/>
          <w:sz w:val="21"/>
          <w:szCs w:val="21"/>
        </w:rPr>
        <w:t>的投标总报价承包上述工程的施工、竣工，并承担任何质量缺陷保修责任。</w:t>
      </w:r>
    </w:p>
    <w:p w14:paraId="5F0C98BD">
      <w:pPr>
        <w:tabs>
          <w:tab w:val="left" w:pos="840"/>
        </w:tabs>
        <w:adjustRightInd w:val="0"/>
        <w:snapToGrid w:val="0"/>
        <w:spacing w:line="560" w:lineRule="exact"/>
        <w:ind w:firstLine="420" w:firstLineChars="200"/>
        <w:rPr>
          <w:rFonts w:ascii="宋体" w:hAnsi="宋体"/>
          <w:color w:val="000000"/>
          <w:sz w:val="21"/>
          <w:szCs w:val="21"/>
        </w:rPr>
      </w:pPr>
      <w:r>
        <w:rPr>
          <w:rFonts w:hint="eastAsia" w:ascii="宋体" w:hAnsi="宋体"/>
          <w:color w:val="000000"/>
          <w:sz w:val="21"/>
          <w:szCs w:val="21"/>
        </w:rPr>
        <w:t>2、我方已详细审核全部招标文件及有关附件，承诺招标文件及有关附件中所有条款。</w:t>
      </w:r>
    </w:p>
    <w:p w14:paraId="3FE6622D">
      <w:pPr>
        <w:adjustRightInd w:val="0"/>
        <w:snapToGrid w:val="0"/>
        <w:spacing w:line="560" w:lineRule="exact"/>
        <w:ind w:firstLine="420" w:firstLineChars="200"/>
        <w:rPr>
          <w:rFonts w:ascii="宋体" w:hAnsi="宋体"/>
          <w:color w:val="000000"/>
          <w:sz w:val="21"/>
          <w:szCs w:val="21"/>
        </w:rPr>
      </w:pPr>
      <w:r>
        <w:rPr>
          <w:rFonts w:hint="eastAsia" w:ascii="宋体" w:hAnsi="宋体"/>
          <w:color w:val="000000"/>
          <w:sz w:val="21"/>
          <w:szCs w:val="21"/>
        </w:rPr>
        <w:t>3、一旦我方中标，我方将派出</w:t>
      </w:r>
      <w:r>
        <w:rPr>
          <w:rFonts w:hint="eastAsia" w:ascii="宋体" w:hAnsi="宋体"/>
          <w:color w:val="000000"/>
          <w:sz w:val="21"/>
          <w:szCs w:val="21"/>
          <w:u w:val="single"/>
        </w:rPr>
        <w:t xml:space="preserve">           </w:t>
      </w:r>
      <w:r>
        <w:rPr>
          <w:rFonts w:hint="eastAsia" w:ascii="宋体" w:hAnsi="宋体"/>
          <w:color w:val="000000"/>
          <w:sz w:val="21"/>
          <w:szCs w:val="21"/>
        </w:rPr>
        <w:t>建造师为本工程项目经理，保证按照招标人要求开始本工程的施工，并在</w:t>
      </w:r>
      <w:r>
        <w:rPr>
          <w:rFonts w:ascii="宋体" w:hAnsi="宋体"/>
          <w:color w:val="000000"/>
          <w:sz w:val="21"/>
          <w:szCs w:val="21"/>
          <w:u w:val="single"/>
        </w:rPr>
        <w:t xml:space="preserve">       </w:t>
      </w:r>
      <w:r>
        <w:rPr>
          <w:rFonts w:hint="eastAsia" w:ascii="宋体" w:hAnsi="宋体"/>
          <w:color w:val="000000"/>
          <w:sz w:val="21"/>
          <w:szCs w:val="21"/>
        </w:rPr>
        <w:t>个日历天（工期）内完成本合同的施工，并移交整个工程，工程质量达到</w:t>
      </w:r>
      <w:r>
        <w:rPr>
          <w:rFonts w:ascii="宋体" w:hAnsi="宋体"/>
          <w:color w:val="000000"/>
          <w:sz w:val="21"/>
          <w:szCs w:val="21"/>
          <w:u w:val="single"/>
        </w:rPr>
        <w:t xml:space="preserve">          </w:t>
      </w:r>
      <w:r>
        <w:rPr>
          <w:rFonts w:hint="eastAsia" w:ascii="宋体" w:hAnsi="宋体"/>
          <w:color w:val="000000"/>
          <w:sz w:val="21"/>
          <w:szCs w:val="21"/>
        </w:rPr>
        <w:t xml:space="preserve"> 标准。</w:t>
      </w:r>
    </w:p>
    <w:p w14:paraId="68274B7B">
      <w:pPr>
        <w:adjustRightInd w:val="0"/>
        <w:snapToGrid w:val="0"/>
        <w:spacing w:line="560" w:lineRule="exact"/>
        <w:ind w:firstLine="420" w:firstLineChars="200"/>
        <w:rPr>
          <w:rFonts w:hint="eastAsia" w:ascii="宋体" w:hAnsi="宋体"/>
          <w:color w:val="000000"/>
          <w:sz w:val="21"/>
          <w:szCs w:val="21"/>
        </w:rPr>
      </w:pPr>
      <w:r>
        <w:rPr>
          <w:rFonts w:hint="eastAsia" w:ascii="宋体" w:hAnsi="宋体"/>
          <w:color w:val="000000"/>
          <w:sz w:val="21"/>
          <w:szCs w:val="21"/>
          <w:lang w:val="en-US" w:eastAsia="zh-CN"/>
        </w:rPr>
        <w:t>4</w:t>
      </w:r>
      <w:r>
        <w:rPr>
          <w:rFonts w:hint="eastAsia" w:ascii="宋体" w:hAnsi="宋体"/>
          <w:color w:val="000000"/>
          <w:sz w:val="21"/>
          <w:szCs w:val="21"/>
        </w:rPr>
        <w:t>、如果我方中标我方将按照招标文件的规定提交履约担保。工程验收合格后，方可退还。</w:t>
      </w:r>
    </w:p>
    <w:p w14:paraId="3E40DC48">
      <w:pPr>
        <w:adjustRightInd w:val="0"/>
        <w:snapToGrid w:val="0"/>
        <w:spacing w:line="560" w:lineRule="exact"/>
        <w:ind w:firstLine="420" w:firstLineChars="200"/>
        <w:jc w:val="left"/>
        <w:rPr>
          <w:rFonts w:hint="eastAsia" w:ascii="宋体" w:hAnsi="宋体"/>
          <w:color w:val="000000"/>
          <w:sz w:val="21"/>
          <w:szCs w:val="21"/>
        </w:rPr>
      </w:pPr>
      <w:r>
        <w:rPr>
          <w:rFonts w:hint="eastAsia" w:ascii="宋体" w:hAnsi="宋体"/>
          <w:color w:val="000000"/>
          <w:sz w:val="21"/>
          <w:szCs w:val="21"/>
          <w:lang w:val="en-US" w:eastAsia="zh-CN"/>
        </w:rPr>
        <w:t>5</w:t>
      </w:r>
      <w:r>
        <w:rPr>
          <w:rFonts w:hint="eastAsia" w:ascii="宋体" w:hAnsi="宋体"/>
          <w:color w:val="000000"/>
          <w:sz w:val="21"/>
          <w:szCs w:val="21"/>
        </w:rPr>
        <w:t>、我方承诺在招标文件规定的投标有效期内不撤销投标文件。</w:t>
      </w:r>
    </w:p>
    <w:p w14:paraId="4B7069B8">
      <w:pPr>
        <w:adjustRightInd w:val="0"/>
        <w:snapToGrid w:val="0"/>
        <w:spacing w:line="560" w:lineRule="exact"/>
        <w:ind w:firstLine="420" w:firstLineChars="200"/>
        <w:jc w:val="left"/>
        <w:rPr>
          <w:rFonts w:hint="eastAsia" w:ascii="宋体" w:hAnsi="宋体"/>
          <w:color w:val="000000"/>
          <w:sz w:val="21"/>
          <w:szCs w:val="21"/>
        </w:rPr>
      </w:pPr>
      <w:r>
        <w:rPr>
          <w:rFonts w:hint="eastAsia" w:ascii="宋体" w:hAnsi="宋体"/>
          <w:color w:val="000000"/>
          <w:sz w:val="21"/>
          <w:szCs w:val="21"/>
          <w:lang w:val="en-US" w:eastAsia="zh-CN"/>
        </w:rPr>
        <w:t>6</w:t>
      </w:r>
      <w:r>
        <w:rPr>
          <w:rFonts w:hint="eastAsia" w:ascii="宋体" w:hAnsi="宋体"/>
          <w:color w:val="000000"/>
          <w:sz w:val="21"/>
          <w:szCs w:val="21"/>
        </w:rPr>
        <w:t>、我单位提供如下通讯地址：</w:t>
      </w:r>
      <w:r>
        <w:rPr>
          <w:rFonts w:hint="eastAsia" w:ascii="宋体" w:hAnsi="宋体"/>
          <w:color w:val="000000"/>
          <w:sz w:val="21"/>
          <w:szCs w:val="21"/>
          <w:u w:val="single"/>
        </w:rPr>
        <w:t xml:space="preserve">                </w:t>
      </w:r>
      <w:r>
        <w:rPr>
          <w:rFonts w:hint="eastAsia" w:ascii="宋体" w:hAnsi="宋体"/>
          <w:color w:val="000000"/>
          <w:sz w:val="21"/>
          <w:szCs w:val="21"/>
        </w:rPr>
        <w:t>电子邮箱（地址），确认本项目相关法律文书均通过提供的以上地址送达，相关文书只要发送至以上电子邮箱（地址）即视为送达，投标人愿意承担一切法律后果。</w:t>
      </w:r>
    </w:p>
    <w:p w14:paraId="3E0C4000">
      <w:pPr>
        <w:adjustRightInd w:val="0"/>
        <w:snapToGrid w:val="0"/>
        <w:spacing w:line="560" w:lineRule="exact"/>
        <w:ind w:firstLine="420" w:firstLineChars="200"/>
        <w:jc w:val="left"/>
        <w:rPr>
          <w:rFonts w:hint="eastAsia" w:ascii="宋体" w:hAnsi="宋体" w:eastAsia="宋体" w:cs="宋体"/>
          <w:color w:val="auto"/>
          <w:sz w:val="21"/>
          <w:szCs w:val="21"/>
        </w:rPr>
      </w:pPr>
      <w:r>
        <w:rPr>
          <w:rFonts w:hint="eastAsia" w:ascii="宋体" w:hAnsi="宋体"/>
          <w:color w:val="000000"/>
          <w:sz w:val="21"/>
          <w:szCs w:val="21"/>
          <w:lang w:val="en-US" w:eastAsia="zh-CN"/>
        </w:rPr>
        <w:t>7</w:t>
      </w:r>
      <w:r>
        <w:rPr>
          <w:rFonts w:hint="eastAsia" w:ascii="宋体" w:hAnsi="宋体"/>
          <w:color w:val="000000"/>
          <w:sz w:val="21"/>
          <w:szCs w:val="21"/>
          <w:lang w:eastAsia="zh-CN"/>
        </w:rPr>
        <w:t>、</w:t>
      </w:r>
      <w:r>
        <w:rPr>
          <w:rFonts w:hint="eastAsia" w:ascii="宋体" w:hAnsi="宋体"/>
          <w:color w:val="000000"/>
          <w:sz w:val="21"/>
          <w:szCs w:val="21"/>
          <w:u w:val="single"/>
        </w:rPr>
        <w:t xml:space="preserve">                           </w:t>
      </w:r>
      <w:r>
        <w:rPr>
          <w:rFonts w:hint="eastAsia" w:ascii="宋体" w:hAnsi="宋体"/>
          <w:color w:val="000000"/>
          <w:sz w:val="21"/>
          <w:szCs w:val="21"/>
        </w:rPr>
        <w:t>（其他补充说明）</w:t>
      </w:r>
    </w:p>
    <w:p w14:paraId="2504D90C">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rPr>
      </w:pPr>
    </w:p>
    <w:p w14:paraId="7B092613">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u w:val="single"/>
        </w:rPr>
      </w:pPr>
      <w:r>
        <w:rPr>
          <w:rFonts w:hint="eastAsia" w:ascii="宋体" w:hAnsi="宋体" w:eastAsia="宋体" w:cs="宋体"/>
          <w:color w:val="auto"/>
          <w:szCs w:val="21"/>
        </w:rPr>
        <w:t>投标人：</w:t>
      </w:r>
      <w:r>
        <w:rPr>
          <w:rFonts w:hint="eastAsia" w:ascii="宋体" w:hAnsi="宋体" w:eastAsia="宋体" w:cs="宋体"/>
          <w:color w:val="auto"/>
          <w:szCs w:val="21"/>
          <w:u w:val="single"/>
        </w:rPr>
        <w:t xml:space="preserve">                             （</w:t>
      </w:r>
      <w:r>
        <w:rPr>
          <w:rFonts w:hint="eastAsia" w:ascii="宋体" w:hAnsi="宋体" w:cs="宋体"/>
          <w:color w:val="auto"/>
          <w:szCs w:val="21"/>
          <w:u w:val="single"/>
          <w:lang w:val="en-US" w:eastAsia="zh-CN"/>
        </w:rPr>
        <w:t>盖</w:t>
      </w:r>
      <w:r>
        <w:rPr>
          <w:rFonts w:hint="eastAsia" w:ascii="宋体" w:hAnsi="宋体" w:eastAsia="宋体" w:cs="宋体"/>
          <w:color w:val="auto"/>
          <w:szCs w:val="21"/>
          <w:u w:val="single"/>
        </w:rPr>
        <w:t xml:space="preserve">章）   </w:t>
      </w:r>
    </w:p>
    <w:p w14:paraId="41B57621">
      <w:pPr>
        <w:spacing w:line="600" w:lineRule="exact"/>
        <w:ind w:firstLine="2310" w:firstLineChars="1100"/>
        <w:jc w:val="left"/>
        <w:rPr>
          <w:rFonts w:ascii="宋体" w:hAnsi="宋体"/>
          <w:szCs w:val="21"/>
        </w:rPr>
      </w:pPr>
      <w:r>
        <w:rPr>
          <w:rFonts w:hint="eastAsia" w:ascii="宋体" w:hAnsi="宋体"/>
          <w:szCs w:val="21"/>
        </w:rPr>
        <w:t>法定代表人</w:t>
      </w:r>
      <w:r>
        <w:rPr>
          <w:rFonts w:hint="eastAsia" w:ascii="宋体" w:hAnsi="宋体"/>
          <w:szCs w:val="21"/>
          <w:lang w:val="en-US" w:eastAsia="zh-CN"/>
        </w:rPr>
        <w:t>或委托代理人</w:t>
      </w:r>
      <w:r>
        <w:rPr>
          <w:rFonts w:hint="eastAsia" w:ascii="宋体" w:hAnsi="宋体"/>
          <w:szCs w:val="21"/>
        </w:rPr>
        <w:t>：</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w:t>
      </w:r>
      <w:r>
        <w:rPr>
          <w:rFonts w:hint="eastAsia" w:ascii="宋体" w:hAnsi="宋体"/>
          <w:szCs w:val="21"/>
          <w:u w:val="single"/>
          <w:lang w:val="en-US" w:eastAsia="zh-CN"/>
        </w:rPr>
        <w:t>签字或盖章</w:t>
      </w:r>
      <w:r>
        <w:rPr>
          <w:rFonts w:hint="eastAsia" w:ascii="宋体" w:hAnsi="宋体"/>
          <w:szCs w:val="21"/>
          <w:u w:val="single"/>
        </w:rPr>
        <w:t>）</w:t>
      </w:r>
    </w:p>
    <w:p w14:paraId="75BF44E2">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rPr>
      </w:pPr>
      <w:r>
        <w:rPr>
          <w:rFonts w:hint="eastAsia" w:ascii="宋体" w:hAnsi="宋体" w:eastAsia="宋体" w:cs="宋体"/>
          <w:color w:val="auto"/>
          <w:szCs w:val="21"/>
        </w:rPr>
        <w:t>单位地址：</w:t>
      </w:r>
      <w:r>
        <w:rPr>
          <w:rFonts w:hint="eastAsia" w:ascii="宋体" w:hAnsi="宋体" w:eastAsia="宋体" w:cs="宋体"/>
          <w:color w:val="auto"/>
          <w:szCs w:val="21"/>
          <w:u w:val="single"/>
        </w:rPr>
        <w:t xml:space="preserve">                                       </w:t>
      </w:r>
    </w:p>
    <w:p w14:paraId="152985B8">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u w:val="single"/>
        </w:rPr>
      </w:pPr>
      <w:r>
        <w:rPr>
          <w:rFonts w:hint="eastAsia" w:ascii="宋体" w:hAnsi="宋体" w:eastAsia="宋体" w:cs="宋体"/>
          <w:color w:val="auto"/>
          <w:szCs w:val="21"/>
        </w:rPr>
        <w:t>邮政编码：</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电话：</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传真：</w:t>
      </w:r>
      <w:r>
        <w:rPr>
          <w:rFonts w:hint="eastAsia" w:ascii="宋体" w:hAnsi="宋体" w:eastAsia="宋体" w:cs="宋体"/>
          <w:color w:val="auto"/>
          <w:szCs w:val="21"/>
          <w:u w:val="single"/>
        </w:rPr>
        <w:t xml:space="preserve">       </w:t>
      </w:r>
    </w:p>
    <w:p w14:paraId="26367422">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rPr>
      </w:pPr>
      <w:r>
        <w:rPr>
          <w:rFonts w:hint="eastAsia" w:ascii="宋体" w:hAnsi="宋体" w:eastAsia="宋体" w:cs="宋体"/>
          <w:color w:val="auto"/>
          <w:szCs w:val="21"/>
        </w:rPr>
        <w:t>日期：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年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月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14:paraId="6809622B">
      <w:pPr>
        <w:pStyle w:val="4"/>
        <w:adjustRightInd w:val="0"/>
        <w:snapToGrid w:val="0"/>
        <w:spacing w:before="0" w:after="0" w:line="560" w:lineRule="exact"/>
        <w:jc w:val="center"/>
        <w:rPr>
          <w:rFonts w:hint="eastAsia"/>
          <w:color w:val="000000"/>
        </w:rPr>
      </w:pPr>
      <w:r>
        <w:rPr>
          <w:rFonts w:hint="eastAsia"/>
          <w:sz w:val="32"/>
          <w:szCs w:val="32"/>
          <w:highlight w:val="none"/>
        </w:rPr>
        <w:br w:type="page"/>
      </w:r>
      <w:bookmarkEnd w:id="7"/>
      <w:bookmarkEnd w:id="8"/>
      <w:bookmarkEnd w:id="9"/>
      <w:bookmarkEnd w:id="10"/>
      <w:bookmarkEnd w:id="11"/>
      <w:bookmarkEnd w:id="999"/>
      <w:bookmarkEnd w:id="1000"/>
      <w:bookmarkEnd w:id="1001"/>
      <w:bookmarkEnd w:id="1002"/>
      <w:bookmarkStart w:id="1004" w:name="_Toc78803402"/>
      <w:r>
        <w:rPr>
          <w:rFonts w:hint="eastAsia"/>
          <w:color w:val="000000"/>
        </w:rPr>
        <w:t>（2）工程量清单报价书</w:t>
      </w:r>
    </w:p>
    <w:p w14:paraId="7D855F0A">
      <w:pPr>
        <w:jc w:val="center"/>
        <w:rPr>
          <w:rFonts w:ascii="Calibri" w:hAnsi="Calibri"/>
          <w:sz w:val="32"/>
          <w:szCs w:val="32"/>
        </w:rPr>
      </w:pPr>
    </w:p>
    <w:p w14:paraId="2528277B">
      <w:pPr>
        <w:jc w:val="center"/>
        <w:rPr>
          <w:rFonts w:ascii="Calibri" w:hAnsi="Calibri"/>
          <w:sz w:val="32"/>
          <w:szCs w:val="32"/>
        </w:rPr>
      </w:pPr>
      <w:r>
        <w:rPr>
          <w:rFonts w:hint="eastAsia" w:ascii="仿宋_GB2312" w:hAnsi="Calibri" w:eastAsia="仿宋_GB2312"/>
          <w:b/>
          <w:sz w:val="36"/>
          <w:szCs w:val="36"/>
        </w:rPr>
        <w:t>①</w:t>
      </w:r>
      <w:r>
        <w:rPr>
          <w:rFonts w:hint="eastAsia" w:ascii="Calibri" w:hAnsi="Calibri"/>
          <w:b/>
          <w:sz w:val="36"/>
          <w:szCs w:val="36"/>
        </w:rPr>
        <w:t>工程量清单报价书（封面）</w:t>
      </w:r>
      <w:r>
        <w:rPr>
          <w:rFonts w:hint="eastAsia" w:ascii="Calibri" w:hAnsi="Calibri"/>
          <w:sz w:val="32"/>
          <w:szCs w:val="32"/>
          <w:vertAlign w:val="superscript"/>
        </w:rPr>
        <w:t>1</w:t>
      </w:r>
    </w:p>
    <w:p w14:paraId="3D7A056C">
      <w:pPr>
        <w:jc w:val="center"/>
        <w:rPr>
          <w:rFonts w:ascii="Calibri" w:hAnsi="Calibri"/>
          <w:b/>
          <w:sz w:val="32"/>
          <w:szCs w:val="32"/>
        </w:rPr>
      </w:pPr>
    </w:p>
    <w:p w14:paraId="5262813B">
      <w:pPr>
        <w:ind w:firstLine="643" w:firstLineChars="200"/>
        <w:jc w:val="center"/>
        <w:rPr>
          <w:rFonts w:ascii="Calibri" w:hAnsi="Calibri"/>
          <w:b/>
          <w:sz w:val="32"/>
          <w:szCs w:val="32"/>
        </w:rPr>
      </w:pPr>
      <w:r>
        <w:rPr>
          <w:rFonts w:hint="eastAsia" w:ascii="Calibri" w:hAnsi="Calibri"/>
          <w:b/>
          <w:sz w:val="32"/>
          <w:szCs w:val="32"/>
        </w:rPr>
        <w:t>投标总价</w:t>
      </w:r>
    </w:p>
    <w:p w14:paraId="51772B8A">
      <w:pPr>
        <w:spacing w:line="800" w:lineRule="exact"/>
        <w:ind w:firstLine="640" w:firstLineChars="200"/>
        <w:rPr>
          <w:rFonts w:ascii="Calibri" w:hAnsi="Calibri"/>
          <w:sz w:val="32"/>
          <w:szCs w:val="32"/>
          <w:u w:val="single"/>
        </w:rPr>
      </w:pPr>
      <w:r>
        <w:rPr>
          <w:rFonts w:hint="eastAsia" w:ascii="Calibri" w:hAnsi="Calibri"/>
          <w:sz w:val="32"/>
          <w:szCs w:val="32"/>
        </w:rPr>
        <w:t>招标人：</w:t>
      </w:r>
      <w:r>
        <w:rPr>
          <w:rFonts w:hint="eastAsia" w:ascii="Calibri" w:hAnsi="Calibri"/>
          <w:sz w:val="32"/>
          <w:szCs w:val="32"/>
          <w:u w:val="single"/>
        </w:rPr>
        <w:t xml:space="preserve">                                                 </w:t>
      </w:r>
    </w:p>
    <w:p w14:paraId="55501C58">
      <w:pPr>
        <w:spacing w:line="800" w:lineRule="exact"/>
        <w:ind w:firstLine="640" w:firstLineChars="200"/>
        <w:rPr>
          <w:rFonts w:ascii="Calibri" w:hAnsi="Calibri"/>
          <w:sz w:val="32"/>
          <w:szCs w:val="32"/>
        </w:rPr>
      </w:pPr>
      <w:r>
        <w:rPr>
          <w:rFonts w:hint="eastAsia" w:ascii="Calibri" w:hAnsi="Calibri"/>
          <w:sz w:val="32"/>
          <w:szCs w:val="32"/>
        </w:rPr>
        <w:t>工程名称：</w:t>
      </w:r>
      <w:r>
        <w:rPr>
          <w:rFonts w:hint="eastAsia" w:ascii="Calibri" w:hAnsi="Calibri"/>
          <w:sz w:val="32"/>
          <w:szCs w:val="32"/>
          <w:u w:val="single"/>
        </w:rPr>
        <w:t xml:space="preserve">                                               </w:t>
      </w:r>
    </w:p>
    <w:p w14:paraId="0A224365">
      <w:pPr>
        <w:spacing w:line="800" w:lineRule="exact"/>
        <w:ind w:firstLine="640" w:firstLineChars="200"/>
        <w:rPr>
          <w:rFonts w:ascii="Calibri" w:hAnsi="Calibri"/>
          <w:sz w:val="32"/>
          <w:szCs w:val="32"/>
          <w:u w:val="single"/>
        </w:rPr>
      </w:pPr>
      <w:r>
        <w:rPr>
          <w:rFonts w:hint="eastAsia" w:ascii="Calibri" w:hAnsi="Calibri"/>
          <w:sz w:val="32"/>
          <w:szCs w:val="32"/>
        </w:rPr>
        <w:t>投标总价（小写）：</w:t>
      </w:r>
      <w:r>
        <w:rPr>
          <w:rFonts w:hint="eastAsia" w:ascii="Calibri" w:hAnsi="Calibri"/>
          <w:sz w:val="32"/>
          <w:szCs w:val="32"/>
          <w:u w:val="single"/>
        </w:rPr>
        <w:t xml:space="preserve">                                       </w:t>
      </w:r>
    </w:p>
    <w:p w14:paraId="6243B7A2">
      <w:pPr>
        <w:spacing w:line="800" w:lineRule="exact"/>
        <w:ind w:firstLine="1920" w:firstLineChars="600"/>
        <w:rPr>
          <w:rFonts w:ascii="Calibri" w:hAnsi="Calibri"/>
          <w:sz w:val="32"/>
          <w:szCs w:val="32"/>
        </w:rPr>
      </w:pPr>
      <w:r>
        <w:rPr>
          <w:rFonts w:hint="eastAsia" w:ascii="Calibri" w:hAnsi="Calibri"/>
          <w:sz w:val="32"/>
          <w:szCs w:val="32"/>
        </w:rPr>
        <w:t>（大写）：</w:t>
      </w:r>
      <w:r>
        <w:rPr>
          <w:rFonts w:hint="eastAsia" w:ascii="Calibri" w:hAnsi="Calibri"/>
          <w:sz w:val="32"/>
          <w:szCs w:val="32"/>
          <w:u w:val="single"/>
        </w:rPr>
        <w:t xml:space="preserve">                                       </w:t>
      </w:r>
    </w:p>
    <w:p w14:paraId="7A25A46B">
      <w:pPr>
        <w:spacing w:line="800" w:lineRule="exact"/>
        <w:ind w:firstLine="640" w:firstLineChars="200"/>
        <w:rPr>
          <w:rFonts w:ascii="Calibri" w:hAnsi="Calibri"/>
          <w:sz w:val="32"/>
          <w:szCs w:val="32"/>
        </w:rPr>
      </w:pPr>
    </w:p>
    <w:p w14:paraId="7DB1D3AF">
      <w:pPr>
        <w:spacing w:line="800" w:lineRule="exact"/>
        <w:ind w:firstLine="640" w:firstLineChars="200"/>
        <w:rPr>
          <w:rFonts w:ascii="Calibri" w:hAnsi="Calibri"/>
          <w:sz w:val="32"/>
          <w:szCs w:val="32"/>
        </w:rPr>
      </w:pPr>
      <w:r>
        <w:rPr>
          <w:rFonts w:hint="eastAsia" w:ascii="Calibri" w:hAnsi="Calibri"/>
          <w:sz w:val="32"/>
          <w:szCs w:val="32"/>
        </w:rPr>
        <w:t>投 标 人：</w:t>
      </w:r>
      <w:r>
        <w:rPr>
          <w:rFonts w:hint="eastAsia" w:ascii="Calibri" w:hAnsi="Calibri"/>
          <w:sz w:val="32"/>
          <w:szCs w:val="32"/>
          <w:u w:val="single"/>
        </w:rPr>
        <w:t xml:space="preserve">                                     </w:t>
      </w:r>
      <w:r>
        <w:rPr>
          <w:rFonts w:hint="eastAsia" w:ascii="Calibri" w:hAnsi="Calibri"/>
          <w:sz w:val="32"/>
          <w:szCs w:val="32"/>
        </w:rPr>
        <w:t xml:space="preserve"> (单位盖章)</w:t>
      </w:r>
    </w:p>
    <w:p w14:paraId="2923CD59">
      <w:pPr>
        <w:spacing w:line="800" w:lineRule="exact"/>
        <w:ind w:firstLine="640" w:firstLineChars="200"/>
        <w:rPr>
          <w:rFonts w:ascii="Calibri" w:hAnsi="Calibri"/>
          <w:sz w:val="32"/>
          <w:szCs w:val="32"/>
        </w:rPr>
      </w:pPr>
    </w:p>
    <w:p w14:paraId="27258875">
      <w:pPr>
        <w:spacing w:line="800" w:lineRule="exact"/>
        <w:ind w:firstLine="640" w:firstLineChars="200"/>
        <w:rPr>
          <w:rFonts w:ascii="Calibri" w:hAnsi="Calibri"/>
          <w:sz w:val="32"/>
          <w:szCs w:val="32"/>
        </w:rPr>
      </w:pPr>
      <w:r>
        <w:rPr>
          <w:rFonts w:hint="eastAsia" w:ascii="Calibri" w:hAnsi="Calibri"/>
          <w:sz w:val="32"/>
          <w:szCs w:val="32"/>
        </w:rPr>
        <w:t>法定代表人：</w:t>
      </w:r>
      <w:r>
        <w:rPr>
          <w:rFonts w:hint="eastAsia" w:ascii="Calibri" w:hAnsi="Calibri"/>
          <w:sz w:val="32"/>
          <w:szCs w:val="32"/>
          <w:u w:val="single"/>
        </w:rPr>
        <w:t xml:space="preserve">                                 </w:t>
      </w:r>
      <w:r>
        <w:rPr>
          <w:rFonts w:hint="eastAsia" w:ascii="Calibri" w:hAnsi="Calibri"/>
          <w:sz w:val="32"/>
          <w:szCs w:val="32"/>
        </w:rPr>
        <w:t xml:space="preserve"> (签字或盖章)</w:t>
      </w:r>
    </w:p>
    <w:p w14:paraId="4925F3C8">
      <w:pPr>
        <w:spacing w:line="800" w:lineRule="exact"/>
        <w:ind w:firstLine="640" w:firstLineChars="200"/>
        <w:rPr>
          <w:rFonts w:ascii="Calibri" w:hAnsi="Calibri"/>
          <w:sz w:val="32"/>
          <w:szCs w:val="32"/>
        </w:rPr>
      </w:pPr>
    </w:p>
    <w:p w14:paraId="22B76E0B">
      <w:pPr>
        <w:spacing w:line="800" w:lineRule="exact"/>
        <w:ind w:firstLine="640" w:firstLineChars="200"/>
        <w:rPr>
          <w:rFonts w:ascii="Calibri" w:hAnsi="Calibri"/>
          <w:sz w:val="32"/>
          <w:szCs w:val="32"/>
          <w:u w:val="single"/>
        </w:rPr>
      </w:pPr>
      <w:r>
        <w:rPr>
          <w:rFonts w:hint="eastAsia" w:ascii="Calibri" w:hAnsi="Calibri"/>
          <w:sz w:val="32"/>
          <w:szCs w:val="32"/>
        </w:rPr>
        <w:t>编制人：</w:t>
      </w:r>
      <w:r>
        <w:rPr>
          <w:rFonts w:hint="eastAsia" w:ascii="Calibri" w:hAnsi="Calibri"/>
          <w:sz w:val="32"/>
          <w:szCs w:val="32"/>
          <w:u w:val="single"/>
        </w:rPr>
        <w:t xml:space="preserve">                                                 </w:t>
      </w:r>
    </w:p>
    <w:p w14:paraId="7BBAE3CA">
      <w:pPr>
        <w:spacing w:line="800" w:lineRule="exact"/>
        <w:ind w:firstLine="2720" w:firstLineChars="850"/>
        <w:rPr>
          <w:rFonts w:ascii="Calibri" w:hAnsi="Calibri"/>
          <w:sz w:val="32"/>
          <w:szCs w:val="32"/>
          <w:u w:val="single"/>
        </w:rPr>
      </w:pPr>
      <w:r>
        <w:rPr>
          <w:rFonts w:hint="eastAsia" w:ascii="Calibri" w:hAnsi="Calibri"/>
          <w:sz w:val="32"/>
          <w:szCs w:val="32"/>
        </w:rPr>
        <w:t xml:space="preserve"> (注册造价工程师签字并盖执业专用章)</w:t>
      </w:r>
    </w:p>
    <w:p w14:paraId="0D1E8CE0">
      <w:pPr>
        <w:spacing w:line="800" w:lineRule="exact"/>
        <w:ind w:firstLine="640" w:firstLineChars="200"/>
        <w:rPr>
          <w:rFonts w:ascii="Calibri" w:hAnsi="Calibri"/>
          <w:sz w:val="32"/>
          <w:szCs w:val="32"/>
        </w:rPr>
      </w:pPr>
    </w:p>
    <w:p w14:paraId="2768937A">
      <w:pPr>
        <w:spacing w:line="800" w:lineRule="exact"/>
        <w:ind w:firstLine="640" w:firstLineChars="200"/>
        <w:rPr>
          <w:rFonts w:ascii="Calibri" w:hAnsi="Calibri"/>
          <w:sz w:val="32"/>
          <w:szCs w:val="32"/>
        </w:rPr>
      </w:pPr>
      <w:r>
        <w:rPr>
          <w:rFonts w:hint="eastAsia" w:ascii="Calibri" w:hAnsi="Calibri"/>
          <w:sz w:val="32"/>
          <w:szCs w:val="32"/>
        </w:rPr>
        <w:t>编制时间：</w:t>
      </w:r>
      <w:r>
        <w:rPr>
          <w:rFonts w:hint="eastAsia" w:ascii="Calibri" w:hAnsi="Calibri"/>
          <w:sz w:val="32"/>
          <w:szCs w:val="32"/>
          <w:u w:val="single"/>
        </w:rPr>
        <w:t xml:space="preserve">             </w:t>
      </w:r>
      <w:r>
        <w:rPr>
          <w:rFonts w:hint="eastAsia" w:ascii="Calibri" w:hAnsi="Calibri"/>
          <w:sz w:val="32"/>
          <w:szCs w:val="32"/>
        </w:rPr>
        <w:t>年</w:t>
      </w:r>
      <w:r>
        <w:rPr>
          <w:rFonts w:hint="eastAsia" w:ascii="Calibri" w:hAnsi="Calibri"/>
          <w:sz w:val="32"/>
          <w:szCs w:val="32"/>
          <w:u w:val="single"/>
        </w:rPr>
        <w:t xml:space="preserve">          </w:t>
      </w:r>
      <w:r>
        <w:rPr>
          <w:rFonts w:hint="eastAsia" w:ascii="Calibri" w:hAnsi="Calibri"/>
          <w:sz w:val="32"/>
          <w:szCs w:val="32"/>
        </w:rPr>
        <w:t>月</w:t>
      </w:r>
      <w:r>
        <w:rPr>
          <w:rFonts w:hint="eastAsia" w:ascii="Calibri" w:hAnsi="Calibri"/>
          <w:sz w:val="32"/>
          <w:szCs w:val="32"/>
          <w:u w:val="single"/>
        </w:rPr>
        <w:t xml:space="preserve">          </w:t>
      </w:r>
      <w:r>
        <w:rPr>
          <w:rFonts w:hint="eastAsia" w:ascii="Calibri" w:hAnsi="Calibri"/>
          <w:sz w:val="32"/>
          <w:szCs w:val="32"/>
        </w:rPr>
        <w:t>日</w:t>
      </w:r>
    </w:p>
    <w:p w14:paraId="0E20567A">
      <w:pPr>
        <w:rPr>
          <w:rFonts w:ascii="Calibri" w:hAnsi="Calibri"/>
          <w:sz w:val="32"/>
          <w:szCs w:val="32"/>
        </w:rPr>
      </w:pPr>
    </w:p>
    <w:p w14:paraId="25DA0702">
      <w:pPr>
        <w:rPr>
          <w:rFonts w:ascii="宋体" w:hAnsi="宋体"/>
          <w:sz w:val="18"/>
          <w:szCs w:val="18"/>
        </w:rPr>
      </w:pPr>
      <w:r>
        <w:rPr>
          <w:rFonts w:hint="eastAsia" w:ascii="宋体" w:hAnsi="宋体"/>
          <w:sz w:val="18"/>
          <w:szCs w:val="18"/>
        </w:rPr>
        <w:t>1注：投标文件格式中工程量清单报价书（封面）及投标报价编制人信息表与投标文件制作工具导出文件不一致的，以投标文件格式文件为准。</w:t>
      </w:r>
    </w:p>
    <w:p w14:paraId="158AF5EF">
      <w:pPr>
        <w:jc w:val="center"/>
        <w:rPr>
          <w:rFonts w:hint="eastAsia" w:ascii="宋体" w:hAnsi="宋体"/>
          <w:sz w:val="32"/>
          <w:szCs w:val="32"/>
        </w:rPr>
      </w:pPr>
    </w:p>
    <w:p w14:paraId="3E802F3D">
      <w:pPr>
        <w:rPr>
          <w:rFonts w:hint="eastAsia" w:ascii="宋体" w:hAnsi="宋体"/>
          <w:sz w:val="32"/>
          <w:szCs w:val="32"/>
        </w:rPr>
      </w:pPr>
    </w:p>
    <w:p w14:paraId="73C8E6C7">
      <w:pPr>
        <w:jc w:val="center"/>
        <w:rPr>
          <w:rFonts w:ascii="宋体" w:hAnsi="宋体"/>
          <w:sz w:val="32"/>
          <w:szCs w:val="32"/>
        </w:rPr>
        <w:sectPr>
          <w:headerReference r:id="rId7" w:type="default"/>
          <w:footerReference r:id="rId8" w:type="default"/>
          <w:pgSz w:w="11910" w:h="16840"/>
          <w:pgMar w:top="1060" w:right="660" w:bottom="1020" w:left="1120" w:header="0" w:footer="833" w:gutter="0"/>
          <w:cols w:space="720" w:num="1"/>
        </w:sectPr>
      </w:pPr>
    </w:p>
    <w:p w14:paraId="6BE3DC7D">
      <w:pPr>
        <w:jc w:val="center"/>
        <w:rPr>
          <w:rFonts w:hint="eastAsia" w:ascii="宋体" w:hAnsi="宋体"/>
          <w:sz w:val="32"/>
          <w:szCs w:val="32"/>
        </w:rPr>
      </w:pPr>
    </w:p>
    <w:p w14:paraId="4FFA3562">
      <w:pPr>
        <w:jc w:val="center"/>
        <w:rPr>
          <w:rFonts w:ascii="Calibri" w:hAnsi="Calibri"/>
          <w:sz w:val="32"/>
          <w:szCs w:val="32"/>
        </w:rPr>
      </w:pPr>
      <w:r>
        <w:rPr>
          <w:rFonts w:hint="eastAsia" w:ascii="宋体" w:hAnsi="宋体"/>
          <w:sz w:val="32"/>
          <w:szCs w:val="32"/>
        </w:rPr>
        <w:t>②</w:t>
      </w:r>
      <w:r>
        <w:rPr>
          <w:rFonts w:hint="eastAsia" w:ascii="Calibri" w:hAnsi="Calibri"/>
          <w:sz w:val="32"/>
          <w:szCs w:val="32"/>
        </w:rPr>
        <w:t>投标报价编制人信息表</w:t>
      </w:r>
      <w:r>
        <w:rPr>
          <w:rFonts w:hint="eastAsia" w:ascii="Calibri" w:hAnsi="Calibri"/>
          <w:sz w:val="32"/>
          <w:szCs w:val="32"/>
          <w:vertAlign w:val="superscript"/>
        </w:rPr>
        <w:t>1</w:t>
      </w:r>
    </w:p>
    <w:p w14:paraId="4E0FE831">
      <w:pPr>
        <w:jc w:val="center"/>
        <w:rPr>
          <w:rFonts w:ascii="Calibri" w:hAnsi="Calibri"/>
          <w:sz w:val="32"/>
          <w:szCs w:val="32"/>
        </w:rPr>
      </w:pPr>
    </w:p>
    <w:tbl>
      <w:tblPr>
        <w:tblStyle w:val="47"/>
        <w:tblW w:w="10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216"/>
        <w:gridCol w:w="2951"/>
        <w:gridCol w:w="1737"/>
        <w:gridCol w:w="1563"/>
        <w:gridCol w:w="1967"/>
      </w:tblGrid>
      <w:tr w14:paraId="734CB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827" w:type="dxa"/>
            <w:noWrap w:val="0"/>
            <w:vAlign w:val="center"/>
          </w:tcPr>
          <w:p w14:paraId="76C3EEF7">
            <w:pPr>
              <w:jc w:val="center"/>
              <w:rPr>
                <w:rFonts w:ascii="Calibri" w:hAnsi="Calibri"/>
                <w:szCs w:val="22"/>
              </w:rPr>
            </w:pPr>
            <w:r>
              <w:rPr>
                <w:rFonts w:hint="eastAsia" w:ascii="Calibri" w:hAnsi="Calibri"/>
                <w:szCs w:val="22"/>
              </w:rPr>
              <w:t>序号</w:t>
            </w:r>
          </w:p>
        </w:tc>
        <w:tc>
          <w:tcPr>
            <w:tcW w:w="1216" w:type="dxa"/>
            <w:noWrap w:val="0"/>
            <w:vAlign w:val="center"/>
          </w:tcPr>
          <w:p w14:paraId="2EAD4517">
            <w:pPr>
              <w:jc w:val="center"/>
              <w:rPr>
                <w:rFonts w:ascii="Calibri" w:hAnsi="Calibri"/>
                <w:szCs w:val="22"/>
              </w:rPr>
            </w:pPr>
            <w:r>
              <w:rPr>
                <w:rFonts w:hint="eastAsia" w:ascii="Calibri" w:hAnsi="Calibri"/>
                <w:szCs w:val="22"/>
              </w:rPr>
              <w:t>姓名</w:t>
            </w:r>
          </w:p>
        </w:tc>
        <w:tc>
          <w:tcPr>
            <w:tcW w:w="2951" w:type="dxa"/>
            <w:noWrap w:val="0"/>
            <w:vAlign w:val="center"/>
          </w:tcPr>
          <w:p w14:paraId="2519E21A">
            <w:pPr>
              <w:jc w:val="center"/>
              <w:rPr>
                <w:rFonts w:ascii="Calibri" w:hAnsi="Calibri"/>
                <w:szCs w:val="22"/>
              </w:rPr>
            </w:pPr>
            <w:r>
              <w:rPr>
                <w:rFonts w:hint="eastAsia" w:ascii="Calibri" w:hAnsi="Calibri"/>
                <w:szCs w:val="22"/>
              </w:rPr>
              <w:t>身份证号码</w:t>
            </w:r>
          </w:p>
        </w:tc>
        <w:tc>
          <w:tcPr>
            <w:tcW w:w="1737" w:type="dxa"/>
            <w:noWrap w:val="0"/>
            <w:vAlign w:val="center"/>
          </w:tcPr>
          <w:p w14:paraId="29F76927">
            <w:pPr>
              <w:jc w:val="center"/>
              <w:rPr>
                <w:rFonts w:ascii="Calibri" w:hAnsi="Calibri"/>
                <w:szCs w:val="22"/>
              </w:rPr>
            </w:pPr>
            <w:r>
              <w:rPr>
                <w:rFonts w:hint="eastAsia" w:ascii="Calibri" w:hAnsi="Calibri"/>
                <w:szCs w:val="22"/>
              </w:rPr>
              <w:t>手机号码</w:t>
            </w:r>
          </w:p>
        </w:tc>
        <w:tc>
          <w:tcPr>
            <w:tcW w:w="1563" w:type="dxa"/>
            <w:noWrap w:val="0"/>
            <w:vAlign w:val="center"/>
          </w:tcPr>
          <w:p w14:paraId="0498F078">
            <w:pPr>
              <w:jc w:val="center"/>
              <w:rPr>
                <w:rFonts w:ascii="Calibri" w:hAnsi="Calibri"/>
                <w:szCs w:val="22"/>
              </w:rPr>
            </w:pPr>
            <w:r>
              <w:rPr>
                <w:rFonts w:hint="eastAsia" w:ascii="Calibri" w:hAnsi="Calibri"/>
                <w:szCs w:val="22"/>
              </w:rPr>
              <w:t>单位名称</w:t>
            </w:r>
          </w:p>
        </w:tc>
        <w:tc>
          <w:tcPr>
            <w:tcW w:w="1967" w:type="dxa"/>
            <w:noWrap w:val="0"/>
            <w:vAlign w:val="center"/>
          </w:tcPr>
          <w:p w14:paraId="0B040D36">
            <w:pPr>
              <w:jc w:val="center"/>
              <w:rPr>
                <w:rFonts w:ascii="Calibri" w:hAnsi="Calibri"/>
                <w:szCs w:val="22"/>
              </w:rPr>
            </w:pPr>
            <w:r>
              <w:rPr>
                <w:rFonts w:hint="eastAsia" w:ascii="Calibri" w:hAnsi="Calibri"/>
                <w:szCs w:val="22"/>
              </w:rPr>
              <w:t>注册造价工程师注册证书号</w:t>
            </w:r>
          </w:p>
        </w:tc>
      </w:tr>
      <w:tr w14:paraId="0E2F6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827" w:type="dxa"/>
            <w:noWrap w:val="0"/>
            <w:vAlign w:val="center"/>
          </w:tcPr>
          <w:p w14:paraId="64773D5B">
            <w:pPr>
              <w:jc w:val="center"/>
              <w:rPr>
                <w:rFonts w:ascii="Calibri" w:hAnsi="Calibri"/>
                <w:szCs w:val="22"/>
              </w:rPr>
            </w:pPr>
          </w:p>
        </w:tc>
        <w:tc>
          <w:tcPr>
            <w:tcW w:w="1216" w:type="dxa"/>
            <w:noWrap w:val="0"/>
            <w:vAlign w:val="center"/>
          </w:tcPr>
          <w:p w14:paraId="70AA3C12">
            <w:pPr>
              <w:jc w:val="center"/>
              <w:rPr>
                <w:rFonts w:ascii="Calibri" w:hAnsi="Calibri"/>
                <w:szCs w:val="22"/>
              </w:rPr>
            </w:pPr>
          </w:p>
        </w:tc>
        <w:tc>
          <w:tcPr>
            <w:tcW w:w="2951" w:type="dxa"/>
            <w:noWrap w:val="0"/>
            <w:vAlign w:val="center"/>
          </w:tcPr>
          <w:p w14:paraId="27D03DA0">
            <w:pPr>
              <w:jc w:val="center"/>
              <w:rPr>
                <w:rFonts w:ascii="Calibri" w:hAnsi="Calibri"/>
                <w:szCs w:val="22"/>
              </w:rPr>
            </w:pPr>
          </w:p>
        </w:tc>
        <w:tc>
          <w:tcPr>
            <w:tcW w:w="1737" w:type="dxa"/>
            <w:noWrap w:val="0"/>
            <w:vAlign w:val="center"/>
          </w:tcPr>
          <w:p w14:paraId="71B2152F">
            <w:pPr>
              <w:jc w:val="center"/>
              <w:rPr>
                <w:rFonts w:ascii="Calibri" w:hAnsi="Calibri"/>
                <w:szCs w:val="22"/>
              </w:rPr>
            </w:pPr>
          </w:p>
        </w:tc>
        <w:tc>
          <w:tcPr>
            <w:tcW w:w="1563" w:type="dxa"/>
            <w:noWrap w:val="0"/>
            <w:vAlign w:val="center"/>
          </w:tcPr>
          <w:p w14:paraId="56637195">
            <w:pPr>
              <w:jc w:val="center"/>
              <w:rPr>
                <w:rFonts w:ascii="Calibri" w:hAnsi="Calibri"/>
                <w:szCs w:val="22"/>
              </w:rPr>
            </w:pPr>
          </w:p>
        </w:tc>
        <w:tc>
          <w:tcPr>
            <w:tcW w:w="1967" w:type="dxa"/>
            <w:noWrap w:val="0"/>
            <w:vAlign w:val="center"/>
          </w:tcPr>
          <w:p w14:paraId="309B0DDF">
            <w:pPr>
              <w:jc w:val="center"/>
              <w:rPr>
                <w:rFonts w:ascii="Calibri" w:hAnsi="Calibri"/>
                <w:szCs w:val="22"/>
              </w:rPr>
            </w:pPr>
          </w:p>
        </w:tc>
      </w:tr>
      <w:tr w14:paraId="43C98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827" w:type="dxa"/>
            <w:noWrap w:val="0"/>
            <w:vAlign w:val="center"/>
          </w:tcPr>
          <w:p w14:paraId="73681B26">
            <w:pPr>
              <w:jc w:val="center"/>
              <w:rPr>
                <w:rFonts w:ascii="Calibri" w:hAnsi="Calibri"/>
                <w:szCs w:val="22"/>
              </w:rPr>
            </w:pPr>
          </w:p>
        </w:tc>
        <w:tc>
          <w:tcPr>
            <w:tcW w:w="1216" w:type="dxa"/>
            <w:noWrap w:val="0"/>
            <w:vAlign w:val="center"/>
          </w:tcPr>
          <w:p w14:paraId="24FDB299">
            <w:pPr>
              <w:jc w:val="center"/>
              <w:rPr>
                <w:rFonts w:ascii="Calibri" w:hAnsi="Calibri"/>
                <w:szCs w:val="22"/>
              </w:rPr>
            </w:pPr>
          </w:p>
        </w:tc>
        <w:tc>
          <w:tcPr>
            <w:tcW w:w="2951" w:type="dxa"/>
            <w:noWrap w:val="0"/>
            <w:vAlign w:val="center"/>
          </w:tcPr>
          <w:p w14:paraId="39C811F2">
            <w:pPr>
              <w:jc w:val="center"/>
              <w:rPr>
                <w:rFonts w:ascii="Calibri" w:hAnsi="Calibri"/>
                <w:szCs w:val="22"/>
              </w:rPr>
            </w:pPr>
          </w:p>
        </w:tc>
        <w:tc>
          <w:tcPr>
            <w:tcW w:w="1737" w:type="dxa"/>
            <w:noWrap w:val="0"/>
            <w:vAlign w:val="center"/>
          </w:tcPr>
          <w:p w14:paraId="561EFFBE">
            <w:pPr>
              <w:jc w:val="center"/>
              <w:rPr>
                <w:rFonts w:ascii="Calibri" w:hAnsi="Calibri"/>
                <w:szCs w:val="22"/>
              </w:rPr>
            </w:pPr>
          </w:p>
        </w:tc>
        <w:tc>
          <w:tcPr>
            <w:tcW w:w="1563" w:type="dxa"/>
            <w:noWrap w:val="0"/>
            <w:vAlign w:val="center"/>
          </w:tcPr>
          <w:p w14:paraId="03686129">
            <w:pPr>
              <w:jc w:val="center"/>
              <w:rPr>
                <w:rFonts w:ascii="Calibri" w:hAnsi="Calibri"/>
                <w:szCs w:val="22"/>
              </w:rPr>
            </w:pPr>
          </w:p>
        </w:tc>
        <w:tc>
          <w:tcPr>
            <w:tcW w:w="1967" w:type="dxa"/>
            <w:noWrap w:val="0"/>
            <w:vAlign w:val="center"/>
          </w:tcPr>
          <w:p w14:paraId="7663A0DE">
            <w:pPr>
              <w:jc w:val="center"/>
              <w:rPr>
                <w:rFonts w:ascii="Calibri" w:hAnsi="Calibri"/>
                <w:szCs w:val="22"/>
              </w:rPr>
            </w:pPr>
          </w:p>
        </w:tc>
      </w:tr>
    </w:tbl>
    <w:p w14:paraId="1C3498CD">
      <w:pPr>
        <w:rPr>
          <w:rFonts w:ascii="宋体" w:hAnsi="宋体"/>
          <w:b/>
          <w:sz w:val="24"/>
        </w:rPr>
      </w:pPr>
    </w:p>
    <w:p w14:paraId="0E3B9A49">
      <w:pPr>
        <w:spacing w:line="560" w:lineRule="exact"/>
        <w:rPr>
          <w:rFonts w:ascii="宋体" w:hAnsi="宋体"/>
          <w:b/>
          <w:sz w:val="24"/>
        </w:rPr>
      </w:pPr>
      <w:r>
        <w:rPr>
          <w:rFonts w:hint="eastAsia" w:ascii="宋体" w:hAnsi="宋体"/>
          <w:b/>
          <w:sz w:val="24"/>
        </w:rPr>
        <w:t>注：</w:t>
      </w:r>
    </w:p>
    <w:p w14:paraId="617A53C3">
      <w:pPr>
        <w:spacing w:line="560" w:lineRule="exact"/>
        <w:rPr>
          <w:rFonts w:ascii="宋体" w:hAnsi="宋体"/>
          <w:sz w:val="24"/>
        </w:rPr>
      </w:pPr>
      <w:r>
        <w:rPr>
          <w:rFonts w:hint="eastAsia" w:ascii="宋体" w:hAnsi="宋体"/>
          <w:sz w:val="24"/>
        </w:rPr>
        <w:t>1. 提供投标报价编制人员的注册造价工程师证书扫描件或影印件；</w:t>
      </w:r>
    </w:p>
    <w:p w14:paraId="6D22DC2A">
      <w:pPr>
        <w:spacing w:line="560" w:lineRule="exact"/>
        <w:rPr>
          <w:rFonts w:ascii="宋体" w:hAnsi="宋体"/>
          <w:sz w:val="24"/>
        </w:rPr>
      </w:pPr>
      <w:r>
        <w:rPr>
          <w:rFonts w:hint="eastAsia" w:ascii="宋体" w:hAnsi="宋体"/>
          <w:sz w:val="24"/>
        </w:rPr>
        <w:t>2. 若投标报价编制人员为投标人委托的造价咨询单位注册造价人员，须提供与造价咨询单位签订的委托协议。</w:t>
      </w:r>
    </w:p>
    <w:p w14:paraId="3614E8A5">
      <w:pPr>
        <w:spacing w:line="560" w:lineRule="exact"/>
        <w:rPr>
          <w:rFonts w:ascii="宋体" w:hAnsi="宋体"/>
          <w:sz w:val="24"/>
        </w:rPr>
      </w:pPr>
      <w:r>
        <w:rPr>
          <w:rFonts w:hint="eastAsia" w:ascii="宋体" w:hAnsi="宋体"/>
          <w:sz w:val="24"/>
        </w:rPr>
        <w:t>3. 表格内容将作为公安机关和行政主管部门调查串通投标、允许他人以自己名义从事工程造价业务等违法违规行为的重要依据。</w:t>
      </w:r>
    </w:p>
    <w:p w14:paraId="73668EF9">
      <w:pPr>
        <w:spacing w:line="560" w:lineRule="exact"/>
        <w:rPr>
          <w:rFonts w:ascii="宋体" w:hAnsi="宋体"/>
          <w:sz w:val="24"/>
        </w:rPr>
      </w:pPr>
      <w:r>
        <w:rPr>
          <w:rFonts w:hint="eastAsia" w:ascii="宋体" w:hAnsi="宋体"/>
          <w:sz w:val="24"/>
        </w:rPr>
        <w:t>4. 投标人填写内容务必真实准确，否则将承担投标失败、中标无效的风险。</w:t>
      </w:r>
    </w:p>
    <w:p w14:paraId="081E94DD">
      <w:pPr>
        <w:spacing w:line="560" w:lineRule="exact"/>
        <w:rPr>
          <w:rFonts w:ascii="宋体" w:hAnsi="宋体"/>
          <w:sz w:val="24"/>
        </w:rPr>
      </w:pPr>
    </w:p>
    <w:p w14:paraId="69A73CA9">
      <w:pPr>
        <w:spacing w:line="560" w:lineRule="exact"/>
        <w:rPr>
          <w:rFonts w:ascii="宋体" w:hAnsi="宋体"/>
          <w:sz w:val="24"/>
        </w:rPr>
      </w:pPr>
    </w:p>
    <w:p w14:paraId="3EBDA530">
      <w:pPr>
        <w:spacing w:line="560" w:lineRule="exact"/>
        <w:ind w:firstLine="480" w:firstLineChars="200"/>
        <w:rPr>
          <w:rFonts w:ascii="宋体" w:hAnsi="宋体"/>
          <w:sz w:val="24"/>
        </w:rPr>
      </w:pPr>
      <w:r>
        <w:rPr>
          <w:rFonts w:hint="eastAsia" w:ascii="宋体" w:hAnsi="宋体"/>
          <w:sz w:val="24"/>
        </w:rPr>
        <w:t>③工程量清单报价书正文格式：见2018版“工程量清单计价文件”格式，在滁州市公共资源交易中心网站下载招标文件后，使用投标文件制作工具导出“招标清单文件”，即为“工程量清单计价文件”正文格式。</w:t>
      </w:r>
    </w:p>
    <w:p w14:paraId="7ACE6453">
      <w:pPr>
        <w:pStyle w:val="4"/>
        <w:adjustRightInd w:val="0"/>
        <w:snapToGrid w:val="0"/>
        <w:spacing w:before="0" w:after="0" w:line="560" w:lineRule="exact"/>
        <w:jc w:val="center"/>
        <w:rPr>
          <w:rFonts w:hint="eastAsia"/>
          <w:color w:val="000000"/>
        </w:rPr>
      </w:pPr>
      <w:bookmarkStart w:id="1005" w:name="_Toc95223546"/>
    </w:p>
    <w:bookmarkEnd w:id="1005"/>
    <w:p w14:paraId="65A7D629">
      <w:pPr>
        <w:rPr>
          <w:rFonts w:hint="eastAsia"/>
          <w:bCs/>
          <w:szCs w:val="32"/>
          <w:highlight w:val="none"/>
        </w:rPr>
      </w:pPr>
      <w:r>
        <w:rPr>
          <w:rFonts w:hint="eastAsia"/>
          <w:bCs/>
          <w:szCs w:val="32"/>
          <w:highlight w:val="none"/>
        </w:rPr>
        <w:br w:type="page"/>
      </w:r>
    </w:p>
    <w:p w14:paraId="143B4D41">
      <w:pPr>
        <w:jc w:val="center"/>
        <w:outlineLvl w:val="2"/>
        <w:rPr>
          <w:rFonts w:hint="eastAsia" w:ascii="宋体" w:hAnsi="宋体" w:eastAsia="宋体" w:cs="Times New Roman"/>
          <w:b/>
          <w:color w:val="auto"/>
          <w:sz w:val="30"/>
          <w:szCs w:val="30"/>
          <w:highlight w:val="none"/>
        </w:rPr>
      </w:pPr>
      <w:r>
        <w:rPr>
          <w:rFonts w:hint="eastAsia" w:ascii="宋体" w:hAnsi="宋体" w:eastAsia="宋体" w:cs="Times New Roman"/>
          <w:b/>
          <w:color w:val="auto"/>
          <w:sz w:val="30"/>
          <w:szCs w:val="30"/>
          <w:highlight w:val="none"/>
          <w:lang w:eastAsia="zh-CN"/>
        </w:rPr>
        <w:t>（</w:t>
      </w:r>
      <w:r>
        <w:rPr>
          <w:rFonts w:hint="eastAsia" w:ascii="宋体" w:hAnsi="宋体" w:cs="Times New Roman"/>
          <w:b/>
          <w:color w:val="auto"/>
          <w:sz w:val="30"/>
          <w:szCs w:val="30"/>
          <w:highlight w:val="none"/>
          <w:lang w:val="en-US" w:eastAsia="zh-CN"/>
        </w:rPr>
        <w:t>3</w:t>
      </w:r>
      <w:r>
        <w:rPr>
          <w:rFonts w:hint="eastAsia" w:ascii="宋体" w:hAnsi="宋体" w:eastAsia="宋体" w:cs="Times New Roman"/>
          <w:b/>
          <w:color w:val="auto"/>
          <w:sz w:val="30"/>
          <w:szCs w:val="30"/>
          <w:highlight w:val="none"/>
          <w:lang w:val="en-US" w:eastAsia="zh-CN"/>
        </w:rPr>
        <w:t>）</w:t>
      </w:r>
      <w:r>
        <w:rPr>
          <w:rFonts w:hint="eastAsia" w:ascii="宋体" w:hAnsi="宋体" w:eastAsia="宋体" w:cs="Times New Roman"/>
          <w:b/>
          <w:color w:val="auto"/>
          <w:sz w:val="30"/>
          <w:szCs w:val="30"/>
          <w:highlight w:val="none"/>
        </w:rPr>
        <w:t>货物的详细配置清单（格式）</w:t>
      </w:r>
    </w:p>
    <w:tbl>
      <w:tblPr>
        <w:tblStyle w:val="47"/>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212"/>
        <w:gridCol w:w="1875"/>
        <w:gridCol w:w="1320"/>
        <w:gridCol w:w="1534"/>
        <w:gridCol w:w="1532"/>
      </w:tblGrid>
      <w:tr w14:paraId="01DA8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noWrap w:val="0"/>
            <w:vAlign w:val="center"/>
          </w:tcPr>
          <w:p w14:paraId="5B5B3811">
            <w:pPr>
              <w:spacing w:line="360" w:lineRule="auto"/>
              <w:jc w:val="center"/>
              <w:rPr>
                <w:rFonts w:hint="eastAsia" w:ascii="宋体" w:hAnsi="宋体"/>
                <w:color w:val="auto"/>
                <w:szCs w:val="21"/>
                <w:highlight w:val="none"/>
              </w:rPr>
            </w:pPr>
            <w:r>
              <w:rPr>
                <w:rFonts w:hint="eastAsia" w:ascii="宋体" w:hAnsi="宋体"/>
                <w:color w:val="auto"/>
                <w:szCs w:val="21"/>
                <w:highlight w:val="none"/>
              </w:rPr>
              <w:t>序号</w:t>
            </w:r>
          </w:p>
        </w:tc>
        <w:tc>
          <w:tcPr>
            <w:tcW w:w="2212" w:type="dxa"/>
            <w:noWrap w:val="0"/>
            <w:vAlign w:val="center"/>
          </w:tcPr>
          <w:p w14:paraId="2077877C">
            <w:pPr>
              <w:spacing w:line="360" w:lineRule="auto"/>
              <w:jc w:val="center"/>
              <w:rPr>
                <w:rFonts w:hint="eastAsia" w:ascii="宋体" w:hAnsi="宋体"/>
                <w:color w:val="auto"/>
                <w:szCs w:val="21"/>
                <w:highlight w:val="none"/>
              </w:rPr>
            </w:pPr>
            <w:r>
              <w:rPr>
                <w:rFonts w:hint="eastAsia" w:ascii="宋体" w:hAnsi="宋体"/>
                <w:color w:val="auto"/>
                <w:szCs w:val="21"/>
                <w:highlight w:val="none"/>
              </w:rPr>
              <w:t>货物名称</w:t>
            </w:r>
          </w:p>
        </w:tc>
        <w:tc>
          <w:tcPr>
            <w:tcW w:w="1875" w:type="dxa"/>
            <w:noWrap w:val="0"/>
            <w:vAlign w:val="center"/>
          </w:tcPr>
          <w:p w14:paraId="293A690D">
            <w:pPr>
              <w:spacing w:line="360" w:lineRule="auto"/>
              <w:jc w:val="center"/>
              <w:rPr>
                <w:rFonts w:hint="eastAsia" w:ascii="宋体" w:hAnsi="宋体"/>
                <w:color w:val="auto"/>
                <w:szCs w:val="21"/>
                <w:highlight w:val="none"/>
              </w:rPr>
            </w:pPr>
            <w:r>
              <w:rPr>
                <w:rFonts w:hint="eastAsia" w:ascii="宋体" w:hAnsi="宋体"/>
                <w:color w:val="auto"/>
                <w:szCs w:val="21"/>
                <w:highlight w:val="none"/>
              </w:rPr>
              <w:t>品牌、规格型号</w:t>
            </w:r>
          </w:p>
        </w:tc>
        <w:tc>
          <w:tcPr>
            <w:tcW w:w="1320" w:type="dxa"/>
            <w:noWrap w:val="0"/>
            <w:vAlign w:val="center"/>
          </w:tcPr>
          <w:p w14:paraId="0B4FB5F3">
            <w:pPr>
              <w:spacing w:line="360" w:lineRule="auto"/>
              <w:jc w:val="center"/>
              <w:rPr>
                <w:rFonts w:hint="eastAsia" w:ascii="宋体" w:hAnsi="宋体"/>
                <w:color w:val="auto"/>
                <w:szCs w:val="21"/>
                <w:highlight w:val="none"/>
              </w:rPr>
            </w:pPr>
            <w:r>
              <w:rPr>
                <w:rFonts w:hint="eastAsia" w:ascii="宋体" w:hAnsi="宋体"/>
                <w:color w:val="auto"/>
                <w:szCs w:val="21"/>
                <w:highlight w:val="none"/>
              </w:rPr>
              <w:t>产地</w:t>
            </w:r>
          </w:p>
        </w:tc>
        <w:tc>
          <w:tcPr>
            <w:tcW w:w="1534" w:type="dxa"/>
            <w:noWrap w:val="0"/>
            <w:vAlign w:val="center"/>
          </w:tcPr>
          <w:p w14:paraId="4A803430">
            <w:pPr>
              <w:spacing w:line="360" w:lineRule="auto"/>
              <w:ind w:left="261"/>
              <w:jc w:val="center"/>
              <w:rPr>
                <w:rFonts w:hint="eastAsia" w:ascii="宋体" w:hAnsi="宋体"/>
                <w:color w:val="auto"/>
                <w:szCs w:val="21"/>
                <w:highlight w:val="none"/>
              </w:rPr>
            </w:pPr>
            <w:r>
              <w:rPr>
                <w:rFonts w:hint="eastAsia" w:ascii="宋体" w:hAnsi="宋体"/>
                <w:color w:val="auto"/>
                <w:szCs w:val="21"/>
                <w:highlight w:val="none"/>
              </w:rPr>
              <w:t>生产厂家</w:t>
            </w:r>
          </w:p>
        </w:tc>
        <w:tc>
          <w:tcPr>
            <w:tcW w:w="1532" w:type="dxa"/>
            <w:noWrap w:val="0"/>
            <w:vAlign w:val="center"/>
          </w:tcPr>
          <w:p w14:paraId="78D5FF60">
            <w:pPr>
              <w:spacing w:line="360"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备注</w:t>
            </w:r>
          </w:p>
        </w:tc>
      </w:tr>
      <w:tr w14:paraId="09ABC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noWrap w:val="0"/>
            <w:vAlign w:val="top"/>
          </w:tcPr>
          <w:p w14:paraId="06A2ABC9">
            <w:pPr>
              <w:numPr>
                <w:ilvl w:val="0"/>
                <w:numId w:val="5"/>
              </w:numPr>
              <w:spacing w:line="360" w:lineRule="auto"/>
              <w:rPr>
                <w:rFonts w:hint="eastAsia" w:ascii="宋体" w:hAnsi="宋体"/>
                <w:color w:val="auto"/>
                <w:szCs w:val="21"/>
                <w:highlight w:val="none"/>
              </w:rPr>
            </w:pPr>
          </w:p>
        </w:tc>
        <w:tc>
          <w:tcPr>
            <w:tcW w:w="2212" w:type="dxa"/>
            <w:shd w:val="clear" w:color="auto" w:fill="FFFFFF"/>
            <w:noWrap w:val="0"/>
            <w:vAlign w:val="center"/>
          </w:tcPr>
          <w:p w14:paraId="59C7AD3C">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baseline"/>
              <w:rPr>
                <w:rFonts w:hint="eastAsia" w:ascii="宋体" w:hAnsi="宋体"/>
                <w:color w:val="auto"/>
                <w:szCs w:val="21"/>
                <w:highlight w:val="none"/>
              </w:rPr>
            </w:pPr>
            <w:r>
              <w:rPr>
                <w:rFonts w:hint="eastAsia" w:ascii="宋体" w:hAnsi="宋体"/>
                <w:color w:val="auto"/>
                <w:szCs w:val="21"/>
                <w:highlight w:val="none"/>
              </w:rPr>
              <w:t>光伏组件</w:t>
            </w:r>
          </w:p>
        </w:tc>
        <w:tc>
          <w:tcPr>
            <w:tcW w:w="1875" w:type="dxa"/>
            <w:noWrap w:val="0"/>
            <w:vAlign w:val="top"/>
          </w:tcPr>
          <w:p w14:paraId="5C3F5A33">
            <w:pPr>
              <w:spacing w:line="360" w:lineRule="auto"/>
              <w:rPr>
                <w:rFonts w:hint="eastAsia" w:ascii="宋体" w:hAnsi="宋体"/>
                <w:color w:val="auto"/>
                <w:szCs w:val="21"/>
                <w:highlight w:val="none"/>
              </w:rPr>
            </w:pPr>
          </w:p>
        </w:tc>
        <w:tc>
          <w:tcPr>
            <w:tcW w:w="1320" w:type="dxa"/>
            <w:noWrap w:val="0"/>
            <w:vAlign w:val="top"/>
          </w:tcPr>
          <w:p w14:paraId="482D0C88">
            <w:pPr>
              <w:spacing w:line="360" w:lineRule="auto"/>
              <w:rPr>
                <w:rFonts w:hint="eastAsia" w:ascii="宋体" w:hAnsi="宋体"/>
                <w:color w:val="auto"/>
                <w:szCs w:val="21"/>
                <w:highlight w:val="none"/>
              </w:rPr>
            </w:pPr>
          </w:p>
        </w:tc>
        <w:tc>
          <w:tcPr>
            <w:tcW w:w="1534" w:type="dxa"/>
            <w:noWrap w:val="0"/>
            <w:vAlign w:val="top"/>
          </w:tcPr>
          <w:p w14:paraId="009B2006">
            <w:pPr>
              <w:spacing w:line="360" w:lineRule="auto"/>
              <w:rPr>
                <w:rFonts w:hint="eastAsia" w:ascii="宋体" w:hAnsi="宋体"/>
                <w:color w:val="auto"/>
                <w:szCs w:val="21"/>
                <w:highlight w:val="none"/>
              </w:rPr>
            </w:pPr>
          </w:p>
        </w:tc>
        <w:tc>
          <w:tcPr>
            <w:tcW w:w="1532" w:type="dxa"/>
            <w:noWrap w:val="0"/>
            <w:vAlign w:val="top"/>
          </w:tcPr>
          <w:p w14:paraId="7732C5CF">
            <w:pPr>
              <w:spacing w:line="360" w:lineRule="auto"/>
              <w:rPr>
                <w:rFonts w:hint="eastAsia" w:ascii="宋体" w:hAnsi="宋体"/>
                <w:color w:val="auto"/>
                <w:szCs w:val="21"/>
                <w:highlight w:val="none"/>
              </w:rPr>
            </w:pPr>
          </w:p>
        </w:tc>
      </w:tr>
      <w:tr w14:paraId="14E63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noWrap w:val="0"/>
            <w:vAlign w:val="top"/>
          </w:tcPr>
          <w:p w14:paraId="66A95E38">
            <w:pPr>
              <w:numPr>
                <w:ilvl w:val="0"/>
                <w:numId w:val="5"/>
              </w:numPr>
              <w:spacing w:line="360" w:lineRule="auto"/>
              <w:rPr>
                <w:rFonts w:hint="eastAsia" w:ascii="宋体" w:hAnsi="宋体"/>
                <w:color w:val="auto"/>
                <w:szCs w:val="21"/>
                <w:highlight w:val="none"/>
              </w:rPr>
            </w:pPr>
          </w:p>
        </w:tc>
        <w:tc>
          <w:tcPr>
            <w:tcW w:w="2212" w:type="dxa"/>
            <w:shd w:val="clear" w:color="auto" w:fill="FFFFFF"/>
            <w:noWrap w:val="0"/>
            <w:vAlign w:val="center"/>
          </w:tcPr>
          <w:p w14:paraId="6938B024">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baseline"/>
              <w:rPr>
                <w:rFonts w:hint="eastAsia" w:ascii="宋体" w:hAnsi="宋体"/>
                <w:color w:val="auto"/>
                <w:szCs w:val="21"/>
                <w:highlight w:val="none"/>
              </w:rPr>
            </w:pPr>
            <w:r>
              <w:rPr>
                <w:rFonts w:hint="eastAsia" w:ascii="宋体" w:hAnsi="宋体"/>
                <w:color w:val="auto"/>
                <w:szCs w:val="21"/>
                <w:highlight w:val="none"/>
              </w:rPr>
              <w:t>逆变器</w:t>
            </w:r>
          </w:p>
        </w:tc>
        <w:tc>
          <w:tcPr>
            <w:tcW w:w="1875" w:type="dxa"/>
            <w:noWrap w:val="0"/>
            <w:vAlign w:val="top"/>
          </w:tcPr>
          <w:p w14:paraId="73218A28">
            <w:pPr>
              <w:spacing w:line="360" w:lineRule="auto"/>
              <w:rPr>
                <w:rFonts w:hint="eastAsia" w:ascii="宋体" w:hAnsi="宋体"/>
                <w:color w:val="auto"/>
                <w:szCs w:val="21"/>
                <w:highlight w:val="none"/>
              </w:rPr>
            </w:pPr>
          </w:p>
        </w:tc>
        <w:tc>
          <w:tcPr>
            <w:tcW w:w="1320" w:type="dxa"/>
            <w:noWrap w:val="0"/>
            <w:vAlign w:val="top"/>
          </w:tcPr>
          <w:p w14:paraId="63C9EEEB">
            <w:pPr>
              <w:spacing w:line="360" w:lineRule="auto"/>
              <w:rPr>
                <w:rFonts w:hint="eastAsia" w:ascii="宋体" w:hAnsi="宋体"/>
                <w:color w:val="auto"/>
                <w:szCs w:val="21"/>
                <w:highlight w:val="none"/>
              </w:rPr>
            </w:pPr>
          </w:p>
        </w:tc>
        <w:tc>
          <w:tcPr>
            <w:tcW w:w="1534" w:type="dxa"/>
            <w:noWrap w:val="0"/>
            <w:vAlign w:val="top"/>
          </w:tcPr>
          <w:p w14:paraId="20A9E66F">
            <w:pPr>
              <w:spacing w:line="360" w:lineRule="auto"/>
              <w:rPr>
                <w:rFonts w:hint="eastAsia" w:ascii="宋体" w:hAnsi="宋体"/>
                <w:color w:val="auto"/>
                <w:szCs w:val="21"/>
                <w:highlight w:val="none"/>
              </w:rPr>
            </w:pPr>
          </w:p>
        </w:tc>
        <w:tc>
          <w:tcPr>
            <w:tcW w:w="1532" w:type="dxa"/>
            <w:noWrap w:val="0"/>
            <w:vAlign w:val="top"/>
          </w:tcPr>
          <w:p w14:paraId="6C7609D8">
            <w:pPr>
              <w:spacing w:line="360" w:lineRule="auto"/>
              <w:rPr>
                <w:rFonts w:hint="eastAsia" w:ascii="宋体" w:hAnsi="宋体"/>
                <w:color w:val="auto"/>
                <w:szCs w:val="21"/>
                <w:highlight w:val="none"/>
              </w:rPr>
            </w:pPr>
          </w:p>
        </w:tc>
      </w:tr>
      <w:tr w14:paraId="56F4D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noWrap w:val="0"/>
            <w:vAlign w:val="top"/>
          </w:tcPr>
          <w:p w14:paraId="1D8ABA47">
            <w:pPr>
              <w:numPr>
                <w:ilvl w:val="0"/>
                <w:numId w:val="5"/>
              </w:numPr>
              <w:spacing w:line="360" w:lineRule="auto"/>
              <w:rPr>
                <w:rFonts w:hint="eastAsia" w:ascii="宋体" w:hAnsi="宋体"/>
                <w:color w:val="auto"/>
                <w:szCs w:val="21"/>
                <w:highlight w:val="none"/>
              </w:rPr>
            </w:pPr>
          </w:p>
        </w:tc>
        <w:tc>
          <w:tcPr>
            <w:tcW w:w="2212" w:type="dxa"/>
            <w:shd w:val="clear" w:color="auto" w:fill="FFFFFF"/>
            <w:noWrap w:val="0"/>
            <w:vAlign w:val="center"/>
          </w:tcPr>
          <w:p w14:paraId="724A85BD">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baseline"/>
              <w:rPr>
                <w:rFonts w:hint="eastAsia" w:ascii="宋体" w:hAnsi="宋体"/>
                <w:color w:val="auto"/>
                <w:szCs w:val="21"/>
                <w:highlight w:val="none"/>
              </w:rPr>
            </w:pPr>
            <w:r>
              <w:rPr>
                <w:rFonts w:hint="eastAsia" w:ascii="宋体" w:hAnsi="宋体"/>
                <w:color w:val="auto"/>
                <w:szCs w:val="21"/>
                <w:highlight w:val="none"/>
              </w:rPr>
              <w:t>汽车充电桩</w:t>
            </w:r>
          </w:p>
        </w:tc>
        <w:tc>
          <w:tcPr>
            <w:tcW w:w="1875" w:type="dxa"/>
            <w:noWrap w:val="0"/>
            <w:vAlign w:val="top"/>
          </w:tcPr>
          <w:p w14:paraId="2B75F694">
            <w:pPr>
              <w:spacing w:line="360" w:lineRule="auto"/>
              <w:rPr>
                <w:rFonts w:hint="eastAsia" w:ascii="宋体" w:hAnsi="宋体"/>
                <w:color w:val="auto"/>
                <w:szCs w:val="21"/>
                <w:highlight w:val="none"/>
              </w:rPr>
            </w:pPr>
          </w:p>
        </w:tc>
        <w:tc>
          <w:tcPr>
            <w:tcW w:w="1320" w:type="dxa"/>
            <w:noWrap w:val="0"/>
            <w:vAlign w:val="top"/>
          </w:tcPr>
          <w:p w14:paraId="1ADBC323">
            <w:pPr>
              <w:spacing w:line="360" w:lineRule="auto"/>
              <w:rPr>
                <w:rFonts w:hint="eastAsia" w:ascii="宋体" w:hAnsi="宋体"/>
                <w:color w:val="auto"/>
                <w:szCs w:val="21"/>
                <w:highlight w:val="none"/>
              </w:rPr>
            </w:pPr>
          </w:p>
        </w:tc>
        <w:tc>
          <w:tcPr>
            <w:tcW w:w="1534" w:type="dxa"/>
            <w:noWrap w:val="0"/>
            <w:vAlign w:val="top"/>
          </w:tcPr>
          <w:p w14:paraId="7F09533F">
            <w:pPr>
              <w:spacing w:line="360" w:lineRule="auto"/>
              <w:rPr>
                <w:rFonts w:hint="eastAsia" w:ascii="宋体" w:hAnsi="宋体"/>
                <w:color w:val="auto"/>
                <w:szCs w:val="21"/>
                <w:highlight w:val="none"/>
              </w:rPr>
            </w:pPr>
          </w:p>
        </w:tc>
        <w:tc>
          <w:tcPr>
            <w:tcW w:w="1532" w:type="dxa"/>
            <w:noWrap w:val="0"/>
            <w:vAlign w:val="top"/>
          </w:tcPr>
          <w:p w14:paraId="61F81B2C">
            <w:pPr>
              <w:spacing w:line="360" w:lineRule="auto"/>
              <w:rPr>
                <w:rFonts w:hint="eastAsia" w:ascii="宋体" w:hAnsi="宋体"/>
                <w:color w:val="auto"/>
                <w:szCs w:val="21"/>
                <w:highlight w:val="none"/>
              </w:rPr>
            </w:pPr>
          </w:p>
        </w:tc>
      </w:tr>
    </w:tbl>
    <w:p w14:paraId="604D8B81">
      <w:pPr>
        <w:spacing w:line="480" w:lineRule="auto"/>
        <w:ind w:firstLine="420" w:firstLineChars="200"/>
        <w:rPr>
          <w:rFonts w:hint="eastAsia" w:ascii="宋体" w:hAnsi="宋体"/>
          <w:color w:val="auto"/>
          <w:szCs w:val="21"/>
          <w:highlight w:val="none"/>
        </w:rPr>
      </w:pPr>
    </w:p>
    <w:p w14:paraId="77FE95A3">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投标人名称：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79F61D96">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242298B5">
      <w:pPr>
        <w:spacing w:line="480" w:lineRule="auto"/>
        <w:rPr>
          <w:rFonts w:hint="eastAsia"/>
          <w:b/>
          <w:color w:val="auto"/>
          <w:sz w:val="28"/>
          <w:szCs w:val="28"/>
          <w:highlight w:val="none"/>
        </w:rPr>
      </w:pPr>
      <w:r>
        <w:rPr>
          <w:rFonts w:hint="eastAsia" w:ascii="宋体" w:hAnsi="宋体"/>
          <w:color w:val="auto"/>
          <w:szCs w:val="21"/>
          <w:highlight w:val="none"/>
        </w:rPr>
        <w:t xml:space="preserve">                                  日    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80079C3">
      <w:pPr>
        <w:rPr>
          <w:rFonts w:hint="eastAsia"/>
          <w:bCs/>
          <w:szCs w:val="32"/>
          <w:highlight w:val="none"/>
        </w:rPr>
      </w:pPr>
      <w:r>
        <w:rPr>
          <w:rFonts w:hint="eastAsia"/>
          <w:bCs/>
          <w:szCs w:val="32"/>
          <w:highlight w:val="none"/>
        </w:rPr>
        <w:br w:type="page"/>
      </w:r>
    </w:p>
    <w:p w14:paraId="172B3F58">
      <w:pPr>
        <w:pStyle w:val="44"/>
        <w:spacing w:beforeLines="50" w:afterLines="50" w:line="440" w:lineRule="exact"/>
        <w:rPr>
          <w:bCs/>
          <w:szCs w:val="32"/>
          <w:highlight w:val="none"/>
        </w:rPr>
      </w:pPr>
      <w:r>
        <w:rPr>
          <w:rFonts w:hint="eastAsia"/>
          <w:bCs/>
          <w:szCs w:val="32"/>
          <w:highlight w:val="none"/>
        </w:rPr>
        <w:t>第</w:t>
      </w:r>
      <w:r>
        <w:rPr>
          <w:rFonts w:hint="eastAsia"/>
          <w:bCs/>
          <w:szCs w:val="32"/>
          <w:highlight w:val="none"/>
          <w:lang w:val="en-US" w:eastAsia="zh-CN"/>
        </w:rPr>
        <w:t>十</w:t>
      </w:r>
      <w:r>
        <w:rPr>
          <w:rFonts w:hint="eastAsia"/>
          <w:bCs/>
          <w:szCs w:val="32"/>
          <w:highlight w:val="none"/>
        </w:rPr>
        <w:t>章  招标单位、招标代理机构对本招标文件的确认</w:t>
      </w:r>
      <w:bookmarkEnd w:id="1004"/>
    </w:p>
    <w:p w14:paraId="7D391125">
      <w:pPr>
        <w:pStyle w:val="20"/>
        <w:rPr>
          <w:highlight w:val="none"/>
        </w:rPr>
      </w:pPr>
    </w:p>
    <w:tbl>
      <w:tblPr>
        <w:tblStyle w:val="47"/>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28B5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9" w:hRule="atLeast"/>
          <w:jc w:val="center"/>
        </w:trPr>
        <w:tc>
          <w:tcPr>
            <w:tcW w:w="9580" w:type="dxa"/>
            <w:noWrap/>
          </w:tcPr>
          <w:p w14:paraId="45DC8EDB">
            <w:pPr>
              <w:wordWrap w:val="0"/>
              <w:adjustRightInd w:val="0"/>
              <w:snapToGrid w:val="0"/>
              <w:spacing w:line="560" w:lineRule="exact"/>
              <w:rPr>
                <w:sz w:val="30"/>
                <w:highlight w:val="none"/>
              </w:rPr>
            </w:pPr>
          </w:p>
          <w:p w14:paraId="3CB446EA">
            <w:pPr>
              <w:wordWrap w:val="0"/>
              <w:spacing w:line="560" w:lineRule="exact"/>
              <w:ind w:firstLine="560" w:firstLineChars="200"/>
              <w:rPr>
                <w:sz w:val="28"/>
                <w:szCs w:val="28"/>
                <w:highlight w:val="none"/>
              </w:rPr>
            </w:pPr>
            <w:r>
              <w:rPr>
                <w:rFonts w:hint="eastAsia"/>
                <w:sz w:val="28"/>
                <w:szCs w:val="28"/>
                <w:highlight w:val="none"/>
              </w:rPr>
              <w:t>我单位对</w:t>
            </w:r>
            <w:r>
              <w:rPr>
                <w:rFonts w:hint="eastAsia"/>
                <w:sz w:val="28"/>
                <w:szCs w:val="28"/>
                <w:highlight w:val="none"/>
                <w:u w:val="single"/>
              </w:rPr>
              <w:t xml:space="preserve"> </w:t>
            </w:r>
            <w:r>
              <w:rPr>
                <w:rFonts w:hint="eastAsia"/>
                <w:sz w:val="28"/>
                <w:szCs w:val="28"/>
                <w:highlight w:val="none"/>
                <w:u w:val="single"/>
                <w:lang w:eastAsia="zh-CN"/>
              </w:rPr>
              <w:t>滁州市人力资源产业园分布式光伏及充电桩项目</w:t>
            </w:r>
            <w:r>
              <w:rPr>
                <w:rFonts w:hint="eastAsia"/>
                <w:sz w:val="28"/>
                <w:szCs w:val="28"/>
                <w:highlight w:val="none"/>
              </w:rPr>
              <w:t>的招标文件进行确认。</w:t>
            </w:r>
          </w:p>
          <w:p w14:paraId="71A0CDF3">
            <w:pPr>
              <w:widowControl/>
              <w:spacing w:line="360" w:lineRule="auto"/>
              <w:ind w:firstLine="560" w:firstLineChars="200"/>
              <w:jc w:val="left"/>
              <w:rPr>
                <w:rFonts w:hint="eastAsia" w:ascii="宋体" w:hAnsi="宋体"/>
                <w:color w:val="auto"/>
                <w:sz w:val="28"/>
                <w:szCs w:val="28"/>
                <w:highlight w:val="none"/>
              </w:rPr>
            </w:pPr>
            <w:r>
              <w:rPr>
                <w:rFonts w:hint="eastAsia" w:ascii="宋体" w:hAnsi="宋体"/>
                <w:color w:val="auto"/>
                <w:sz w:val="28"/>
                <w:szCs w:val="28"/>
                <w:highlight w:val="none"/>
                <w:lang w:val="en-US" w:eastAsia="zh-CN"/>
              </w:rPr>
              <w:t>招标人</w:t>
            </w:r>
            <w:r>
              <w:rPr>
                <w:rFonts w:hint="eastAsia" w:ascii="宋体" w:hAnsi="宋体"/>
                <w:color w:val="auto"/>
                <w:sz w:val="28"/>
                <w:szCs w:val="28"/>
                <w:highlight w:val="none"/>
              </w:rPr>
              <w:t>：</w:t>
            </w:r>
            <w:r>
              <w:rPr>
                <w:rFonts w:hint="eastAsia" w:ascii="宋体" w:hAnsi="宋体"/>
                <w:color w:val="auto"/>
                <w:sz w:val="28"/>
                <w:szCs w:val="28"/>
                <w:highlight w:val="none"/>
                <w:lang w:eastAsia="zh-CN"/>
              </w:rPr>
              <w:t>滁州市翼然新能源开发有限公司</w:t>
            </w:r>
            <w:r>
              <w:rPr>
                <w:rFonts w:hint="eastAsia" w:ascii="宋体" w:hAnsi="宋体"/>
                <w:color w:val="auto"/>
                <w:sz w:val="28"/>
                <w:szCs w:val="28"/>
                <w:highlight w:val="none"/>
              </w:rPr>
              <w:t xml:space="preserve">  </w:t>
            </w:r>
          </w:p>
          <w:p w14:paraId="7E988D38">
            <w:pPr>
              <w:adjustRightInd w:val="0"/>
              <w:snapToGrid w:val="0"/>
              <w:spacing w:line="560" w:lineRule="exact"/>
              <w:ind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联 系 人</w:t>
            </w:r>
            <w:r>
              <w:rPr>
                <w:rFonts w:hint="eastAsia" w:ascii="宋体" w:hAnsi="宋体" w:cs="Times New Roman"/>
                <w:color w:val="auto"/>
                <w:sz w:val="28"/>
                <w:szCs w:val="28"/>
                <w:highlight w:val="none"/>
                <w:lang w:eastAsia="zh-CN"/>
              </w:rPr>
              <w:t>：</w:t>
            </w:r>
            <w:r>
              <w:rPr>
                <w:rFonts w:hint="eastAsia" w:ascii="宋体" w:hAnsi="宋体" w:cs="Times New Roman"/>
                <w:color w:val="auto"/>
                <w:sz w:val="28"/>
                <w:szCs w:val="28"/>
                <w:highlight w:val="none"/>
                <w:lang w:val="en-US" w:eastAsia="zh-CN"/>
              </w:rPr>
              <w:t>王以伟</w:t>
            </w:r>
            <w:r>
              <w:rPr>
                <w:rFonts w:hint="eastAsia" w:ascii="宋体" w:hAnsi="宋体" w:eastAsia="宋体" w:cs="Times New Roman"/>
                <w:color w:val="auto"/>
                <w:sz w:val="28"/>
                <w:szCs w:val="28"/>
                <w:highlight w:val="none"/>
              </w:rPr>
              <w:t xml:space="preserve"> </w:t>
            </w:r>
            <w:r>
              <w:rPr>
                <w:rFonts w:hint="eastAsia" w:ascii="宋体" w:hAnsi="宋体" w:eastAsia="宋体" w:cs="Times New Roman"/>
                <w:color w:val="auto"/>
                <w:sz w:val="28"/>
                <w:szCs w:val="28"/>
                <w:highlight w:val="none"/>
                <w:lang w:val="en-US" w:eastAsia="zh-CN"/>
              </w:rPr>
              <w:t xml:space="preserve"> </w:t>
            </w:r>
          </w:p>
          <w:p w14:paraId="01C406FE">
            <w:pPr>
              <w:spacing w:line="560" w:lineRule="exact"/>
              <w:ind w:firstLine="560" w:firstLineChars="200"/>
              <w:rPr>
                <w:rFonts w:ascii="宋体" w:hAnsi="宋体"/>
                <w:sz w:val="28"/>
                <w:szCs w:val="28"/>
                <w:highlight w:val="none"/>
              </w:rPr>
            </w:pPr>
            <w:r>
              <w:rPr>
                <w:rFonts w:hint="eastAsia" w:ascii="宋体" w:hAnsi="宋体" w:eastAsia="宋体" w:cs="宋体"/>
                <w:sz w:val="28"/>
                <w:szCs w:val="28"/>
                <w:highlight w:val="none"/>
              </w:rPr>
              <w:t>联系电话：</w:t>
            </w:r>
            <w:r>
              <w:rPr>
                <w:rFonts w:hint="eastAsia" w:ascii="宋体" w:hAnsi="宋体"/>
                <w:color w:val="auto"/>
                <w:sz w:val="28"/>
                <w:szCs w:val="28"/>
                <w:highlight w:val="none"/>
                <w:lang w:val="en-US" w:eastAsia="zh-CN"/>
              </w:rPr>
              <w:t>0550-2350288</w:t>
            </w:r>
            <w:r>
              <w:rPr>
                <w:rFonts w:hint="eastAsia" w:ascii="宋体" w:hAnsi="宋体"/>
                <w:color w:val="auto"/>
                <w:sz w:val="28"/>
                <w:szCs w:val="28"/>
                <w:highlight w:val="none"/>
              </w:rPr>
              <w:t xml:space="preserve">  </w:t>
            </w:r>
          </w:p>
          <w:p w14:paraId="2BCF4FCB">
            <w:pPr>
              <w:wordWrap w:val="0"/>
              <w:spacing w:line="560" w:lineRule="exact"/>
              <w:ind w:firstLine="560" w:firstLineChars="200"/>
              <w:rPr>
                <w:rFonts w:ascii="宋体" w:hAnsi="宋体"/>
                <w:sz w:val="28"/>
                <w:szCs w:val="28"/>
                <w:highlight w:val="none"/>
              </w:rPr>
            </w:pPr>
          </w:p>
          <w:p w14:paraId="3879E6FD">
            <w:pPr>
              <w:wordWrap w:val="0"/>
              <w:spacing w:line="560" w:lineRule="exact"/>
              <w:ind w:firstLine="560" w:firstLineChars="200"/>
              <w:rPr>
                <w:rFonts w:ascii="宋体" w:hAnsi="宋体"/>
                <w:sz w:val="28"/>
                <w:szCs w:val="28"/>
                <w:highlight w:val="none"/>
              </w:rPr>
            </w:pPr>
          </w:p>
          <w:p w14:paraId="6BD2A618">
            <w:pPr>
              <w:wordWrap w:val="0"/>
              <w:spacing w:line="560" w:lineRule="exact"/>
              <w:ind w:firstLine="5740" w:firstLineChars="2050"/>
              <w:rPr>
                <w:rFonts w:ascii="宋体" w:hAnsi="宋体"/>
                <w:sz w:val="28"/>
                <w:szCs w:val="28"/>
                <w:highlight w:val="none"/>
              </w:rPr>
            </w:pPr>
            <w:r>
              <w:rPr>
                <w:rFonts w:hint="eastAsia" w:ascii="宋体" w:hAnsi="宋体"/>
                <w:sz w:val="28"/>
                <w:szCs w:val="28"/>
                <w:highlight w:val="none"/>
              </w:rPr>
              <w:t>（单位盖章）</w:t>
            </w:r>
          </w:p>
          <w:p w14:paraId="0DB51C41">
            <w:pPr>
              <w:spacing w:line="560" w:lineRule="exact"/>
              <w:ind w:firstLine="5880" w:firstLineChars="2100"/>
              <w:rPr>
                <w:rFonts w:ascii="宋体" w:hAnsi="宋体"/>
                <w:sz w:val="28"/>
                <w:szCs w:val="28"/>
                <w:highlight w:val="none"/>
              </w:rPr>
            </w:pPr>
            <w:r>
              <w:rPr>
                <w:rFonts w:hint="eastAsia" w:ascii="宋体" w:hAnsi="宋体"/>
                <w:sz w:val="28"/>
                <w:szCs w:val="28"/>
                <w:highlight w:val="none"/>
              </w:rPr>
              <w:t>202</w:t>
            </w:r>
            <w:r>
              <w:rPr>
                <w:rFonts w:hint="eastAsia" w:ascii="宋体" w:hAnsi="宋体"/>
                <w:sz w:val="28"/>
                <w:szCs w:val="28"/>
                <w:highlight w:val="none"/>
                <w:lang w:val="en-US" w:eastAsia="zh-CN"/>
              </w:rPr>
              <w:t>6</w:t>
            </w:r>
            <w:r>
              <w:rPr>
                <w:rFonts w:hint="eastAsia" w:ascii="宋体" w:hAnsi="宋体"/>
                <w:sz w:val="28"/>
                <w:szCs w:val="28"/>
                <w:highlight w:val="none"/>
              </w:rPr>
              <w:t>年</w:t>
            </w:r>
            <w:r>
              <w:rPr>
                <w:rFonts w:hint="eastAsia" w:ascii="宋体" w:hAnsi="宋体"/>
                <w:sz w:val="28"/>
                <w:szCs w:val="28"/>
                <w:highlight w:val="none"/>
                <w:lang w:val="en-US" w:eastAsia="zh-CN"/>
              </w:rPr>
              <w:t>3</w:t>
            </w:r>
            <w:r>
              <w:rPr>
                <w:rFonts w:hint="eastAsia" w:ascii="宋体" w:hAnsi="宋体"/>
                <w:sz w:val="28"/>
                <w:szCs w:val="28"/>
                <w:highlight w:val="none"/>
              </w:rPr>
              <w:t>月</w:t>
            </w:r>
          </w:p>
          <w:p w14:paraId="72A7FF77">
            <w:pPr>
              <w:pStyle w:val="14"/>
              <w:ind w:firstLine="420"/>
              <w:rPr>
                <w:highlight w:val="none"/>
              </w:rPr>
            </w:pPr>
          </w:p>
        </w:tc>
      </w:tr>
      <w:tr w14:paraId="05F32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3" w:hRule="atLeast"/>
          <w:jc w:val="center"/>
        </w:trPr>
        <w:tc>
          <w:tcPr>
            <w:tcW w:w="9580" w:type="dxa"/>
            <w:noWrap/>
          </w:tcPr>
          <w:p w14:paraId="2080D8D4">
            <w:pPr>
              <w:spacing w:line="560" w:lineRule="exact"/>
              <w:ind w:firstLine="560" w:firstLineChars="200"/>
              <w:rPr>
                <w:rFonts w:ascii="宋体" w:hAnsi="宋体" w:cs="宋体"/>
                <w:sz w:val="28"/>
                <w:szCs w:val="28"/>
                <w:highlight w:val="none"/>
              </w:rPr>
            </w:pPr>
          </w:p>
          <w:p w14:paraId="297A006E">
            <w:pPr>
              <w:spacing w:line="560" w:lineRule="exact"/>
              <w:ind w:firstLine="560" w:firstLineChars="200"/>
              <w:rPr>
                <w:rFonts w:ascii="宋体" w:hAnsi="宋体" w:cs="宋体"/>
                <w:sz w:val="28"/>
                <w:szCs w:val="28"/>
                <w:highlight w:val="none"/>
                <w:u w:val="single"/>
              </w:rPr>
            </w:pPr>
            <w:r>
              <w:rPr>
                <w:rFonts w:hint="eastAsia" w:ascii="宋体" w:hAnsi="宋体" w:cs="宋体"/>
                <w:sz w:val="28"/>
                <w:szCs w:val="28"/>
                <w:highlight w:val="none"/>
              </w:rPr>
              <w:t>招标代理机构：</w:t>
            </w:r>
            <w:r>
              <w:rPr>
                <w:rFonts w:hint="eastAsia"/>
                <w:sz w:val="28"/>
                <w:szCs w:val="28"/>
                <w:highlight w:val="none"/>
              </w:rPr>
              <w:t>滁州市城投工程咨询管理有限公司</w:t>
            </w:r>
          </w:p>
          <w:p w14:paraId="04195C3D">
            <w:pPr>
              <w:spacing w:line="560" w:lineRule="exact"/>
              <w:ind w:firstLine="560" w:firstLineChars="200"/>
              <w:rPr>
                <w:rFonts w:hint="default" w:ascii="宋体" w:hAnsi="宋体" w:eastAsia="宋体" w:cs="宋体"/>
                <w:sz w:val="28"/>
                <w:szCs w:val="28"/>
                <w:highlight w:val="none"/>
                <w:u w:val="single"/>
                <w:lang w:val="en-US" w:eastAsia="zh-CN"/>
              </w:rPr>
            </w:pPr>
            <w:r>
              <w:rPr>
                <w:rFonts w:hint="eastAsia" w:ascii="宋体" w:hAnsi="宋体" w:cs="宋体"/>
                <w:sz w:val="28"/>
                <w:szCs w:val="28"/>
                <w:highlight w:val="none"/>
              </w:rPr>
              <w:t>联 系 人：</w:t>
            </w:r>
            <w:r>
              <w:rPr>
                <w:rFonts w:hint="eastAsia" w:ascii="宋体" w:hAnsi="宋体" w:cs="宋体"/>
                <w:sz w:val="28"/>
                <w:szCs w:val="28"/>
                <w:highlight w:val="none"/>
                <w:lang w:val="en-US" w:eastAsia="zh-CN"/>
              </w:rPr>
              <w:t>周蓓蕾</w:t>
            </w:r>
          </w:p>
          <w:p w14:paraId="47E8E678">
            <w:pPr>
              <w:spacing w:line="560" w:lineRule="exact"/>
              <w:ind w:firstLine="560" w:firstLineChars="200"/>
              <w:rPr>
                <w:rFonts w:hint="eastAsia" w:ascii="宋体" w:hAnsi="宋体" w:eastAsia="宋体" w:cs="宋体"/>
                <w:sz w:val="28"/>
                <w:szCs w:val="28"/>
                <w:highlight w:val="none"/>
                <w:lang w:val="en-US" w:eastAsia="zh-CN"/>
              </w:rPr>
            </w:pPr>
            <w:r>
              <w:rPr>
                <w:rFonts w:hint="eastAsia" w:ascii="宋体" w:hAnsi="宋体" w:cs="宋体"/>
                <w:sz w:val="28"/>
                <w:szCs w:val="28"/>
                <w:highlight w:val="none"/>
              </w:rPr>
              <w:t>联系电话：0550-351951</w:t>
            </w:r>
            <w:r>
              <w:rPr>
                <w:rFonts w:hint="eastAsia" w:ascii="宋体" w:hAnsi="宋体" w:cs="宋体"/>
                <w:sz w:val="28"/>
                <w:szCs w:val="28"/>
                <w:highlight w:val="none"/>
                <w:lang w:val="en-US" w:eastAsia="zh-CN"/>
              </w:rPr>
              <w:t>9</w:t>
            </w:r>
            <w:r>
              <w:rPr>
                <w:rFonts w:hint="eastAsia" w:ascii="宋体" w:hAnsi="宋体" w:cs="宋体"/>
                <w:sz w:val="28"/>
                <w:szCs w:val="28"/>
                <w:highlight w:val="none"/>
              </w:rPr>
              <w:t>、</w:t>
            </w:r>
            <w:r>
              <w:rPr>
                <w:rFonts w:hint="eastAsia" w:ascii="宋体" w:hAnsi="宋体" w:cs="宋体"/>
                <w:sz w:val="28"/>
                <w:szCs w:val="28"/>
                <w:highlight w:val="none"/>
                <w:lang w:eastAsia="zh-CN"/>
              </w:rPr>
              <w:t>18005505728</w:t>
            </w:r>
          </w:p>
          <w:p w14:paraId="60018F68">
            <w:pPr>
              <w:spacing w:line="560" w:lineRule="exact"/>
              <w:ind w:firstLine="5040" w:firstLineChars="1800"/>
              <w:rPr>
                <w:rFonts w:ascii="宋体" w:hAnsi="宋体" w:cs="宋体"/>
                <w:sz w:val="28"/>
                <w:szCs w:val="28"/>
                <w:highlight w:val="none"/>
              </w:rPr>
            </w:pPr>
          </w:p>
          <w:p w14:paraId="0781C8CF">
            <w:pPr>
              <w:spacing w:line="560" w:lineRule="exact"/>
              <w:ind w:firstLine="5460" w:firstLineChars="1950"/>
              <w:rPr>
                <w:rFonts w:ascii="宋体" w:hAnsi="宋体" w:cs="宋体"/>
                <w:sz w:val="28"/>
                <w:szCs w:val="28"/>
                <w:highlight w:val="none"/>
              </w:rPr>
            </w:pPr>
          </w:p>
          <w:p w14:paraId="007A8FCC">
            <w:pPr>
              <w:spacing w:line="560" w:lineRule="exact"/>
              <w:ind w:firstLine="5460" w:firstLineChars="1950"/>
              <w:rPr>
                <w:rFonts w:ascii="宋体" w:hAnsi="宋体" w:cs="宋体"/>
                <w:sz w:val="28"/>
                <w:szCs w:val="28"/>
                <w:highlight w:val="none"/>
              </w:rPr>
            </w:pPr>
          </w:p>
          <w:p w14:paraId="0A1FE158">
            <w:pPr>
              <w:spacing w:line="560" w:lineRule="exact"/>
              <w:ind w:firstLine="5880" w:firstLineChars="2100"/>
              <w:rPr>
                <w:rFonts w:ascii="宋体" w:hAnsi="宋体" w:cs="宋体"/>
                <w:sz w:val="28"/>
                <w:szCs w:val="28"/>
                <w:highlight w:val="none"/>
              </w:rPr>
            </w:pPr>
            <w:r>
              <w:rPr>
                <w:rFonts w:hint="eastAsia" w:ascii="宋体" w:hAnsi="宋体" w:cs="宋体"/>
                <w:sz w:val="28"/>
                <w:szCs w:val="28"/>
                <w:highlight w:val="none"/>
              </w:rPr>
              <w:t>（单位盖章）</w:t>
            </w:r>
          </w:p>
          <w:p w14:paraId="144B0D1C">
            <w:pPr>
              <w:spacing w:line="560" w:lineRule="exact"/>
              <w:ind w:firstLine="6020" w:firstLineChars="2150"/>
              <w:rPr>
                <w:rFonts w:ascii="宋体" w:hAnsi="宋体"/>
                <w:sz w:val="28"/>
                <w:szCs w:val="28"/>
                <w:highlight w:val="none"/>
              </w:rPr>
            </w:pPr>
            <w:r>
              <w:rPr>
                <w:rFonts w:hint="eastAsia" w:ascii="宋体" w:hAnsi="宋体"/>
                <w:sz w:val="28"/>
                <w:szCs w:val="28"/>
                <w:highlight w:val="none"/>
              </w:rPr>
              <w:t>202</w:t>
            </w:r>
            <w:r>
              <w:rPr>
                <w:rFonts w:hint="eastAsia" w:ascii="宋体" w:hAnsi="宋体"/>
                <w:sz w:val="28"/>
                <w:szCs w:val="28"/>
                <w:highlight w:val="none"/>
                <w:lang w:val="en-US" w:eastAsia="zh-CN"/>
              </w:rPr>
              <w:t>6</w:t>
            </w:r>
            <w:r>
              <w:rPr>
                <w:rFonts w:hint="eastAsia" w:ascii="宋体" w:hAnsi="宋体"/>
                <w:sz w:val="28"/>
                <w:szCs w:val="28"/>
                <w:highlight w:val="none"/>
              </w:rPr>
              <w:t>年</w:t>
            </w:r>
            <w:r>
              <w:rPr>
                <w:rFonts w:hint="eastAsia" w:ascii="宋体" w:hAnsi="宋体"/>
                <w:sz w:val="28"/>
                <w:szCs w:val="28"/>
                <w:highlight w:val="none"/>
                <w:lang w:val="en-US" w:eastAsia="zh-CN"/>
              </w:rPr>
              <w:t>3</w:t>
            </w:r>
            <w:r>
              <w:rPr>
                <w:rFonts w:hint="eastAsia" w:ascii="宋体" w:hAnsi="宋体"/>
                <w:sz w:val="28"/>
                <w:szCs w:val="28"/>
                <w:highlight w:val="none"/>
              </w:rPr>
              <w:t>月</w:t>
            </w:r>
          </w:p>
          <w:p w14:paraId="4EDF8AEB">
            <w:pPr>
              <w:pStyle w:val="14"/>
              <w:ind w:firstLine="420"/>
              <w:rPr>
                <w:highlight w:val="none"/>
              </w:rPr>
            </w:pPr>
          </w:p>
        </w:tc>
      </w:tr>
    </w:tbl>
    <w:p w14:paraId="2D7DD9E9">
      <w:r>
        <w:br w:type="page"/>
      </w:r>
    </w:p>
    <w:p w14:paraId="4A0ED87B">
      <w:pPr>
        <w:keepNext/>
        <w:keepLines/>
        <w:spacing w:before="200" w:after="200" w:line="600" w:lineRule="exact"/>
        <w:outlineLvl w:val="0"/>
        <w:rPr>
          <w:rFonts w:ascii="黑体" w:hAnsi="黑体" w:eastAsia="黑体"/>
          <w:b/>
          <w:bCs/>
          <w:color w:val="000000"/>
          <w:kern w:val="44"/>
          <w:sz w:val="28"/>
          <w:szCs w:val="28"/>
        </w:rPr>
      </w:pPr>
      <w:bookmarkStart w:id="1006" w:name="OLE_LINK24"/>
      <w:bookmarkStart w:id="1007" w:name="OLE_LINK25"/>
      <w:r>
        <w:rPr>
          <w:rFonts w:hint="eastAsia" w:ascii="黑体" w:hAnsi="黑体" w:eastAsia="黑体"/>
          <w:b/>
          <w:bCs/>
          <w:color w:val="000000"/>
          <w:kern w:val="44"/>
          <w:sz w:val="36"/>
          <w:szCs w:val="28"/>
        </w:rPr>
        <w:t>附件1 关于联合惩戒失信行为加强信用查询管理的通知</w:t>
      </w:r>
    </w:p>
    <w:p w14:paraId="4CF9FEAE">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一、失信行为联合惩戒的范围和查询渠道</w:t>
      </w:r>
    </w:p>
    <w:p w14:paraId="7DDEC04B">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在我市公共资源交易活动中对存在下列失信行为的投标人、法定代表人及其项目经理（建造师）实施联合惩戒，禁止参与我市公共资源交易活动。</w:t>
      </w:r>
    </w:p>
    <w:p w14:paraId="3CB9C23C">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（一）工程建设项目</w:t>
      </w:r>
    </w:p>
    <w:bookmarkEnd w:id="1006"/>
    <w:bookmarkEnd w:id="1007"/>
    <w:p w14:paraId="3A622E28">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1、“信用中国”网站（www.creditchina.gov.cn）查询</w:t>
      </w:r>
      <w:bookmarkStart w:id="1008" w:name="OLE_LINK91"/>
      <w:bookmarkStart w:id="1009" w:name="OLE_LINK93"/>
      <w:bookmarkStart w:id="1010" w:name="OLE_LINK103"/>
      <w:bookmarkStart w:id="1011" w:name="OLE_LINK92"/>
      <w:r>
        <w:rPr>
          <w:rFonts w:hint="eastAsia" w:ascii="仿宋_GB2312" w:hAnsi="宋体" w:eastAsia="仿宋_GB2312"/>
          <w:color w:val="000000"/>
          <w:sz w:val="28"/>
          <w:szCs w:val="28"/>
        </w:rPr>
        <w:t>投标人、法定代表人及其项目经理(建造师)</w:t>
      </w:r>
      <w:bookmarkEnd w:id="1008"/>
      <w:bookmarkEnd w:id="1009"/>
      <w:bookmarkEnd w:id="1010"/>
      <w:bookmarkEnd w:id="1011"/>
      <w:r>
        <w:rPr>
          <w:rFonts w:hint="eastAsia" w:ascii="仿宋_GB2312" w:hAnsi="宋体" w:eastAsia="仿宋_GB2312"/>
          <w:color w:val="000000"/>
          <w:sz w:val="28"/>
          <w:szCs w:val="28"/>
        </w:rPr>
        <w:t>以下失信行为：</w:t>
      </w:r>
    </w:p>
    <w:p w14:paraId="324C406B">
      <w:pPr>
        <w:adjustRightInd w:val="0"/>
        <w:snapToGrid w:val="0"/>
        <w:spacing w:line="560" w:lineRule="exact"/>
        <w:ind w:firstLine="560" w:firstLineChars="200"/>
        <w:rPr>
          <w:rFonts w:hint="eastAsia" w:ascii="仿宋_GB2312" w:hAnsi="宋体" w:eastAsia="仿宋_GB2312"/>
          <w:color w:val="000000"/>
          <w:sz w:val="28"/>
          <w:szCs w:val="28"/>
        </w:rPr>
      </w:pPr>
      <w:bookmarkStart w:id="1012" w:name="OLE_LINK94"/>
      <w:bookmarkStart w:id="1013" w:name="OLE_LINK86"/>
      <w:bookmarkStart w:id="1014" w:name="OLE_LINK119"/>
      <w:bookmarkStart w:id="1015" w:name="OLE_LINK21"/>
      <w:bookmarkStart w:id="1016" w:name="OLE_LINK87"/>
      <w:r>
        <w:rPr>
          <w:rFonts w:hint="eastAsia" w:ascii="仿宋_GB2312" w:hAnsi="宋体" w:eastAsia="仿宋_GB2312"/>
          <w:color w:val="000000"/>
          <w:sz w:val="28"/>
          <w:szCs w:val="28"/>
        </w:rPr>
        <w:t>①被列入“失信被执行人”的;</w:t>
      </w:r>
    </w:p>
    <w:p w14:paraId="57A69061">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②被列入</w:t>
      </w:r>
      <w:bookmarkStart w:id="1017" w:name="OLE_LINK115"/>
      <w:bookmarkStart w:id="1018" w:name="OLE_LINK117"/>
      <w:bookmarkStart w:id="1019" w:name="OLE_LINK116"/>
      <w:bookmarkStart w:id="1020" w:name="OLE_LINK118"/>
      <w:r>
        <w:rPr>
          <w:rFonts w:hint="eastAsia" w:ascii="仿宋_GB2312" w:hAnsi="宋体" w:eastAsia="仿宋_GB2312"/>
          <w:color w:val="000000"/>
          <w:sz w:val="28"/>
          <w:szCs w:val="28"/>
        </w:rPr>
        <w:t>“重大税收违法失信主体”</w:t>
      </w:r>
      <w:bookmarkEnd w:id="1017"/>
      <w:bookmarkEnd w:id="1018"/>
      <w:bookmarkEnd w:id="1019"/>
      <w:bookmarkEnd w:id="1020"/>
      <w:r>
        <w:rPr>
          <w:rFonts w:hint="eastAsia" w:ascii="仿宋_GB2312" w:hAnsi="宋体" w:eastAsia="仿宋_GB2312"/>
          <w:color w:val="000000"/>
          <w:sz w:val="28"/>
          <w:szCs w:val="28"/>
        </w:rPr>
        <w:t>的；</w:t>
      </w:r>
    </w:p>
    <w:p w14:paraId="21193028">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③被列入“拖欠</w:t>
      </w:r>
      <w:bookmarkStart w:id="1021" w:name="OLE_LINK84"/>
      <w:bookmarkStart w:id="1022" w:name="OLE_LINK85"/>
      <w:r>
        <w:rPr>
          <w:rFonts w:hint="eastAsia" w:ascii="仿宋_GB2312" w:hAnsi="宋体" w:eastAsia="仿宋_GB2312"/>
          <w:color w:val="000000"/>
          <w:sz w:val="28"/>
          <w:szCs w:val="28"/>
        </w:rPr>
        <w:t>农民工工资失信联合惩戒对象</w:t>
      </w:r>
      <w:bookmarkEnd w:id="1021"/>
      <w:bookmarkEnd w:id="1022"/>
      <w:r>
        <w:rPr>
          <w:rFonts w:hint="eastAsia" w:ascii="仿宋_GB2312" w:hAnsi="宋体" w:eastAsia="仿宋_GB2312"/>
          <w:color w:val="000000"/>
          <w:sz w:val="28"/>
          <w:szCs w:val="28"/>
        </w:rPr>
        <w:t>名单”的；</w:t>
      </w:r>
    </w:p>
    <w:p w14:paraId="47545EC6">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④被列入 “严重失信主体名单”的；</w:t>
      </w:r>
    </w:p>
    <w:p w14:paraId="527346AC">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⑤在“信用中国”网站上披露的仍在公示期的严重失信行为(具体行为类别及判定依据见附件2)的。</w:t>
      </w:r>
    </w:p>
    <w:bookmarkEnd w:id="1012"/>
    <w:bookmarkEnd w:id="1013"/>
    <w:bookmarkEnd w:id="1014"/>
    <w:bookmarkEnd w:id="1015"/>
    <w:bookmarkEnd w:id="1016"/>
    <w:p w14:paraId="52F6896A">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2、</w:t>
      </w:r>
      <w:bookmarkStart w:id="1023" w:name="OLE_LINK130"/>
      <w:r>
        <w:rPr>
          <w:rFonts w:hint="eastAsia" w:ascii="仿宋_GB2312" w:hAnsi="宋体" w:eastAsia="仿宋_GB2312"/>
          <w:color w:val="000000"/>
          <w:sz w:val="28"/>
          <w:szCs w:val="28"/>
        </w:rPr>
        <w:t>国家企业信用信息公示系统网站</w:t>
      </w:r>
      <w:bookmarkEnd w:id="1023"/>
      <w:r>
        <w:rPr>
          <w:rFonts w:hint="eastAsia" w:ascii="仿宋_GB2312" w:hAnsi="宋体" w:eastAsia="仿宋_GB2312"/>
          <w:color w:val="000000"/>
          <w:sz w:val="28"/>
          <w:szCs w:val="28"/>
        </w:rPr>
        <w:t>（</w:t>
      </w:r>
      <w:r>
        <w:rPr>
          <w:color w:val="000000"/>
        </w:rPr>
        <w:fldChar w:fldCharType="begin"/>
      </w:r>
      <w:r>
        <w:rPr>
          <w:color w:val="000000"/>
        </w:rPr>
        <w:instrText xml:space="preserve"> </w:instrText>
      </w:r>
      <w:r>
        <w:rPr>
          <w:rFonts w:hint="eastAsia"/>
          <w:color w:val="000000"/>
        </w:rPr>
        <w:instrText xml:space="preserve">HYPERLINK "http://www.gsxt.gov.cn）查询"</w:instrText>
      </w:r>
      <w:r>
        <w:rPr>
          <w:color w:val="000000"/>
        </w:rPr>
        <w:instrText xml:space="preserve"> </w:instrText>
      </w:r>
      <w:r>
        <w:rPr>
          <w:color w:val="000000"/>
        </w:rPr>
        <w:fldChar w:fldCharType="separate"/>
      </w:r>
      <w:bookmarkStart w:id="1024" w:name="OLE_LINK89"/>
      <w:bookmarkStart w:id="1025" w:name="OLE_LINK90"/>
      <w:r>
        <w:rPr>
          <w:rStyle w:val="58"/>
          <w:rFonts w:hint="eastAsia" w:ascii="仿宋_GB2312" w:hAnsi="宋体" w:eastAsia="仿宋_GB2312"/>
          <w:color w:val="000000"/>
          <w:sz w:val="28"/>
          <w:szCs w:val="28"/>
        </w:rPr>
        <w:t>www.gsxt.gov.cn</w:t>
      </w:r>
      <w:bookmarkEnd w:id="1024"/>
      <w:bookmarkEnd w:id="1025"/>
      <w:r>
        <w:rPr>
          <w:rStyle w:val="58"/>
          <w:rFonts w:hint="eastAsia" w:ascii="仿宋_GB2312" w:hAnsi="宋体" w:eastAsia="仿宋_GB2312"/>
          <w:color w:val="000000"/>
          <w:sz w:val="28"/>
          <w:szCs w:val="28"/>
        </w:rPr>
        <w:t>）</w:t>
      </w:r>
      <w:r>
        <w:rPr>
          <w:color w:val="000000"/>
        </w:rPr>
        <w:fldChar w:fldCharType="end"/>
      </w:r>
      <w:r>
        <w:rPr>
          <w:rFonts w:hint="eastAsia" w:ascii="仿宋_GB2312" w:hAnsi="宋体" w:eastAsia="仿宋_GB2312"/>
          <w:color w:val="000000"/>
          <w:sz w:val="28"/>
          <w:szCs w:val="28"/>
        </w:rPr>
        <w:t>查询投标人以下失信行为：</w:t>
      </w:r>
    </w:p>
    <w:p w14:paraId="46641C9F">
      <w:pPr>
        <w:adjustRightInd w:val="0"/>
        <w:snapToGrid w:val="0"/>
        <w:spacing w:line="560" w:lineRule="exact"/>
        <w:ind w:firstLine="560" w:firstLineChars="200"/>
        <w:rPr>
          <w:rFonts w:hint="eastAsia" w:ascii="仿宋_GB2312" w:hAnsi="宋体" w:eastAsia="仿宋_GB2312"/>
          <w:color w:val="000000"/>
          <w:sz w:val="28"/>
          <w:szCs w:val="28"/>
        </w:rPr>
      </w:pPr>
      <w:bookmarkStart w:id="1026" w:name="OLE_LINK122"/>
      <w:bookmarkStart w:id="1027" w:name="OLE_LINK121"/>
      <w:bookmarkStart w:id="1028" w:name="OLE_LINK120"/>
      <w:r>
        <w:rPr>
          <w:rFonts w:hint="eastAsia" w:ascii="仿宋_GB2312" w:hAnsi="宋体" w:eastAsia="仿宋_GB2312"/>
          <w:color w:val="000000"/>
          <w:sz w:val="28"/>
          <w:szCs w:val="28"/>
        </w:rPr>
        <w:t>①被列入“经营异常名录”或者“严重违法失信名单”的。</w:t>
      </w:r>
      <w:bookmarkEnd w:id="1026"/>
      <w:bookmarkEnd w:id="1027"/>
      <w:bookmarkEnd w:id="1028"/>
    </w:p>
    <w:p w14:paraId="097DAFC7">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3、由</w:t>
      </w:r>
      <w:r>
        <w:rPr>
          <w:rFonts w:hint="eastAsia" w:ascii="仿宋_GB2312" w:hAnsi="宋体" w:eastAsia="仿宋_GB2312"/>
          <w:color w:val="000000"/>
          <w:kern w:val="0"/>
          <w:sz w:val="28"/>
          <w:szCs w:val="28"/>
        </w:rPr>
        <w:t>投标人、法定代表人及其项目经理(建造师)</w:t>
      </w:r>
      <w:r>
        <w:rPr>
          <w:rFonts w:hint="eastAsia" w:ascii="仿宋_GB2312" w:hAnsi="宋体" w:eastAsia="仿宋_GB2312"/>
          <w:color w:val="000000"/>
          <w:sz w:val="28"/>
          <w:szCs w:val="28"/>
        </w:rPr>
        <w:t>进行承诺，不进行现场网上信用查询的失信行为：</w:t>
      </w:r>
    </w:p>
    <w:p w14:paraId="14CE1693">
      <w:pPr>
        <w:adjustRightInd w:val="0"/>
        <w:snapToGrid w:val="0"/>
        <w:spacing w:line="560" w:lineRule="exact"/>
        <w:ind w:firstLine="560" w:firstLineChars="200"/>
        <w:rPr>
          <w:rFonts w:hint="eastAsia" w:ascii="仿宋_GB2312" w:hAnsi="宋体" w:eastAsia="仿宋_GB2312" w:cs="楷体"/>
          <w:color w:val="000000"/>
          <w:sz w:val="28"/>
          <w:szCs w:val="28"/>
        </w:rPr>
      </w:pPr>
      <w:bookmarkStart w:id="1029" w:name="OLE_LINK124"/>
      <w:bookmarkStart w:id="1030" w:name="OLE_LINK123"/>
      <w:r>
        <w:rPr>
          <w:rFonts w:hint="eastAsia" w:ascii="仿宋_GB2312" w:hAnsi="宋体" w:eastAsia="仿宋_GB2312"/>
          <w:color w:val="000000"/>
          <w:sz w:val="28"/>
          <w:szCs w:val="28"/>
        </w:rPr>
        <w:t>①</w:t>
      </w:r>
      <w:r>
        <w:rPr>
          <w:rFonts w:hint="eastAsia" w:ascii="仿宋_GB2312" w:hAnsi="宋体" w:eastAsia="仿宋_GB2312" w:cs="楷体"/>
          <w:color w:val="000000"/>
          <w:sz w:val="28"/>
          <w:szCs w:val="28"/>
        </w:rPr>
        <w:t>前三年有行贿犯罪行为的单位和个人；</w:t>
      </w:r>
    </w:p>
    <w:p w14:paraId="4FC606B2">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②被滁州市县两级公管部门取消在一定期限内的投标资格且在取消期限内的；</w:t>
      </w:r>
    </w:p>
    <w:p w14:paraId="041FF06D">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③被滁州市县两级各行业主管部门取消在一定期限内的投标资格且在取消期限内的；</w:t>
      </w:r>
    </w:p>
    <w:p w14:paraId="4BA358EC">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④因拖欠农民工工资被</w:t>
      </w:r>
      <w:bookmarkStart w:id="1031" w:name="OLE_LINK108"/>
      <w:bookmarkStart w:id="1032" w:name="OLE_LINK107"/>
      <w:r>
        <w:rPr>
          <w:rFonts w:hint="eastAsia" w:ascii="仿宋_GB2312" w:hAnsi="宋体" w:eastAsia="仿宋_GB2312"/>
          <w:color w:val="000000"/>
          <w:sz w:val="28"/>
          <w:szCs w:val="28"/>
        </w:rPr>
        <w:t>县级及以上有关行政主管部门限制投标资格且在限制期限内的</w:t>
      </w:r>
      <w:bookmarkEnd w:id="1031"/>
      <w:bookmarkEnd w:id="1032"/>
      <w:r>
        <w:rPr>
          <w:rFonts w:hint="eastAsia" w:ascii="仿宋_GB2312" w:hAnsi="宋体" w:eastAsia="仿宋_GB2312"/>
          <w:color w:val="000000"/>
          <w:sz w:val="28"/>
          <w:szCs w:val="28"/>
        </w:rPr>
        <w:t>；</w:t>
      </w:r>
    </w:p>
    <w:p w14:paraId="2D4B367E">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1029"/>
    <w:bookmarkEnd w:id="1030"/>
    <w:p w14:paraId="7CE10FC1">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（二）政府采购项目</w:t>
      </w:r>
    </w:p>
    <w:p w14:paraId="54FD75F7">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1、“信用中国”网站</w:t>
      </w:r>
      <w:r>
        <w:rPr>
          <w:rFonts w:hint="eastAsia" w:ascii="仿宋" w:hAnsi="仿宋" w:eastAsia="仿宋"/>
          <w:color w:val="000000"/>
          <w:sz w:val="28"/>
          <w:szCs w:val="28"/>
        </w:rPr>
        <w:t>（</w:t>
      </w:r>
      <w:r>
        <w:rPr>
          <w:rStyle w:val="58"/>
          <w:rFonts w:hint="eastAsia" w:ascii="仿宋" w:hAnsi="仿宋" w:eastAsia="仿宋"/>
          <w:color w:val="000000"/>
          <w:sz w:val="28"/>
          <w:szCs w:val="28"/>
        </w:rPr>
        <w:t>www.creditchina.gov.cn</w:t>
      </w:r>
      <w:r>
        <w:rPr>
          <w:rFonts w:hint="eastAsia" w:ascii="仿宋" w:hAnsi="仿宋" w:eastAsia="仿宋"/>
          <w:color w:val="000000"/>
          <w:sz w:val="28"/>
          <w:szCs w:val="28"/>
        </w:rPr>
        <w:t>）</w:t>
      </w:r>
      <w:r>
        <w:rPr>
          <w:rFonts w:hint="eastAsia" w:ascii="仿宋_GB2312" w:hAnsi="宋体" w:eastAsia="仿宋_GB2312"/>
          <w:color w:val="000000"/>
          <w:sz w:val="28"/>
          <w:szCs w:val="28"/>
        </w:rPr>
        <w:t>查询供应商、法定代表人及其项目负责人以下失信行为：</w:t>
      </w:r>
    </w:p>
    <w:p w14:paraId="0AA76A6F">
      <w:pPr>
        <w:adjustRightInd w:val="0"/>
        <w:snapToGrid w:val="0"/>
        <w:spacing w:line="56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①被列入“失信被执行人”的;</w:t>
      </w:r>
    </w:p>
    <w:p w14:paraId="403FE0BC">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②被列入“重大税收违法失信主体”的；</w:t>
      </w:r>
    </w:p>
    <w:p w14:paraId="65052C14">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③被列入“拖欠农民工工资失信联合惩戒对象名单”的；</w:t>
      </w:r>
    </w:p>
    <w:p w14:paraId="5681D3BB">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④被列入 “严重失信主体名单”的；</w:t>
      </w:r>
    </w:p>
    <w:p w14:paraId="78B03D12">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⑤在“信用中国”网站上披露的仍在公示期的严重失信行为(具体行为类别及判定依据见附件2)的。</w:t>
      </w:r>
    </w:p>
    <w:p w14:paraId="170C2230">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2、国家企业信用信息公示系统网站</w:t>
      </w:r>
      <w:r>
        <w:rPr>
          <w:rFonts w:hint="eastAsia" w:ascii="仿宋" w:hAnsi="仿宋" w:eastAsia="仿宋"/>
          <w:color w:val="000000"/>
          <w:sz w:val="28"/>
          <w:szCs w:val="28"/>
        </w:rPr>
        <w:t>（</w:t>
      </w:r>
      <w:r>
        <w:rPr>
          <w:color w:val="000000"/>
        </w:rPr>
        <w:fldChar w:fldCharType="begin"/>
      </w:r>
      <w:r>
        <w:rPr>
          <w:color w:val="000000"/>
        </w:rPr>
        <w:instrText xml:space="preserve"> </w:instrText>
      </w:r>
      <w:r>
        <w:rPr>
          <w:rFonts w:hint="eastAsia"/>
          <w:color w:val="000000"/>
        </w:rPr>
        <w:instrText xml:space="preserve">HYPERLINK "http://www.gsxt.gov.cn）查询"</w:instrText>
      </w:r>
      <w:r>
        <w:rPr>
          <w:color w:val="000000"/>
        </w:rPr>
        <w:instrText xml:space="preserve"> </w:instrText>
      </w:r>
      <w:r>
        <w:rPr>
          <w:color w:val="000000"/>
        </w:rPr>
        <w:fldChar w:fldCharType="separate"/>
      </w:r>
      <w:r>
        <w:rPr>
          <w:rStyle w:val="58"/>
          <w:rFonts w:hint="eastAsia" w:ascii="仿宋" w:hAnsi="仿宋" w:eastAsia="仿宋"/>
          <w:color w:val="000000"/>
          <w:sz w:val="28"/>
          <w:szCs w:val="28"/>
        </w:rPr>
        <w:t>www.gsxt.gov.cn）</w:t>
      </w:r>
      <w:r>
        <w:rPr>
          <w:color w:val="000000"/>
        </w:rPr>
        <w:fldChar w:fldCharType="end"/>
      </w:r>
      <w:r>
        <w:rPr>
          <w:rFonts w:hint="eastAsia" w:ascii="仿宋_GB2312" w:hAnsi="宋体" w:eastAsia="仿宋_GB2312"/>
          <w:color w:val="000000"/>
          <w:sz w:val="28"/>
          <w:szCs w:val="28"/>
        </w:rPr>
        <w:t>查询供应商以下失信行为：</w:t>
      </w:r>
    </w:p>
    <w:p w14:paraId="35343DF1">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①</w:t>
      </w:r>
      <w:bookmarkStart w:id="1033" w:name="OLE_LINK100"/>
      <w:bookmarkStart w:id="1034" w:name="OLE_LINK102"/>
      <w:bookmarkStart w:id="1035" w:name="OLE_LINK101"/>
      <w:r>
        <w:rPr>
          <w:rFonts w:hint="eastAsia" w:ascii="仿宋_GB2312" w:hAnsi="宋体" w:eastAsia="仿宋_GB2312"/>
          <w:color w:val="000000"/>
          <w:sz w:val="28"/>
          <w:szCs w:val="28"/>
        </w:rPr>
        <w:t>被列入“经营异常名录”或者“严重违法失信名单”的</w:t>
      </w:r>
      <w:bookmarkEnd w:id="1033"/>
      <w:bookmarkEnd w:id="1034"/>
      <w:bookmarkEnd w:id="1035"/>
      <w:r>
        <w:rPr>
          <w:rFonts w:hint="eastAsia" w:ascii="仿宋_GB2312" w:hAnsi="宋体" w:eastAsia="仿宋_GB2312"/>
          <w:color w:val="000000"/>
          <w:sz w:val="28"/>
          <w:szCs w:val="28"/>
        </w:rPr>
        <w:t>。</w:t>
      </w:r>
    </w:p>
    <w:p w14:paraId="06898648">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3、中国政府采购网站</w:t>
      </w:r>
      <w:r>
        <w:rPr>
          <w:rFonts w:hint="eastAsia" w:ascii="仿宋" w:hAnsi="仿宋" w:eastAsia="仿宋"/>
          <w:color w:val="000000"/>
          <w:sz w:val="28"/>
          <w:szCs w:val="28"/>
        </w:rPr>
        <w:t>（</w:t>
      </w:r>
      <w:bookmarkStart w:id="1036" w:name="OLE_LINK96"/>
      <w:bookmarkStart w:id="1037" w:name="OLE_LINK95"/>
      <w:r>
        <w:rPr>
          <w:rFonts w:ascii="仿宋" w:hAnsi="仿宋" w:eastAsia="仿宋"/>
          <w:color w:val="000000"/>
          <w:sz w:val="28"/>
          <w:szCs w:val="28"/>
        </w:rPr>
        <w:fldChar w:fldCharType="begin"/>
      </w:r>
      <w:r>
        <w:rPr>
          <w:rFonts w:ascii="仿宋" w:hAnsi="仿宋" w:eastAsia="仿宋"/>
          <w:color w:val="000000"/>
          <w:sz w:val="28"/>
          <w:szCs w:val="28"/>
        </w:rPr>
        <w:instrText xml:space="preserve"> HYPERLINK "http://www.ccgp.gov.cn" </w:instrText>
      </w:r>
      <w:r>
        <w:rPr>
          <w:rFonts w:ascii="仿宋" w:hAnsi="仿宋" w:eastAsia="仿宋"/>
          <w:color w:val="000000"/>
          <w:sz w:val="28"/>
          <w:szCs w:val="28"/>
        </w:rPr>
        <w:fldChar w:fldCharType="separate"/>
      </w:r>
      <w:r>
        <w:rPr>
          <w:rStyle w:val="58"/>
          <w:rFonts w:hint="eastAsia" w:ascii="仿宋" w:hAnsi="仿宋" w:eastAsia="仿宋"/>
          <w:color w:val="000000"/>
          <w:sz w:val="28"/>
          <w:szCs w:val="28"/>
        </w:rPr>
        <w:t>www.ccgp.gov.cn</w:t>
      </w:r>
      <w:r>
        <w:rPr>
          <w:rFonts w:ascii="仿宋" w:hAnsi="仿宋" w:eastAsia="仿宋"/>
          <w:color w:val="000000"/>
          <w:sz w:val="28"/>
          <w:szCs w:val="28"/>
        </w:rPr>
        <w:fldChar w:fldCharType="end"/>
      </w:r>
      <w:bookmarkEnd w:id="1036"/>
      <w:bookmarkEnd w:id="1037"/>
      <w:r>
        <w:rPr>
          <w:rFonts w:hint="eastAsia" w:ascii="仿宋" w:hAnsi="仿宋" w:eastAsia="仿宋"/>
          <w:color w:val="000000"/>
          <w:sz w:val="28"/>
          <w:szCs w:val="28"/>
        </w:rPr>
        <w:t>）</w:t>
      </w:r>
      <w:r>
        <w:rPr>
          <w:rFonts w:hint="eastAsia" w:ascii="仿宋_GB2312" w:hAnsi="宋体" w:eastAsia="仿宋_GB2312"/>
          <w:color w:val="000000"/>
          <w:sz w:val="28"/>
          <w:szCs w:val="28"/>
        </w:rPr>
        <w:t>查询以下失信行为：</w:t>
      </w:r>
    </w:p>
    <w:p w14:paraId="523F172B">
      <w:pPr>
        <w:adjustRightInd w:val="0"/>
        <w:snapToGrid w:val="0"/>
        <w:spacing w:line="560" w:lineRule="exact"/>
        <w:ind w:firstLine="560" w:firstLineChars="200"/>
        <w:rPr>
          <w:rFonts w:hint="eastAsia" w:ascii="仿宋_GB2312" w:hAnsi="宋体" w:eastAsia="仿宋_GB2312" w:cs="楷体"/>
          <w:color w:val="000000"/>
          <w:sz w:val="28"/>
          <w:szCs w:val="28"/>
        </w:rPr>
      </w:pPr>
      <w:r>
        <w:rPr>
          <w:rFonts w:hint="eastAsia" w:ascii="仿宋_GB2312" w:hAnsi="宋体" w:eastAsia="仿宋_GB2312"/>
          <w:color w:val="000000"/>
          <w:sz w:val="28"/>
          <w:szCs w:val="28"/>
        </w:rPr>
        <w:t>①</w:t>
      </w:r>
      <w:bookmarkStart w:id="1038" w:name="OLE_LINK104"/>
      <w:bookmarkStart w:id="1039" w:name="OLE_LINK105"/>
      <w:bookmarkStart w:id="1040" w:name="OLE_LINK106"/>
      <w:r>
        <w:rPr>
          <w:rFonts w:hint="eastAsia" w:ascii="仿宋_GB2312" w:hAnsi="宋体" w:eastAsia="仿宋_GB2312"/>
          <w:color w:val="000000"/>
          <w:sz w:val="28"/>
          <w:szCs w:val="28"/>
        </w:rPr>
        <w:t>被列入“政府采购严重违法失信行为信息记录”的</w:t>
      </w:r>
      <w:bookmarkEnd w:id="1038"/>
      <w:bookmarkEnd w:id="1039"/>
      <w:bookmarkEnd w:id="1040"/>
      <w:r>
        <w:rPr>
          <w:rFonts w:hint="eastAsia" w:ascii="仿宋_GB2312" w:hAnsi="宋体" w:eastAsia="仿宋_GB2312" w:cs="楷体"/>
          <w:color w:val="000000"/>
          <w:sz w:val="28"/>
          <w:szCs w:val="28"/>
        </w:rPr>
        <w:t>。</w:t>
      </w:r>
    </w:p>
    <w:p w14:paraId="477AA4C0">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4、由竞争主体进行承诺，不进行现场网上信用查询的失信行为：</w:t>
      </w:r>
    </w:p>
    <w:p w14:paraId="53AE4FE7">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①</w:t>
      </w:r>
      <w:r>
        <w:rPr>
          <w:rFonts w:hint="eastAsia" w:ascii="仿宋_GB2312" w:hAnsi="宋体" w:eastAsia="仿宋_GB2312" w:cs="楷体"/>
          <w:color w:val="000000"/>
          <w:sz w:val="28"/>
          <w:szCs w:val="28"/>
        </w:rPr>
        <w:t>前三年有行贿犯罪行为的单位和个人</w:t>
      </w:r>
      <w:r>
        <w:rPr>
          <w:rFonts w:hint="eastAsia" w:ascii="仿宋_GB2312" w:hAnsi="宋体" w:eastAsia="仿宋_GB2312"/>
          <w:color w:val="000000"/>
          <w:sz w:val="28"/>
          <w:szCs w:val="28"/>
        </w:rPr>
        <w:t>。</w:t>
      </w:r>
    </w:p>
    <w:p w14:paraId="5A7DB9FB">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二、在开评标活动中的查询程序</w:t>
      </w:r>
    </w:p>
    <w:p w14:paraId="06F53706">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32A20D41">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12794C63">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3、项目单位及其委托的代理机构应当做好信用查询结果截图和记录留存。</w:t>
      </w:r>
    </w:p>
    <w:p w14:paraId="3763BAFB">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三、相关要求</w:t>
      </w:r>
    </w:p>
    <w:p w14:paraId="705C07BB">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1、参与公共资源交易活动的竞争主体根据上述范围查询的内容进行自查并承诺，出具《诚信投标承诺书》（诚信投标承诺书包括但不限于上述自查并承诺内容）并注明承诺日期（投标截止时间前5日内）。</w:t>
      </w:r>
    </w:p>
    <w:p w14:paraId="23E01DFD">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5FC523E8">
      <w:pPr>
        <w:wordWrap w:val="0"/>
        <w:adjustRightInd w:val="0"/>
        <w:snapToGrid w:val="0"/>
        <w:spacing w:line="560" w:lineRule="exact"/>
        <w:ind w:firstLine="560" w:firstLineChars="200"/>
        <w:rPr>
          <w:rFonts w:hint="eastAsia"/>
          <w:color w:val="000000"/>
        </w:rPr>
      </w:pPr>
      <w:r>
        <w:rPr>
          <w:rFonts w:hint="eastAsia" w:ascii="仿宋_GB2312" w:hAnsi="宋体" w:eastAsia="仿宋_GB2312"/>
          <w:color w:val="000000"/>
          <w:sz w:val="28"/>
          <w:szCs w:val="28"/>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000000"/>
        </w:rPr>
        <w:fldChar w:fldCharType="begin"/>
      </w:r>
      <w:r>
        <w:rPr>
          <w:color w:val="000000"/>
        </w:rPr>
        <w:instrText xml:space="preserve"> HYPERLINK "https://credit.ah.gov.cn/xinyong-fuwu/xvbahv/index.html" </w:instrText>
      </w:r>
      <w:r>
        <w:rPr>
          <w:color w:val="000000"/>
        </w:rPr>
        <w:fldChar w:fldCharType="separate"/>
      </w:r>
      <w:r>
        <w:rPr>
          <w:rStyle w:val="58"/>
          <w:rFonts w:hint="eastAsia" w:ascii="仿宋_GB2312" w:hAnsi="宋体" w:eastAsia="仿宋_GB2312"/>
          <w:color w:val="000000"/>
          <w:sz w:val="28"/>
          <w:szCs w:val="28"/>
        </w:rPr>
        <w:t>https://credit.ah.gov.cn/xinyong-fuwu/xvbahv/index.html</w:t>
      </w:r>
      <w:r>
        <w:rPr>
          <w:color w:val="000000"/>
        </w:rPr>
        <w:fldChar w:fldCharType="end"/>
      </w:r>
      <w:r>
        <w:rPr>
          <w:rFonts w:hint="eastAsia" w:ascii="仿宋_GB2312" w:hAnsi="宋体" w:eastAsia="仿宋_GB2312"/>
          <w:color w:val="000000"/>
          <w:sz w:val="28"/>
          <w:szCs w:val="28"/>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13E34B48">
      <w:pPr>
        <w:adjustRightInd w:val="0"/>
        <w:snapToGrid w:val="0"/>
        <w:spacing w:line="560" w:lineRule="exact"/>
        <w:ind w:firstLine="562" w:firstLineChars="200"/>
        <w:rPr>
          <w:rFonts w:ascii="仿宋_GB2312" w:hAnsi="宋体" w:eastAsia="仿宋_GB2312"/>
          <w:b/>
          <w:color w:val="000000"/>
          <w:sz w:val="28"/>
          <w:szCs w:val="28"/>
        </w:rPr>
      </w:pPr>
      <w:r>
        <w:rPr>
          <w:rFonts w:hint="eastAsia" w:ascii="仿宋_GB2312" w:hAnsi="宋体" w:eastAsia="仿宋_GB2312"/>
          <w:b/>
          <w:color w:val="000000"/>
          <w:sz w:val="28"/>
          <w:szCs w:val="28"/>
        </w:rPr>
        <w:t>2、“信用中国”查询的严重失信行为判定依据为各行业主管部门下发的联合惩戒文件中规定的行为（按附件2执行）。</w:t>
      </w:r>
    </w:p>
    <w:p w14:paraId="2B88FEB1">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3、资格预审的项目以递交资格预审申请文件截止时间查询为准；资格后审的项目以递交投标文件截止时间查询为准。</w:t>
      </w:r>
    </w:p>
    <w:p w14:paraId="4A59AA95">
      <w:pPr>
        <w:ind w:right="960"/>
        <w:rPr>
          <w:rFonts w:hint="eastAsia" w:ascii="仿宋" w:hAnsi="仿宋" w:eastAsia="仿宋"/>
          <w:color w:val="000000"/>
          <w:sz w:val="32"/>
          <w:szCs w:val="32"/>
        </w:rPr>
      </w:pPr>
    </w:p>
    <w:p w14:paraId="32D5BEC2">
      <w:pPr>
        <w:ind w:right="960"/>
        <w:rPr>
          <w:rFonts w:hint="eastAsia" w:ascii="仿宋" w:hAnsi="仿宋" w:eastAsia="仿宋"/>
          <w:color w:val="000000"/>
          <w:sz w:val="32"/>
          <w:szCs w:val="32"/>
        </w:rPr>
      </w:pPr>
    </w:p>
    <w:p w14:paraId="083C6D6C">
      <w:pPr>
        <w:ind w:right="960"/>
        <w:rPr>
          <w:rFonts w:hint="eastAsia" w:ascii="仿宋" w:hAnsi="仿宋" w:eastAsia="仿宋"/>
          <w:color w:val="000000"/>
          <w:sz w:val="32"/>
          <w:szCs w:val="32"/>
        </w:rPr>
      </w:pPr>
    </w:p>
    <w:p w14:paraId="6945543A">
      <w:pPr>
        <w:ind w:right="960"/>
        <w:rPr>
          <w:rFonts w:hint="eastAsia" w:ascii="仿宋" w:hAnsi="仿宋" w:eastAsia="仿宋"/>
          <w:color w:val="000000"/>
          <w:sz w:val="32"/>
          <w:szCs w:val="32"/>
        </w:rPr>
      </w:pPr>
    </w:p>
    <w:p w14:paraId="3A66ADF1">
      <w:pPr>
        <w:ind w:right="960"/>
        <w:rPr>
          <w:rFonts w:hint="eastAsia" w:ascii="仿宋" w:hAnsi="仿宋" w:eastAsia="仿宋"/>
          <w:color w:val="000000"/>
          <w:sz w:val="32"/>
          <w:szCs w:val="32"/>
        </w:rPr>
      </w:pPr>
    </w:p>
    <w:p w14:paraId="6050A5FD">
      <w:pPr>
        <w:ind w:right="960"/>
        <w:rPr>
          <w:rFonts w:hint="eastAsia" w:ascii="仿宋" w:hAnsi="仿宋" w:eastAsia="仿宋"/>
          <w:color w:val="000000"/>
          <w:sz w:val="32"/>
          <w:szCs w:val="32"/>
        </w:rPr>
      </w:pPr>
    </w:p>
    <w:p w14:paraId="502A74ED">
      <w:pPr>
        <w:ind w:right="960"/>
        <w:rPr>
          <w:rFonts w:hint="eastAsia" w:ascii="仿宋" w:hAnsi="仿宋" w:eastAsia="仿宋"/>
          <w:color w:val="000000"/>
          <w:sz w:val="32"/>
          <w:szCs w:val="32"/>
        </w:rPr>
      </w:pPr>
    </w:p>
    <w:p w14:paraId="09C3F9C4">
      <w:pPr>
        <w:ind w:right="960"/>
        <w:rPr>
          <w:rFonts w:hint="eastAsia" w:ascii="仿宋" w:hAnsi="仿宋" w:eastAsia="仿宋"/>
          <w:color w:val="000000"/>
          <w:sz w:val="32"/>
          <w:szCs w:val="32"/>
        </w:rPr>
      </w:pPr>
    </w:p>
    <w:p w14:paraId="10A9DC55">
      <w:pPr>
        <w:pStyle w:val="14"/>
        <w:rPr>
          <w:rFonts w:hint="eastAsia"/>
          <w:color w:val="000000"/>
        </w:rPr>
      </w:pPr>
    </w:p>
    <w:p w14:paraId="331B4991">
      <w:pPr>
        <w:rPr>
          <w:color w:val="000000"/>
        </w:rPr>
      </w:pPr>
    </w:p>
    <w:p w14:paraId="7B3BCB78">
      <w:pPr>
        <w:pStyle w:val="14"/>
        <w:rPr>
          <w:color w:val="000000"/>
        </w:rPr>
      </w:pPr>
    </w:p>
    <w:p w14:paraId="64AC7B5D">
      <w:pPr>
        <w:rPr>
          <w:color w:val="000000"/>
        </w:rPr>
      </w:pPr>
    </w:p>
    <w:p w14:paraId="5BD1D4CA">
      <w:pPr>
        <w:pStyle w:val="14"/>
        <w:rPr>
          <w:color w:val="000000"/>
        </w:rPr>
      </w:pPr>
    </w:p>
    <w:p w14:paraId="2DB666D3">
      <w:pPr>
        <w:rPr>
          <w:color w:val="000000"/>
        </w:rPr>
      </w:pPr>
    </w:p>
    <w:p w14:paraId="4AF62CEA">
      <w:pPr>
        <w:pStyle w:val="14"/>
        <w:rPr>
          <w:color w:val="000000"/>
        </w:rPr>
      </w:pPr>
    </w:p>
    <w:p w14:paraId="50249C86">
      <w:pPr>
        <w:rPr>
          <w:color w:val="000000"/>
        </w:rPr>
      </w:pPr>
    </w:p>
    <w:p w14:paraId="614BC541">
      <w:pPr>
        <w:ind w:right="960"/>
        <w:rPr>
          <w:rFonts w:ascii="仿宋" w:hAnsi="仿宋" w:eastAsia="仿宋"/>
          <w:color w:val="000000"/>
          <w:sz w:val="32"/>
          <w:szCs w:val="32"/>
        </w:rPr>
      </w:pPr>
    </w:p>
    <w:p w14:paraId="11E5531C">
      <w:pPr>
        <w:keepNext/>
        <w:keepLines/>
        <w:spacing w:before="200" w:after="200" w:line="600" w:lineRule="exact"/>
        <w:outlineLvl w:val="0"/>
        <w:rPr>
          <w:rFonts w:hint="eastAsia" w:ascii="黑体" w:hAnsi="黑体" w:eastAsia="黑体"/>
          <w:b/>
          <w:bCs/>
          <w:color w:val="000000"/>
          <w:kern w:val="44"/>
          <w:sz w:val="36"/>
          <w:szCs w:val="28"/>
        </w:rPr>
      </w:pPr>
      <w:bookmarkStart w:id="1041" w:name="_Toc95223549"/>
      <w:bookmarkStart w:id="1042" w:name="OLE_LINK31"/>
      <w:bookmarkStart w:id="1043" w:name="OLE_LINK41"/>
      <w:r>
        <w:rPr>
          <w:rFonts w:hint="eastAsia" w:ascii="黑体" w:hAnsi="黑体" w:eastAsia="黑体"/>
          <w:b/>
          <w:bCs/>
          <w:color w:val="000000"/>
          <w:kern w:val="44"/>
          <w:sz w:val="36"/>
          <w:szCs w:val="28"/>
        </w:rPr>
        <w:t xml:space="preserve">附件2 </w:t>
      </w:r>
      <w:bookmarkStart w:id="1044" w:name="OLE_LINK75"/>
      <w:bookmarkStart w:id="1045" w:name="OLE_LINK74"/>
      <w:r>
        <w:rPr>
          <w:rFonts w:hint="eastAsia" w:ascii="黑体" w:hAnsi="黑体" w:eastAsia="黑体"/>
          <w:b/>
          <w:bCs/>
          <w:color w:val="000000"/>
          <w:kern w:val="44"/>
          <w:sz w:val="36"/>
          <w:szCs w:val="28"/>
        </w:rPr>
        <w:t>“信用中国”查询的严重失信行为</w:t>
      </w:r>
      <w:bookmarkStart w:id="1046" w:name="OLE_LINK76"/>
      <w:bookmarkStart w:id="1047" w:name="OLE_LINK38"/>
      <w:bookmarkStart w:id="1048" w:name="OLE_LINK39"/>
      <w:bookmarkStart w:id="1049" w:name="OLE_LINK40"/>
      <w:r>
        <w:rPr>
          <w:rFonts w:hint="eastAsia" w:ascii="黑体" w:hAnsi="黑体" w:eastAsia="黑体"/>
          <w:b/>
          <w:bCs/>
          <w:color w:val="000000"/>
          <w:kern w:val="44"/>
          <w:sz w:val="36"/>
          <w:szCs w:val="28"/>
        </w:rPr>
        <w:t>类别及判定依据</w:t>
      </w:r>
      <w:bookmarkEnd w:id="1041"/>
      <w:bookmarkEnd w:id="1044"/>
      <w:bookmarkEnd w:id="1045"/>
      <w:bookmarkEnd w:id="1046"/>
      <w:bookmarkEnd w:id="1047"/>
      <w:bookmarkEnd w:id="1048"/>
      <w:bookmarkEnd w:id="1049"/>
    </w:p>
    <w:bookmarkEnd w:id="1042"/>
    <w:bookmarkEnd w:id="1043"/>
    <w:p w14:paraId="7C301880">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32"/>
          <w:szCs w:val="32"/>
        </w:rPr>
        <w:t>“</w:t>
      </w:r>
      <w:r>
        <w:rPr>
          <w:rFonts w:hint="eastAsia" w:ascii="仿宋_GB2312" w:hAnsi="宋体" w:eastAsia="仿宋_GB2312"/>
          <w:color w:val="000000"/>
          <w:sz w:val="28"/>
          <w:szCs w:val="28"/>
        </w:rPr>
        <w:t>信用中国”查询的严重失信行为判定依据为各行业主管部门下发的联合惩戒文件中规定的行为。下面将部分类别的严重失信行为列举如下：</w:t>
      </w:r>
    </w:p>
    <w:p w14:paraId="504143EC">
      <w:pPr>
        <w:adjustRightInd w:val="0"/>
        <w:snapToGrid w:val="0"/>
        <w:spacing w:line="560" w:lineRule="exact"/>
        <w:ind w:firstLine="645"/>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一、安全生产领域严重失信行为：</w:t>
      </w:r>
    </w:p>
    <w:p w14:paraId="731024A3">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（一）下列发生生产安全事故的生产经营单位及其有关人员应当列入严重失信主体名单：</w:t>
      </w:r>
    </w:p>
    <w:p w14:paraId="17C96EE9">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1、发生特别重大、重大生产安全事故的生产经营单位及其主要负责人，以及经调查认定对该事故发生负有责任，应当列入名单的其他单位和人员；</w:t>
      </w:r>
    </w:p>
    <w:p w14:paraId="24022C24">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2、12个月内累计发生2起以上较大生产安全事故的生产经营单位及其主要负责人；</w:t>
      </w:r>
    </w:p>
    <w:p w14:paraId="10D0DA56">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3、发生生产安全事故，情节特别严重、影响特别恶劣，依照《中华人民共和国安全生产法》第一百一十四条的规定被处以罚款数额2倍以上5倍以下罚款的生产经营单位及其主要负责人；</w:t>
      </w:r>
    </w:p>
    <w:p w14:paraId="70DD881D">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4、瞒报、谎报生产安全事故的生产经营单位及其有关责任人员；</w:t>
      </w:r>
    </w:p>
    <w:p w14:paraId="0D5F681C">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5、发生生产安全事故后，不立即组织抢救或者在事故调查处理期间擅离职守或者逃匿的生产经营单位主要负责人。</w:t>
      </w:r>
    </w:p>
    <w:p w14:paraId="65A9D719">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（二）下列未发生生产安全事故，但因安全生产违法行为，受到行政处罚的生产经营单位或者机构及其有关人员，应当列入严重失信主体名单：</w:t>
      </w:r>
    </w:p>
    <w:p w14:paraId="0685E370">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1、未依法取得安全生产相关许可或者许可被暂扣、吊销期间从事相关生产经营活动的生产经营单位及其主要负责人；</w:t>
      </w:r>
    </w:p>
    <w:p w14:paraId="70A63775">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2、承担安全评价、认证、检测、检验职责的机构及其直接责任人员租借资质、挂靠、出具虚假报告或者证书的；</w:t>
      </w:r>
    </w:p>
    <w:p w14:paraId="67E22CDD">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3、在应急管理部门作出行政处罚后，有执行能力拒不执行或者逃避执行的生产经营单位及其主要负责人；</w:t>
      </w:r>
    </w:p>
    <w:p w14:paraId="7A62BD99">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4、其他违反安全生产法律法规受到行政处罚，且性质恶劣、情节严重的。</w:t>
      </w:r>
    </w:p>
    <w:p w14:paraId="6B47636C">
      <w:pPr>
        <w:adjustRightInd w:val="0"/>
        <w:snapToGrid w:val="0"/>
        <w:spacing w:line="560" w:lineRule="exact"/>
        <w:ind w:firstLine="645"/>
        <w:jc w:val="left"/>
        <w:rPr>
          <w:rFonts w:hint="eastAsia" w:ascii="仿宋_GB2312" w:hAnsi="Calibri" w:eastAsia="仿宋_GB2312"/>
          <w:b/>
          <w:color w:val="000000"/>
          <w:sz w:val="28"/>
          <w:szCs w:val="28"/>
        </w:rPr>
      </w:pPr>
      <w:r>
        <w:rPr>
          <w:rFonts w:hint="eastAsia" w:ascii="仿宋_GB2312" w:hAnsi="宋体" w:eastAsia="仿宋_GB2312"/>
          <w:b/>
          <w:color w:val="000000"/>
          <w:sz w:val="28"/>
          <w:szCs w:val="28"/>
        </w:rPr>
        <w:t>依据：《安全生产严重失信主体名单管理办法》</w:t>
      </w:r>
      <w:r>
        <w:rPr>
          <w:rFonts w:hint="eastAsia" w:ascii="仿宋_GB2312" w:hAnsi="Calibri" w:eastAsia="仿宋_GB2312"/>
          <w:b/>
          <w:color w:val="000000"/>
          <w:sz w:val="28"/>
          <w:szCs w:val="28"/>
        </w:rPr>
        <w:t>（2023年8月8日应急管理部令第11号）</w:t>
      </w:r>
    </w:p>
    <w:p w14:paraId="5EBA46E8">
      <w:pPr>
        <w:adjustRightInd w:val="0"/>
        <w:snapToGrid w:val="0"/>
        <w:spacing w:line="560" w:lineRule="exact"/>
        <w:ind w:firstLine="645"/>
        <w:jc w:val="left"/>
        <w:rPr>
          <w:rFonts w:hint="eastAsia" w:ascii="仿宋_GB2312" w:hAnsi="宋体" w:eastAsia="仿宋_GB2312"/>
          <w:b/>
          <w:color w:val="000000"/>
          <w:sz w:val="28"/>
          <w:szCs w:val="28"/>
        </w:rPr>
      </w:pPr>
    </w:p>
    <w:p w14:paraId="62AA5A75">
      <w:pPr>
        <w:adjustRightInd w:val="0"/>
        <w:snapToGrid w:val="0"/>
        <w:spacing w:line="560" w:lineRule="exact"/>
        <w:ind w:firstLine="645"/>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二、环境保护领域严重失信行为：</w:t>
      </w:r>
    </w:p>
    <w:p w14:paraId="133918C1">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（一）因为环境违法构成</w:t>
      </w:r>
      <w:r>
        <w:rPr>
          <w:color w:val="000000"/>
        </w:rPr>
        <w:fldChar w:fldCharType="begin"/>
      </w:r>
      <w:r>
        <w:rPr>
          <w:color w:val="000000"/>
        </w:rPr>
        <w:instrText xml:space="preserve"> HYPERLINK "https://baike.sogou.com/m/fullLemma?lid=10403954&amp;g_ut=3" \t "https://baike.sogou.com/m/_blank" </w:instrText>
      </w:r>
      <w:r>
        <w:rPr>
          <w:color w:val="000000"/>
        </w:rPr>
        <w:fldChar w:fldCharType="separate"/>
      </w:r>
      <w:r>
        <w:rPr>
          <w:rStyle w:val="58"/>
          <w:rFonts w:hint="eastAsia" w:ascii="仿宋_GB2312" w:hAnsi="宋体" w:eastAsia="仿宋_GB2312"/>
          <w:color w:val="000000"/>
          <w:sz w:val="28"/>
          <w:szCs w:val="28"/>
        </w:rPr>
        <w:t>环境犯罪</w:t>
      </w:r>
      <w:r>
        <w:rPr>
          <w:color w:val="000000"/>
        </w:rPr>
        <w:fldChar w:fldCharType="end"/>
      </w:r>
      <w:r>
        <w:rPr>
          <w:rFonts w:hint="eastAsia" w:ascii="仿宋_GB2312" w:hAnsi="宋体" w:eastAsia="仿宋_GB2312"/>
          <w:color w:val="000000"/>
          <w:sz w:val="28"/>
          <w:szCs w:val="28"/>
        </w:rPr>
        <w:t>的；</w:t>
      </w:r>
    </w:p>
    <w:p w14:paraId="4D5C9D91">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（二）</w:t>
      </w:r>
      <w:r>
        <w:rPr>
          <w:color w:val="000000"/>
        </w:rPr>
        <w:fldChar w:fldCharType="begin"/>
      </w:r>
      <w:r>
        <w:rPr>
          <w:color w:val="000000"/>
        </w:rPr>
        <w:instrText xml:space="preserve"> HYPERLINK "https://baike.sogou.com/m/fullLemma?lid=76033123&amp;g_ut=3" \t "https://baike.sogou.com/m/_blank" </w:instrText>
      </w:r>
      <w:r>
        <w:rPr>
          <w:color w:val="000000"/>
        </w:rPr>
        <w:fldChar w:fldCharType="separate"/>
      </w:r>
      <w:r>
        <w:rPr>
          <w:rStyle w:val="58"/>
          <w:rFonts w:hint="eastAsia" w:ascii="仿宋_GB2312" w:hAnsi="宋体" w:eastAsia="仿宋_GB2312"/>
          <w:color w:val="000000"/>
          <w:sz w:val="28"/>
          <w:szCs w:val="28"/>
        </w:rPr>
        <w:t>建设项目环境影响评价</w:t>
      </w:r>
      <w:r>
        <w:rPr>
          <w:color w:val="000000"/>
        </w:rPr>
        <w:fldChar w:fldCharType="end"/>
      </w:r>
      <w:r>
        <w:rPr>
          <w:rFonts w:hint="eastAsia" w:ascii="仿宋_GB2312" w:hAnsi="宋体" w:eastAsia="仿宋_GB2312"/>
          <w:color w:val="000000"/>
          <w:sz w:val="28"/>
          <w:szCs w:val="28"/>
        </w:rPr>
        <w:t>文件未按规定通过审批，擅自开工建设的；</w:t>
      </w:r>
    </w:p>
    <w:p w14:paraId="25BD266E">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（三）建设项目环保设施未建成、环保措施未落实、未通过</w:t>
      </w:r>
      <w:r>
        <w:rPr>
          <w:color w:val="000000"/>
        </w:rPr>
        <w:fldChar w:fldCharType="begin"/>
      </w:r>
      <w:r>
        <w:rPr>
          <w:color w:val="000000"/>
        </w:rPr>
        <w:instrText xml:space="preserve"> HYPERLINK "https://baike.sogou.com/m/fullLemma?lid=6470550&amp;g_ut=3" \t "https://baike.sogou.com/m/_blank" </w:instrText>
      </w:r>
      <w:r>
        <w:rPr>
          <w:color w:val="000000"/>
        </w:rPr>
        <w:fldChar w:fldCharType="separate"/>
      </w:r>
      <w:r>
        <w:rPr>
          <w:rStyle w:val="58"/>
          <w:rFonts w:hint="eastAsia" w:ascii="仿宋_GB2312" w:hAnsi="宋体" w:eastAsia="仿宋_GB2312"/>
          <w:color w:val="000000"/>
          <w:sz w:val="28"/>
          <w:szCs w:val="28"/>
        </w:rPr>
        <w:t>竣工环保验收</w:t>
      </w:r>
      <w:r>
        <w:rPr>
          <w:color w:val="000000"/>
        </w:rPr>
        <w:fldChar w:fldCharType="end"/>
      </w:r>
      <w:r>
        <w:rPr>
          <w:rFonts w:hint="eastAsia" w:ascii="仿宋_GB2312" w:hAnsi="宋体" w:eastAsia="仿宋_GB2312"/>
          <w:color w:val="000000"/>
          <w:sz w:val="28"/>
          <w:szCs w:val="28"/>
        </w:rPr>
        <w:t>或者验收不合格，主体工程正式投入生产或者使用的；</w:t>
      </w:r>
    </w:p>
    <w:p w14:paraId="6A380CF8">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（四）建设项目性质、规模、地点、采用的生产工艺或者防治污染、防止生态破坏的措施发生重大变动，未重新报批环境影响评价文件，擅自投入生产或者使用的；</w:t>
      </w:r>
    </w:p>
    <w:p w14:paraId="0D3E808D">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（五）主要污染物排放总量超过控制指标的；</w:t>
      </w:r>
    </w:p>
    <w:p w14:paraId="6C8A6B40">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（六）私设暗管或者利用</w:t>
      </w:r>
      <w:r>
        <w:rPr>
          <w:color w:val="000000"/>
        </w:rPr>
        <w:fldChar w:fldCharType="begin"/>
      </w:r>
      <w:r>
        <w:rPr>
          <w:color w:val="000000"/>
        </w:rPr>
        <w:instrText xml:space="preserve"> HYPERLINK "https://baike.sogou.com/m/fullLemma?lid=41657319&amp;g_ut=3" \t "https://baike.sogou.com/m/_blank" </w:instrText>
      </w:r>
      <w:r>
        <w:rPr>
          <w:color w:val="000000"/>
        </w:rPr>
        <w:fldChar w:fldCharType="separate"/>
      </w:r>
      <w:r>
        <w:rPr>
          <w:rStyle w:val="58"/>
          <w:rFonts w:hint="eastAsia" w:ascii="仿宋_GB2312" w:hAnsi="宋体" w:eastAsia="仿宋_GB2312"/>
          <w:color w:val="000000"/>
          <w:sz w:val="28"/>
          <w:szCs w:val="28"/>
        </w:rPr>
        <w:t>渗井</w:t>
      </w:r>
      <w:r>
        <w:rPr>
          <w:color w:val="000000"/>
        </w:rPr>
        <w:fldChar w:fldCharType="end"/>
      </w:r>
      <w:r>
        <w:rPr>
          <w:rFonts w:hint="eastAsia" w:ascii="仿宋_GB2312" w:hAnsi="宋体" w:eastAsia="仿宋_GB2312"/>
          <w:color w:val="000000"/>
          <w:sz w:val="28"/>
          <w:szCs w:val="28"/>
        </w:rPr>
        <w:t>、渗坑、裂隙、溶洞等排放、倾倒、处置水污染物，或者通过私设旁路排放</w:t>
      </w:r>
      <w:r>
        <w:rPr>
          <w:color w:val="000000"/>
        </w:rPr>
        <w:fldChar w:fldCharType="begin"/>
      </w:r>
      <w:r>
        <w:rPr>
          <w:color w:val="000000"/>
        </w:rPr>
        <w:instrText xml:space="preserve"> HYPERLINK "https://baike.sogou.com/m/fullLemma?lid=7758328&amp;g_ut=3" \t "https://baike.sogou.com/m/_blank" </w:instrText>
      </w:r>
      <w:r>
        <w:rPr>
          <w:color w:val="000000"/>
        </w:rPr>
        <w:fldChar w:fldCharType="separate"/>
      </w:r>
      <w:r>
        <w:rPr>
          <w:rStyle w:val="58"/>
          <w:rFonts w:hint="eastAsia" w:ascii="仿宋_GB2312" w:hAnsi="宋体" w:eastAsia="仿宋_GB2312"/>
          <w:color w:val="000000"/>
          <w:sz w:val="28"/>
          <w:szCs w:val="28"/>
        </w:rPr>
        <w:t>大气污染物</w:t>
      </w:r>
      <w:r>
        <w:rPr>
          <w:color w:val="000000"/>
        </w:rPr>
        <w:fldChar w:fldCharType="end"/>
      </w:r>
      <w:r>
        <w:rPr>
          <w:rFonts w:hint="eastAsia" w:ascii="仿宋_GB2312" w:hAnsi="宋体" w:eastAsia="仿宋_GB2312"/>
          <w:color w:val="000000"/>
          <w:sz w:val="28"/>
          <w:szCs w:val="28"/>
        </w:rPr>
        <w:t>的；</w:t>
      </w:r>
    </w:p>
    <w:p w14:paraId="691BD33D">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（七）非法排放、倾倒、处置危险废物，或者向无</w:t>
      </w:r>
      <w:r>
        <w:rPr>
          <w:color w:val="000000"/>
        </w:rPr>
        <w:fldChar w:fldCharType="begin"/>
      </w:r>
      <w:r>
        <w:rPr>
          <w:color w:val="000000"/>
        </w:rPr>
        <w:instrText xml:space="preserve"> HYPERLINK "https://baike.sogou.com/m/fullLemma?lid=5923292&amp;g_ut=3" \t "https://baike.sogou.com/m/_blank" </w:instrText>
      </w:r>
      <w:r>
        <w:rPr>
          <w:color w:val="000000"/>
        </w:rPr>
        <w:fldChar w:fldCharType="separate"/>
      </w:r>
      <w:r>
        <w:rPr>
          <w:rStyle w:val="58"/>
          <w:rFonts w:hint="eastAsia" w:ascii="仿宋_GB2312" w:hAnsi="宋体" w:eastAsia="仿宋_GB2312"/>
          <w:color w:val="000000"/>
          <w:sz w:val="28"/>
          <w:szCs w:val="28"/>
        </w:rPr>
        <w:t>经营许可证</w:t>
      </w:r>
      <w:r>
        <w:rPr>
          <w:color w:val="000000"/>
        </w:rPr>
        <w:fldChar w:fldCharType="end"/>
      </w:r>
      <w:r>
        <w:rPr>
          <w:rFonts w:hint="eastAsia" w:ascii="仿宋_GB2312" w:hAnsi="宋体" w:eastAsia="仿宋_GB2312"/>
          <w:color w:val="000000"/>
          <w:sz w:val="28"/>
          <w:szCs w:val="28"/>
        </w:rPr>
        <w:t>或者超出经营许可范围的单位或个人提供或者委托其收集、贮存、利用、处置危险废物的；</w:t>
      </w:r>
    </w:p>
    <w:p w14:paraId="377F324D">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（八）</w:t>
      </w:r>
      <w:r>
        <w:rPr>
          <w:color w:val="000000"/>
        </w:rPr>
        <w:fldChar w:fldCharType="begin"/>
      </w:r>
      <w:r>
        <w:rPr>
          <w:color w:val="000000"/>
        </w:rPr>
        <w:instrText xml:space="preserve"> HYPERLINK "https://baike.sogou.com/m/fullLemma?lid=167759803&amp;g_ut=3" \t "https://baike.sogou.com/m/_blank" </w:instrText>
      </w:r>
      <w:r>
        <w:rPr>
          <w:color w:val="000000"/>
        </w:rPr>
        <w:fldChar w:fldCharType="separate"/>
      </w:r>
      <w:r>
        <w:rPr>
          <w:rStyle w:val="58"/>
          <w:rFonts w:hint="eastAsia" w:ascii="仿宋_GB2312" w:hAnsi="宋体" w:eastAsia="仿宋_GB2312"/>
          <w:color w:val="000000"/>
          <w:sz w:val="28"/>
          <w:szCs w:val="28"/>
        </w:rPr>
        <w:t>环境违法行为</w:t>
      </w:r>
      <w:r>
        <w:rPr>
          <w:color w:val="000000"/>
        </w:rPr>
        <w:fldChar w:fldCharType="end"/>
      </w:r>
      <w:r>
        <w:rPr>
          <w:rFonts w:hint="eastAsia" w:ascii="仿宋_GB2312" w:hAnsi="宋体" w:eastAsia="仿宋_GB2312"/>
          <w:color w:val="000000"/>
          <w:sz w:val="28"/>
          <w:szCs w:val="28"/>
        </w:rPr>
        <w:t>造成集中式生活饮用水水源取水中断的；</w:t>
      </w:r>
    </w:p>
    <w:p w14:paraId="7131E340">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（九）环境违法行为对生活饮用水水源保护区、自然保护区、</w:t>
      </w:r>
      <w:r>
        <w:rPr>
          <w:color w:val="000000"/>
        </w:rPr>
        <w:fldChar w:fldCharType="begin"/>
      </w:r>
      <w:r>
        <w:rPr>
          <w:color w:val="000000"/>
        </w:rPr>
        <w:instrText xml:space="preserve"> HYPERLINK "https://baike.sogou.com/m/fullLemma?lid=155199213&amp;g_ut=3" \t "https://baike.sogou.com/m/_blank" </w:instrText>
      </w:r>
      <w:r>
        <w:rPr>
          <w:color w:val="000000"/>
        </w:rPr>
        <w:fldChar w:fldCharType="separate"/>
      </w:r>
      <w:r>
        <w:rPr>
          <w:rStyle w:val="58"/>
          <w:rFonts w:hint="eastAsia" w:ascii="仿宋_GB2312" w:hAnsi="宋体" w:eastAsia="仿宋_GB2312"/>
          <w:color w:val="000000"/>
          <w:sz w:val="28"/>
          <w:szCs w:val="28"/>
        </w:rPr>
        <w:t>国家重点生态功能区</w:t>
      </w:r>
      <w:r>
        <w:rPr>
          <w:color w:val="000000"/>
        </w:rPr>
        <w:fldChar w:fldCharType="end"/>
      </w:r>
      <w:r>
        <w:rPr>
          <w:rFonts w:hint="eastAsia" w:ascii="仿宋_GB2312" w:hAnsi="宋体" w:eastAsia="仿宋_GB2312"/>
          <w:color w:val="000000"/>
          <w:sz w:val="28"/>
          <w:szCs w:val="28"/>
        </w:rPr>
        <w:t>、风景名胜区、居住功能区、</w:t>
      </w:r>
      <w:r>
        <w:rPr>
          <w:color w:val="000000"/>
        </w:rPr>
        <w:fldChar w:fldCharType="begin"/>
      </w:r>
      <w:r>
        <w:rPr>
          <w:color w:val="000000"/>
        </w:rPr>
        <w:instrText xml:space="preserve"> HYPERLINK "https://baike.sogou.com/m/fullLemma?lid=7757164&amp;g_ut=3" \t "https://baike.sogou.com/m/_blank" </w:instrText>
      </w:r>
      <w:r>
        <w:rPr>
          <w:color w:val="000000"/>
        </w:rPr>
        <w:fldChar w:fldCharType="separate"/>
      </w:r>
      <w:r>
        <w:rPr>
          <w:rStyle w:val="58"/>
          <w:rFonts w:hint="eastAsia" w:ascii="仿宋_GB2312" w:hAnsi="宋体" w:eastAsia="仿宋_GB2312"/>
          <w:color w:val="000000"/>
          <w:sz w:val="28"/>
          <w:szCs w:val="28"/>
        </w:rPr>
        <w:t>基本农田保护区</w:t>
      </w:r>
      <w:r>
        <w:rPr>
          <w:color w:val="000000"/>
        </w:rPr>
        <w:fldChar w:fldCharType="end"/>
      </w:r>
      <w:r>
        <w:rPr>
          <w:rFonts w:hint="eastAsia" w:ascii="仿宋_GB2312" w:hAnsi="宋体" w:eastAsia="仿宋_GB2312"/>
          <w:color w:val="000000"/>
          <w:sz w:val="28"/>
          <w:szCs w:val="28"/>
        </w:rPr>
        <w:t>等环境敏感区造成重大不利影响的；</w:t>
      </w:r>
    </w:p>
    <w:p w14:paraId="202BF31B">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（十）违法从事自然资源开发、交通基础设施建设，以及其他开发建设活动，造成严重生态破坏的；</w:t>
      </w:r>
    </w:p>
    <w:p w14:paraId="36104B92">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（十一）发生较大及以上突发环境事件的；</w:t>
      </w:r>
    </w:p>
    <w:p w14:paraId="1D87C321">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（十二）被环保部门挂牌督办，整改逾期未完成的；</w:t>
      </w:r>
    </w:p>
    <w:p w14:paraId="4724CFD3">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（十三）以暴力、威胁等方式拒绝、阻挠环保部门工作人员现场检查的；</w:t>
      </w:r>
    </w:p>
    <w:p w14:paraId="5979D3DF">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（十四）违反重污染天气应急预案有关规定，对重污染天气响应不力的。</w:t>
      </w:r>
    </w:p>
    <w:p w14:paraId="4411363B">
      <w:pPr>
        <w:adjustRightInd w:val="0"/>
        <w:snapToGrid w:val="0"/>
        <w:spacing w:line="560" w:lineRule="exact"/>
        <w:ind w:firstLine="645"/>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依据：《关于对环境保护领域失信生产经营单位及其有关人员开展联合惩戒的合作备忘录》、《</w:t>
      </w:r>
      <w:bookmarkStart w:id="1050" w:name="OLE_LINK12"/>
      <w:r>
        <w:rPr>
          <w:rFonts w:hint="eastAsia" w:ascii="仿宋_GB2312" w:hAnsi="宋体" w:eastAsia="仿宋_GB2312"/>
          <w:b/>
          <w:color w:val="000000"/>
          <w:sz w:val="28"/>
          <w:szCs w:val="28"/>
        </w:rPr>
        <w:t>企业环境信用评价办法（试行）</w:t>
      </w:r>
      <w:bookmarkEnd w:id="1050"/>
      <w:r>
        <w:rPr>
          <w:rFonts w:hint="eastAsia" w:ascii="仿宋_GB2312" w:hAnsi="宋体" w:eastAsia="仿宋_GB2312"/>
          <w:b/>
          <w:color w:val="000000"/>
          <w:sz w:val="28"/>
          <w:szCs w:val="28"/>
        </w:rPr>
        <w:t>》（环发〔2013〕150号）</w:t>
      </w:r>
    </w:p>
    <w:p w14:paraId="28ED7CAF">
      <w:pPr>
        <w:adjustRightInd w:val="0"/>
        <w:snapToGrid w:val="0"/>
        <w:spacing w:line="560" w:lineRule="exact"/>
        <w:ind w:firstLine="645"/>
        <w:jc w:val="left"/>
        <w:rPr>
          <w:rFonts w:hint="eastAsia" w:ascii="仿宋_GB2312" w:hAnsi="宋体" w:eastAsia="仿宋_GB2312"/>
          <w:b/>
          <w:color w:val="000000"/>
          <w:sz w:val="28"/>
          <w:szCs w:val="28"/>
        </w:rPr>
      </w:pPr>
    </w:p>
    <w:p w14:paraId="1FB83F4D">
      <w:pPr>
        <w:adjustRightInd w:val="0"/>
        <w:snapToGrid w:val="0"/>
        <w:spacing w:line="560" w:lineRule="exact"/>
        <w:ind w:firstLine="645"/>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三、</w:t>
      </w:r>
      <w:r>
        <w:rPr>
          <w:rFonts w:hint="eastAsia" w:ascii="仿宋_GB2312" w:hAnsi="宋体" w:eastAsia="仿宋_GB2312"/>
          <w:b/>
          <w:bCs/>
          <w:color w:val="000000"/>
          <w:sz w:val="28"/>
          <w:szCs w:val="28"/>
        </w:rPr>
        <w:t>公共资源交易领域严重失信行为</w:t>
      </w:r>
    </w:p>
    <w:p w14:paraId="175B39A4">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（一）违反法律规定，必须进行招标的项目而不招标的，将必须进行招标的项目化整为零或者以其他任何方式规避招标的； </w:t>
      </w:r>
    </w:p>
    <w:p w14:paraId="7608556A">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（二）招标代理机构违反法律规定，泄露应当保密的与招标投标活动有关的情况和资料的，或者与招标人、投标人串通损害 国家利益、社会公共利益或者他人合法权益的；</w:t>
      </w:r>
    </w:p>
    <w:p w14:paraId="7DE6B085">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（三）招标人以不合理的条件限制或者排斥潜在投标人的，对潜在投标人实行歧视待遇的，强制要求投标人组成联合体共同 投标的，或者限制投标人之间竞争的；</w:t>
      </w:r>
    </w:p>
    <w:p w14:paraId="4A882BC6">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（四）依法必须进行招标的项目的招标人向他人透露已获取招标文件的潜在投标人的名称、数量或者可能影响公平竞争的有 关招标投标的其他情况的，或者泄露标底的；</w:t>
      </w:r>
    </w:p>
    <w:p w14:paraId="36E6B618">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（五）投标人相互串通投标或者与招标人串通投标的，投标人以向招标人或者评标委员会成员行贿的手段谋取中标的； </w:t>
      </w:r>
    </w:p>
    <w:p w14:paraId="4017870A">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（六）投标人以他人名义投标或者以其他方式弄虚作假，骗取中标的；</w:t>
      </w:r>
    </w:p>
    <w:p w14:paraId="37FD4694">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（七）依法必须进行招标的项目，招标人违反法律规定，与投标人就投标价格、投标方案等实质性内容进行谈判的；</w:t>
      </w:r>
    </w:p>
    <w:p w14:paraId="17811A71">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01760C7B">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（九）招标人在评标委员会依法推荐的中标候选人以外确定中标人的，依法必须进行招标的项目在所有投标被评标委员会否 决后自行确定中标人的； </w:t>
      </w:r>
    </w:p>
    <w:p w14:paraId="44C3FEE2">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（十）中标人将中标项目转让给他人的，将中标项目肢解后分别转让给他人的，违反法律规定将中标项目的部分主体、关键 性工作分包给他人的，或者分包人再次分包的； </w:t>
      </w:r>
    </w:p>
    <w:p w14:paraId="065163DD">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（十一）招标人与中标人不按照招标文件和中标人的投标文件订立合同的，或者招标人、中标人订立背离合同实质性内容的 协议的； </w:t>
      </w:r>
    </w:p>
    <w:p w14:paraId="6F7BA3F3">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（十二）中标人不按照与招标人订立的合同履行义务，情节严重的； </w:t>
      </w:r>
    </w:p>
    <w:p w14:paraId="1966EB20">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3BE7C1A9">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6171E160">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 （十五）采购人对应当实行集中采购的政府采购项目，不委托集中采购机构实行集中采购的； </w:t>
      </w:r>
    </w:p>
    <w:p w14:paraId="537A8643">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（十六）采购人、采购代理机构违反法律规定隐匿、销毁应当保存的采购文件或者伪造、变造采购文件的； </w:t>
      </w:r>
    </w:p>
    <w:p w14:paraId="67D91287">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47D72D5A">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（十八）疫苗生产企业向县级疾病预防控制机构以外的单位或者个人销售第二类疫苗的； </w:t>
      </w:r>
    </w:p>
    <w:p w14:paraId="2C99BD86">
      <w:pPr>
        <w:adjustRightInd w:val="0"/>
        <w:snapToGrid w:val="0"/>
        <w:spacing w:line="560" w:lineRule="exact"/>
        <w:ind w:left="141" w:leftChars="67" w:firstLine="420" w:firstLineChars="150"/>
        <w:jc w:val="left"/>
        <w:rPr>
          <w:rFonts w:hint="eastAsia" w:ascii="仿宋_GB2312" w:hAnsi="宋体" w:eastAsia="仿宋_GB2312"/>
          <w:color w:val="000000"/>
          <w:sz w:val="28"/>
          <w:szCs w:val="28"/>
        </w:rPr>
      </w:pPr>
      <w:r>
        <w:rPr>
          <w:rFonts w:hint="eastAsia" w:ascii="仿宋_GB2312" w:hAnsi="Calibri" w:eastAsia="仿宋_GB2312"/>
          <w:color w:val="000000"/>
          <w:sz w:val="28"/>
          <w:szCs w:val="28"/>
        </w:rPr>
        <w:t>（十九）存在其他违反公共资源交易法律法规行为的。</w:t>
      </w:r>
    </w:p>
    <w:p w14:paraId="513F024B">
      <w:pPr>
        <w:adjustRightInd w:val="0"/>
        <w:snapToGrid w:val="0"/>
        <w:spacing w:line="560" w:lineRule="exact"/>
        <w:ind w:firstLine="894" w:firstLineChars="318"/>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依据：《</w:t>
      </w:r>
      <w:bookmarkStart w:id="1051" w:name="OLE_LINK13"/>
      <w:r>
        <w:rPr>
          <w:rFonts w:hint="eastAsia" w:ascii="仿宋_GB2312" w:hAnsi="宋体" w:eastAsia="仿宋_GB2312"/>
          <w:b/>
          <w:color w:val="000000"/>
          <w:sz w:val="28"/>
          <w:szCs w:val="28"/>
        </w:rPr>
        <w:t>关于对公共资源交易领域严重失信主体开展联合惩戒的备忘录</w:t>
      </w:r>
      <w:bookmarkEnd w:id="1051"/>
      <w:r>
        <w:rPr>
          <w:rFonts w:hint="eastAsia" w:ascii="仿宋_GB2312" w:hAnsi="宋体" w:eastAsia="仿宋_GB2312"/>
          <w:b/>
          <w:color w:val="000000"/>
          <w:sz w:val="28"/>
          <w:szCs w:val="28"/>
        </w:rPr>
        <w:t>》（发改法规〔2018〕457号）</w:t>
      </w:r>
    </w:p>
    <w:p w14:paraId="586B39EF">
      <w:pPr>
        <w:adjustRightInd w:val="0"/>
        <w:snapToGrid w:val="0"/>
        <w:spacing w:line="560" w:lineRule="exact"/>
        <w:ind w:firstLine="645"/>
        <w:jc w:val="left"/>
        <w:rPr>
          <w:rFonts w:hint="eastAsia" w:ascii="仿宋_GB2312" w:hAnsi="宋体" w:eastAsia="仿宋_GB2312"/>
          <w:color w:val="000000"/>
          <w:sz w:val="28"/>
          <w:szCs w:val="28"/>
        </w:rPr>
      </w:pPr>
    </w:p>
    <w:p w14:paraId="52F924BA">
      <w:pPr>
        <w:adjustRightInd w:val="0"/>
        <w:snapToGrid w:val="0"/>
        <w:spacing w:line="560" w:lineRule="exact"/>
        <w:ind w:firstLine="645"/>
        <w:jc w:val="left"/>
        <w:rPr>
          <w:rFonts w:hint="eastAsia" w:ascii="仿宋_GB2312" w:hAnsi="宋体" w:eastAsia="仿宋_GB2312"/>
          <w:b/>
          <w:bCs/>
          <w:color w:val="000000"/>
          <w:sz w:val="28"/>
          <w:szCs w:val="28"/>
        </w:rPr>
      </w:pPr>
      <w:r>
        <w:rPr>
          <w:rFonts w:hint="eastAsia" w:ascii="仿宋_GB2312" w:hAnsi="宋体" w:eastAsia="仿宋_GB2312"/>
          <w:b/>
          <w:color w:val="000000"/>
          <w:sz w:val="28"/>
          <w:szCs w:val="28"/>
        </w:rPr>
        <w:t>四、</w:t>
      </w:r>
      <w:r>
        <w:rPr>
          <w:rFonts w:hint="eastAsia" w:ascii="仿宋_GB2312" w:hAnsi="宋体" w:eastAsia="仿宋_GB2312"/>
          <w:b/>
          <w:bCs/>
          <w:color w:val="000000"/>
          <w:sz w:val="28"/>
          <w:szCs w:val="28"/>
        </w:rPr>
        <w:t>社会保险领域严重失信行为</w:t>
      </w:r>
    </w:p>
    <w:p w14:paraId="62502668">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（一）用人单位未按相关规定参加社会保险且拒不整改的； </w:t>
      </w:r>
    </w:p>
    <w:p w14:paraId="2EC80CDF">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（二）用人单位未如实申报社会保险缴费基数且拒不整改的； </w:t>
      </w:r>
    </w:p>
    <w:p w14:paraId="617EDC51">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（三）应缴纳社会保险费却拒不缴纳的； </w:t>
      </w:r>
    </w:p>
    <w:p w14:paraId="5DCC33F5">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（四）隐匿、转移、侵占、挪用社会保险费款、基金或者违规投资运营的；</w:t>
      </w:r>
    </w:p>
    <w:p w14:paraId="31F477FF">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（五）以欺诈、伪造证明材料或者其他手段参加、申报社会保险和骗取社会保险基金支出或社会保险待遇的； </w:t>
      </w:r>
    </w:p>
    <w:p w14:paraId="2CD154DD">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（六）非法获取、出售或变相交易社会保险个人权益数据的； </w:t>
      </w:r>
    </w:p>
    <w:p w14:paraId="38067C7E">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（七）社会保险服务机构违反服务协议或相关规定的； </w:t>
      </w:r>
    </w:p>
    <w:p w14:paraId="23A626D0">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（八）拒绝协助社会保险行政部门、经办机构对事故和问题进 行调查核实的；拒绝接受或协助税务部门对社会保险实施监督检查， 不如实提供与社会保险相关各项资料的； </w:t>
      </w:r>
    </w:p>
    <w:p w14:paraId="0F58F845">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（九）其他违反法律法规规定的。</w:t>
      </w:r>
    </w:p>
    <w:p w14:paraId="2B9DE631">
      <w:pPr>
        <w:adjustRightInd w:val="0"/>
        <w:snapToGrid w:val="0"/>
        <w:spacing w:line="560" w:lineRule="exact"/>
        <w:ind w:firstLine="551" w:firstLineChars="196"/>
        <w:jc w:val="left"/>
        <w:rPr>
          <w:rFonts w:hint="eastAsia" w:ascii="仿宋_GB2312" w:hAnsi="Calibri" w:eastAsia="仿宋_GB2312"/>
          <w:color w:val="000000"/>
          <w:sz w:val="28"/>
          <w:szCs w:val="28"/>
        </w:rPr>
      </w:pPr>
      <w:r>
        <w:rPr>
          <w:rFonts w:hint="eastAsia" w:ascii="仿宋_GB2312" w:hAnsi="Calibri" w:eastAsia="仿宋_GB2312"/>
          <w:b/>
          <w:color w:val="000000"/>
          <w:sz w:val="28"/>
          <w:szCs w:val="28"/>
        </w:rPr>
        <w:t>依据：《关于对社会保险领域严重失信企业及其有关人员实施联合惩戒的合作备忘录》（发改财金〔2018〕1704号）</w:t>
      </w:r>
    </w:p>
    <w:p w14:paraId="5F230DFD">
      <w:pPr>
        <w:adjustRightInd w:val="0"/>
        <w:snapToGrid w:val="0"/>
        <w:spacing w:line="560" w:lineRule="exact"/>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w:t>
      </w:r>
    </w:p>
    <w:p w14:paraId="339E9367">
      <w:pPr>
        <w:adjustRightInd w:val="0"/>
        <w:snapToGrid w:val="0"/>
        <w:spacing w:line="560" w:lineRule="exact"/>
        <w:ind w:firstLine="562" w:firstLineChars="200"/>
        <w:jc w:val="left"/>
        <w:rPr>
          <w:rFonts w:hint="eastAsia" w:ascii="仿宋_GB2312" w:hAnsi="宋体" w:eastAsia="仿宋_GB2312"/>
          <w:b/>
          <w:bCs/>
          <w:color w:val="000000"/>
          <w:sz w:val="28"/>
          <w:szCs w:val="28"/>
        </w:rPr>
      </w:pPr>
      <w:r>
        <w:rPr>
          <w:rFonts w:hint="eastAsia" w:ascii="仿宋_GB2312" w:hAnsi="宋体" w:eastAsia="仿宋_GB2312"/>
          <w:b/>
          <w:color w:val="000000"/>
          <w:sz w:val="28"/>
          <w:szCs w:val="28"/>
        </w:rPr>
        <w:t>五、建筑市场领域</w:t>
      </w:r>
      <w:r>
        <w:rPr>
          <w:rFonts w:hint="eastAsia" w:ascii="仿宋_GB2312" w:hAnsi="宋体" w:eastAsia="仿宋_GB2312"/>
          <w:b/>
          <w:bCs/>
          <w:color w:val="000000"/>
          <w:sz w:val="28"/>
          <w:szCs w:val="28"/>
        </w:rPr>
        <w:t>严重失信行为</w:t>
      </w:r>
    </w:p>
    <w:p w14:paraId="52D451E2">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（一）利用虚假材料、以欺骗手段取得企业资质的；</w:t>
      </w:r>
    </w:p>
    <w:p w14:paraId="42DD1938">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（二）发生转包、出借资质，受到行政处罚的；</w:t>
      </w:r>
    </w:p>
    <w:p w14:paraId="7EBBA976">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（三）发生重大及以上工程质量安全事故，或1年内累计发生2次及以上较大工程质量安全事故，或发生性质恶劣、危害性严重、社会影响大的较大工程质量安全事故，受到行政处罚的；</w:t>
      </w:r>
    </w:p>
    <w:p w14:paraId="79A2C480">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（四）经法院判决或仲裁机构裁决，认定为拖欠工程款,且拒不履行生效法律文书确定的义务的。</w:t>
      </w:r>
    </w:p>
    <w:p w14:paraId="21D43199">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各级住房城乡建设主管部门应当参照建筑市场主体“黑名单”，对被人力资源社会保障行政部门列入拖欠农民工工资“黑名单”的建筑市场各方主体加强监管。</w:t>
      </w:r>
    </w:p>
    <w:p w14:paraId="20F91FD3">
      <w:pPr>
        <w:ind w:firstLine="562" w:firstLineChars="200"/>
        <w:jc w:val="left"/>
        <w:rPr>
          <w:rFonts w:hint="eastAsia" w:ascii="宋体" w:hAnsi="宋体"/>
          <w:color w:val="000000"/>
          <w:sz w:val="28"/>
          <w:szCs w:val="28"/>
        </w:rPr>
      </w:pPr>
      <w:r>
        <w:rPr>
          <w:rFonts w:hint="eastAsia" w:ascii="仿宋_GB2312" w:hAnsi="Calibri" w:eastAsia="仿宋_GB2312"/>
          <w:b/>
          <w:color w:val="000000"/>
          <w:sz w:val="28"/>
          <w:szCs w:val="28"/>
        </w:rPr>
        <w:t>依据：《</w:t>
      </w:r>
      <w:bookmarkStart w:id="1052" w:name="OLE_LINK18"/>
      <w:r>
        <w:rPr>
          <w:rFonts w:hint="eastAsia" w:ascii="仿宋_GB2312" w:hAnsi="Calibri" w:eastAsia="仿宋_GB2312"/>
          <w:b/>
          <w:color w:val="000000"/>
          <w:sz w:val="28"/>
          <w:szCs w:val="28"/>
        </w:rPr>
        <w:t>建筑市场信用管理暂行办法</w:t>
      </w:r>
      <w:bookmarkEnd w:id="1052"/>
      <w:r>
        <w:rPr>
          <w:rFonts w:hint="eastAsia" w:ascii="仿宋_GB2312" w:hAnsi="Calibri" w:eastAsia="仿宋_GB2312"/>
          <w:b/>
          <w:color w:val="000000"/>
          <w:sz w:val="28"/>
          <w:szCs w:val="28"/>
        </w:rPr>
        <w:t>》（建市〔2017〕241号）</w:t>
      </w:r>
    </w:p>
    <w:p w14:paraId="2FD7B31D">
      <w:pPr>
        <w:adjustRightInd w:val="0"/>
        <w:snapToGrid w:val="0"/>
        <w:spacing w:line="560" w:lineRule="exact"/>
        <w:rPr>
          <w:rFonts w:hint="eastAsia" w:ascii="仿宋_GB2312" w:hAnsi="宋体" w:eastAsia="仿宋_GB2312"/>
          <w:b/>
          <w:color w:val="000000"/>
          <w:sz w:val="28"/>
          <w:szCs w:val="28"/>
        </w:rPr>
      </w:pPr>
    </w:p>
    <w:p w14:paraId="16A49D62">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六、</w:t>
      </w:r>
      <w:bookmarkStart w:id="1053" w:name="OLE_LINK20"/>
      <w:bookmarkStart w:id="1054" w:name="OLE_LINK19"/>
      <w:r>
        <w:rPr>
          <w:rFonts w:hint="eastAsia" w:ascii="仿宋_GB2312" w:hAnsi="宋体" w:eastAsia="仿宋_GB2312"/>
          <w:b/>
          <w:color w:val="000000"/>
          <w:sz w:val="28"/>
          <w:szCs w:val="28"/>
        </w:rPr>
        <w:t>政府采购严重失信行为</w:t>
      </w:r>
      <w:bookmarkEnd w:id="1053"/>
      <w:bookmarkEnd w:id="1054"/>
    </w:p>
    <w:p w14:paraId="3E03F70A">
      <w:pPr>
        <w:adjustRightInd w:val="0"/>
        <w:snapToGrid w:val="0"/>
        <w:spacing w:line="560" w:lineRule="exact"/>
        <w:ind w:firstLine="615"/>
        <w:rPr>
          <w:rFonts w:hint="eastAsia" w:ascii="仿宋_GB2312" w:hAnsi="Calibri" w:eastAsia="仿宋_GB2312"/>
          <w:color w:val="000000"/>
          <w:sz w:val="28"/>
          <w:szCs w:val="28"/>
        </w:rPr>
      </w:pPr>
      <w:r>
        <w:rPr>
          <w:rFonts w:hint="eastAsia" w:ascii="仿宋_GB2312" w:hAnsi="Calibri" w:eastAsia="仿宋_GB2312"/>
          <w:color w:val="000000"/>
          <w:sz w:val="28"/>
          <w:szCs w:val="28"/>
        </w:rPr>
        <w:t>供应商、采购代理机构在三年内受到财政部门作出下列情形之一的行政处罚，列入政府采购严重违法失信行为记录名单。</w:t>
      </w:r>
      <w:r>
        <w:rPr>
          <w:rFonts w:hint="eastAsia" w:ascii="仿宋_GB2312" w:hAnsi="Calibri" w:eastAsia="仿宋_GB2312"/>
          <w:color w:val="000000"/>
          <w:sz w:val="28"/>
          <w:szCs w:val="28"/>
        </w:rPr>
        <w:br w:type="textWrapping"/>
      </w:r>
      <w:r>
        <w:rPr>
          <w:rFonts w:hint="eastAsia" w:ascii="仿宋_GB2312" w:hAnsi="Calibri" w:eastAsia="仿宋_GB2312"/>
          <w:color w:val="000000"/>
          <w:sz w:val="28"/>
          <w:szCs w:val="28"/>
        </w:rPr>
        <w:t>　　（一）三万元以上罚款；</w:t>
      </w:r>
      <w:r>
        <w:rPr>
          <w:rFonts w:hint="eastAsia" w:ascii="仿宋_GB2312" w:hAnsi="Calibri" w:eastAsia="仿宋_GB2312"/>
          <w:color w:val="000000"/>
          <w:sz w:val="28"/>
          <w:szCs w:val="28"/>
        </w:rPr>
        <w:br w:type="textWrapping"/>
      </w:r>
      <w:r>
        <w:rPr>
          <w:rFonts w:hint="eastAsia" w:ascii="仿宋_GB2312" w:hAnsi="Calibri" w:eastAsia="仿宋_GB2312"/>
          <w:color w:val="000000"/>
          <w:sz w:val="28"/>
          <w:szCs w:val="28"/>
        </w:rPr>
        <w:t>　　（二）在一至三年内禁止参加政府采购活动（处罚期限届满的除外）；</w:t>
      </w:r>
      <w:r>
        <w:rPr>
          <w:rFonts w:hint="eastAsia" w:ascii="仿宋_GB2312" w:hAnsi="Calibri" w:eastAsia="仿宋_GB2312"/>
          <w:color w:val="000000"/>
          <w:sz w:val="28"/>
          <w:szCs w:val="28"/>
        </w:rPr>
        <w:br w:type="textWrapping"/>
      </w:r>
      <w:r>
        <w:rPr>
          <w:rFonts w:hint="eastAsia" w:ascii="仿宋_GB2312" w:hAnsi="Calibri" w:eastAsia="仿宋_GB2312"/>
          <w:color w:val="000000"/>
          <w:sz w:val="28"/>
          <w:szCs w:val="28"/>
        </w:rPr>
        <w:t>　　（三）在一至三年内禁止代理政府采购业务（处罚期限届满的除外）；</w:t>
      </w:r>
      <w:r>
        <w:rPr>
          <w:rFonts w:hint="eastAsia" w:ascii="仿宋_GB2312" w:hAnsi="Calibri" w:eastAsia="仿宋_GB2312"/>
          <w:color w:val="000000"/>
          <w:sz w:val="28"/>
          <w:szCs w:val="28"/>
        </w:rPr>
        <w:br w:type="textWrapping"/>
      </w:r>
      <w:r>
        <w:rPr>
          <w:rFonts w:hint="eastAsia" w:ascii="仿宋_GB2312" w:hAnsi="宋体" w:eastAsia="仿宋_GB2312"/>
          <w:color w:val="000000"/>
          <w:sz w:val="28"/>
          <w:szCs w:val="28"/>
        </w:rPr>
        <w:t xml:space="preserve">　 </w:t>
      </w:r>
      <w:r>
        <w:rPr>
          <w:rFonts w:hint="eastAsia" w:ascii="仿宋_GB2312" w:hAnsi="Calibri" w:eastAsia="仿宋_GB2312"/>
          <w:color w:val="000000"/>
          <w:sz w:val="28"/>
          <w:szCs w:val="28"/>
        </w:rPr>
        <w:t>（四）撤销政府采购代理机构资格（仅针对《政府采购法》第78条修改前作出的处罚决定）。</w:t>
      </w:r>
    </w:p>
    <w:p w14:paraId="2384A8E2">
      <w:pPr>
        <w:adjustRightInd w:val="0"/>
        <w:snapToGrid w:val="0"/>
        <w:spacing w:line="560" w:lineRule="exact"/>
        <w:ind w:firstLine="562" w:firstLineChars="200"/>
        <w:jc w:val="left"/>
        <w:rPr>
          <w:rFonts w:hint="eastAsia" w:ascii="仿宋_GB2312" w:hAnsi="Calibri" w:eastAsia="仿宋_GB2312"/>
          <w:b/>
          <w:color w:val="000000"/>
          <w:sz w:val="28"/>
          <w:szCs w:val="28"/>
        </w:rPr>
      </w:pPr>
      <w:r>
        <w:rPr>
          <w:rFonts w:hint="eastAsia" w:ascii="仿宋_GB2312" w:hAnsi="Calibri" w:eastAsia="仿宋_GB2312"/>
          <w:b/>
          <w:color w:val="000000"/>
          <w:sz w:val="28"/>
          <w:szCs w:val="28"/>
        </w:rPr>
        <w:t>依据：《关于报送政府采购严重违法失信行为信息记录的通知》</w:t>
      </w:r>
      <w:r>
        <w:rPr>
          <w:rFonts w:hint="eastAsia" w:ascii="Calibri" w:hAnsi="Calibri"/>
          <w:b/>
          <w:color w:val="000000"/>
          <w:sz w:val="28"/>
          <w:szCs w:val="28"/>
        </w:rPr>
        <w:t>（财办库〔</w:t>
      </w:r>
      <w:r>
        <w:rPr>
          <w:rFonts w:ascii="Calibri" w:hAnsi="Calibri"/>
          <w:b/>
          <w:color w:val="000000"/>
          <w:sz w:val="28"/>
          <w:szCs w:val="28"/>
        </w:rPr>
        <w:t>2014</w:t>
      </w:r>
      <w:r>
        <w:rPr>
          <w:rFonts w:hint="eastAsia" w:ascii="Calibri" w:hAnsi="Calibri"/>
          <w:b/>
          <w:color w:val="000000"/>
          <w:sz w:val="28"/>
          <w:szCs w:val="28"/>
        </w:rPr>
        <w:t>〕</w:t>
      </w:r>
      <w:r>
        <w:rPr>
          <w:rFonts w:ascii="Calibri" w:hAnsi="Calibri"/>
          <w:b/>
          <w:color w:val="000000"/>
          <w:sz w:val="28"/>
          <w:szCs w:val="28"/>
        </w:rPr>
        <w:t>526</w:t>
      </w:r>
      <w:r>
        <w:rPr>
          <w:rFonts w:hint="eastAsia" w:ascii="Calibri" w:hAnsi="Calibri"/>
          <w:b/>
          <w:color w:val="000000"/>
          <w:sz w:val="28"/>
          <w:szCs w:val="28"/>
        </w:rPr>
        <w:t>号）</w:t>
      </w:r>
    </w:p>
    <w:p w14:paraId="36748B2E">
      <w:pPr>
        <w:adjustRightInd w:val="0"/>
        <w:snapToGrid w:val="0"/>
        <w:spacing w:line="560" w:lineRule="exact"/>
        <w:rPr>
          <w:rFonts w:hint="eastAsia" w:ascii="仿宋_GB2312" w:hAnsi="宋体" w:eastAsia="仿宋_GB2312"/>
          <w:b/>
          <w:color w:val="000000"/>
          <w:sz w:val="28"/>
          <w:szCs w:val="28"/>
        </w:rPr>
      </w:pPr>
    </w:p>
    <w:p w14:paraId="7121168B">
      <w:pPr>
        <w:pStyle w:val="14"/>
        <w:ind w:left="0" w:leftChars="0" w:firstLine="0" w:firstLineChars="0"/>
      </w:pPr>
      <w:r>
        <w:rPr>
          <w:rFonts w:hint="eastAsia" w:ascii="仿宋_GB2312" w:hAnsi="宋体" w:eastAsia="仿宋_GB2312"/>
          <w:b/>
          <w:color w:val="000000"/>
          <w:sz w:val="28"/>
          <w:szCs w:val="28"/>
        </w:rPr>
        <w:t>未列出的其他类别严重失信行为，由招标人（代理机构）根据各类别行业主管部门下发的联合惩戒文件进行判</w:t>
      </w:r>
      <w:r>
        <w:rPr>
          <w:rFonts w:hint="eastAsia" w:ascii="仿宋_GB2312" w:hAnsi="宋体" w:eastAsia="仿宋_GB2312"/>
          <w:b/>
          <w:color w:val="000000"/>
          <w:sz w:val="32"/>
          <w:szCs w:val="32"/>
        </w:rPr>
        <w:t>断。</w:t>
      </w:r>
    </w:p>
    <w:sectPr>
      <w:headerReference r:id="rId9" w:type="default"/>
      <w:footerReference r:id="rId10" w:type="default"/>
      <w:pgSz w:w="11906" w:h="16838"/>
      <w:pgMar w:top="1134" w:right="1417" w:bottom="1134"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1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ModIcon">
    <w:altName w:val="Segoe Print"/>
    <w:panose1 w:val="00000000000000000000"/>
    <w:charset w:val="00"/>
    <w:family w:val="auto"/>
    <w:pitch w:val="default"/>
    <w:sig w:usb0="00000000" w:usb1="00000000" w:usb2="00000000" w:usb3="00000000" w:csb0="00000000" w:csb1="00000000"/>
  </w:font>
  <w:font w:name="ActionIcon">
    <w:altName w:val="Segoe Print"/>
    <w:panose1 w:val="00000000000000000000"/>
    <w:charset w:val="00"/>
    <w:family w:val="auto"/>
    <w:pitch w:val="default"/>
    <w:sig w:usb0="00000000" w:usb1="00000000" w:usb2="00000000" w:usb3="00000000" w:csb0="00000000" w:csb1="00000000"/>
  </w:font>
  <w:font w:name="ActionIcon ! important">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42DBF">
    <w:pPr>
      <w:pStyle w:val="29"/>
      <w:rPr>
        <w:rStyle w:val="51"/>
      </w:rPr>
    </w:pPr>
  </w:p>
  <w:p w14:paraId="53435915">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08C72">
    <w:pPr>
      <w:pStyle w:val="29"/>
      <w:rPr>
        <w:rStyle w:val="51"/>
      </w:rPr>
    </w:pPr>
  </w:p>
  <w:p w14:paraId="78B0040E">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6B4D4">
    <w:pPr>
      <w:pStyle w:val="29"/>
      <w:rPr>
        <w:rStyle w:val="51"/>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01E254">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701E254">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0A8F7B91">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C588D">
    <w:pPr>
      <w:pStyle w:val="29"/>
      <w:rPr>
        <w:rStyle w:val="51"/>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8F04E6">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B8F04E6">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2441B96C">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767B4">
    <w:pPr>
      <w:pStyle w:val="29"/>
      <w:rPr>
        <w:rStyle w:val="51"/>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02D7ED">
                          <w:pPr>
                            <w:pStyle w:val="2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qv1RMoBAACcAwAADgAAAGRycy9lMm9Eb2MueG1srVPNjtMwEL4j8Q6W&#10;79RpD6hE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Rqv1RMoBAACcAwAADgAAAAAAAAABACAAAAAeAQAAZHJzL2Uyb0Rv&#10;Yy54bWxQSwUGAAAAAAYABgBZAQAAWgUAAAAA&#10;">
              <v:fill on="f" focussize="0,0"/>
              <v:stroke on="f"/>
              <v:imagedata o:title=""/>
              <o:lock v:ext="edit" aspectratio="f"/>
              <v:textbox inset="0mm,0mm,0mm,0mm" style="mso-fit-shape-to-text:t;">
                <w:txbxContent>
                  <w:p w14:paraId="2802D7ED">
                    <w:pPr>
                      <w:pStyle w:val="29"/>
                    </w:pPr>
                    <w:r>
                      <w:fldChar w:fldCharType="begin"/>
                    </w:r>
                    <w:r>
                      <w:instrText xml:space="preserve"> PAGE  \* MERGEFORMAT </w:instrText>
                    </w:r>
                    <w:r>
                      <w:fldChar w:fldCharType="separate"/>
                    </w:r>
                    <w:r>
                      <w:t>2</w:t>
                    </w:r>
                    <w:r>
                      <w:fldChar w:fldCharType="end"/>
                    </w:r>
                  </w:p>
                </w:txbxContent>
              </v:textbox>
            </v:shape>
          </w:pict>
        </mc:Fallback>
      </mc:AlternateContent>
    </w:r>
  </w:p>
  <w:p w14:paraId="01B2BA8E">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23331">
    <w:pPr>
      <w:pStyle w:val="30"/>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6B492">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8BC04">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E0B1C5"/>
    <w:multiLevelType w:val="singleLevel"/>
    <w:tmpl w:val="84E0B1C5"/>
    <w:lvl w:ilvl="0" w:tentative="0">
      <w:start w:val="1"/>
      <w:numFmt w:val="decimal"/>
      <w:suff w:val="space"/>
      <w:lvlText w:val="（%1）"/>
      <w:lvlJc w:val="left"/>
    </w:lvl>
  </w:abstractNum>
  <w:abstractNum w:abstractNumId="1">
    <w:nsid w:val="0000000C"/>
    <w:multiLevelType w:val="singleLevel"/>
    <w:tmpl w:val="0000000C"/>
    <w:lvl w:ilvl="0" w:tentative="0">
      <w:start w:val="1"/>
      <w:numFmt w:val="decimal"/>
      <w:lvlText w:val="%1."/>
      <w:lvlJc w:val="left"/>
      <w:pPr>
        <w:ind w:left="425" w:hanging="425"/>
      </w:pPr>
      <w:rPr>
        <w:rFonts w:hint="default"/>
      </w:rPr>
    </w:lvl>
  </w:abstractNum>
  <w:abstractNum w:abstractNumId="2">
    <w:nsid w:val="152B3C79"/>
    <w:multiLevelType w:val="singleLevel"/>
    <w:tmpl w:val="152B3C79"/>
    <w:lvl w:ilvl="0" w:tentative="0">
      <w:start w:val="1"/>
      <w:numFmt w:val="decimal"/>
      <w:suff w:val="nothing"/>
      <w:lvlText w:val="（%1）"/>
      <w:lvlJc w:val="left"/>
    </w:lvl>
  </w:abstractNum>
  <w:abstractNum w:abstractNumId="3">
    <w:nsid w:val="17A77041"/>
    <w:multiLevelType w:val="singleLevel"/>
    <w:tmpl w:val="17A77041"/>
    <w:lvl w:ilvl="0" w:tentative="0">
      <w:start w:val="4"/>
      <w:numFmt w:val="chineseCounting"/>
      <w:suff w:val="space"/>
      <w:lvlText w:val="第%1章"/>
      <w:lvlJc w:val="left"/>
      <w:rPr>
        <w:rFonts w:hint="eastAsia"/>
      </w:rPr>
    </w:lvl>
  </w:abstractNum>
  <w:abstractNum w:abstractNumId="4">
    <w:nsid w:val="6E79EE27"/>
    <w:multiLevelType w:val="singleLevel"/>
    <w:tmpl w:val="6E79EE27"/>
    <w:lvl w:ilvl="0" w:tentative="0">
      <w:start w:val="6"/>
      <w:numFmt w:val="decimal"/>
      <w:suff w:val="nothing"/>
      <w:lvlText w:val="%1、"/>
      <w:lvlJc w:val="left"/>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00172A27"/>
    <w:rsid w:val="0000197A"/>
    <w:rsid w:val="00002E1B"/>
    <w:rsid w:val="000046EA"/>
    <w:rsid w:val="00004E34"/>
    <w:rsid w:val="00005CD8"/>
    <w:rsid w:val="00006123"/>
    <w:rsid w:val="000070B7"/>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330C1"/>
    <w:rsid w:val="000335C0"/>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B75"/>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6988"/>
    <w:rsid w:val="00120E5D"/>
    <w:rsid w:val="00125553"/>
    <w:rsid w:val="0012738D"/>
    <w:rsid w:val="00130FBA"/>
    <w:rsid w:val="00131494"/>
    <w:rsid w:val="00132E3D"/>
    <w:rsid w:val="0014049F"/>
    <w:rsid w:val="00140BFD"/>
    <w:rsid w:val="00142868"/>
    <w:rsid w:val="00146B5E"/>
    <w:rsid w:val="0015292B"/>
    <w:rsid w:val="0015363F"/>
    <w:rsid w:val="00154C59"/>
    <w:rsid w:val="00155F6F"/>
    <w:rsid w:val="001564C3"/>
    <w:rsid w:val="001620D9"/>
    <w:rsid w:val="0016514F"/>
    <w:rsid w:val="00165414"/>
    <w:rsid w:val="00165F97"/>
    <w:rsid w:val="00167090"/>
    <w:rsid w:val="00167507"/>
    <w:rsid w:val="00172A27"/>
    <w:rsid w:val="00173108"/>
    <w:rsid w:val="00173D37"/>
    <w:rsid w:val="00174E43"/>
    <w:rsid w:val="0018238C"/>
    <w:rsid w:val="00182D4C"/>
    <w:rsid w:val="001834BA"/>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5247"/>
    <w:rsid w:val="001F23AB"/>
    <w:rsid w:val="001F32ED"/>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7461"/>
    <w:rsid w:val="0022783F"/>
    <w:rsid w:val="00230392"/>
    <w:rsid w:val="00230583"/>
    <w:rsid w:val="00230A2B"/>
    <w:rsid w:val="00231547"/>
    <w:rsid w:val="002334EC"/>
    <w:rsid w:val="00235B32"/>
    <w:rsid w:val="00236AD7"/>
    <w:rsid w:val="00237688"/>
    <w:rsid w:val="00240423"/>
    <w:rsid w:val="00243B18"/>
    <w:rsid w:val="00246AD7"/>
    <w:rsid w:val="00246B91"/>
    <w:rsid w:val="00247A64"/>
    <w:rsid w:val="00250013"/>
    <w:rsid w:val="00250BCF"/>
    <w:rsid w:val="00253591"/>
    <w:rsid w:val="00255670"/>
    <w:rsid w:val="00256780"/>
    <w:rsid w:val="00262ABE"/>
    <w:rsid w:val="002657EE"/>
    <w:rsid w:val="00276F57"/>
    <w:rsid w:val="00277D06"/>
    <w:rsid w:val="002816D4"/>
    <w:rsid w:val="00286980"/>
    <w:rsid w:val="002928CE"/>
    <w:rsid w:val="00292C87"/>
    <w:rsid w:val="0029757E"/>
    <w:rsid w:val="002A1A66"/>
    <w:rsid w:val="002A39EF"/>
    <w:rsid w:val="002A599F"/>
    <w:rsid w:val="002A6E04"/>
    <w:rsid w:val="002B4BA8"/>
    <w:rsid w:val="002B7071"/>
    <w:rsid w:val="002B7117"/>
    <w:rsid w:val="002B714A"/>
    <w:rsid w:val="002B718A"/>
    <w:rsid w:val="002B7621"/>
    <w:rsid w:val="002C2E22"/>
    <w:rsid w:val="002C4A57"/>
    <w:rsid w:val="002C528E"/>
    <w:rsid w:val="002C5643"/>
    <w:rsid w:val="002E13EC"/>
    <w:rsid w:val="002E41CC"/>
    <w:rsid w:val="002F05E9"/>
    <w:rsid w:val="002F2C99"/>
    <w:rsid w:val="002F3D6A"/>
    <w:rsid w:val="002F794D"/>
    <w:rsid w:val="003029B3"/>
    <w:rsid w:val="00303019"/>
    <w:rsid w:val="00306787"/>
    <w:rsid w:val="00306966"/>
    <w:rsid w:val="0031113D"/>
    <w:rsid w:val="00311AAC"/>
    <w:rsid w:val="00313CA4"/>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43C0"/>
    <w:rsid w:val="00340804"/>
    <w:rsid w:val="00342D97"/>
    <w:rsid w:val="00343375"/>
    <w:rsid w:val="003448C2"/>
    <w:rsid w:val="00344CD6"/>
    <w:rsid w:val="0034662F"/>
    <w:rsid w:val="003510D2"/>
    <w:rsid w:val="00351A8E"/>
    <w:rsid w:val="0035447B"/>
    <w:rsid w:val="00356B27"/>
    <w:rsid w:val="00356B90"/>
    <w:rsid w:val="00357C8A"/>
    <w:rsid w:val="00360C29"/>
    <w:rsid w:val="0036101B"/>
    <w:rsid w:val="003613C6"/>
    <w:rsid w:val="00361CBA"/>
    <w:rsid w:val="00362EE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32"/>
    <w:rsid w:val="003871B4"/>
    <w:rsid w:val="00393016"/>
    <w:rsid w:val="00394BA5"/>
    <w:rsid w:val="00394D82"/>
    <w:rsid w:val="003A70F7"/>
    <w:rsid w:val="003B39C6"/>
    <w:rsid w:val="003B4CDE"/>
    <w:rsid w:val="003B5919"/>
    <w:rsid w:val="003B7075"/>
    <w:rsid w:val="003B7983"/>
    <w:rsid w:val="003C24F4"/>
    <w:rsid w:val="003C4452"/>
    <w:rsid w:val="003C4CBD"/>
    <w:rsid w:val="003C7646"/>
    <w:rsid w:val="003D0BFC"/>
    <w:rsid w:val="003D206A"/>
    <w:rsid w:val="003D27B4"/>
    <w:rsid w:val="003D34ED"/>
    <w:rsid w:val="003D60ED"/>
    <w:rsid w:val="003D7852"/>
    <w:rsid w:val="003E0F27"/>
    <w:rsid w:val="003E15AB"/>
    <w:rsid w:val="003E3274"/>
    <w:rsid w:val="003E441B"/>
    <w:rsid w:val="003E528B"/>
    <w:rsid w:val="003E62C9"/>
    <w:rsid w:val="003E64A4"/>
    <w:rsid w:val="003F1184"/>
    <w:rsid w:val="003F19CD"/>
    <w:rsid w:val="003F34D1"/>
    <w:rsid w:val="003F5214"/>
    <w:rsid w:val="003F56BE"/>
    <w:rsid w:val="003F72A7"/>
    <w:rsid w:val="00403578"/>
    <w:rsid w:val="0040419B"/>
    <w:rsid w:val="00404AFD"/>
    <w:rsid w:val="0041061A"/>
    <w:rsid w:val="00411B9C"/>
    <w:rsid w:val="004139CC"/>
    <w:rsid w:val="00416BD0"/>
    <w:rsid w:val="004179E4"/>
    <w:rsid w:val="00422908"/>
    <w:rsid w:val="0042416B"/>
    <w:rsid w:val="004249BA"/>
    <w:rsid w:val="0042531B"/>
    <w:rsid w:val="004306D8"/>
    <w:rsid w:val="00430F18"/>
    <w:rsid w:val="00432BC1"/>
    <w:rsid w:val="00433924"/>
    <w:rsid w:val="00434AAC"/>
    <w:rsid w:val="0043512B"/>
    <w:rsid w:val="00435537"/>
    <w:rsid w:val="004355FE"/>
    <w:rsid w:val="00441E58"/>
    <w:rsid w:val="00445715"/>
    <w:rsid w:val="00445E0F"/>
    <w:rsid w:val="00446179"/>
    <w:rsid w:val="004506F7"/>
    <w:rsid w:val="0045199B"/>
    <w:rsid w:val="00451F70"/>
    <w:rsid w:val="00454C0F"/>
    <w:rsid w:val="00454F95"/>
    <w:rsid w:val="004571AF"/>
    <w:rsid w:val="00462043"/>
    <w:rsid w:val="0046380E"/>
    <w:rsid w:val="00466093"/>
    <w:rsid w:val="004712B0"/>
    <w:rsid w:val="00471B5C"/>
    <w:rsid w:val="00473006"/>
    <w:rsid w:val="00473509"/>
    <w:rsid w:val="00473BA0"/>
    <w:rsid w:val="00474B17"/>
    <w:rsid w:val="0047678B"/>
    <w:rsid w:val="00477FF4"/>
    <w:rsid w:val="00482303"/>
    <w:rsid w:val="00487C57"/>
    <w:rsid w:val="00494CD7"/>
    <w:rsid w:val="004A3117"/>
    <w:rsid w:val="004A394F"/>
    <w:rsid w:val="004A7299"/>
    <w:rsid w:val="004B15C6"/>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45CF"/>
    <w:rsid w:val="00534798"/>
    <w:rsid w:val="00534AB4"/>
    <w:rsid w:val="005362C3"/>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1668"/>
    <w:rsid w:val="00573193"/>
    <w:rsid w:val="005736B2"/>
    <w:rsid w:val="0057643A"/>
    <w:rsid w:val="00580342"/>
    <w:rsid w:val="00582213"/>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50DC6"/>
    <w:rsid w:val="00751F36"/>
    <w:rsid w:val="00752ABA"/>
    <w:rsid w:val="007544B3"/>
    <w:rsid w:val="0075495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60BB"/>
    <w:rsid w:val="007E66F0"/>
    <w:rsid w:val="007E6E71"/>
    <w:rsid w:val="007F0879"/>
    <w:rsid w:val="007F2072"/>
    <w:rsid w:val="007F7CC1"/>
    <w:rsid w:val="00801530"/>
    <w:rsid w:val="00803277"/>
    <w:rsid w:val="00803BC6"/>
    <w:rsid w:val="008044D7"/>
    <w:rsid w:val="00811BC8"/>
    <w:rsid w:val="00812181"/>
    <w:rsid w:val="0081385B"/>
    <w:rsid w:val="00816600"/>
    <w:rsid w:val="00821645"/>
    <w:rsid w:val="00822D2E"/>
    <w:rsid w:val="00827EA0"/>
    <w:rsid w:val="0083345E"/>
    <w:rsid w:val="00834EAE"/>
    <w:rsid w:val="00841403"/>
    <w:rsid w:val="0084190B"/>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7D"/>
    <w:rsid w:val="00874549"/>
    <w:rsid w:val="008756B7"/>
    <w:rsid w:val="008757B7"/>
    <w:rsid w:val="00880472"/>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C49D3"/>
    <w:rsid w:val="008C5947"/>
    <w:rsid w:val="008C6DA1"/>
    <w:rsid w:val="008C72A6"/>
    <w:rsid w:val="008D3D94"/>
    <w:rsid w:val="008D618A"/>
    <w:rsid w:val="008E1DC0"/>
    <w:rsid w:val="008E30BF"/>
    <w:rsid w:val="008E35A0"/>
    <w:rsid w:val="008E3A25"/>
    <w:rsid w:val="008E5038"/>
    <w:rsid w:val="008F031C"/>
    <w:rsid w:val="008F1463"/>
    <w:rsid w:val="008F1F11"/>
    <w:rsid w:val="008F31C7"/>
    <w:rsid w:val="008F7358"/>
    <w:rsid w:val="008F7394"/>
    <w:rsid w:val="008F79D7"/>
    <w:rsid w:val="009006DF"/>
    <w:rsid w:val="00910153"/>
    <w:rsid w:val="00910A19"/>
    <w:rsid w:val="00910BDC"/>
    <w:rsid w:val="00910F4E"/>
    <w:rsid w:val="00911695"/>
    <w:rsid w:val="00911E55"/>
    <w:rsid w:val="00913F05"/>
    <w:rsid w:val="0091562C"/>
    <w:rsid w:val="009177B6"/>
    <w:rsid w:val="00917A27"/>
    <w:rsid w:val="00923CD3"/>
    <w:rsid w:val="00924202"/>
    <w:rsid w:val="00924E50"/>
    <w:rsid w:val="00925CC6"/>
    <w:rsid w:val="00926ABF"/>
    <w:rsid w:val="00927A26"/>
    <w:rsid w:val="00927D00"/>
    <w:rsid w:val="00930969"/>
    <w:rsid w:val="0093269F"/>
    <w:rsid w:val="00936433"/>
    <w:rsid w:val="009412CD"/>
    <w:rsid w:val="0095349A"/>
    <w:rsid w:val="00955204"/>
    <w:rsid w:val="00960CAB"/>
    <w:rsid w:val="00960CCB"/>
    <w:rsid w:val="00961359"/>
    <w:rsid w:val="00962A0B"/>
    <w:rsid w:val="00962C4D"/>
    <w:rsid w:val="00964D34"/>
    <w:rsid w:val="00966F72"/>
    <w:rsid w:val="0096757C"/>
    <w:rsid w:val="00967A23"/>
    <w:rsid w:val="00972946"/>
    <w:rsid w:val="00972E84"/>
    <w:rsid w:val="00974691"/>
    <w:rsid w:val="00976022"/>
    <w:rsid w:val="00976169"/>
    <w:rsid w:val="00976580"/>
    <w:rsid w:val="00977C3F"/>
    <w:rsid w:val="00977CC3"/>
    <w:rsid w:val="00980102"/>
    <w:rsid w:val="0098316D"/>
    <w:rsid w:val="00984D59"/>
    <w:rsid w:val="0098502F"/>
    <w:rsid w:val="00986D16"/>
    <w:rsid w:val="009910B5"/>
    <w:rsid w:val="009920AD"/>
    <w:rsid w:val="0099244A"/>
    <w:rsid w:val="009938B8"/>
    <w:rsid w:val="00994EB2"/>
    <w:rsid w:val="00995053"/>
    <w:rsid w:val="009A0735"/>
    <w:rsid w:val="009A25E2"/>
    <w:rsid w:val="009A37CD"/>
    <w:rsid w:val="009A4C36"/>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5ED3"/>
    <w:rsid w:val="00A264B5"/>
    <w:rsid w:val="00A26E1A"/>
    <w:rsid w:val="00A27D67"/>
    <w:rsid w:val="00A317E0"/>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71725"/>
    <w:rsid w:val="00A730D4"/>
    <w:rsid w:val="00A75160"/>
    <w:rsid w:val="00A80107"/>
    <w:rsid w:val="00A80270"/>
    <w:rsid w:val="00A81E1C"/>
    <w:rsid w:val="00A82C07"/>
    <w:rsid w:val="00A8654F"/>
    <w:rsid w:val="00A921C2"/>
    <w:rsid w:val="00A93040"/>
    <w:rsid w:val="00A9331E"/>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28A1"/>
    <w:rsid w:val="00AD39D3"/>
    <w:rsid w:val="00AD6CA7"/>
    <w:rsid w:val="00AF04EA"/>
    <w:rsid w:val="00AF1B9D"/>
    <w:rsid w:val="00AF2D9F"/>
    <w:rsid w:val="00AF4146"/>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398E"/>
    <w:rsid w:val="00BA58F0"/>
    <w:rsid w:val="00BA6D3B"/>
    <w:rsid w:val="00BA7453"/>
    <w:rsid w:val="00BB0336"/>
    <w:rsid w:val="00BB0FA2"/>
    <w:rsid w:val="00BB2223"/>
    <w:rsid w:val="00BB2B7B"/>
    <w:rsid w:val="00BB2E6B"/>
    <w:rsid w:val="00BC0C20"/>
    <w:rsid w:val="00BC508C"/>
    <w:rsid w:val="00BC79D7"/>
    <w:rsid w:val="00BD1389"/>
    <w:rsid w:val="00BD41E9"/>
    <w:rsid w:val="00BD51C6"/>
    <w:rsid w:val="00BD7908"/>
    <w:rsid w:val="00BE057A"/>
    <w:rsid w:val="00BE2D96"/>
    <w:rsid w:val="00BE520A"/>
    <w:rsid w:val="00BE5A23"/>
    <w:rsid w:val="00BE6705"/>
    <w:rsid w:val="00BE7FAD"/>
    <w:rsid w:val="00BF03C1"/>
    <w:rsid w:val="00BF0DAF"/>
    <w:rsid w:val="00BF0E76"/>
    <w:rsid w:val="00BF1E08"/>
    <w:rsid w:val="00BF2EB6"/>
    <w:rsid w:val="00BF7A0C"/>
    <w:rsid w:val="00C063C0"/>
    <w:rsid w:val="00C06DB4"/>
    <w:rsid w:val="00C0756A"/>
    <w:rsid w:val="00C12BE9"/>
    <w:rsid w:val="00C13786"/>
    <w:rsid w:val="00C14FCB"/>
    <w:rsid w:val="00C15A0C"/>
    <w:rsid w:val="00C15FE3"/>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4B7C"/>
    <w:rsid w:val="00C673DF"/>
    <w:rsid w:val="00C75A94"/>
    <w:rsid w:val="00C77A24"/>
    <w:rsid w:val="00C77AA8"/>
    <w:rsid w:val="00C804FA"/>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3280"/>
    <w:rsid w:val="00CB336C"/>
    <w:rsid w:val="00CB3F09"/>
    <w:rsid w:val="00CB4283"/>
    <w:rsid w:val="00CB4873"/>
    <w:rsid w:val="00CB57BD"/>
    <w:rsid w:val="00CB618B"/>
    <w:rsid w:val="00CC1A9F"/>
    <w:rsid w:val="00CC1C9A"/>
    <w:rsid w:val="00CC252A"/>
    <w:rsid w:val="00CC4493"/>
    <w:rsid w:val="00CC44BA"/>
    <w:rsid w:val="00CC47DB"/>
    <w:rsid w:val="00CC5D81"/>
    <w:rsid w:val="00CC7B84"/>
    <w:rsid w:val="00CD275C"/>
    <w:rsid w:val="00CD4231"/>
    <w:rsid w:val="00CD4AF0"/>
    <w:rsid w:val="00CD7B4A"/>
    <w:rsid w:val="00CE3A30"/>
    <w:rsid w:val="00CE4050"/>
    <w:rsid w:val="00CE4F1D"/>
    <w:rsid w:val="00CE602D"/>
    <w:rsid w:val="00CE65F8"/>
    <w:rsid w:val="00CE792C"/>
    <w:rsid w:val="00CE7DD4"/>
    <w:rsid w:val="00CF59F8"/>
    <w:rsid w:val="00CF615A"/>
    <w:rsid w:val="00CF745F"/>
    <w:rsid w:val="00D0047C"/>
    <w:rsid w:val="00D01366"/>
    <w:rsid w:val="00D0265F"/>
    <w:rsid w:val="00D03403"/>
    <w:rsid w:val="00D046B8"/>
    <w:rsid w:val="00D12693"/>
    <w:rsid w:val="00D1359A"/>
    <w:rsid w:val="00D22FAB"/>
    <w:rsid w:val="00D258FD"/>
    <w:rsid w:val="00D26687"/>
    <w:rsid w:val="00D2689C"/>
    <w:rsid w:val="00D26B80"/>
    <w:rsid w:val="00D30EE3"/>
    <w:rsid w:val="00D329C5"/>
    <w:rsid w:val="00D3321C"/>
    <w:rsid w:val="00D337F6"/>
    <w:rsid w:val="00D35580"/>
    <w:rsid w:val="00D356EA"/>
    <w:rsid w:val="00D401A6"/>
    <w:rsid w:val="00D409EF"/>
    <w:rsid w:val="00D40B26"/>
    <w:rsid w:val="00D453E0"/>
    <w:rsid w:val="00D5328E"/>
    <w:rsid w:val="00D54F1A"/>
    <w:rsid w:val="00D565F5"/>
    <w:rsid w:val="00D567DA"/>
    <w:rsid w:val="00D577DB"/>
    <w:rsid w:val="00D57E1A"/>
    <w:rsid w:val="00D608B9"/>
    <w:rsid w:val="00D61861"/>
    <w:rsid w:val="00D622CD"/>
    <w:rsid w:val="00D62567"/>
    <w:rsid w:val="00D66575"/>
    <w:rsid w:val="00D70550"/>
    <w:rsid w:val="00D80FD3"/>
    <w:rsid w:val="00D82784"/>
    <w:rsid w:val="00D8528C"/>
    <w:rsid w:val="00D87357"/>
    <w:rsid w:val="00D93C90"/>
    <w:rsid w:val="00D97E72"/>
    <w:rsid w:val="00DA0B4C"/>
    <w:rsid w:val="00DA116F"/>
    <w:rsid w:val="00DA25E7"/>
    <w:rsid w:val="00DA56E9"/>
    <w:rsid w:val="00DA71CC"/>
    <w:rsid w:val="00DB0579"/>
    <w:rsid w:val="00DB697C"/>
    <w:rsid w:val="00DB727B"/>
    <w:rsid w:val="00DB7622"/>
    <w:rsid w:val="00DB7E9D"/>
    <w:rsid w:val="00DC26C6"/>
    <w:rsid w:val="00DC277E"/>
    <w:rsid w:val="00DC3027"/>
    <w:rsid w:val="00DC383B"/>
    <w:rsid w:val="00DC3D1F"/>
    <w:rsid w:val="00DD13E3"/>
    <w:rsid w:val="00DD2ED9"/>
    <w:rsid w:val="00DD33A6"/>
    <w:rsid w:val="00DD4A45"/>
    <w:rsid w:val="00DD63D1"/>
    <w:rsid w:val="00DE0362"/>
    <w:rsid w:val="00DE222A"/>
    <w:rsid w:val="00DE34C7"/>
    <w:rsid w:val="00DE3DF8"/>
    <w:rsid w:val="00DE5E9E"/>
    <w:rsid w:val="00DE7D44"/>
    <w:rsid w:val="00DF0E81"/>
    <w:rsid w:val="00DF1196"/>
    <w:rsid w:val="00DF73D5"/>
    <w:rsid w:val="00E006A4"/>
    <w:rsid w:val="00E01733"/>
    <w:rsid w:val="00E041AA"/>
    <w:rsid w:val="00E0726C"/>
    <w:rsid w:val="00E12C8B"/>
    <w:rsid w:val="00E13696"/>
    <w:rsid w:val="00E15607"/>
    <w:rsid w:val="00E15BD9"/>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61183"/>
    <w:rsid w:val="00E61800"/>
    <w:rsid w:val="00E62303"/>
    <w:rsid w:val="00E658A8"/>
    <w:rsid w:val="00E668DA"/>
    <w:rsid w:val="00E676D9"/>
    <w:rsid w:val="00E71800"/>
    <w:rsid w:val="00E73BE6"/>
    <w:rsid w:val="00E73BEC"/>
    <w:rsid w:val="00E73D9E"/>
    <w:rsid w:val="00E73E25"/>
    <w:rsid w:val="00E74949"/>
    <w:rsid w:val="00E74A8E"/>
    <w:rsid w:val="00E76AD5"/>
    <w:rsid w:val="00E82224"/>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E0B69"/>
    <w:rsid w:val="00EE0F9A"/>
    <w:rsid w:val="00EE1A69"/>
    <w:rsid w:val="00EE5547"/>
    <w:rsid w:val="00EE7CE2"/>
    <w:rsid w:val="00EF6DB6"/>
    <w:rsid w:val="00EF6EF4"/>
    <w:rsid w:val="00F00091"/>
    <w:rsid w:val="00F005E7"/>
    <w:rsid w:val="00F01476"/>
    <w:rsid w:val="00F0190B"/>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71C7"/>
    <w:rsid w:val="00F509D2"/>
    <w:rsid w:val="00F53E92"/>
    <w:rsid w:val="00F554B2"/>
    <w:rsid w:val="00F579EE"/>
    <w:rsid w:val="00F57BC9"/>
    <w:rsid w:val="00F60225"/>
    <w:rsid w:val="00F61A0A"/>
    <w:rsid w:val="00F61AD6"/>
    <w:rsid w:val="00F641D8"/>
    <w:rsid w:val="00F64532"/>
    <w:rsid w:val="00F66627"/>
    <w:rsid w:val="00F711EC"/>
    <w:rsid w:val="00F71E61"/>
    <w:rsid w:val="00F75713"/>
    <w:rsid w:val="00F75AB0"/>
    <w:rsid w:val="00F75C73"/>
    <w:rsid w:val="00F81536"/>
    <w:rsid w:val="00F85169"/>
    <w:rsid w:val="00F85239"/>
    <w:rsid w:val="00F8527D"/>
    <w:rsid w:val="00F8540D"/>
    <w:rsid w:val="00F90548"/>
    <w:rsid w:val="00F922EF"/>
    <w:rsid w:val="00F937BD"/>
    <w:rsid w:val="00F962DC"/>
    <w:rsid w:val="00FA07CF"/>
    <w:rsid w:val="00FA2F0E"/>
    <w:rsid w:val="00FA4ABC"/>
    <w:rsid w:val="00FA51C6"/>
    <w:rsid w:val="00FA5D2F"/>
    <w:rsid w:val="00FB11E7"/>
    <w:rsid w:val="00FB7C96"/>
    <w:rsid w:val="00FC1F97"/>
    <w:rsid w:val="00FC460B"/>
    <w:rsid w:val="00FC56B8"/>
    <w:rsid w:val="00FC5F20"/>
    <w:rsid w:val="00FC69AF"/>
    <w:rsid w:val="00FC7B5E"/>
    <w:rsid w:val="00FD079E"/>
    <w:rsid w:val="00FD0B41"/>
    <w:rsid w:val="00FD20A0"/>
    <w:rsid w:val="00FD4991"/>
    <w:rsid w:val="00FE0113"/>
    <w:rsid w:val="00FE0A00"/>
    <w:rsid w:val="00FE0D2A"/>
    <w:rsid w:val="00FE417B"/>
    <w:rsid w:val="00FE6AF1"/>
    <w:rsid w:val="00FE7A2E"/>
    <w:rsid w:val="00FF1392"/>
    <w:rsid w:val="00FF2D63"/>
    <w:rsid w:val="00FF403E"/>
    <w:rsid w:val="00FF6ACF"/>
    <w:rsid w:val="00FF7157"/>
    <w:rsid w:val="01086012"/>
    <w:rsid w:val="012F23D2"/>
    <w:rsid w:val="01353E46"/>
    <w:rsid w:val="013D20EF"/>
    <w:rsid w:val="013D4C8F"/>
    <w:rsid w:val="0141555F"/>
    <w:rsid w:val="01425A17"/>
    <w:rsid w:val="01542AFA"/>
    <w:rsid w:val="015E6630"/>
    <w:rsid w:val="016C75C7"/>
    <w:rsid w:val="018D524F"/>
    <w:rsid w:val="019036D8"/>
    <w:rsid w:val="01A01767"/>
    <w:rsid w:val="01A66FAC"/>
    <w:rsid w:val="01BD4FDC"/>
    <w:rsid w:val="01C42B8B"/>
    <w:rsid w:val="01CE3A0A"/>
    <w:rsid w:val="01E941AE"/>
    <w:rsid w:val="01ED256A"/>
    <w:rsid w:val="01FE504C"/>
    <w:rsid w:val="02201D8C"/>
    <w:rsid w:val="0221105C"/>
    <w:rsid w:val="02240E71"/>
    <w:rsid w:val="022F6268"/>
    <w:rsid w:val="0230144B"/>
    <w:rsid w:val="023E2A8F"/>
    <w:rsid w:val="023F01AC"/>
    <w:rsid w:val="02497F02"/>
    <w:rsid w:val="025C7268"/>
    <w:rsid w:val="025D37A6"/>
    <w:rsid w:val="02630A21"/>
    <w:rsid w:val="027520D7"/>
    <w:rsid w:val="02910656"/>
    <w:rsid w:val="029452C8"/>
    <w:rsid w:val="0299330C"/>
    <w:rsid w:val="029E3E12"/>
    <w:rsid w:val="02AE2F1E"/>
    <w:rsid w:val="02B07476"/>
    <w:rsid w:val="02B12263"/>
    <w:rsid w:val="02B34262"/>
    <w:rsid w:val="02BA6D6B"/>
    <w:rsid w:val="02BC6761"/>
    <w:rsid w:val="02C30781"/>
    <w:rsid w:val="02C32A89"/>
    <w:rsid w:val="02EB23C8"/>
    <w:rsid w:val="02ED4254"/>
    <w:rsid w:val="02F54A67"/>
    <w:rsid w:val="02FB586B"/>
    <w:rsid w:val="032764F6"/>
    <w:rsid w:val="03355FAD"/>
    <w:rsid w:val="03357A15"/>
    <w:rsid w:val="033F6615"/>
    <w:rsid w:val="034A4B76"/>
    <w:rsid w:val="03604B36"/>
    <w:rsid w:val="03646BB0"/>
    <w:rsid w:val="036A455B"/>
    <w:rsid w:val="03700AD7"/>
    <w:rsid w:val="03881BEB"/>
    <w:rsid w:val="03B07722"/>
    <w:rsid w:val="03B94246"/>
    <w:rsid w:val="03C9092D"/>
    <w:rsid w:val="03C947DD"/>
    <w:rsid w:val="03CD0376"/>
    <w:rsid w:val="03E73921"/>
    <w:rsid w:val="03E868D9"/>
    <w:rsid w:val="03EB0F95"/>
    <w:rsid w:val="03F1290E"/>
    <w:rsid w:val="04002E0B"/>
    <w:rsid w:val="040F03FA"/>
    <w:rsid w:val="0412438A"/>
    <w:rsid w:val="04136717"/>
    <w:rsid w:val="041D2A27"/>
    <w:rsid w:val="04332546"/>
    <w:rsid w:val="04533461"/>
    <w:rsid w:val="048D54DF"/>
    <w:rsid w:val="04B51F1A"/>
    <w:rsid w:val="04BD0338"/>
    <w:rsid w:val="04C56D31"/>
    <w:rsid w:val="04CF0F22"/>
    <w:rsid w:val="04D7542D"/>
    <w:rsid w:val="04DD163F"/>
    <w:rsid w:val="04E452F2"/>
    <w:rsid w:val="04E82F5F"/>
    <w:rsid w:val="05084E1A"/>
    <w:rsid w:val="0536624A"/>
    <w:rsid w:val="05476ED2"/>
    <w:rsid w:val="05507187"/>
    <w:rsid w:val="05547F50"/>
    <w:rsid w:val="05586D81"/>
    <w:rsid w:val="056775E0"/>
    <w:rsid w:val="05812096"/>
    <w:rsid w:val="05A174D0"/>
    <w:rsid w:val="05A31C11"/>
    <w:rsid w:val="05A54A82"/>
    <w:rsid w:val="05B6570E"/>
    <w:rsid w:val="05B719DB"/>
    <w:rsid w:val="05D411B5"/>
    <w:rsid w:val="05DC03BC"/>
    <w:rsid w:val="05E03755"/>
    <w:rsid w:val="05E05D39"/>
    <w:rsid w:val="05EE025B"/>
    <w:rsid w:val="05FB2E46"/>
    <w:rsid w:val="06274DE9"/>
    <w:rsid w:val="0643158D"/>
    <w:rsid w:val="06606ACF"/>
    <w:rsid w:val="06632C8A"/>
    <w:rsid w:val="066C44D0"/>
    <w:rsid w:val="06780BE4"/>
    <w:rsid w:val="067D77AC"/>
    <w:rsid w:val="0688298E"/>
    <w:rsid w:val="06A978A6"/>
    <w:rsid w:val="06BA577F"/>
    <w:rsid w:val="06C373A0"/>
    <w:rsid w:val="06CA61EA"/>
    <w:rsid w:val="06CE3AAD"/>
    <w:rsid w:val="06D3256B"/>
    <w:rsid w:val="06E93094"/>
    <w:rsid w:val="07142FC9"/>
    <w:rsid w:val="0716354A"/>
    <w:rsid w:val="071A113A"/>
    <w:rsid w:val="071A5532"/>
    <w:rsid w:val="073F7F68"/>
    <w:rsid w:val="07433326"/>
    <w:rsid w:val="074D1200"/>
    <w:rsid w:val="07701435"/>
    <w:rsid w:val="078057A6"/>
    <w:rsid w:val="0791006E"/>
    <w:rsid w:val="07A93817"/>
    <w:rsid w:val="07AA51F7"/>
    <w:rsid w:val="07C16E32"/>
    <w:rsid w:val="07C956F1"/>
    <w:rsid w:val="07DE071F"/>
    <w:rsid w:val="07E724F1"/>
    <w:rsid w:val="07F54B10"/>
    <w:rsid w:val="0805246C"/>
    <w:rsid w:val="080D2DB2"/>
    <w:rsid w:val="08236132"/>
    <w:rsid w:val="0824157E"/>
    <w:rsid w:val="082A5712"/>
    <w:rsid w:val="08365D8B"/>
    <w:rsid w:val="083932FD"/>
    <w:rsid w:val="083C1D74"/>
    <w:rsid w:val="08664D5B"/>
    <w:rsid w:val="087338E5"/>
    <w:rsid w:val="087E552F"/>
    <w:rsid w:val="08935065"/>
    <w:rsid w:val="08994E2C"/>
    <w:rsid w:val="089E0248"/>
    <w:rsid w:val="08AA7F40"/>
    <w:rsid w:val="08AC09F8"/>
    <w:rsid w:val="08AF1C74"/>
    <w:rsid w:val="08B76FB8"/>
    <w:rsid w:val="08EC3C9C"/>
    <w:rsid w:val="08EF4818"/>
    <w:rsid w:val="08F26284"/>
    <w:rsid w:val="08F57B11"/>
    <w:rsid w:val="08F617F2"/>
    <w:rsid w:val="08F64252"/>
    <w:rsid w:val="08F94C8C"/>
    <w:rsid w:val="08FD0C7A"/>
    <w:rsid w:val="09027DBF"/>
    <w:rsid w:val="090F109A"/>
    <w:rsid w:val="09151314"/>
    <w:rsid w:val="09263609"/>
    <w:rsid w:val="092E2FE0"/>
    <w:rsid w:val="093E5BC8"/>
    <w:rsid w:val="0953633D"/>
    <w:rsid w:val="095867F9"/>
    <w:rsid w:val="09697733"/>
    <w:rsid w:val="09953804"/>
    <w:rsid w:val="099A0675"/>
    <w:rsid w:val="099C034D"/>
    <w:rsid w:val="09A71810"/>
    <w:rsid w:val="09AF52BC"/>
    <w:rsid w:val="09C556F2"/>
    <w:rsid w:val="09C9680A"/>
    <w:rsid w:val="09E33DCA"/>
    <w:rsid w:val="09EA33AB"/>
    <w:rsid w:val="09EA6668"/>
    <w:rsid w:val="0A0501E5"/>
    <w:rsid w:val="0A075D0B"/>
    <w:rsid w:val="0A0A57FB"/>
    <w:rsid w:val="0A193C90"/>
    <w:rsid w:val="0A1A77A1"/>
    <w:rsid w:val="0A3E3D26"/>
    <w:rsid w:val="0A4834F8"/>
    <w:rsid w:val="0A6173D2"/>
    <w:rsid w:val="0A682231"/>
    <w:rsid w:val="0A6825A9"/>
    <w:rsid w:val="0A781198"/>
    <w:rsid w:val="0AAC10E4"/>
    <w:rsid w:val="0AB07E4A"/>
    <w:rsid w:val="0AC93B72"/>
    <w:rsid w:val="0ACA6D38"/>
    <w:rsid w:val="0ACF6036"/>
    <w:rsid w:val="0AD53C26"/>
    <w:rsid w:val="0ADD3B4A"/>
    <w:rsid w:val="0AEE775A"/>
    <w:rsid w:val="0AFF5154"/>
    <w:rsid w:val="0B0260FA"/>
    <w:rsid w:val="0B127FA5"/>
    <w:rsid w:val="0B187C06"/>
    <w:rsid w:val="0B462863"/>
    <w:rsid w:val="0B4B3360"/>
    <w:rsid w:val="0B6153F6"/>
    <w:rsid w:val="0B6C4BE2"/>
    <w:rsid w:val="0B7078E0"/>
    <w:rsid w:val="0B895D1E"/>
    <w:rsid w:val="0B903157"/>
    <w:rsid w:val="0B9335CE"/>
    <w:rsid w:val="0BA653BF"/>
    <w:rsid w:val="0BAC6F99"/>
    <w:rsid w:val="0BCD1EAC"/>
    <w:rsid w:val="0BCF142C"/>
    <w:rsid w:val="0BDC319A"/>
    <w:rsid w:val="0BFB783E"/>
    <w:rsid w:val="0BFD5373"/>
    <w:rsid w:val="0BFD6481"/>
    <w:rsid w:val="0C0F0CD9"/>
    <w:rsid w:val="0C631998"/>
    <w:rsid w:val="0C6821F6"/>
    <w:rsid w:val="0C8170B4"/>
    <w:rsid w:val="0C990787"/>
    <w:rsid w:val="0C992D4F"/>
    <w:rsid w:val="0CA529C0"/>
    <w:rsid w:val="0CAE3A50"/>
    <w:rsid w:val="0CBF15FF"/>
    <w:rsid w:val="0CC20F4F"/>
    <w:rsid w:val="0CD8398F"/>
    <w:rsid w:val="0CD91857"/>
    <w:rsid w:val="0CDA4E4E"/>
    <w:rsid w:val="0CF258A4"/>
    <w:rsid w:val="0D212A41"/>
    <w:rsid w:val="0D214045"/>
    <w:rsid w:val="0D215F2C"/>
    <w:rsid w:val="0D314FE6"/>
    <w:rsid w:val="0D330BC5"/>
    <w:rsid w:val="0D540C02"/>
    <w:rsid w:val="0D571C0F"/>
    <w:rsid w:val="0D637F0E"/>
    <w:rsid w:val="0D645222"/>
    <w:rsid w:val="0D6A5410"/>
    <w:rsid w:val="0D794CB6"/>
    <w:rsid w:val="0D8324ED"/>
    <w:rsid w:val="0D8F059D"/>
    <w:rsid w:val="0D8F5855"/>
    <w:rsid w:val="0D936D15"/>
    <w:rsid w:val="0D9827E5"/>
    <w:rsid w:val="0DAF3D29"/>
    <w:rsid w:val="0DC466B9"/>
    <w:rsid w:val="0DC54945"/>
    <w:rsid w:val="0DF25BA4"/>
    <w:rsid w:val="0DFD573A"/>
    <w:rsid w:val="0DFE1012"/>
    <w:rsid w:val="0E0B029F"/>
    <w:rsid w:val="0E230373"/>
    <w:rsid w:val="0E2A41ED"/>
    <w:rsid w:val="0E30302E"/>
    <w:rsid w:val="0E351EED"/>
    <w:rsid w:val="0E397874"/>
    <w:rsid w:val="0E461B92"/>
    <w:rsid w:val="0E6059EA"/>
    <w:rsid w:val="0E632208"/>
    <w:rsid w:val="0E844468"/>
    <w:rsid w:val="0E9E135B"/>
    <w:rsid w:val="0EA44F43"/>
    <w:rsid w:val="0EA62844"/>
    <w:rsid w:val="0EC2669E"/>
    <w:rsid w:val="0ED75315"/>
    <w:rsid w:val="0ED756CF"/>
    <w:rsid w:val="0EE34A0A"/>
    <w:rsid w:val="0EEF23A4"/>
    <w:rsid w:val="0F2500FF"/>
    <w:rsid w:val="0F2A7DB7"/>
    <w:rsid w:val="0F2D61D9"/>
    <w:rsid w:val="0F43254D"/>
    <w:rsid w:val="0F45451E"/>
    <w:rsid w:val="0F5372FC"/>
    <w:rsid w:val="0F543C48"/>
    <w:rsid w:val="0F54568B"/>
    <w:rsid w:val="0F6801CF"/>
    <w:rsid w:val="0F7F71A8"/>
    <w:rsid w:val="0F851480"/>
    <w:rsid w:val="0F9B0554"/>
    <w:rsid w:val="0FAF5422"/>
    <w:rsid w:val="0FAF5990"/>
    <w:rsid w:val="0FB271E8"/>
    <w:rsid w:val="0FB3423F"/>
    <w:rsid w:val="0FB73D2F"/>
    <w:rsid w:val="0FBF1392"/>
    <w:rsid w:val="0FD84D52"/>
    <w:rsid w:val="0FD93801"/>
    <w:rsid w:val="0FDC41E3"/>
    <w:rsid w:val="0FE95EB3"/>
    <w:rsid w:val="100C40A0"/>
    <w:rsid w:val="10131FB5"/>
    <w:rsid w:val="10176676"/>
    <w:rsid w:val="1031732E"/>
    <w:rsid w:val="10327E3A"/>
    <w:rsid w:val="10374301"/>
    <w:rsid w:val="10394E9C"/>
    <w:rsid w:val="103A764D"/>
    <w:rsid w:val="103B6EC4"/>
    <w:rsid w:val="10457DEF"/>
    <w:rsid w:val="10482BD9"/>
    <w:rsid w:val="104A6951"/>
    <w:rsid w:val="105628E7"/>
    <w:rsid w:val="105A27E6"/>
    <w:rsid w:val="108120DC"/>
    <w:rsid w:val="108950E7"/>
    <w:rsid w:val="109135C4"/>
    <w:rsid w:val="10A4426E"/>
    <w:rsid w:val="10B656D8"/>
    <w:rsid w:val="10BB6F68"/>
    <w:rsid w:val="10C37A22"/>
    <w:rsid w:val="10C556C7"/>
    <w:rsid w:val="10C55FD8"/>
    <w:rsid w:val="10F772EF"/>
    <w:rsid w:val="11017A58"/>
    <w:rsid w:val="11023D17"/>
    <w:rsid w:val="110F34C8"/>
    <w:rsid w:val="11491151"/>
    <w:rsid w:val="1159543F"/>
    <w:rsid w:val="116230D1"/>
    <w:rsid w:val="116A7E05"/>
    <w:rsid w:val="11722460"/>
    <w:rsid w:val="117A4F14"/>
    <w:rsid w:val="119D6F55"/>
    <w:rsid w:val="11CB1987"/>
    <w:rsid w:val="11D529F0"/>
    <w:rsid w:val="11DC5FC8"/>
    <w:rsid w:val="11E71072"/>
    <w:rsid w:val="11F55D84"/>
    <w:rsid w:val="11F95233"/>
    <w:rsid w:val="11FE73E1"/>
    <w:rsid w:val="1206271C"/>
    <w:rsid w:val="120839F3"/>
    <w:rsid w:val="120E39AF"/>
    <w:rsid w:val="12114BE2"/>
    <w:rsid w:val="121911ED"/>
    <w:rsid w:val="12261816"/>
    <w:rsid w:val="122816CA"/>
    <w:rsid w:val="122B528F"/>
    <w:rsid w:val="1231523F"/>
    <w:rsid w:val="12392AE3"/>
    <w:rsid w:val="12421044"/>
    <w:rsid w:val="127A5380"/>
    <w:rsid w:val="12957C2C"/>
    <w:rsid w:val="1298079E"/>
    <w:rsid w:val="12AD5EBA"/>
    <w:rsid w:val="12B10442"/>
    <w:rsid w:val="12C319F0"/>
    <w:rsid w:val="12CB7F7B"/>
    <w:rsid w:val="12D57B5A"/>
    <w:rsid w:val="12D60970"/>
    <w:rsid w:val="12DA74FD"/>
    <w:rsid w:val="130354DD"/>
    <w:rsid w:val="13160E95"/>
    <w:rsid w:val="131D4A08"/>
    <w:rsid w:val="132A077A"/>
    <w:rsid w:val="132B4874"/>
    <w:rsid w:val="13365D96"/>
    <w:rsid w:val="133833D9"/>
    <w:rsid w:val="13401CF4"/>
    <w:rsid w:val="13474541"/>
    <w:rsid w:val="13597FDE"/>
    <w:rsid w:val="13610A7C"/>
    <w:rsid w:val="1370511E"/>
    <w:rsid w:val="138A2CF3"/>
    <w:rsid w:val="139600FA"/>
    <w:rsid w:val="139B1B3C"/>
    <w:rsid w:val="13AC7923"/>
    <w:rsid w:val="13BB36C2"/>
    <w:rsid w:val="13C163E4"/>
    <w:rsid w:val="13CF69C3"/>
    <w:rsid w:val="13E63AA6"/>
    <w:rsid w:val="13EB21F9"/>
    <w:rsid w:val="13F175F7"/>
    <w:rsid w:val="13F85DC5"/>
    <w:rsid w:val="13FC3073"/>
    <w:rsid w:val="14002DA6"/>
    <w:rsid w:val="141601C0"/>
    <w:rsid w:val="14183270"/>
    <w:rsid w:val="141D447E"/>
    <w:rsid w:val="141D6B0B"/>
    <w:rsid w:val="142D6F89"/>
    <w:rsid w:val="144554E0"/>
    <w:rsid w:val="144C2ACB"/>
    <w:rsid w:val="145908CD"/>
    <w:rsid w:val="146975C2"/>
    <w:rsid w:val="148617D9"/>
    <w:rsid w:val="149258A7"/>
    <w:rsid w:val="149321EC"/>
    <w:rsid w:val="14A979BF"/>
    <w:rsid w:val="14AA6C47"/>
    <w:rsid w:val="14AD74AF"/>
    <w:rsid w:val="14B81325"/>
    <w:rsid w:val="14BB5770"/>
    <w:rsid w:val="14C35298"/>
    <w:rsid w:val="14CA4494"/>
    <w:rsid w:val="14DD13B5"/>
    <w:rsid w:val="14DF1102"/>
    <w:rsid w:val="14E74E80"/>
    <w:rsid w:val="14FB05D3"/>
    <w:rsid w:val="14FB1DB1"/>
    <w:rsid w:val="1507775C"/>
    <w:rsid w:val="15082EFA"/>
    <w:rsid w:val="15107A3E"/>
    <w:rsid w:val="15214D63"/>
    <w:rsid w:val="1531629A"/>
    <w:rsid w:val="153E6FE7"/>
    <w:rsid w:val="15535F3F"/>
    <w:rsid w:val="155C3CBE"/>
    <w:rsid w:val="15697093"/>
    <w:rsid w:val="15760076"/>
    <w:rsid w:val="157E5DA4"/>
    <w:rsid w:val="159F6FD6"/>
    <w:rsid w:val="15A5462A"/>
    <w:rsid w:val="15B01BBF"/>
    <w:rsid w:val="15EC3B3E"/>
    <w:rsid w:val="15F1786F"/>
    <w:rsid w:val="15F46C2A"/>
    <w:rsid w:val="16121567"/>
    <w:rsid w:val="16175528"/>
    <w:rsid w:val="162D4D4B"/>
    <w:rsid w:val="16343F81"/>
    <w:rsid w:val="163948ED"/>
    <w:rsid w:val="164275F4"/>
    <w:rsid w:val="164717FA"/>
    <w:rsid w:val="16501227"/>
    <w:rsid w:val="1654148B"/>
    <w:rsid w:val="165710DF"/>
    <w:rsid w:val="16573B76"/>
    <w:rsid w:val="165B71D5"/>
    <w:rsid w:val="16700A7A"/>
    <w:rsid w:val="16734728"/>
    <w:rsid w:val="167D1103"/>
    <w:rsid w:val="1683572D"/>
    <w:rsid w:val="169E0BEA"/>
    <w:rsid w:val="16AF7EFC"/>
    <w:rsid w:val="16DD2BAC"/>
    <w:rsid w:val="16F70EB5"/>
    <w:rsid w:val="17191BC1"/>
    <w:rsid w:val="17197085"/>
    <w:rsid w:val="172460AC"/>
    <w:rsid w:val="172B1987"/>
    <w:rsid w:val="173054B2"/>
    <w:rsid w:val="17424EAD"/>
    <w:rsid w:val="174C1699"/>
    <w:rsid w:val="17544559"/>
    <w:rsid w:val="175E7E76"/>
    <w:rsid w:val="1763479D"/>
    <w:rsid w:val="178667F0"/>
    <w:rsid w:val="178A4C4F"/>
    <w:rsid w:val="17942AA9"/>
    <w:rsid w:val="17987255"/>
    <w:rsid w:val="179928AA"/>
    <w:rsid w:val="17A739C7"/>
    <w:rsid w:val="17C212EB"/>
    <w:rsid w:val="17C42121"/>
    <w:rsid w:val="17D82A95"/>
    <w:rsid w:val="17FB6C91"/>
    <w:rsid w:val="18053F1E"/>
    <w:rsid w:val="18085749"/>
    <w:rsid w:val="180B6D06"/>
    <w:rsid w:val="181A3262"/>
    <w:rsid w:val="181C3FF8"/>
    <w:rsid w:val="18365CFA"/>
    <w:rsid w:val="184114A1"/>
    <w:rsid w:val="18425C49"/>
    <w:rsid w:val="186969E3"/>
    <w:rsid w:val="188C7694"/>
    <w:rsid w:val="18BE3F0D"/>
    <w:rsid w:val="18C140E3"/>
    <w:rsid w:val="18CD6371"/>
    <w:rsid w:val="18DA0A8E"/>
    <w:rsid w:val="18DC03A2"/>
    <w:rsid w:val="18E11EA5"/>
    <w:rsid w:val="18FA4C8D"/>
    <w:rsid w:val="19054750"/>
    <w:rsid w:val="19083037"/>
    <w:rsid w:val="19092828"/>
    <w:rsid w:val="19103908"/>
    <w:rsid w:val="1933462F"/>
    <w:rsid w:val="19390D64"/>
    <w:rsid w:val="19554C37"/>
    <w:rsid w:val="19566DB3"/>
    <w:rsid w:val="196279A1"/>
    <w:rsid w:val="198040A4"/>
    <w:rsid w:val="1985302E"/>
    <w:rsid w:val="198C37FE"/>
    <w:rsid w:val="19A941C1"/>
    <w:rsid w:val="19AE5ACF"/>
    <w:rsid w:val="19AF5A77"/>
    <w:rsid w:val="19B3071D"/>
    <w:rsid w:val="19B675DA"/>
    <w:rsid w:val="19C57049"/>
    <w:rsid w:val="19C637E5"/>
    <w:rsid w:val="19C721FB"/>
    <w:rsid w:val="19CE5CD8"/>
    <w:rsid w:val="19F02EFF"/>
    <w:rsid w:val="1A052165"/>
    <w:rsid w:val="1A063EF5"/>
    <w:rsid w:val="1A0F3AD5"/>
    <w:rsid w:val="1A0F6516"/>
    <w:rsid w:val="1A0F7374"/>
    <w:rsid w:val="1A142D27"/>
    <w:rsid w:val="1A1816AF"/>
    <w:rsid w:val="1A302494"/>
    <w:rsid w:val="1A330E88"/>
    <w:rsid w:val="1A60672B"/>
    <w:rsid w:val="1A630F50"/>
    <w:rsid w:val="1A6732FB"/>
    <w:rsid w:val="1A7929A3"/>
    <w:rsid w:val="1A7B4669"/>
    <w:rsid w:val="1A870B38"/>
    <w:rsid w:val="1A8C5DB8"/>
    <w:rsid w:val="1A8C6CF6"/>
    <w:rsid w:val="1A9417D9"/>
    <w:rsid w:val="1AA572B8"/>
    <w:rsid w:val="1AA70EB7"/>
    <w:rsid w:val="1AAA4949"/>
    <w:rsid w:val="1AB31D2F"/>
    <w:rsid w:val="1AC00AAF"/>
    <w:rsid w:val="1ACE55DA"/>
    <w:rsid w:val="1ACE6054"/>
    <w:rsid w:val="1ACE6D27"/>
    <w:rsid w:val="1AE0038B"/>
    <w:rsid w:val="1AF000F5"/>
    <w:rsid w:val="1B256297"/>
    <w:rsid w:val="1B397563"/>
    <w:rsid w:val="1B403FA5"/>
    <w:rsid w:val="1B450A9E"/>
    <w:rsid w:val="1B481CDF"/>
    <w:rsid w:val="1B4B17D0"/>
    <w:rsid w:val="1B524326"/>
    <w:rsid w:val="1B55168B"/>
    <w:rsid w:val="1B63458F"/>
    <w:rsid w:val="1B645069"/>
    <w:rsid w:val="1B7D1BE7"/>
    <w:rsid w:val="1B7D1D15"/>
    <w:rsid w:val="1B8637EA"/>
    <w:rsid w:val="1B966EEF"/>
    <w:rsid w:val="1BDD1B28"/>
    <w:rsid w:val="1BE57F51"/>
    <w:rsid w:val="1C022610"/>
    <w:rsid w:val="1C037CCC"/>
    <w:rsid w:val="1C085913"/>
    <w:rsid w:val="1C0876C1"/>
    <w:rsid w:val="1C2F4A48"/>
    <w:rsid w:val="1C37598E"/>
    <w:rsid w:val="1C400DCC"/>
    <w:rsid w:val="1C4A3D51"/>
    <w:rsid w:val="1C550B58"/>
    <w:rsid w:val="1C6062B5"/>
    <w:rsid w:val="1C656B00"/>
    <w:rsid w:val="1C657709"/>
    <w:rsid w:val="1C6D522B"/>
    <w:rsid w:val="1C762201"/>
    <w:rsid w:val="1C87757C"/>
    <w:rsid w:val="1C911F05"/>
    <w:rsid w:val="1C9232F2"/>
    <w:rsid w:val="1C943E77"/>
    <w:rsid w:val="1C993860"/>
    <w:rsid w:val="1CB517E1"/>
    <w:rsid w:val="1CBF5FD1"/>
    <w:rsid w:val="1CC07FCD"/>
    <w:rsid w:val="1CCD060E"/>
    <w:rsid w:val="1CD4109A"/>
    <w:rsid w:val="1CDE3631"/>
    <w:rsid w:val="1CE814D1"/>
    <w:rsid w:val="1CFE11B3"/>
    <w:rsid w:val="1D00167E"/>
    <w:rsid w:val="1D01132A"/>
    <w:rsid w:val="1D022EEB"/>
    <w:rsid w:val="1D2C5B34"/>
    <w:rsid w:val="1D3444B7"/>
    <w:rsid w:val="1D3A1AFC"/>
    <w:rsid w:val="1D3F2887"/>
    <w:rsid w:val="1D413DD6"/>
    <w:rsid w:val="1D442082"/>
    <w:rsid w:val="1D467DF1"/>
    <w:rsid w:val="1D494085"/>
    <w:rsid w:val="1D6104E9"/>
    <w:rsid w:val="1D6D5E73"/>
    <w:rsid w:val="1D6E2EA0"/>
    <w:rsid w:val="1D7C0366"/>
    <w:rsid w:val="1D90430C"/>
    <w:rsid w:val="1DA228F6"/>
    <w:rsid w:val="1DA26C67"/>
    <w:rsid w:val="1DB571C9"/>
    <w:rsid w:val="1DBF6F58"/>
    <w:rsid w:val="1DFC5003"/>
    <w:rsid w:val="1E2527AC"/>
    <w:rsid w:val="1E2851F8"/>
    <w:rsid w:val="1E2A3F9F"/>
    <w:rsid w:val="1E65546D"/>
    <w:rsid w:val="1E7B6900"/>
    <w:rsid w:val="1E933E22"/>
    <w:rsid w:val="1EB60A31"/>
    <w:rsid w:val="1EC6457D"/>
    <w:rsid w:val="1EC7170B"/>
    <w:rsid w:val="1EC7534C"/>
    <w:rsid w:val="1ECD7160"/>
    <w:rsid w:val="1ED34F83"/>
    <w:rsid w:val="1ED4353F"/>
    <w:rsid w:val="1ED641E3"/>
    <w:rsid w:val="1EED4935"/>
    <w:rsid w:val="1EF15FC6"/>
    <w:rsid w:val="1F196F16"/>
    <w:rsid w:val="1F1F544D"/>
    <w:rsid w:val="1F294330"/>
    <w:rsid w:val="1F2A3EE6"/>
    <w:rsid w:val="1F5164BE"/>
    <w:rsid w:val="1F530AFF"/>
    <w:rsid w:val="1F550636"/>
    <w:rsid w:val="1F6725BD"/>
    <w:rsid w:val="1F6F0182"/>
    <w:rsid w:val="1F751014"/>
    <w:rsid w:val="1F7A16FF"/>
    <w:rsid w:val="1F841E94"/>
    <w:rsid w:val="1F86410F"/>
    <w:rsid w:val="1F987D78"/>
    <w:rsid w:val="1FAD0B55"/>
    <w:rsid w:val="1FB57B5F"/>
    <w:rsid w:val="1FBA786C"/>
    <w:rsid w:val="1FC55FF4"/>
    <w:rsid w:val="1FDF7221"/>
    <w:rsid w:val="1FE07DD2"/>
    <w:rsid w:val="1FF72B1D"/>
    <w:rsid w:val="2000702C"/>
    <w:rsid w:val="200821DD"/>
    <w:rsid w:val="201952D2"/>
    <w:rsid w:val="2020109E"/>
    <w:rsid w:val="20220096"/>
    <w:rsid w:val="202816B6"/>
    <w:rsid w:val="20352DB6"/>
    <w:rsid w:val="204E725A"/>
    <w:rsid w:val="205050F3"/>
    <w:rsid w:val="20665891"/>
    <w:rsid w:val="208241B4"/>
    <w:rsid w:val="208F5999"/>
    <w:rsid w:val="20B05494"/>
    <w:rsid w:val="20BD4F1E"/>
    <w:rsid w:val="20D109C9"/>
    <w:rsid w:val="20EE5770"/>
    <w:rsid w:val="2107261C"/>
    <w:rsid w:val="21147FEE"/>
    <w:rsid w:val="21154D5A"/>
    <w:rsid w:val="2132760F"/>
    <w:rsid w:val="213F7E47"/>
    <w:rsid w:val="21592FEC"/>
    <w:rsid w:val="215B2DFE"/>
    <w:rsid w:val="215C5CD9"/>
    <w:rsid w:val="215E3FAB"/>
    <w:rsid w:val="215F2E6D"/>
    <w:rsid w:val="218B2E3C"/>
    <w:rsid w:val="219E13DD"/>
    <w:rsid w:val="21B5456C"/>
    <w:rsid w:val="21C0289A"/>
    <w:rsid w:val="21C314C7"/>
    <w:rsid w:val="21CB366A"/>
    <w:rsid w:val="21E53DD4"/>
    <w:rsid w:val="21FE67C3"/>
    <w:rsid w:val="21FF567A"/>
    <w:rsid w:val="220019CB"/>
    <w:rsid w:val="22080E1D"/>
    <w:rsid w:val="222E4A4B"/>
    <w:rsid w:val="224564ED"/>
    <w:rsid w:val="225B1C1A"/>
    <w:rsid w:val="22655D1C"/>
    <w:rsid w:val="227A5579"/>
    <w:rsid w:val="227B3EC3"/>
    <w:rsid w:val="22AC6E9D"/>
    <w:rsid w:val="22AF6B28"/>
    <w:rsid w:val="22BF1959"/>
    <w:rsid w:val="22FE3A70"/>
    <w:rsid w:val="23007343"/>
    <w:rsid w:val="230A1D1E"/>
    <w:rsid w:val="230F3D0A"/>
    <w:rsid w:val="232E3EB1"/>
    <w:rsid w:val="23341448"/>
    <w:rsid w:val="23385650"/>
    <w:rsid w:val="23425BAE"/>
    <w:rsid w:val="23517B9F"/>
    <w:rsid w:val="23531B69"/>
    <w:rsid w:val="235C6C70"/>
    <w:rsid w:val="237F04EF"/>
    <w:rsid w:val="23841437"/>
    <w:rsid w:val="238A3CA3"/>
    <w:rsid w:val="23AF4708"/>
    <w:rsid w:val="23C16A9A"/>
    <w:rsid w:val="23C465C3"/>
    <w:rsid w:val="23E66003"/>
    <w:rsid w:val="23F80076"/>
    <w:rsid w:val="23FE2FB7"/>
    <w:rsid w:val="23FE3AF7"/>
    <w:rsid w:val="241B7142"/>
    <w:rsid w:val="24452007"/>
    <w:rsid w:val="244802C7"/>
    <w:rsid w:val="244C0B39"/>
    <w:rsid w:val="245A32E7"/>
    <w:rsid w:val="24635935"/>
    <w:rsid w:val="24660E6A"/>
    <w:rsid w:val="24665559"/>
    <w:rsid w:val="24691825"/>
    <w:rsid w:val="248E0BEE"/>
    <w:rsid w:val="249222CA"/>
    <w:rsid w:val="24B056E4"/>
    <w:rsid w:val="24CC572F"/>
    <w:rsid w:val="24CF65FC"/>
    <w:rsid w:val="24D258A5"/>
    <w:rsid w:val="24DA6A74"/>
    <w:rsid w:val="24DB4BCD"/>
    <w:rsid w:val="24E53F53"/>
    <w:rsid w:val="24F602A0"/>
    <w:rsid w:val="250025A0"/>
    <w:rsid w:val="25296C9F"/>
    <w:rsid w:val="25401D76"/>
    <w:rsid w:val="2544236B"/>
    <w:rsid w:val="25450207"/>
    <w:rsid w:val="25453733"/>
    <w:rsid w:val="256C3562"/>
    <w:rsid w:val="257F6C45"/>
    <w:rsid w:val="258C736F"/>
    <w:rsid w:val="25977271"/>
    <w:rsid w:val="259B2D68"/>
    <w:rsid w:val="259E7D45"/>
    <w:rsid w:val="25A6077B"/>
    <w:rsid w:val="25A941CC"/>
    <w:rsid w:val="25A97E1E"/>
    <w:rsid w:val="25B40CD0"/>
    <w:rsid w:val="25BF4424"/>
    <w:rsid w:val="25C17AFA"/>
    <w:rsid w:val="25C251DB"/>
    <w:rsid w:val="25E00E0C"/>
    <w:rsid w:val="25EF379B"/>
    <w:rsid w:val="260C11C1"/>
    <w:rsid w:val="261049C1"/>
    <w:rsid w:val="261E645E"/>
    <w:rsid w:val="26383109"/>
    <w:rsid w:val="2641214D"/>
    <w:rsid w:val="26597FFC"/>
    <w:rsid w:val="26697AAB"/>
    <w:rsid w:val="266D2F42"/>
    <w:rsid w:val="2673065B"/>
    <w:rsid w:val="26746071"/>
    <w:rsid w:val="267839D3"/>
    <w:rsid w:val="26802C75"/>
    <w:rsid w:val="268423E1"/>
    <w:rsid w:val="26890627"/>
    <w:rsid w:val="26937CAB"/>
    <w:rsid w:val="26A43060"/>
    <w:rsid w:val="26BB1EFF"/>
    <w:rsid w:val="26BB2001"/>
    <w:rsid w:val="26C467F8"/>
    <w:rsid w:val="26E35358"/>
    <w:rsid w:val="270E00FE"/>
    <w:rsid w:val="270E298C"/>
    <w:rsid w:val="270E29F5"/>
    <w:rsid w:val="271512D2"/>
    <w:rsid w:val="272A0E33"/>
    <w:rsid w:val="272A2D2F"/>
    <w:rsid w:val="274020AE"/>
    <w:rsid w:val="27446B6F"/>
    <w:rsid w:val="274F752C"/>
    <w:rsid w:val="27520933"/>
    <w:rsid w:val="27584657"/>
    <w:rsid w:val="275E5A93"/>
    <w:rsid w:val="27736226"/>
    <w:rsid w:val="27755DA7"/>
    <w:rsid w:val="277C3C97"/>
    <w:rsid w:val="277C7F9A"/>
    <w:rsid w:val="279D2924"/>
    <w:rsid w:val="27A52E1A"/>
    <w:rsid w:val="27AC7A9A"/>
    <w:rsid w:val="27C53958"/>
    <w:rsid w:val="27D36D37"/>
    <w:rsid w:val="27DA4B73"/>
    <w:rsid w:val="27E61F25"/>
    <w:rsid w:val="27EC31BB"/>
    <w:rsid w:val="27ED2CBD"/>
    <w:rsid w:val="27F63DA6"/>
    <w:rsid w:val="27FA5CB6"/>
    <w:rsid w:val="280D34EA"/>
    <w:rsid w:val="281466B1"/>
    <w:rsid w:val="281713B7"/>
    <w:rsid w:val="281824A7"/>
    <w:rsid w:val="28312BBF"/>
    <w:rsid w:val="283B7736"/>
    <w:rsid w:val="285F673E"/>
    <w:rsid w:val="28644CCA"/>
    <w:rsid w:val="28687E65"/>
    <w:rsid w:val="28732D83"/>
    <w:rsid w:val="288F6949"/>
    <w:rsid w:val="28911AF2"/>
    <w:rsid w:val="289151CA"/>
    <w:rsid w:val="28A10C81"/>
    <w:rsid w:val="28A2680F"/>
    <w:rsid w:val="28DF17A9"/>
    <w:rsid w:val="28EB31BC"/>
    <w:rsid w:val="28EB583C"/>
    <w:rsid w:val="28EC2844"/>
    <w:rsid w:val="28F402DA"/>
    <w:rsid w:val="28FC78BE"/>
    <w:rsid w:val="29000A40"/>
    <w:rsid w:val="290F29AF"/>
    <w:rsid w:val="292D0766"/>
    <w:rsid w:val="293634F4"/>
    <w:rsid w:val="29600B3C"/>
    <w:rsid w:val="29606D8E"/>
    <w:rsid w:val="29671ECA"/>
    <w:rsid w:val="29770361"/>
    <w:rsid w:val="2985201E"/>
    <w:rsid w:val="29C55899"/>
    <w:rsid w:val="29D3130E"/>
    <w:rsid w:val="29F2147C"/>
    <w:rsid w:val="2A0C4A40"/>
    <w:rsid w:val="2A0D3DED"/>
    <w:rsid w:val="2A104310"/>
    <w:rsid w:val="2A134AF4"/>
    <w:rsid w:val="2A255C2B"/>
    <w:rsid w:val="2A2B7BC9"/>
    <w:rsid w:val="2A3A5DF9"/>
    <w:rsid w:val="2A4926C2"/>
    <w:rsid w:val="2A4B107A"/>
    <w:rsid w:val="2A4D2BFD"/>
    <w:rsid w:val="2A530EDF"/>
    <w:rsid w:val="2A574428"/>
    <w:rsid w:val="2A5F6992"/>
    <w:rsid w:val="2A7949E3"/>
    <w:rsid w:val="2A80647C"/>
    <w:rsid w:val="2A8E62B6"/>
    <w:rsid w:val="2A9572CC"/>
    <w:rsid w:val="2AA9206F"/>
    <w:rsid w:val="2AD81233"/>
    <w:rsid w:val="2AE63EFE"/>
    <w:rsid w:val="2B053749"/>
    <w:rsid w:val="2B195446"/>
    <w:rsid w:val="2B236051"/>
    <w:rsid w:val="2B2E227F"/>
    <w:rsid w:val="2B2F07C6"/>
    <w:rsid w:val="2B3404E2"/>
    <w:rsid w:val="2B363CF4"/>
    <w:rsid w:val="2B3A7305"/>
    <w:rsid w:val="2B425FD0"/>
    <w:rsid w:val="2B4268A6"/>
    <w:rsid w:val="2B536BAA"/>
    <w:rsid w:val="2B6375A1"/>
    <w:rsid w:val="2B8C79C6"/>
    <w:rsid w:val="2B9B40AD"/>
    <w:rsid w:val="2B9B4F58"/>
    <w:rsid w:val="2BA3696C"/>
    <w:rsid w:val="2BAA0794"/>
    <w:rsid w:val="2BB67A51"/>
    <w:rsid w:val="2BB769EE"/>
    <w:rsid w:val="2BB8130D"/>
    <w:rsid w:val="2BC058C2"/>
    <w:rsid w:val="2BC1223D"/>
    <w:rsid w:val="2BC40014"/>
    <w:rsid w:val="2BC51B34"/>
    <w:rsid w:val="2BDE3F9A"/>
    <w:rsid w:val="2BE07D12"/>
    <w:rsid w:val="2BF95140"/>
    <w:rsid w:val="2C063C1D"/>
    <w:rsid w:val="2C0B194E"/>
    <w:rsid w:val="2C1A4F62"/>
    <w:rsid w:val="2C3447BE"/>
    <w:rsid w:val="2C3C07B5"/>
    <w:rsid w:val="2C3D3C75"/>
    <w:rsid w:val="2C4B420E"/>
    <w:rsid w:val="2C56006A"/>
    <w:rsid w:val="2C5F50DB"/>
    <w:rsid w:val="2C660165"/>
    <w:rsid w:val="2C6619D7"/>
    <w:rsid w:val="2C6A0BA3"/>
    <w:rsid w:val="2C6E17C2"/>
    <w:rsid w:val="2C745C43"/>
    <w:rsid w:val="2C8A76F4"/>
    <w:rsid w:val="2C931BC6"/>
    <w:rsid w:val="2CA45E14"/>
    <w:rsid w:val="2CB43679"/>
    <w:rsid w:val="2CB62CA6"/>
    <w:rsid w:val="2CD40261"/>
    <w:rsid w:val="2CEE34EF"/>
    <w:rsid w:val="2CF605F7"/>
    <w:rsid w:val="2D016FE9"/>
    <w:rsid w:val="2D14362B"/>
    <w:rsid w:val="2D2E304F"/>
    <w:rsid w:val="2D3C07FE"/>
    <w:rsid w:val="2D551A36"/>
    <w:rsid w:val="2D5756FC"/>
    <w:rsid w:val="2D5D5591"/>
    <w:rsid w:val="2D74743A"/>
    <w:rsid w:val="2D7C11D4"/>
    <w:rsid w:val="2D7F4766"/>
    <w:rsid w:val="2D8D3A62"/>
    <w:rsid w:val="2DAF3E40"/>
    <w:rsid w:val="2DBE7F60"/>
    <w:rsid w:val="2DF22E0E"/>
    <w:rsid w:val="2DF6381D"/>
    <w:rsid w:val="2DF6788C"/>
    <w:rsid w:val="2E0D1588"/>
    <w:rsid w:val="2E3944B7"/>
    <w:rsid w:val="2E4749F8"/>
    <w:rsid w:val="2E4C1B78"/>
    <w:rsid w:val="2E691E91"/>
    <w:rsid w:val="2E73313B"/>
    <w:rsid w:val="2E866E5E"/>
    <w:rsid w:val="2E9077CD"/>
    <w:rsid w:val="2EA916B2"/>
    <w:rsid w:val="2EB36077"/>
    <w:rsid w:val="2EB46A04"/>
    <w:rsid w:val="2EB84F76"/>
    <w:rsid w:val="2EC62DA5"/>
    <w:rsid w:val="2ECB7077"/>
    <w:rsid w:val="2EED318E"/>
    <w:rsid w:val="2EFE3F3B"/>
    <w:rsid w:val="2F0F1794"/>
    <w:rsid w:val="2F176141"/>
    <w:rsid w:val="2F1A0856"/>
    <w:rsid w:val="2F2B5B05"/>
    <w:rsid w:val="2F475C7E"/>
    <w:rsid w:val="2F486024"/>
    <w:rsid w:val="2F523B34"/>
    <w:rsid w:val="2F5E78CC"/>
    <w:rsid w:val="2F681310"/>
    <w:rsid w:val="2F6C283B"/>
    <w:rsid w:val="2F743B89"/>
    <w:rsid w:val="2F7D19D9"/>
    <w:rsid w:val="2F7E2877"/>
    <w:rsid w:val="2F8567D8"/>
    <w:rsid w:val="2F8B5040"/>
    <w:rsid w:val="2F9107C4"/>
    <w:rsid w:val="2F961B57"/>
    <w:rsid w:val="2FA0209F"/>
    <w:rsid w:val="2FDC6A42"/>
    <w:rsid w:val="2FE65B09"/>
    <w:rsid w:val="2FFF53A8"/>
    <w:rsid w:val="30047098"/>
    <w:rsid w:val="30077F63"/>
    <w:rsid w:val="30115CE5"/>
    <w:rsid w:val="30135C1F"/>
    <w:rsid w:val="30191760"/>
    <w:rsid w:val="3028092A"/>
    <w:rsid w:val="302F54E7"/>
    <w:rsid w:val="304863A9"/>
    <w:rsid w:val="30726790"/>
    <w:rsid w:val="30801AC4"/>
    <w:rsid w:val="30823D65"/>
    <w:rsid w:val="30831C53"/>
    <w:rsid w:val="308E438B"/>
    <w:rsid w:val="30A43A04"/>
    <w:rsid w:val="30C87FB8"/>
    <w:rsid w:val="30CB1DAF"/>
    <w:rsid w:val="30E90E2B"/>
    <w:rsid w:val="30ED02EA"/>
    <w:rsid w:val="30EE2912"/>
    <w:rsid w:val="30FF267A"/>
    <w:rsid w:val="310A2A14"/>
    <w:rsid w:val="310F59F0"/>
    <w:rsid w:val="31395BA8"/>
    <w:rsid w:val="3141666D"/>
    <w:rsid w:val="31480833"/>
    <w:rsid w:val="314B14BF"/>
    <w:rsid w:val="3158219E"/>
    <w:rsid w:val="316D537E"/>
    <w:rsid w:val="31716348"/>
    <w:rsid w:val="317355F2"/>
    <w:rsid w:val="3185517F"/>
    <w:rsid w:val="3185793C"/>
    <w:rsid w:val="319475D5"/>
    <w:rsid w:val="31975317"/>
    <w:rsid w:val="31A87524"/>
    <w:rsid w:val="31B06C89"/>
    <w:rsid w:val="31B91778"/>
    <w:rsid w:val="31C2569E"/>
    <w:rsid w:val="31C96BD0"/>
    <w:rsid w:val="31D04385"/>
    <w:rsid w:val="31D9377A"/>
    <w:rsid w:val="31E15891"/>
    <w:rsid w:val="31F043F4"/>
    <w:rsid w:val="32170EE1"/>
    <w:rsid w:val="323531D1"/>
    <w:rsid w:val="325066A8"/>
    <w:rsid w:val="32563FE3"/>
    <w:rsid w:val="325D3410"/>
    <w:rsid w:val="3260226B"/>
    <w:rsid w:val="327652E9"/>
    <w:rsid w:val="327A5FF1"/>
    <w:rsid w:val="32A55CC0"/>
    <w:rsid w:val="32A937D2"/>
    <w:rsid w:val="32C95971"/>
    <w:rsid w:val="32CF5928"/>
    <w:rsid w:val="32E41009"/>
    <w:rsid w:val="32E9078F"/>
    <w:rsid w:val="32ED34FF"/>
    <w:rsid w:val="330856D0"/>
    <w:rsid w:val="33316646"/>
    <w:rsid w:val="333A06E2"/>
    <w:rsid w:val="33462B8C"/>
    <w:rsid w:val="33491C13"/>
    <w:rsid w:val="335E45B2"/>
    <w:rsid w:val="33680D19"/>
    <w:rsid w:val="33691E57"/>
    <w:rsid w:val="336E025D"/>
    <w:rsid w:val="33735D99"/>
    <w:rsid w:val="33736E76"/>
    <w:rsid w:val="337570A4"/>
    <w:rsid w:val="33833CFC"/>
    <w:rsid w:val="33A269EC"/>
    <w:rsid w:val="33A856B1"/>
    <w:rsid w:val="33A930DF"/>
    <w:rsid w:val="33AB2922"/>
    <w:rsid w:val="33B73314"/>
    <w:rsid w:val="33C50B9E"/>
    <w:rsid w:val="33D30EC6"/>
    <w:rsid w:val="33D867E1"/>
    <w:rsid w:val="33D976B3"/>
    <w:rsid w:val="33DB2EFB"/>
    <w:rsid w:val="33DC6CF8"/>
    <w:rsid w:val="33EE36D1"/>
    <w:rsid w:val="33F54490"/>
    <w:rsid w:val="33F85833"/>
    <w:rsid w:val="33F94458"/>
    <w:rsid w:val="340B1EAD"/>
    <w:rsid w:val="34111989"/>
    <w:rsid w:val="341266A4"/>
    <w:rsid w:val="3429350C"/>
    <w:rsid w:val="343C76C2"/>
    <w:rsid w:val="343D0166"/>
    <w:rsid w:val="343D6C24"/>
    <w:rsid w:val="345873A9"/>
    <w:rsid w:val="347C5D20"/>
    <w:rsid w:val="348C4EDB"/>
    <w:rsid w:val="34997F68"/>
    <w:rsid w:val="34AF7CC9"/>
    <w:rsid w:val="34B14942"/>
    <w:rsid w:val="34E526B4"/>
    <w:rsid w:val="34F03DC0"/>
    <w:rsid w:val="34FE7262"/>
    <w:rsid w:val="352407FC"/>
    <w:rsid w:val="352612DF"/>
    <w:rsid w:val="35284201"/>
    <w:rsid w:val="35322B1F"/>
    <w:rsid w:val="3535498A"/>
    <w:rsid w:val="35471E10"/>
    <w:rsid w:val="354F3660"/>
    <w:rsid w:val="355004C3"/>
    <w:rsid w:val="3556146D"/>
    <w:rsid w:val="355724F0"/>
    <w:rsid w:val="356B5D07"/>
    <w:rsid w:val="35810326"/>
    <w:rsid w:val="358C5E8C"/>
    <w:rsid w:val="358D7C9B"/>
    <w:rsid w:val="358E2186"/>
    <w:rsid w:val="35AA4C6A"/>
    <w:rsid w:val="35B90B5D"/>
    <w:rsid w:val="35C81F43"/>
    <w:rsid w:val="35CC1726"/>
    <w:rsid w:val="35DE239E"/>
    <w:rsid w:val="35E004BC"/>
    <w:rsid w:val="35E06512"/>
    <w:rsid w:val="35E33F92"/>
    <w:rsid w:val="36010FB1"/>
    <w:rsid w:val="360212D1"/>
    <w:rsid w:val="360C7B72"/>
    <w:rsid w:val="360E2480"/>
    <w:rsid w:val="361327DB"/>
    <w:rsid w:val="361F1CFE"/>
    <w:rsid w:val="36371201"/>
    <w:rsid w:val="363720E3"/>
    <w:rsid w:val="3639711B"/>
    <w:rsid w:val="363E765D"/>
    <w:rsid w:val="36592830"/>
    <w:rsid w:val="36632356"/>
    <w:rsid w:val="367409D2"/>
    <w:rsid w:val="367B56C5"/>
    <w:rsid w:val="367C5173"/>
    <w:rsid w:val="36915D46"/>
    <w:rsid w:val="36B81FB7"/>
    <w:rsid w:val="36CA31B0"/>
    <w:rsid w:val="36D20797"/>
    <w:rsid w:val="36E65B3A"/>
    <w:rsid w:val="36FF3742"/>
    <w:rsid w:val="370346A6"/>
    <w:rsid w:val="37113475"/>
    <w:rsid w:val="37252E94"/>
    <w:rsid w:val="37296474"/>
    <w:rsid w:val="373227C5"/>
    <w:rsid w:val="37405833"/>
    <w:rsid w:val="374101FF"/>
    <w:rsid w:val="375869AC"/>
    <w:rsid w:val="375B253A"/>
    <w:rsid w:val="37666B6B"/>
    <w:rsid w:val="37675674"/>
    <w:rsid w:val="376B1978"/>
    <w:rsid w:val="37892B1A"/>
    <w:rsid w:val="37940CA8"/>
    <w:rsid w:val="37D848CF"/>
    <w:rsid w:val="37DA41AF"/>
    <w:rsid w:val="37DB157C"/>
    <w:rsid w:val="37DB3C7D"/>
    <w:rsid w:val="37EE7D30"/>
    <w:rsid w:val="37F62976"/>
    <w:rsid w:val="37F77F19"/>
    <w:rsid w:val="38042FDA"/>
    <w:rsid w:val="381C3F20"/>
    <w:rsid w:val="3822692C"/>
    <w:rsid w:val="38343F2A"/>
    <w:rsid w:val="38490F9C"/>
    <w:rsid w:val="384C1631"/>
    <w:rsid w:val="38542754"/>
    <w:rsid w:val="386C03A0"/>
    <w:rsid w:val="386D6DD1"/>
    <w:rsid w:val="38850AD8"/>
    <w:rsid w:val="38B10FD7"/>
    <w:rsid w:val="38B2326B"/>
    <w:rsid w:val="38BD498D"/>
    <w:rsid w:val="38D81B11"/>
    <w:rsid w:val="38ED2653"/>
    <w:rsid w:val="38FC71A8"/>
    <w:rsid w:val="38FD1F03"/>
    <w:rsid w:val="39020983"/>
    <w:rsid w:val="39037F6C"/>
    <w:rsid w:val="39214610"/>
    <w:rsid w:val="39317DFF"/>
    <w:rsid w:val="39464964"/>
    <w:rsid w:val="395224D9"/>
    <w:rsid w:val="39535FC7"/>
    <w:rsid w:val="395601FC"/>
    <w:rsid w:val="397B4E62"/>
    <w:rsid w:val="39972B1A"/>
    <w:rsid w:val="399A1410"/>
    <w:rsid w:val="39C47D94"/>
    <w:rsid w:val="39CD1539"/>
    <w:rsid w:val="39CD5D32"/>
    <w:rsid w:val="39D0322E"/>
    <w:rsid w:val="39DA1DFA"/>
    <w:rsid w:val="39DC71EB"/>
    <w:rsid w:val="39DD5D2E"/>
    <w:rsid w:val="39E01A69"/>
    <w:rsid w:val="3A045F91"/>
    <w:rsid w:val="3A076679"/>
    <w:rsid w:val="3A0A0953"/>
    <w:rsid w:val="3A211C22"/>
    <w:rsid w:val="3A2C4127"/>
    <w:rsid w:val="3A4F0AA8"/>
    <w:rsid w:val="3A543DA5"/>
    <w:rsid w:val="3A5576B6"/>
    <w:rsid w:val="3A682780"/>
    <w:rsid w:val="3A697EB7"/>
    <w:rsid w:val="3A7F0311"/>
    <w:rsid w:val="3A8538B6"/>
    <w:rsid w:val="3A884EF1"/>
    <w:rsid w:val="3A8C5141"/>
    <w:rsid w:val="3AA52853"/>
    <w:rsid w:val="3AA648FE"/>
    <w:rsid w:val="3AAA7D3D"/>
    <w:rsid w:val="3AD117FB"/>
    <w:rsid w:val="3AD4138A"/>
    <w:rsid w:val="3AD72904"/>
    <w:rsid w:val="3AD75A09"/>
    <w:rsid w:val="3ADC5AFD"/>
    <w:rsid w:val="3AE17BBC"/>
    <w:rsid w:val="3B007A89"/>
    <w:rsid w:val="3B0F5ABD"/>
    <w:rsid w:val="3B2F4F75"/>
    <w:rsid w:val="3B31477D"/>
    <w:rsid w:val="3B315914"/>
    <w:rsid w:val="3B422101"/>
    <w:rsid w:val="3B4715CB"/>
    <w:rsid w:val="3B5008D7"/>
    <w:rsid w:val="3B7F15E2"/>
    <w:rsid w:val="3B8536A6"/>
    <w:rsid w:val="3B9F0C51"/>
    <w:rsid w:val="3BA00572"/>
    <w:rsid w:val="3BB1021B"/>
    <w:rsid w:val="3BE15B0C"/>
    <w:rsid w:val="3BE64EF0"/>
    <w:rsid w:val="3BF72A83"/>
    <w:rsid w:val="3C135790"/>
    <w:rsid w:val="3C1752F7"/>
    <w:rsid w:val="3C193171"/>
    <w:rsid w:val="3C1E3214"/>
    <w:rsid w:val="3C2528C6"/>
    <w:rsid w:val="3C371BD0"/>
    <w:rsid w:val="3C4F1FEA"/>
    <w:rsid w:val="3C5B6745"/>
    <w:rsid w:val="3C683B38"/>
    <w:rsid w:val="3C686571"/>
    <w:rsid w:val="3C6F5E3B"/>
    <w:rsid w:val="3C83525B"/>
    <w:rsid w:val="3C87375A"/>
    <w:rsid w:val="3C88531F"/>
    <w:rsid w:val="3C8D7A42"/>
    <w:rsid w:val="3C8E189D"/>
    <w:rsid w:val="3CA22EFE"/>
    <w:rsid w:val="3CB8043D"/>
    <w:rsid w:val="3CB94BCA"/>
    <w:rsid w:val="3CC35212"/>
    <w:rsid w:val="3CC50225"/>
    <w:rsid w:val="3CD967E3"/>
    <w:rsid w:val="3CDE231E"/>
    <w:rsid w:val="3D245A63"/>
    <w:rsid w:val="3D36346C"/>
    <w:rsid w:val="3D4269DA"/>
    <w:rsid w:val="3D430EA3"/>
    <w:rsid w:val="3D47560D"/>
    <w:rsid w:val="3D523BCD"/>
    <w:rsid w:val="3D645169"/>
    <w:rsid w:val="3D6933DE"/>
    <w:rsid w:val="3D7C3859"/>
    <w:rsid w:val="3D80607F"/>
    <w:rsid w:val="3D8F2120"/>
    <w:rsid w:val="3D8F30A0"/>
    <w:rsid w:val="3D990E61"/>
    <w:rsid w:val="3DA327E5"/>
    <w:rsid w:val="3DB01C7C"/>
    <w:rsid w:val="3DB334D8"/>
    <w:rsid w:val="3DBA1ADA"/>
    <w:rsid w:val="3DC355A6"/>
    <w:rsid w:val="3DC42D6E"/>
    <w:rsid w:val="3DD009EA"/>
    <w:rsid w:val="3DD122A2"/>
    <w:rsid w:val="3DD64752"/>
    <w:rsid w:val="3DD80DF7"/>
    <w:rsid w:val="3DE17E96"/>
    <w:rsid w:val="3DE26317"/>
    <w:rsid w:val="3DEB1B40"/>
    <w:rsid w:val="3DFC4E7F"/>
    <w:rsid w:val="3E2D1C0D"/>
    <w:rsid w:val="3E352B5B"/>
    <w:rsid w:val="3E3A2755"/>
    <w:rsid w:val="3E463101"/>
    <w:rsid w:val="3E5717D0"/>
    <w:rsid w:val="3E5E04B0"/>
    <w:rsid w:val="3E5F4189"/>
    <w:rsid w:val="3E6C1A3F"/>
    <w:rsid w:val="3E734A16"/>
    <w:rsid w:val="3E752133"/>
    <w:rsid w:val="3E7A5DA4"/>
    <w:rsid w:val="3E953235"/>
    <w:rsid w:val="3EAA3B18"/>
    <w:rsid w:val="3EAA555F"/>
    <w:rsid w:val="3EBD0BAE"/>
    <w:rsid w:val="3EC3774B"/>
    <w:rsid w:val="3ECC3927"/>
    <w:rsid w:val="3ECD2095"/>
    <w:rsid w:val="3EEF22EE"/>
    <w:rsid w:val="3EF02AD3"/>
    <w:rsid w:val="3F024C1A"/>
    <w:rsid w:val="3F0D0FA0"/>
    <w:rsid w:val="3F21052E"/>
    <w:rsid w:val="3F330C34"/>
    <w:rsid w:val="3F3917F4"/>
    <w:rsid w:val="3F397A0D"/>
    <w:rsid w:val="3F4A39C9"/>
    <w:rsid w:val="3F625E8E"/>
    <w:rsid w:val="3F6A673B"/>
    <w:rsid w:val="3F8C2A74"/>
    <w:rsid w:val="3FA70307"/>
    <w:rsid w:val="3FA7458E"/>
    <w:rsid w:val="3FB22390"/>
    <w:rsid w:val="3FCF1529"/>
    <w:rsid w:val="3FDD2A57"/>
    <w:rsid w:val="3FE37E33"/>
    <w:rsid w:val="3FF027C2"/>
    <w:rsid w:val="3FF55C7D"/>
    <w:rsid w:val="3FF676AC"/>
    <w:rsid w:val="400E03CE"/>
    <w:rsid w:val="401171AD"/>
    <w:rsid w:val="40225AF1"/>
    <w:rsid w:val="403D5148"/>
    <w:rsid w:val="403D6B94"/>
    <w:rsid w:val="40507C98"/>
    <w:rsid w:val="40580367"/>
    <w:rsid w:val="4061657E"/>
    <w:rsid w:val="40767673"/>
    <w:rsid w:val="407707ED"/>
    <w:rsid w:val="40892318"/>
    <w:rsid w:val="408E0789"/>
    <w:rsid w:val="40A76FA9"/>
    <w:rsid w:val="40AC084A"/>
    <w:rsid w:val="40D05FDB"/>
    <w:rsid w:val="40DB515E"/>
    <w:rsid w:val="40E30197"/>
    <w:rsid w:val="40E63D94"/>
    <w:rsid w:val="40EA1367"/>
    <w:rsid w:val="40EB151F"/>
    <w:rsid w:val="40ED4F53"/>
    <w:rsid w:val="40F25A91"/>
    <w:rsid w:val="411C387B"/>
    <w:rsid w:val="41292B74"/>
    <w:rsid w:val="41406E31"/>
    <w:rsid w:val="414E3836"/>
    <w:rsid w:val="41592854"/>
    <w:rsid w:val="416E516B"/>
    <w:rsid w:val="418812BB"/>
    <w:rsid w:val="418D4040"/>
    <w:rsid w:val="419E7FFC"/>
    <w:rsid w:val="419F3079"/>
    <w:rsid w:val="41AE3A67"/>
    <w:rsid w:val="41C95125"/>
    <w:rsid w:val="41EA02ED"/>
    <w:rsid w:val="42075BA1"/>
    <w:rsid w:val="4215282E"/>
    <w:rsid w:val="42225E0B"/>
    <w:rsid w:val="42302D06"/>
    <w:rsid w:val="42383FB6"/>
    <w:rsid w:val="423D7815"/>
    <w:rsid w:val="424F30C2"/>
    <w:rsid w:val="425E14DB"/>
    <w:rsid w:val="42621029"/>
    <w:rsid w:val="426B4382"/>
    <w:rsid w:val="42725710"/>
    <w:rsid w:val="427358D4"/>
    <w:rsid w:val="42736D87"/>
    <w:rsid w:val="427E086F"/>
    <w:rsid w:val="42826F4F"/>
    <w:rsid w:val="428B0580"/>
    <w:rsid w:val="429A4E70"/>
    <w:rsid w:val="429E14C4"/>
    <w:rsid w:val="42A26186"/>
    <w:rsid w:val="42A94EAA"/>
    <w:rsid w:val="42BA0E65"/>
    <w:rsid w:val="42C13D5C"/>
    <w:rsid w:val="42DD74CF"/>
    <w:rsid w:val="42DF3579"/>
    <w:rsid w:val="42E264C2"/>
    <w:rsid w:val="42E85CD3"/>
    <w:rsid w:val="42F54D63"/>
    <w:rsid w:val="43011E27"/>
    <w:rsid w:val="430D368B"/>
    <w:rsid w:val="430F20A0"/>
    <w:rsid w:val="43135F0F"/>
    <w:rsid w:val="431B6CC7"/>
    <w:rsid w:val="43225F65"/>
    <w:rsid w:val="435720D9"/>
    <w:rsid w:val="43615785"/>
    <w:rsid w:val="43732880"/>
    <w:rsid w:val="43865952"/>
    <w:rsid w:val="438F0BB0"/>
    <w:rsid w:val="43993170"/>
    <w:rsid w:val="43BF04EA"/>
    <w:rsid w:val="43C05A1E"/>
    <w:rsid w:val="43CF4932"/>
    <w:rsid w:val="43D22CDA"/>
    <w:rsid w:val="43D354DC"/>
    <w:rsid w:val="4405353A"/>
    <w:rsid w:val="44063CF3"/>
    <w:rsid w:val="44072973"/>
    <w:rsid w:val="44095C00"/>
    <w:rsid w:val="44117E2D"/>
    <w:rsid w:val="441822E7"/>
    <w:rsid w:val="442F13DF"/>
    <w:rsid w:val="44426345"/>
    <w:rsid w:val="444B2816"/>
    <w:rsid w:val="445279AA"/>
    <w:rsid w:val="4453331F"/>
    <w:rsid w:val="445F3A86"/>
    <w:rsid w:val="4478636B"/>
    <w:rsid w:val="447A0DB3"/>
    <w:rsid w:val="4481712B"/>
    <w:rsid w:val="44901E7E"/>
    <w:rsid w:val="449F54A7"/>
    <w:rsid w:val="44A1052F"/>
    <w:rsid w:val="44C93406"/>
    <w:rsid w:val="44D74994"/>
    <w:rsid w:val="44DD0E3B"/>
    <w:rsid w:val="44E67CEF"/>
    <w:rsid w:val="44F62875"/>
    <w:rsid w:val="451730A2"/>
    <w:rsid w:val="451955A3"/>
    <w:rsid w:val="45205199"/>
    <w:rsid w:val="45260B70"/>
    <w:rsid w:val="45357C2D"/>
    <w:rsid w:val="453A003B"/>
    <w:rsid w:val="45467C1A"/>
    <w:rsid w:val="45523E0A"/>
    <w:rsid w:val="45603F46"/>
    <w:rsid w:val="45784EE5"/>
    <w:rsid w:val="457C33A8"/>
    <w:rsid w:val="458804FE"/>
    <w:rsid w:val="458D57CB"/>
    <w:rsid w:val="4595726A"/>
    <w:rsid w:val="45C67177"/>
    <w:rsid w:val="45D048BE"/>
    <w:rsid w:val="45DE626C"/>
    <w:rsid w:val="45EB660D"/>
    <w:rsid w:val="45F13477"/>
    <w:rsid w:val="45FA688F"/>
    <w:rsid w:val="45FD7B3D"/>
    <w:rsid w:val="460A10C2"/>
    <w:rsid w:val="46220C85"/>
    <w:rsid w:val="46230254"/>
    <w:rsid w:val="46244F73"/>
    <w:rsid w:val="46287B26"/>
    <w:rsid w:val="462A00B0"/>
    <w:rsid w:val="462D24EF"/>
    <w:rsid w:val="46427F4E"/>
    <w:rsid w:val="46534E0B"/>
    <w:rsid w:val="4670640B"/>
    <w:rsid w:val="46753897"/>
    <w:rsid w:val="467A71EB"/>
    <w:rsid w:val="46867477"/>
    <w:rsid w:val="468A02AD"/>
    <w:rsid w:val="468B3DD1"/>
    <w:rsid w:val="469043B7"/>
    <w:rsid w:val="46BF4C9C"/>
    <w:rsid w:val="46C936C8"/>
    <w:rsid w:val="46CB1893"/>
    <w:rsid w:val="46D87DE5"/>
    <w:rsid w:val="46E556A4"/>
    <w:rsid w:val="46E97F6B"/>
    <w:rsid w:val="46EA25E1"/>
    <w:rsid w:val="46EB1077"/>
    <w:rsid w:val="470C2558"/>
    <w:rsid w:val="472127B7"/>
    <w:rsid w:val="472165B7"/>
    <w:rsid w:val="47277064"/>
    <w:rsid w:val="47323C17"/>
    <w:rsid w:val="4743767B"/>
    <w:rsid w:val="474E29C1"/>
    <w:rsid w:val="475569C5"/>
    <w:rsid w:val="475A49C5"/>
    <w:rsid w:val="475E44B5"/>
    <w:rsid w:val="476121D8"/>
    <w:rsid w:val="476A063C"/>
    <w:rsid w:val="477C748E"/>
    <w:rsid w:val="478A7058"/>
    <w:rsid w:val="47941208"/>
    <w:rsid w:val="47A101B2"/>
    <w:rsid w:val="47BF2852"/>
    <w:rsid w:val="47BF386C"/>
    <w:rsid w:val="47C3256A"/>
    <w:rsid w:val="47C95C6C"/>
    <w:rsid w:val="47EC7022"/>
    <w:rsid w:val="47FC7940"/>
    <w:rsid w:val="48030B33"/>
    <w:rsid w:val="48046015"/>
    <w:rsid w:val="4819316F"/>
    <w:rsid w:val="482F5E51"/>
    <w:rsid w:val="483F125D"/>
    <w:rsid w:val="48580B32"/>
    <w:rsid w:val="485B43A9"/>
    <w:rsid w:val="48635024"/>
    <w:rsid w:val="487B675C"/>
    <w:rsid w:val="48A95C04"/>
    <w:rsid w:val="48B22238"/>
    <w:rsid w:val="48B33076"/>
    <w:rsid w:val="48C4330A"/>
    <w:rsid w:val="48D55EB3"/>
    <w:rsid w:val="48DA0701"/>
    <w:rsid w:val="48DF324A"/>
    <w:rsid w:val="48E052EC"/>
    <w:rsid w:val="48E65AEE"/>
    <w:rsid w:val="48F80CE7"/>
    <w:rsid w:val="49096FCD"/>
    <w:rsid w:val="491D7C08"/>
    <w:rsid w:val="494625B6"/>
    <w:rsid w:val="49507E2D"/>
    <w:rsid w:val="49512BB1"/>
    <w:rsid w:val="495E0009"/>
    <w:rsid w:val="49641F5D"/>
    <w:rsid w:val="49666B6B"/>
    <w:rsid w:val="496C26B3"/>
    <w:rsid w:val="496F2CCC"/>
    <w:rsid w:val="498F64FC"/>
    <w:rsid w:val="49AD1724"/>
    <w:rsid w:val="49BE7E39"/>
    <w:rsid w:val="49C40005"/>
    <w:rsid w:val="49C65419"/>
    <w:rsid w:val="49D04BAB"/>
    <w:rsid w:val="49EA0282"/>
    <w:rsid w:val="49EA17C4"/>
    <w:rsid w:val="49EF440A"/>
    <w:rsid w:val="4A1A2F12"/>
    <w:rsid w:val="4A2C7C77"/>
    <w:rsid w:val="4A321C6F"/>
    <w:rsid w:val="4A366D8C"/>
    <w:rsid w:val="4A375709"/>
    <w:rsid w:val="4A475BFC"/>
    <w:rsid w:val="4A4E1094"/>
    <w:rsid w:val="4A561717"/>
    <w:rsid w:val="4A606796"/>
    <w:rsid w:val="4A717D8F"/>
    <w:rsid w:val="4A7D0F83"/>
    <w:rsid w:val="4A834A22"/>
    <w:rsid w:val="4A8815D3"/>
    <w:rsid w:val="4A9454F9"/>
    <w:rsid w:val="4A972DF7"/>
    <w:rsid w:val="4A992274"/>
    <w:rsid w:val="4AA77F21"/>
    <w:rsid w:val="4AAA2276"/>
    <w:rsid w:val="4AB64534"/>
    <w:rsid w:val="4ABD14F2"/>
    <w:rsid w:val="4AC66642"/>
    <w:rsid w:val="4AC87549"/>
    <w:rsid w:val="4AD37353"/>
    <w:rsid w:val="4ADC6651"/>
    <w:rsid w:val="4AE2340C"/>
    <w:rsid w:val="4AE72A13"/>
    <w:rsid w:val="4AFF6999"/>
    <w:rsid w:val="4B0E61F2"/>
    <w:rsid w:val="4B21257E"/>
    <w:rsid w:val="4B290FE3"/>
    <w:rsid w:val="4B322207"/>
    <w:rsid w:val="4B3B5793"/>
    <w:rsid w:val="4B58050B"/>
    <w:rsid w:val="4B5A25F7"/>
    <w:rsid w:val="4B6A0768"/>
    <w:rsid w:val="4B6B0CBD"/>
    <w:rsid w:val="4B705719"/>
    <w:rsid w:val="4B7B47F9"/>
    <w:rsid w:val="4BA563FE"/>
    <w:rsid w:val="4BB77663"/>
    <w:rsid w:val="4BC54DE5"/>
    <w:rsid w:val="4BCB7306"/>
    <w:rsid w:val="4BD52968"/>
    <w:rsid w:val="4BD91D02"/>
    <w:rsid w:val="4BE2600E"/>
    <w:rsid w:val="4BE57820"/>
    <w:rsid w:val="4BF657A1"/>
    <w:rsid w:val="4BFB7B74"/>
    <w:rsid w:val="4C0457A1"/>
    <w:rsid w:val="4C3F2C78"/>
    <w:rsid w:val="4C42244E"/>
    <w:rsid w:val="4C437DCE"/>
    <w:rsid w:val="4C6D3DA8"/>
    <w:rsid w:val="4C727CFA"/>
    <w:rsid w:val="4C88081B"/>
    <w:rsid w:val="4C8872A2"/>
    <w:rsid w:val="4C9C19F3"/>
    <w:rsid w:val="4CA47183"/>
    <w:rsid w:val="4CB7606E"/>
    <w:rsid w:val="4CB91CB1"/>
    <w:rsid w:val="4CF745DE"/>
    <w:rsid w:val="4CFC57E0"/>
    <w:rsid w:val="4D087B01"/>
    <w:rsid w:val="4D0B58BC"/>
    <w:rsid w:val="4D0C050F"/>
    <w:rsid w:val="4D0C2AD5"/>
    <w:rsid w:val="4D0E2087"/>
    <w:rsid w:val="4D2059FA"/>
    <w:rsid w:val="4D2E3574"/>
    <w:rsid w:val="4D451B18"/>
    <w:rsid w:val="4D4D5AFE"/>
    <w:rsid w:val="4D502AF2"/>
    <w:rsid w:val="4D5C07F9"/>
    <w:rsid w:val="4D6905EE"/>
    <w:rsid w:val="4D755736"/>
    <w:rsid w:val="4DAC0A3B"/>
    <w:rsid w:val="4DB92102"/>
    <w:rsid w:val="4DBA3E20"/>
    <w:rsid w:val="4DBC5B64"/>
    <w:rsid w:val="4DC679DB"/>
    <w:rsid w:val="4DE61D12"/>
    <w:rsid w:val="4DF1146E"/>
    <w:rsid w:val="4DF82017"/>
    <w:rsid w:val="4E0E661C"/>
    <w:rsid w:val="4E1E3790"/>
    <w:rsid w:val="4E2E44B5"/>
    <w:rsid w:val="4E4C57ED"/>
    <w:rsid w:val="4E5505A6"/>
    <w:rsid w:val="4E7B0CB2"/>
    <w:rsid w:val="4E820BD8"/>
    <w:rsid w:val="4E8D729C"/>
    <w:rsid w:val="4E8E1C0C"/>
    <w:rsid w:val="4E9609D8"/>
    <w:rsid w:val="4E98004C"/>
    <w:rsid w:val="4EA5208F"/>
    <w:rsid w:val="4EAE617F"/>
    <w:rsid w:val="4EBD702F"/>
    <w:rsid w:val="4EC310A1"/>
    <w:rsid w:val="4EC818B0"/>
    <w:rsid w:val="4ECB59F9"/>
    <w:rsid w:val="4ECE1CAC"/>
    <w:rsid w:val="4EE414BB"/>
    <w:rsid w:val="4EE87B84"/>
    <w:rsid w:val="4EFF65C5"/>
    <w:rsid w:val="4F0052D1"/>
    <w:rsid w:val="4F014784"/>
    <w:rsid w:val="4F0431E6"/>
    <w:rsid w:val="4F1B712F"/>
    <w:rsid w:val="4F1C605F"/>
    <w:rsid w:val="4F254824"/>
    <w:rsid w:val="4F2658BE"/>
    <w:rsid w:val="4F4736A7"/>
    <w:rsid w:val="4F7914EF"/>
    <w:rsid w:val="4F9174FD"/>
    <w:rsid w:val="4F9402D2"/>
    <w:rsid w:val="4F9A6D4E"/>
    <w:rsid w:val="4FB10142"/>
    <w:rsid w:val="4FB82BD0"/>
    <w:rsid w:val="4FC643B6"/>
    <w:rsid w:val="4FD1578E"/>
    <w:rsid w:val="4FE10E76"/>
    <w:rsid w:val="4FEE2189"/>
    <w:rsid w:val="4FF71C3D"/>
    <w:rsid w:val="50016856"/>
    <w:rsid w:val="5008518B"/>
    <w:rsid w:val="500B32A2"/>
    <w:rsid w:val="502B6647"/>
    <w:rsid w:val="502B6EFE"/>
    <w:rsid w:val="50324E90"/>
    <w:rsid w:val="504C1B11"/>
    <w:rsid w:val="505F48A5"/>
    <w:rsid w:val="506472D4"/>
    <w:rsid w:val="50666C7A"/>
    <w:rsid w:val="507460A4"/>
    <w:rsid w:val="5094445D"/>
    <w:rsid w:val="509C0D4E"/>
    <w:rsid w:val="50A23A1E"/>
    <w:rsid w:val="50AC44E3"/>
    <w:rsid w:val="50B57EA9"/>
    <w:rsid w:val="50BC2B26"/>
    <w:rsid w:val="50BE1984"/>
    <w:rsid w:val="50D141C6"/>
    <w:rsid w:val="50D94FDD"/>
    <w:rsid w:val="50F115EA"/>
    <w:rsid w:val="50F72C9C"/>
    <w:rsid w:val="50FC0DB6"/>
    <w:rsid w:val="511107EA"/>
    <w:rsid w:val="511F2007"/>
    <w:rsid w:val="51271E2F"/>
    <w:rsid w:val="51342CAA"/>
    <w:rsid w:val="51366F32"/>
    <w:rsid w:val="51406A38"/>
    <w:rsid w:val="514B4E4E"/>
    <w:rsid w:val="516578E1"/>
    <w:rsid w:val="517174DB"/>
    <w:rsid w:val="518049FF"/>
    <w:rsid w:val="51932FAD"/>
    <w:rsid w:val="51A06E66"/>
    <w:rsid w:val="51AF590D"/>
    <w:rsid w:val="51B475E9"/>
    <w:rsid w:val="51C05FF6"/>
    <w:rsid w:val="51D135DE"/>
    <w:rsid w:val="51DF4444"/>
    <w:rsid w:val="51F65295"/>
    <w:rsid w:val="51F872B4"/>
    <w:rsid w:val="51FD3DB6"/>
    <w:rsid w:val="52097713"/>
    <w:rsid w:val="520C3BB6"/>
    <w:rsid w:val="52252174"/>
    <w:rsid w:val="52295AE6"/>
    <w:rsid w:val="522D0E7F"/>
    <w:rsid w:val="523E4D62"/>
    <w:rsid w:val="5243507E"/>
    <w:rsid w:val="525402A0"/>
    <w:rsid w:val="52554706"/>
    <w:rsid w:val="525F5585"/>
    <w:rsid w:val="527D4695"/>
    <w:rsid w:val="528D41E4"/>
    <w:rsid w:val="52BF5C92"/>
    <w:rsid w:val="52C2167A"/>
    <w:rsid w:val="52C7794C"/>
    <w:rsid w:val="52D279CD"/>
    <w:rsid w:val="52D32ADF"/>
    <w:rsid w:val="52E45ACB"/>
    <w:rsid w:val="52E71802"/>
    <w:rsid w:val="52F47AFB"/>
    <w:rsid w:val="53071B37"/>
    <w:rsid w:val="530A5973"/>
    <w:rsid w:val="531169F3"/>
    <w:rsid w:val="531348FB"/>
    <w:rsid w:val="53275D3D"/>
    <w:rsid w:val="533354CF"/>
    <w:rsid w:val="533407C0"/>
    <w:rsid w:val="53346B96"/>
    <w:rsid w:val="535D5DC8"/>
    <w:rsid w:val="537A3167"/>
    <w:rsid w:val="537D2360"/>
    <w:rsid w:val="53811E50"/>
    <w:rsid w:val="53986FA1"/>
    <w:rsid w:val="53B22465"/>
    <w:rsid w:val="53B72F65"/>
    <w:rsid w:val="53BE3989"/>
    <w:rsid w:val="53D83751"/>
    <w:rsid w:val="53D85151"/>
    <w:rsid w:val="53E844A9"/>
    <w:rsid w:val="53FD2AC2"/>
    <w:rsid w:val="5409404E"/>
    <w:rsid w:val="54134B75"/>
    <w:rsid w:val="54164746"/>
    <w:rsid w:val="541F238F"/>
    <w:rsid w:val="542E2ADC"/>
    <w:rsid w:val="543341B9"/>
    <w:rsid w:val="543415ED"/>
    <w:rsid w:val="5438608E"/>
    <w:rsid w:val="544B7F7E"/>
    <w:rsid w:val="54501D22"/>
    <w:rsid w:val="546146EB"/>
    <w:rsid w:val="54680D66"/>
    <w:rsid w:val="54685AA1"/>
    <w:rsid w:val="547D06FB"/>
    <w:rsid w:val="547D14B1"/>
    <w:rsid w:val="54857DDB"/>
    <w:rsid w:val="548C678B"/>
    <w:rsid w:val="54905199"/>
    <w:rsid w:val="54914216"/>
    <w:rsid w:val="549273A9"/>
    <w:rsid w:val="549405C7"/>
    <w:rsid w:val="549D6C55"/>
    <w:rsid w:val="54CA07F6"/>
    <w:rsid w:val="54E979F3"/>
    <w:rsid w:val="54EF0774"/>
    <w:rsid w:val="54F2448F"/>
    <w:rsid w:val="54FE2E33"/>
    <w:rsid w:val="550B2DC8"/>
    <w:rsid w:val="5540169E"/>
    <w:rsid w:val="55466588"/>
    <w:rsid w:val="5547793A"/>
    <w:rsid w:val="554C32B2"/>
    <w:rsid w:val="55501E76"/>
    <w:rsid w:val="55701D69"/>
    <w:rsid w:val="55731E3E"/>
    <w:rsid w:val="557A0272"/>
    <w:rsid w:val="557E29D7"/>
    <w:rsid w:val="558F2195"/>
    <w:rsid w:val="55900035"/>
    <w:rsid w:val="55AF798B"/>
    <w:rsid w:val="55CA70E8"/>
    <w:rsid w:val="55ED4967"/>
    <w:rsid w:val="55F350C4"/>
    <w:rsid w:val="561019A5"/>
    <w:rsid w:val="561B14C6"/>
    <w:rsid w:val="561B7A15"/>
    <w:rsid w:val="56247722"/>
    <w:rsid w:val="56342FDD"/>
    <w:rsid w:val="56467B64"/>
    <w:rsid w:val="565626F9"/>
    <w:rsid w:val="565671A2"/>
    <w:rsid w:val="56685CA8"/>
    <w:rsid w:val="56740DC7"/>
    <w:rsid w:val="56753961"/>
    <w:rsid w:val="5677558B"/>
    <w:rsid w:val="569C2904"/>
    <w:rsid w:val="56AA3219"/>
    <w:rsid w:val="56CF2574"/>
    <w:rsid w:val="56CF424D"/>
    <w:rsid w:val="56DE4C00"/>
    <w:rsid w:val="57016033"/>
    <w:rsid w:val="5707525A"/>
    <w:rsid w:val="570847EE"/>
    <w:rsid w:val="573270B5"/>
    <w:rsid w:val="57331689"/>
    <w:rsid w:val="57443B56"/>
    <w:rsid w:val="57614844"/>
    <w:rsid w:val="57664CC0"/>
    <w:rsid w:val="576A00D2"/>
    <w:rsid w:val="576A530D"/>
    <w:rsid w:val="57971A40"/>
    <w:rsid w:val="579E4D2D"/>
    <w:rsid w:val="57A24175"/>
    <w:rsid w:val="57B75717"/>
    <w:rsid w:val="57C470D2"/>
    <w:rsid w:val="57C77E19"/>
    <w:rsid w:val="57CA488B"/>
    <w:rsid w:val="57DB3900"/>
    <w:rsid w:val="57DB47FB"/>
    <w:rsid w:val="580846BB"/>
    <w:rsid w:val="5816050F"/>
    <w:rsid w:val="581D5CC6"/>
    <w:rsid w:val="58205F1A"/>
    <w:rsid w:val="582468CD"/>
    <w:rsid w:val="582840C5"/>
    <w:rsid w:val="583074F9"/>
    <w:rsid w:val="583515AC"/>
    <w:rsid w:val="584B45E2"/>
    <w:rsid w:val="584C2587"/>
    <w:rsid w:val="585127AA"/>
    <w:rsid w:val="585D5314"/>
    <w:rsid w:val="58603D47"/>
    <w:rsid w:val="58743A0C"/>
    <w:rsid w:val="58BB3CCE"/>
    <w:rsid w:val="58CD3249"/>
    <w:rsid w:val="58DE0E81"/>
    <w:rsid w:val="59125866"/>
    <w:rsid w:val="5915352F"/>
    <w:rsid w:val="591B0458"/>
    <w:rsid w:val="59232E69"/>
    <w:rsid w:val="59304651"/>
    <w:rsid w:val="593E2965"/>
    <w:rsid w:val="594856C1"/>
    <w:rsid w:val="59486EBB"/>
    <w:rsid w:val="59493AFE"/>
    <w:rsid w:val="594968EC"/>
    <w:rsid w:val="594C38F9"/>
    <w:rsid w:val="594C4A1E"/>
    <w:rsid w:val="59567838"/>
    <w:rsid w:val="595E16C1"/>
    <w:rsid w:val="59700D18"/>
    <w:rsid w:val="5970491E"/>
    <w:rsid w:val="597304CA"/>
    <w:rsid w:val="59794C92"/>
    <w:rsid w:val="597A0373"/>
    <w:rsid w:val="598803B1"/>
    <w:rsid w:val="59A0584C"/>
    <w:rsid w:val="59A5117A"/>
    <w:rsid w:val="59A937D5"/>
    <w:rsid w:val="59BA6CB3"/>
    <w:rsid w:val="59BA6CC4"/>
    <w:rsid w:val="59DB746A"/>
    <w:rsid w:val="59F2154E"/>
    <w:rsid w:val="59F9691A"/>
    <w:rsid w:val="5A012975"/>
    <w:rsid w:val="5A0233C6"/>
    <w:rsid w:val="5A097A39"/>
    <w:rsid w:val="5A112448"/>
    <w:rsid w:val="5A1E417A"/>
    <w:rsid w:val="5A266C4C"/>
    <w:rsid w:val="5A2D3B53"/>
    <w:rsid w:val="5A3B2434"/>
    <w:rsid w:val="5A6457FD"/>
    <w:rsid w:val="5A645A7F"/>
    <w:rsid w:val="5A653116"/>
    <w:rsid w:val="5A7035CD"/>
    <w:rsid w:val="5A873ECB"/>
    <w:rsid w:val="5A934A0F"/>
    <w:rsid w:val="5A957C98"/>
    <w:rsid w:val="5A9E6D6F"/>
    <w:rsid w:val="5AAC50E0"/>
    <w:rsid w:val="5AAD60EA"/>
    <w:rsid w:val="5AB61DE0"/>
    <w:rsid w:val="5ACB527F"/>
    <w:rsid w:val="5AD7761B"/>
    <w:rsid w:val="5B072DB6"/>
    <w:rsid w:val="5B19492B"/>
    <w:rsid w:val="5B233465"/>
    <w:rsid w:val="5B506B61"/>
    <w:rsid w:val="5B557DDB"/>
    <w:rsid w:val="5B5F0F2E"/>
    <w:rsid w:val="5B667984"/>
    <w:rsid w:val="5B6B796C"/>
    <w:rsid w:val="5B7C0F56"/>
    <w:rsid w:val="5B9808C1"/>
    <w:rsid w:val="5BB10CB2"/>
    <w:rsid w:val="5BC16A09"/>
    <w:rsid w:val="5C012CC6"/>
    <w:rsid w:val="5C3B496D"/>
    <w:rsid w:val="5C503DE0"/>
    <w:rsid w:val="5C5435D1"/>
    <w:rsid w:val="5C5C5BA5"/>
    <w:rsid w:val="5C631650"/>
    <w:rsid w:val="5C8005D2"/>
    <w:rsid w:val="5C8C4702"/>
    <w:rsid w:val="5C936557"/>
    <w:rsid w:val="5C943DBC"/>
    <w:rsid w:val="5C997625"/>
    <w:rsid w:val="5CA57080"/>
    <w:rsid w:val="5CA77E21"/>
    <w:rsid w:val="5CAF0BE0"/>
    <w:rsid w:val="5CB458BA"/>
    <w:rsid w:val="5CDC782C"/>
    <w:rsid w:val="5CE23DAC"/>
    <w:rsid w:val="5CE73917"/>
    <w:rsid w:val="5D0A73AF"/>
    <w:rsid w:val="5D120F26"/>
    <w:rsid w:val="5D1F603D"/>
    <w:rsid w:val="5D376039"/>
    <w:rsid w:val="5D3E31E9"/>
    <w:rsid w:val="5D436E42"/>
    <w:rsid w:val="5D63667B"/>
    <w:rsid w:val="5D696565"/>
    <w:rsid w:val="5D6F2EDA"/>
    <w:rsid w:val="5D783847"/>
    <w:rsid w:val="5D83037A"/>
    <w:rsid w:val="5D885121"/>
    <w:rsid w:val="5D9941C1"/>
    <w:rsid w:val="5DA92832"/>
    <w:rsid w:val="5DAE502B"/>
    <w:rsid w:val="5DB466F3"/>
    <w:rsid w:val="5DB915F2"/>
    <w:rsid w:val="5DBC60F3"/>
    <w:rsid w:val="5DCB1D21"/>
    <w:rsid w:val="5DCD5A99"/>
    <w:rsid w:val="5DDA5440"/>
    <w:rsid w:val="5DDB6A89"/>
    <w:rsid w:val="5DDD5947"/>
    <w:rsid w:val="5DDF393D"/>
    <w:rsid w:val="5DDF6E4E"/>
    <w:rsid w:val="5DFA49E0"/>
    <w:rsid w:val="5E1D0F80"/>
    <w:rsid w:val="5E1F3B6D"/>
    <w:rsid w:val="5E224037"/>
    <w:rsid w:val="5E352C38"/>
    <w:rsid w:val="5E3E40FF"/>
    <w:rsid w:val="5E3F3871"/>
    <w:rsid w:val="5E40706E"/>
    <w:rsid w:val="5E4C1080"/>
    <w:rsid w:val="5E4E1C8A"/>
    <w:rsid w:val="5E5D7A78"/>
    <w:rsid w:val="5E7833A1"/>
    <w:rsid w:val="5E8274BA"/>
    <w:rsid w:val="5EA06D09"/>
    <w:rsid w:val="5EA53C9A"/>
    <w:rsid w:val="5EB822A5"/>
    <w:rsid w:val="5EBC7F37"/>
    <w:rsid w:val="5ECE7D1A"/>
    <w:rsid w:val="5ED36C86"/>
    <w:rsid w:val="5EDA60B0"/>
    <w:rsid w:val="5EDE0F33"/>
    <w:rsid w:val="5EE35A57"/>
    <w:rsid w:val="5F1645A7"/>
    <w:rsid w:val="5F6A54DD"/>
    <w:rsid w:val="5F815969"/>
    <w:rsid w:val="5F8B4FA7"/>
    <w:rsid w:val="5F9B72D1"/>
    <w:rsid w:val="5FAB0A44"/>
    <w:rsid w:val="5FB17C29"/>
    <w:rsid w:val="5FB34738"/>
    <w:rsid w:val="5FB95E1C"/>
    <w:rsid w:val="5FC85F82"/>
    <w:rsid w:val="5FCB3FE5"/>
    <w:rsid w:val="5FD8170F"/>
    <w:rsid w:val="5FDC5EDE"/>
    <w:rsid w:val="5FEB2206"/>
    <w:rsid w:val="5FED772C"/>
    <w:rsid w:val="5FF97EAE"/>
    <w:rsid w:val="60155C27"/>
    <w:rsid w:val="60162D11"/>
    <w:rsid w:val="601A6070"/>
    <w:rsid w:val="60226F8B"/>
    <w:rsid w:val="603B4F3C"/>
    <w:rsid w:val="60477ABF"/>
    <w:rsid w:val="604B06AE"/>
    <w:rsid w:val="60526566"/>
    <w:rsid w:val="607F756F"/>
    <w:rsid w:val="60917251"/>
    <w:rsid w:val="60982996"/>
    <w:rsid w:val="60C53D01"/>
    <w:rsid w:val="60C9018D"/>
    <w:rsid w:val="61012C93"/>
    <w:rsid w:val="61053FC5"/>
    <w:rsid w:val="610C088E"/>
    <w:rsid w:val="614A03E6"/>
    <w:rsid w:val="61531A50"/>
    <w:rsid w:val="61532201"/>
    <w:rsid w:val="61651210"/>
    <w:rsid w:val="61666018"/>
    <w:rsid w:val="616B46BB"/>
    <w:rsid w:val="616E5EB6"/>
    <w:rsid w:val="617526CF"/>
    <w:rsid w:val="618560EB"/>
    <w:rsid w:val="618E3791"/>
    <w:rsid w:val="619B5D77"/>
    <w:rsid w:val="61B10243"/>
    <w:rsid w:val="61BB2DD9"/>
    <w:rsid w:val="61C00B2F"/>
    <w:rsid w:val="61C3411F"/>
    <w:rsid w:val="61DD1B9A"/>
    <w:rsid w:val="61E136F6"/>
    <w:rsid w:val="61F4426B"/>
    <w:rsid w:val="61F83805"/>
    <w:rsid w:val="62022776"/>
    <w:rsid w:val="6205764C"/>
    <w:rsid w:val="62256C85"/>
    <w:rsid w:val="623600B0"/>
    <w:rsid w:val="62562501"/>
    <w:rsid w:val="6256299E"/>
    <w:rsid w:val="62574D95"/>
    <w:rsid w:val="62586747"/>
    <w:rsid w:val="626C60B7"/>
    <w:rsid w:val="62746498"/>
    <w:rsid w:val="62922E0D"/>
    <w:rsid w:val="62982A5C"/>
    <w:rsid w:val="62CB6D60"/>
    <w:rsid w:val="62E358B2"/>
    <w:rsid w:val="62EA49F7"/>
    <w:rsid w:val="62F154C5"/>
    <w:rsid w:val="62FD0A5D"/>
    <w:rsid w:val="63162338"/>
    <w:rsid w:val="632036E4"/>
    <w:rsid w:val="63232EB3"/>
    <w:rsid w:val="63267478"/>
    <w:rsid w:val="633D315E"/>
    <w:rsid w:val="63504ABF"/>
    <w:rsid w:val="63517786"/>
    <w:rsid w:val="637052D7"/>
    <w:rsid w:val="6388739F"/>
    <w:rsid w:val="6389099E"/>
    <w:rsid w:val="63954DAA"/>
    <w:rsid w:val="63C74AA3"/>
    <w:rsid w:val="63D87748"/>
    <w:rsid w:val="63DE2EEF"/>
    <w:rsid w:val="63E8362C"/>
    <w:rsid w:val="63F16145"/>
    <w:rsid w:val="64024CFF"/>
    <w:rsid w:val="641D22DD"/>
    <w:rsid w:val="64426DE8"/>
    <w:rsid w:val="645B3151"/>
    <w:rsid w:val="646A170C"/>
    <w:rsid w:val="64701038"/>
    <w:rsid w:val="64722EF6"/>
    <w:rsid w:val="64797A3F"/>
    <w:rsid w:val="647B4B09"/>
    <w:rsid w:val="647B6F79"/>
    <w:rsid w:val="64815AEE"/>
    <w:rsid w:val="648937A8"/>
    <w:rsid w:val="648B1BA9"/>
    <w:rsid w:val="648D0F64"/>
    <w:rsid w:val="649449E8"/>
    <w:rsid w:val="649D5D6D"/>
    <w:rsid w:val="64A9391A"/>
    <w:rsid w:val="64AF7CA6"/>
    <w:rsid w:val="64D77B16"/>
    <w:rsid w:val="64F953C5"/>
    <w:rsid w:val="65143871"/>
    <w:rsid w:val="651B533C"/>
    <w:rsid w:val="651E27DC"/>
    <w:rsid w:val="65206DF6"/>
    <w:rsid w:val="65291D8F"/>
    <w:rsid w:val="65570D94"/>
    <w:rsid w:val="655774EE"/>
    <w:rsid w:val="65795592"/>
    <w:rsid w:val="65A10F4D"/>
    <w:rsid w:val="65A93335"/>
    <w:rsid w:val="65BC5BDE"/>
    <w:rsid w:val="65D3678B"/>
    <w:rsid w:val="65DB69B9"/>
    <w:rsid w:val="65E142CF"/>
    <w:rsid w:val="65F16DEF"/>
    <w:rsid w:val="65FF5B93"/>
    <w:rsid w:val="660540EE"/>
    <w:rsid w:val="66081715"/>
    <w:rsid w:val="661673E0"/>
    <w:rsid w:val="661A1A97"/>
    <w:rsid w:val="661A3845"/>
    <w:rsid w:val="661B00EA"/>
    <w:rsid w:val="661D360B"/>
    <w:rsid w:val="66523C3F"/>
    <w:rsid w:val="66541F53"/>
    <w:rsid w:val="665C126F"/>
    <w:rsid w:val="66604179"/>
    <w:rsid w:val="6660647F"/>
    <w:rsid w:val="66613222"/>
    <w:rsid w:val="66820F47"/>
    <w:rsid w:val="668A782A"/>
    <w:rsid w:val="66AF1795"/>
    <w:rsid w:val="66B07CC1"/>
    <w:rsid w:val="66B14B24"/>
    <w:rsid w:val="66B27D18"/>
    <w:rsid w:val="66D1442C"/>
    <w:rsid w:val="66D47E7F"/>
    <w:rsid w:val="66D64E5B"/>
    <w:rsid w:val="66DD089D"/>
    <w:rsid w:val="66F0016C"/>
    <w:rsid w:val="66FA0812"/>
    <w:rsid w:val="66FB2BD0"/>
    <w:rsid w:val="66FC2971"/>
    <w:rsid w:val="670008EB"/>
    <w:rsid w:val="67103ED9"/>
    <w:rsid w:val="67262B05"/>
    <w:rsid w:val="672C7CD4"/>
    <w:rsid w:val="674E513F"/>
    <w:rsid w:val="674E6BDA"/>
    <w:rsid w:val="67610E75"/>
    <w:rsid w:val="676F0F89"/>
    <w:rsid w:val="677178CC"/>
    <w:rsid w:val="677977BA"/>
    <w:rsid w:val="67797A29"/>
    <w:rsid w:val="679D31F9"/>
    <w:rsid w:val="679D3BF4"/>
    <w:rsid w:val="679D472E"/>
    <w:rsid w:val="67A41618"/>
    <w:rsid w:val="67AE4749"/>
    <w:rsid w:val="67C1666E"/>
    <w:rsid w:val="67C56A11"/>
    <w:rsid w:val="67DC3A63"/>
    <w:rsid w:val="67E071EA"/>
    <w:rsid w:val="67FC4971"/>
    <w:rsid w:val="68221BAF"/>
    <w:rsid w:val="682D62D9"/>
    <w:rsid w:val="685143BC"/>
    <w:rsid w:val="68542A0A"/>
    <w:rsid w:val="68555296"/>
    <w:rsid w:val="686C1E80"/>
    <w:rsid w:val="689079C3"/>
    <w:rsid w:val="689A2A1B"/>
    <w:rsid w:val="68D46A71"/>
    <w:rsid w:val="68D56910"/>
    <w:rsid w:val="68EF70C5"/>
    <w:rsid w:val="68F22D9F"/>
    <w:rsid w:val="69162C86"/>
    <w:rsid w:val="69180AD7"/>
    <w:rsid w:val="69214083"/>
    <w:rsid w:val="69456B9A"/>
    <w:rsid w:val="69481344"/>
    <w:rsid w:val="695700E3"/>
    <w:rsid w:val="697C3CC5"/>
    <w:rsid w:val="6980516E"/>
    <w:rsid w:val="698B51FD"/>
    <w:rsid w:val="69960468"/>
    <w:rsid w:val="69A109AD"/>
    <w:rsid w:val="69B875FD"/>
    <w:rsid w:val="69D5796F"/>
    <w:rsid w:val="69E00AE8"/>
    <w:rsid w:val="69E2467A"/>
    <w:rsid w:val="69F101EA"/>
    <w:rsid w:val="69F448E4"/>
    <w:rsid w:val="6A0606AA"/>
    <w:rsid w:val="6A090874"/>
    <w:rsid w:val="6A0F6D29"/>
    <w:rsid w:val="6A1231B1"/>
    <w:rsid w:val="6A1B780C"/>
    <w:rsid w:val="6A206086"/>
    <w:rsid w:val="6A3F0B90"/>
    <w:rsid w:val="6A3F71AB"/>
    <w:rsid w:val="6A407F9F"/>
    <w:rsid w:val="6A4620BF"/>
    <w:rsid w:val="6A4D5F32"/>
    <w:rsid w:val="6A5D65D9"/>
    <w:rsid w:val="6A6908F7"/>
    <w:rsid w:val="6A722F0B"/>
    <w:rsid w:val="6A7A4D5B"/>
    <w:rsid w:val="6A7E7518"/>
    <w:rsid w:val="6A825953"/>
    <w:rsid w:val="6A881C38"/>
    <w:rsid w:val="6A8A11E6"/>
    <w:rsid w:val="6A8B2F63"/>
    <w:rsid w:val="6A904811"/>
    <w:rsid w:val="6A9C6F1F"/>
    <w:rsid w:val="6AC034F3"/>
    <w:rsid w:val="6AC31AF5"/>
    <w:rsid w:val="6AC96987"/>
    <w:rsid w:val="6AD24017"/>
    <w:rsid w:val="6AD42C61"/>
    <w:rsid w:val="6AE14092"/>
    <w:rsid w:val="6AEA323D"/>
    <w:rsid w:val="6AF07997"/>
    <w:rsid w:val="6AF5032D"/>
    <w:rsid w:val="6AFB2812"/>
    <w:rsid w:val="6AFF182D"/>
    <w:rsid w:val="6B032C8C"/>
    <w:rsid w:val="6B243303"/>
    <w:rsid w:val="6B3569BE"/>
    <w:rsid w:val="6B3A1CE8"/>
    <w:rsid w:val="6B3E4E41"/>
    <w:rsid w:val="6B4D49EF"/>
    <w:rsid w:val="6B556078"/>
    <w:rsid w:val="6B565CD0"/>
    <w:rsid w:val="6B68013D"/>
    <w:rsid w:val="6B7022D0"/>
    <w:rsid w:val="6B7B5422"/>
    <w:rsid w:val="6B852192"/>
    <w:rsid w:val="6B925A32"/>
    <w:rsid w:val="6B9C4F5E"/>
    <w:rsid w:val="6BA92B5A"/>
    <w:rsid w:val="6BB42760"/>
    <w:rsid w:val="6BCC6C4D"/>
    <w:rsid w:val="6BD37065"/>
    <w:rsid w:val="6BE13B5E"/>
    <w:rsid w:val="6BE31674"/>
    <w:rsid w:val="6BE95EA9"/>
    <w:rsid w:val="6BEA6094"/>
    <w:rsid w:val="6C114575"/>
    <w:rsid w:val="6C3E2214"/>
    <w:rsid w:val="6C427652"/>
    <w:rsid w:val="6C4D48CD"/>
    <w:rsid w:val="6C8202CD"/>
    <w:rsid w:val="6C8639E2"/>
    <w:rsid w:val="6C961621"/>
    <w:rsid w:val="6C9D5038"/>
    <w:rsid w:val="6CBB7DE1"/>
    <w:rsid w:val="6CC445CB"/>
    <w:rsid w:val="6CCE0EE6"/>
    <w:rsid w:val="6CD042ED"/>
    <w:rsid w:val="6CDA2357"/>
    <w:rsid w:val="6CE8212C"/>
    <w:rsid w:val="6CF01775"/>
    <w:rsid w:val="6CFB62C0"/>
    <w:rsid w:val="6CFD7CAA"/>
    <w:rsid w:val="6D026DE8"/>
    <w:rsid w:val="6D0316B2"/>
    <w:rsid w:val="6D087337"/>
    <w:rsid w:val="6D0E1321"/>
    <w:rsid w:val="6D104BE0"/>
    <w:rsid w:val="6D132371"/>
    <w:rsid w:val="6D1338DD"/>
    <w:rsid w:val="6D153789"/>
    <w:rsid w:val="6D3B4D97"/>
    <w:rsid w:val="6D487B73"/>
    <w:rsid w:val="6D4A2408"/>
    <w:rsid w:val="6D4B1E5A"/>
    <w:rsid w:val="6D5E70E9"/>
    <w:rsid w:val="6D6729D8"/>
    <w:rsid w:val="6D6E09F2"/>
    <w:rsid w:val="6D852386"/>
    <w:rsid w:val="6DA5203F"/>
    <w:rsid w:val="6DA610B2"/>
    <w:rsid w:val="6DBD67AE"/>
    <w:rsid w:val="6DCF3167"/>
    <w:rsid w:val="6DD54C21"/>
    <w:rsid w:val="6DF453C2"/>
    <w:rsid w:val="6DFC1EB9"/>
    <w:rsid w:val="6E25722B"/>
    <w:rsid w:val="6E3363CE"/>
    <w:rsid w:val="6E3C316F"/>
    <w:rsid w:val="6E453429"/>
    <w:rsid w:val="6E456275"/>
    <w:rsid w:val="6E4E36BD"/>
    <w:rsid w:val="6E6127F4"/>
    <w:rsid w:val="6E631ECC"/>
    <w:rsid w:val="6E860D5E"/>
    <w:rsid w:val="6E880670"/>
    <w:rsid w:val="6E9028F6"/>
    <w:rsid w:val="6EB7522E"/>
    <w:rsid w:val="6EC002E5"/>
    <w:rsid w:val="6EC64ECD"/>
    <w:rsid w:val="6EC71F62"/>
    <w:rsid w:val="6ECD2CED"/>
    <w:rsid w:val="6EE1422E"/>
    <w:rsid w:val="6EE449F0"/>
    <w:rsid w:val="6EEF4C65"/>
    <w:rsid w:val="6EF14DB2"/>
    <w:rsid w:val="6EFA06B8"/>
    <w:rsid w:val="6F046E40"/>
    <w:rsid w:val="6F1743AC"/>
    <w:rsid w:val="6F3E2352"/>
    <w:rsid w:val="6F46088C"/>
    <w:rsid w:val="6F4656AB"/>
    <w:rsid w:val="6F5C1867"/>
    <w:rsid w:val="6F5C3F48"/>
    <w:rsid w:val="6F61462B"/>
    <w:rsid w:val="6F6D6714"/>
    <w:rsid w:val="6F8561D3"/>
    <w:rsid w:val="6F926B42"/>
    <w:rsid w:val="6F9C2017"/>
    <w:rsid w:val="6FB37BE5"/>
    <w:rsid w:val="6FC2450B"/>
    <w:rsid w:val="6FC7059A"/>
    <w:rsid w:val="6FCA64CD"/>
    <w:rsid w:val="6FE112C4"/>
    <w:rsid w:val="6FF069FB"/>
    <w:rsid w:val="6FF36A80"/>
    <w:rsid w:val="6FFB0619"/>
    <w:rsid w:val="6FFD7D02"/>
    <w:rsid w:val="70020E6A"/>
    <w:rsid w:val="701904DB"/>
    <w:rsid w:val="701A60AC"/>
    <w:rsid w:val="702149D3"/>
    <w:rsid w:val="7021684B"/>
    <w:rsid w:val="70217D0F"/>
    <w:rsid w:val="7045295A"/>
    <w:rsid w:val="7047527A"/>
    <w:rsid w:val="704E0CBB"/>
    <w:rsid w:val="7056241A"/>
    <w:rsid w:val="707B2CB1"/>
    <w:rsid w:val="70924B19"/>
    <w:rsid w:val="70952588"/>
    <w:rsid w:val="70A34833"/>
    <w:rsid w:val="70B75478"/>
    <w:rsid w:val="70BA7DE6"/>
    <w:rsid w:val="70BF74C3"/>
    <w:rsid w:val="70D56048"/>
    <w:rsid w:val="70DA3248"/>
    <w:rsid w:val="71027F8C"/>
    <w:rsid w:val="712A4901"/>
    <w:rsid w:val="71391F94"/>
    <w:rsid w:val="7148395C"/>
    <w:rsid w:val="715D7335"/>
    <w:rsid w:val="717159EA"/>
    <w:rsid w:val="71777F8A"/>
    <w:rsid w:val="719340CC"/>
    <w:rsid w:val="71946BA2"/>
    <w:rsid w:val="71A412EF"/>
    <w:rsid w:val="71B106B0"/>
    <w:rsid w:val="71B267C2"/>
    <w:rsid w:val="71B61A42"/>
    <w:rsid w:val="71BB267E"/>
    <w:rsid w:val="71BE59CD"/>
    <w:rsid w:val="71C32243"/>
    <w:rsid w:val="71D94178"/>
    <w:rsid w:val="71E258E0"/>
    <w:rsid w:val="71E450CA"/>
    <w:rsid w:val="71EA7F5E"/>
    <w:rsid w:val="71EE0EE5"/>
    <w:rsid w:val="71F773F9"/>
    <w:rsid w:val="71FB452B"/>
    <w:rsid w:val="72025ED5"/>
    <w:rsid w:val="720A7322"/>
    <w:rsid w:val="72137E38"/>
    <w:rsid w:val="721E571E"/>
    <w:rsid w:val="721F7D69"/>
    <w:rsid w:val="7225336C"/>
    <w:rsid w:val="722E3E35"/>
    <w:rsid w:val="724A7260"/>
    <w:rsid w:val="724B68D9"/>
    <w:rsid w:val="72541E8D"/>
    <w:rsid w:val="725E62FA"/>
    <w:rsid w:val="72860473"/>
    <w:rsid w:val="7299364D"/>
    <w:rsid w:val="72C16C93"/>
    <w:rsid w:val="72D66A82"/>
    <w:rsid w:val="72D67597"/>
    <w:rsid w:val="72E43D31"/>
    <w:rsid w:val="72EF16DE"/>
    <w:rsid w:val="72FF6E9B"/>
    <w:rsid w:val="73027148"/>
    <w:rsid w:val="7305147C"/>
    <w:rsid w:val="731A30F8"/>
    <w:rsid w:val="733A7EE8"/>
    <w:rsid w:val="734D11ED"/>
    <w:rsid w:val="735A55D3"/>
    <w:rsid w:val="73621B80"/>
    <w:rsid w:val="7375174D"/>
    <w:rsid w:val="73795D83"/>
    <w:rsid w:val="737B6EF7"/>
    <w:rsid w:val="73850D73"/>
    <w:rsid w:val="738B56FD"/>
    <w:rsid w:val="738B5D82"/>
    <w:rsid w:val="73993FFB"/>
    <w:rsid w:val="739F2E93"/>
    <w:rsid w:val="73A60FE9"/>
    <w:rsid w:val="73B8143C"/>
    <w:rsid w:val="73C06788"/>
    <w:rsid w:val="73D813D5"/>
    <w:rsid w:val="73DB1F8F"/>
    <w:rsid w:val="73DE1B70"/>
    <w:rsid w:val="73E6120B"/>
    <w:rsid w:val="741378E4"/>
    <w:rsid w:val="74213FF1"/>
    <w:rsid w:val="743138C9"/>
    <w:rsid w:val="74497E8D"/>
    <w:rsid w:val="744F70D5"/>
    <w:rsid w:val="74542618"/>
    <w:rsid w:val="746B1062"/>
    <w:rsid w:val="74836A59"/>
    <w:rsid w:val="74890514"/>
    <w:rsid w:val="74957A1D"/>
    <w:rsid w:val="74976F8C"/>
    <w:rsid w:val="749C28D6"/>
    <w:rsid w:val="74AC2DBE"/>
    <w:rsid w:val="74B03CF2"/>
    <w:rsid w:val="74B4279D"/>
    <w:rsid w:val="74C959EF"/>
    <w:rsid w:val="74D13C69"/>
    <w:rsid w:val="74D226D8"/>
    <w:rsid w:val="74D951DD"/>
    <w:rsid w:val="74E36253"/>
    <w:rsid w:val="74F273DA"/>
    <w:rsid w:val="74F600B5"/>
    <w:rsid w:val="750C6A4F"/>
    <w:rsid w:val="75102AF5"/>
    <w:rsid w:val="751C1B98"/>
    <w:rsid w:val="752E2E69"/>
    <w:rsid w:val="753F1C14"/>
    <w:rsid w:val="75404D65"/>
    <w:rsid w:val="75410DEE"/>
    <w:rsid w:val="754B45FC"/>
    <w:rsid w:val="754C4FE3"/>
    <w:rsid w:val="75780005"/>
    <w:rsid w:val="75846F2D"/>
    <w:rsid w:val="758E56B6"/>
    <w:rsid w:val="759D26FD"/>
    <w:rsid w:val="75BA7DC9"/>
    <w:rsid w:val="75C158E1"/>
    <w:rsid w:val="75D75BBF"/>
    <w:rsid w:val="75F25C45"/>
    <w:rsid w:val="75F8173D"/>
    <w:rsid w:val="75FE15A4"/>
    <w:rsid w:val="76087EFE"/>
    <w:rsid w:val="762F3987"/>
    <w:rsid w:val="763146BA"/>
    <w:rsid w:val="76373F9F"/>
    <w:rsid w:val="763C17CD"/>
    <w:rsid w:val="7651209F"/>
    <w:rsid w:val="765A396A"/>
    <w:rsid w:val="765B5EE0"/>
    <w:rsid w:val="76625186"/>
    <w:rsid w:val="76635AF5"/>
    <w:rsid w:val="76694515"/>
    <w:rsid w:val="7671183A"/>
    <w:rsid w:val="76795A9A"/>
    <w:rsid w:val="76850BE3"/>
    <w:rsid w:val="768E7AAD"/>
    <w:rsid w:val="769D37DC"/>
    <w:rsid w:val="76AD1FDF"/>
    <w:rsid w:val="76AF483A"/>
    <w:rsid w:val="76C37C6F"/>
    <w:rsid w:val="76C61386"/>
    <w:rsid w:val="76CF1D13"/>
    <w:rsid w:val="76D56664"/>
    <w:rsid w:val="76E81AE6"/>
    <w:rsid w:val="76FD0D45"/>
    <w:rsid w:val="77000835"/>
    <w:rsid w:val="770802F0"/>
    <w:rsid w:val="771025D4"/>
    <w:rsid w:val="77115FC5"/>
    <w:rsid w:val="77196438"/>
    <w:rsid w:val="77326AF1"/>
    <w:rsid w:val="77342D6F"/>
    <w:rsid w:val="77383B2B"/>
    <w:rsid w:val="773B467C"/>
    <w:rsid w:val="775B5775"/>
    <w:rsid w:val="775E0D1F"/>
    <w:rsid w:val="776655B0"/>
    <w:rsid w:val="77685B26"/>
    <w:rsid w:val="777B5097"/>
    <w:rsid w:val="777E55F4"/>
    <w:rsid w:val="777F79AC"/>
    <w:rsid w:val="77820DEB"/>
    <w:rsid w:val="7792671F"/>
    <w:rsid w:val="7797445D"/>
    <w:rsid w:val="77986D62"/>
    <w:rsid w:val="77A015C8"/>
    <w:rsid w:val="77A92E90"/>
    <w:rsid w:val="77B650A0"/>
    <w:rsid w:val="77BB5477"/>
    <w:rsid w:val="77CE0481"/>
    <w:rsid w:val="77E43CB3"/>
    <w:rsid w:val="77EC7456"/>
    <w:rsid w:val="77EE7D89"/>
    <w:rsid w:val="77EF0483"/>
    <w:rsid w:val="78131205"/>
    <w:rsid w:val="781911C5"/>
    <w:rsid w:val="781A279F"/>
    <w:rsid w:val="782500E0"/>
    <w:rsid w:val="782F5811"/>
    <w:rsid w:val="78384A59"/>
    <w:rsid w:val="783B343E"/>
    <w:rsid w:val="78491B75"/>
    <w:rsid w:val="784A2663"/>
    <w:rsid w:val="784A43B3"/>
    <w:rsid w:val="78511348"/>
    <w:rsid w:val="785250C1"/>
    <w:rsid w:val="78564BB1"/>
    <w:rsid w:val="78581051"/>
    <w:rsid w:val="786228CD"/>
    <w:rsid w:val="786F0FB8"/>
    <w:rsid w:val="78714DF4"/>
    <w:rsid w:val="78721CEF"/>
    <w:rsid w:val="787234C6"/>
    <w:rsid w:val="78756296"/>
    <w:rsid w:val="788334CC"/>
    <w:rsid w:val="788C55D9"/>
    <w:rsid w:val="78B20233"/>
    <w:rsid w:val="78D12FAA"/>
    <w:rsid w:val="78D855C6"/>
    <w:rsid w:val="78FC0536"/>
    <w:rsid w:val="78FE7954"/>
    <w:rsid w:val="79315979"/>
    <w:rsid w:val="79424F4F"/>
    <w:rsid w:val="795831E5"/>
    <w:rsid w:val="796E7E54"/>
    <w:rsid w:val="79756315"/>
    <w:rsid w:val="79765CDA"/>
    <w:rsid w:val="798B6ADC"/>
    <w:rsid w:val="79A47621"/>
    <w:rsid w:val="79AA18D2"/>
    <w:rsid w:val="79AB6836"/>
    <w:rsid w:val="79C56A19"/>
    <w:rsid w:val="79CB3846"/>
    <w:rsid w:val="79D957CA"/>
    <w:rsid w:val="79DA621C"/>
    <w:rsid w:val="79ED729C"/>
    <w:rsid w:val="7A0A78E3"/>
    <w:rsid w:val="7A2465E9"/>
    <w:rsid w:val="7A364577"/>
    <w:rsid w:val="7A54735F"/>
    <w:rsid w:val="7A5A319C"/>
    <w:rsid w:val="7A5B64AE"/>
    <w:rsid w:val="7A5C5D83"/>
    <w:rsid w:val="7A681FA7"/>
    <w:rsid w:val="7A6963D8"/>
    <w:rsid w:val="7A8D6E37"/>
    <w:rsid w:val="7AA21823"/>
    <w:rsid w:val="7AA7070E"/>
    <w:rsid w:val="7AA900DE"/>
    <w:rsid w:val="7AA936C9"/>
    <w:rsid w:val="7AB12D4C"/>
    <w:rsid w:val="7AD37F76"/>
    <w:rsid w:val="7AF32BF3"/>
    <w:rsid w:val="7AF771AA"/>
    <w:rsid w:val="7B063D79"/>
    <w:rsid w:val="7B095F0A"/>
    <w:rsid w:val="7B116B6D"/>
    <w:rsid w:val="7B190BA4"/>
    <w:rsid w:val="7B334D35"/>
    <w:rsid w:val="7B36137C"/>
    <w:rsid w:val="7B3A2568"/>
    <w:rsid w:val="7B51165F"/>
    <w:rsid w:val="7B6F5B5B"/>
    <w:rsid w:val="7B7415FA"/>
    <w:rsid w:val="7B765886"/>
    <w:rsid w:val="7B7C4D25"/>
    <w:rsid w:val="7B893C25"/>
    <w:rsid w:val="7B8B5C40"/>
    <w:rsid w:val="7B90640C"/>
    <w:rsid w:val="7B922E29"/>
    <w:rsid w:val="7BA15C44"/>
    <w:rsid w:val="7BAB0D70"/>
    <w:rsid w:val="7BBC11CF"/>
    <w:rsid w:val="7BBF79A8"/>
    <w:rsid w:val="7BC24F1F"/>
    <w:rsid w:val="7BE129E3"/>
    <w:rsid w:val="7BE23EB3"/>
    <w:rsid w:val="7BE91898"/>
    <w:rsid w:val="7BF72207"/>
    <w:rsid w:val="7C101909"/>
    <w:rsid w:val="7C161B08"/>
    <w:rsid w:val="7C3A2FA7"/>
    <w:rsid w:val="7C541407"/>
    <w:rsid w:val="7C5840BF"/>
    <w:rsid w:val="7C6D071B"/>
    <w:rsid w:val="7C84107F"/>
    <w:rsid w:val="7C9909ED"/>
    <w:rsid w:val="7C9C2291"/>
    <w:rsid w:val="7CA46921"/>
    <w:rsid w:val="7CA56991"/>
    <w:rsid w:val="7CA71E0B"/>
    <w:rsid w:val="7CB85E09"/>
    <w:rsid w:val="7CFE3A42"/>
    <w:rsid w:val="7CFF1519"/>
    <w:rsid w:val="7D013878"/>
    <w:rsid w:val="7D0F508E"/>
    <w:rsid w:val="7D17450A"/>
    <w:rsid w:val="7D1943FF"/>
    <w:rsid w:val="7D2557AC"/>
    <w:rsid w:val="7D3F099E"/>
    <w:rsid w:val="7D4B01E2"/>
    <w:rsid w:val="7D533A52"/>
    <w:rsid w:val="7D5B43D0"/>
    <w:rsid w:val="7D6243C6"/>
    <w:rsid w:val="7D76523E"/>
    <w:rsid w:val="7D781E69"/>
    <w:rsid w:val="7D7B5075"/>
    <w:rsid w:val="7D832173"/>
    <w:rsid w:val="7D8A3C14"/>
    <w:rsid w:val="7D8C5B06"/>
    <w:rsid w:val="7D934401"/>
    <w:rsid w:val="7D953960"/>
    <w:rsid w:val="7D961406"/>
    <w:rsid w:val="7DA56991"/>
    <w:rsid w:val="7DA623C2"/>
    <w:rsid w:val="7DA737B9"/>
    <w:rsid w:val="7DB639FC"/>
    <w:rsid w:val="7DD32800"/>
    <w:rsid w:val="7DFF0E02"/>
    <w:rsid w:val="7E070C8C"/>
    <w:rsid w:val="7E0800A0"/>
    <w:rsid w:val="7E0C521E"/>
    <w:rsid w:val="7E0E7E19"/>
    <w:rsid w:val="7E1840CC"/>
    <w:rsid w:val="7E1964D0"/>
    <w:rsid w:val="7E303249"/>
    <w:rsid w:val="7E525E1A"/>
    <w:rsid w:val="7E555123"/>
    <w:rsid w:val="7E557656"/>
    <w:rsid w:val="7E7538B7"/>
    <w:rsid w:val="7E841CD2"/>
    <w:rsid w:val="7E844BCE"/>
    <w:rsid w:val="7E8D660B"/>
    <w:rsid w:val="7E9433D2"/>
    <w:rsid w:val="7E992085"/>
    <w:rsid w:val="7EB47F46"/>
    <w:rsid w:val="7EB94600"/>
    <w:rsid w:val="7ECF7C45"/>
    <w:rsid w:val="7ED82860"/>
    <w:rsid w:val="7EF45DB1"/>
    <w:rsid w:val="7EF862BD"/>
    <w:rsid w:val="7EFD2358"/>
    <w:rsid w:val="7EFF5324"/>
    <w:rsid w:val="7F03165A"/>
    <w:rsid w:val="7F077A20"/>
    <w:rsid w:val="7F077BC2"/>
    <w:rsid w:val="7F09267A"/>
    <w:rsid w:val="7F1E11F2"/>
    <w:rsid w:val="7F2B23E6"/>
    <w:rsid w:val="7F2B4123"/>
    <w:rsid w:val="7F3426C9"/>
    <w:rsid w:val="7F3E0944"/>
    <w:rsid w:val="7F3E5DC7"/>
    <w:rsid w:val="7F43784F"/>
    <w:rsid w:val="7F5C2ED4"/>
    <w:rsid w:val="7F5E061E"/>
    <w:rsid w:val="7F643B5C"/>
    <w:rsid w:val="7F8A3D01"/>
    <w:rsid w:val="7F8B6823"/>
    <w:rsid w:val="7F9B25D3"/>
    <w:rsid w:val="7F9C4EBD"/>
    <w:rsid w:val="7FAD310E"/>
    <w:rsid w:val="7FCD6742"/>
    <w:rsid w:val="7FE44850"/>
    <w:rsid w:val="7FE546A7"/>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0"/>
    <w:qFormat/>
    <w:uiPriority w:val="0"/>
    <w:pPr>
      <w:keepNext/>
      <w:keepLines/>
      <w:spacing w:line="440" w:lineRule="exact"/>
      <w:jc w:val="center"/>
      <w:outlineLvl w:val="0"/>
    </w:pPr>
    <w:rPr>
      <w:b/>
      <w:bCs/>
      <w:kern w:val="44"/>
      <w:sz w:val="44"/>
      <w:szCs w:val="44"/>
    </w:rPr>
  </w:style>
  <w:style w:type="paragraph" w:styleId="3">
    <w:name w:val="heading 2"/>
    <w:basedOn w:val="1"/>
    <w:next w:val="1"/>
    <w:link w:val="197"/>
    <w:qFormat/>
    <w:uiPriority w:val="0"/>
    <w:pPr>
      <w:keepNext/>
      <w:keepLines/>
      <w:spacing w:line="440" w:lineRule="exact"/>
      <w:jc w:val="left"/>
      <w:outlineLvl w:val="1"/>
    </w:pPr>
    <w:rPr>
      <w:rFonts w:ascii="Arial" w:hAnsi="Arial" w:eastAsia="黑体"/>
      <w:b/>
      <w:bCs/>
      <w:szCs w:val="32"/>
    </w:rPr>
  </w:style>
  <w:style w:type="paragraph" w:styleId="4">
    <w:name w:val="heading 3"/>
    <w:basedOn w:val="1"/>
    <w:next w:val="1"/>
    <w:link w:val="153"/>
    <w:qFormat/>
    <w:uiPriority w:val="0"/>
    <w:pPr>
      <w:keepNext/>
      <w:keepLines/>
      <w:spacing w:line="415" w:lineRule="auto"/>
      <w:outlineLvl w:val="2"/>
    </w:pPr>
    <w:rPr>
      <w:b/>
      <w:bCs/>
      <w:kern w:val="0"/>
      <w:sz w:val="32"/>
      <w:szCs w:val="32"/>
    </w:rPr>
  </w:style>
  <w:style w:type="paragraph" w:styleId="5">
    <w:name w:val="heading 4"/>
    <w:basedOn w:val="1"/>
    <w:next w:val="1"/>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9"/>
    <w:qFormat/>
    <w:uiPriority w:val="0"/>
    <w:pPr>
      <w:keepNext/>
      <w:keepLines/>
      <w:spacing w:line="376" w:lineRule="auto"/>
      <w:outlineLvl w:val="4"/>
    </w:pPr>
    <w:rPr>
      <w:b/>
      <w:bCs/>
      <w:sz w:val="28"/>
      <w:szCs w:val="28"/>
    </w:rPr>
  </w:style>
  <w:style w:type="paragraph" w:styleId="7">
    <w:name w:val="heading 6"/>
    <w:basedOn w:val="1"/>
    <w:next w:val="1"/>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60"/>
      <w:jc w:val="left"/>
    </w:pPr>
    <w:rPr>
      <w:sz w:val="18"/>
      <w:szCs w:val="18"/>
    </w:rPr>
  </w:style>
  <w:style w:type="paragraph" w:styleId="12">
    <w:name w:val="table of authorities"/>
    <w:basedOn w:val="1"/>
    <w:next w:val="1"/>
    <w:unhideWhenUsed/>
    <w:qFormat/>
    <w:uiPriority w:val="0"/>
    <w:pPr>
      <w:ind w:left="420" w:leftChars="200"/>
    </w:pPr>
  </w:style>
  <w:style w:type="paragraph" w:styleId="13">
    <w:name w:val="Normal Indent"/>
    <w:basedOn w:val="1"/>
    <w:next w:val="14"/>
    <w:qFormat/>
    <w:uiPriority w:val="0"/>
    <w:pPr>
      <w:ind w:firstLine="420" w:firstLineChars="200"/>
    </w:pPr>
  </w:style>
  <w:style w:type="paragraph" w:styleId="14">
    <w:name w:val="Body Text First Indent 2"/>
    <w:basedOn w:val="15"/>
    <w:next w:val="1"/>
    <w:qFormat/>
    <w:uiPriority w:val="0"/>
    <w:pPr>
      <w:spacing w:line="360" w:lineRule="auto"/>
      <w:ind w:firstLine="200" w:firstLineChars="200"/>
    </w:pPr>
    <w:rPr>
      <w:rFonts w:ascii="宋体"/>
      <w:szCs w:val="20"/>
    </w:rPr>
  </w:style>
  <w:style w:type="paragraph" w:styleId="15">
    <w:name w:val="Body Text Indent"/>
    <w:basedOn w:val="1"/>
    <w:next w:val="16"/>
    <w:qFormat/>
    <w:uiPriority w:val="0"/>
    <w:pPr>
      <w:ind w:left="420" w:leftChars="200"/>
    </w:pPr>
  </w:style>
  <w:style w:type="paragraph" w:styleId="16">
    <w:name w:val="envelope return"/>
    <w:basedOn w:val="1"/>
    <w:next w:val="11"/>
    <w:qFormat/>
    <w:uiPriority w:val="0"/>
    <w:pPr>
      <w:snapToGrid w:val="0"/>
    </w:pPr>
    <w:rPr>
      <w:rFonts w:ascii="Arial" w:hAnsi="Arial"/>
    </w:rPr>
  </w:style>
  <w:style w:type="paragraph" w:styleId="17">
    <w:name w:val="Document Map"/>
    <w:basedOn w:val="1"/>
    <w:qFormat/>
    <w:uiPriority w:val="0"/>
    <w:pPr>
      <w:shd w:val="clear" w:color="auto" w:fill="000080"/>
    </w:pPr>
  </w:style>
  <w:style w:type="paragraph" w:styleId="18">
    <w:name w:val="annotation text"/>
    <w:basedOn w:val="1"/>
    <w:link w:val="112"/>
    <w:qFormat/>
    <w:uiPriority w:val="0"/>
    <w:pPr>
      <w:jc w:val="left"/>
    </w:pPr>
  </w:style>
  <w:style w:type="paragraph" w:styleId="19">
    <w:name w:val="Body Text 3"/>
    <w:basedOn w:val="1"/>
    <w:qFormat/>
    <w:uiPriority w:val="0"/>
    <w:rPr>
      <w:rFonts w:ascii="宋体"/>
      <w:sz w:val="24"/>
      <w:szCs w:val="20"/>
    </w:rPr>
  </w:style>
  <w:style w:type="paragraph" w:styleId="20">
    <w:name w:val="Body Text"/>
    <w:basedOn w:val="1"/>
    <w:link w:val="142"/>
    <w:qFormat/>
    <w:uiPriority w:val="0"/>
  </w:style>
  <w:style w:type="paragraph" w:styleId="21">
    <w:name w:val="Block Text"/>
    <w:basedOn w:val="1"/>
    <w:qFormat/>
    <w:uiPriority w:val="0"/>
    <w:pPr>
      <w:spacing w:line="400" w:lineRule="exact"/>
      <w:ind w:left="-359" w:leftChars="-171" w:right="31" w:rightChars="15" w:firstLine="980" w:firstLineChars="350"/>
    </w:pPr>
    <w:rPr>
      <w:rFonts w:ascii="宋体" w:hAnsi="宋体"/>
      <w:sz w:val="28"/>
      <w:szCs w:val="32"/>
    </w:rPr>
  </w:style>
  <w:style w:type="paragraph" w:styleId="22">
    <w:name w:val="toc 5"/>
    <w:basedOn w:val="1"/>
    <w:next w:val="1"/>
    <w:qFormat/>
    <w:uiPriority w:val="39"/>
    <w:pPr>
      <w:ind w:left="840"/>
      <w:jc w:val="left"/>
    </w:pPr>
    <w:rPr>
      <w:sz w:val="18"/>
      <w:szCs w:val="18"/>
    </w:rPr>
  </w:style>
  <w:style w:type="paragraph" w:styleId="23">
    <w:name w:val="toc 3"/>
    <w:basedOn w:val="1"/>
    <w:next w:val="1"/>
    <w:qFormat/>
    <w:uiPriority w:val="39"/>
    <w:pPr>
      <w:ind w:left="420"/>
      <w:jc w:val="left"/>
    </w:pPr>
    <w:rPr>
      <w:i/>
      <w:iCs/>
      <w:sz w:val="20"/>
      <w:szCs w:val="20"/>
    </w:rPr>
  </w:style>
  <w:style w:type="paragraph" w:styleId="24">
    <w:name w:val="Plain Text"/>
    <w:basedOn w:val="1"/>
    <w:next w:val="1"/>
    <w:link w:val="136"/>
    <w:qFormat/>
    <w:uiPriority w:val="0"/>
    <w:rPr>
      <w:rFonts w:ascii="Courier New" w:hAnsi="Courier New"/>
      <w:szCs w:val="20"/>
    </w:rPr>
  </w:style>
  <w:style w:type="paragraph" w:styleId="25">
    <w:name w:val="toc 8"/>
    <w:basedOn w:val="1"/>
    <w:next w:val="1"/>
    <w:qFormat/>
    <w:uiPriority w:val="39"/>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line="360" w:lineRule="exact"/>
      <w:ind w:firstLine="600" w:firstLineChars="250"/>
      <w:jc w:val="left"/>
    </w:pPr>
    <w:rPr>
      <w:sz w:val="24"/>
    </w:r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jc w:val="left"/>
    </w:pPr>
    <w:rPr>
      <w:b/>
      <w:bCs/>
      <w:caps/>
      <w:sz w:val="20"/>
      <w:szCs w:val="20"/>
    </w:rPr>
  </w:style>
  <w:style w:type="paragraph" w:styleId="32">
    <w:name w:val="toc 4"/>
    <w:basedOn w:val="1"/>
    <w:next w:val="1"/>
    <w:qFormat/>
    <w:uiPriority w:val="39"/>
    <w:pPr>
      <w:ind w:left="630"/>
      <w:jc w:val="left"/>
    </w:pPr>
    <w:rPr>
      <w:sz w:val="18"/>
      <w:szCs w:val="18"/>
    </w:rPr>
  </w:style>
  <w:style w:type="paragraph" w:styleId="33">
    <w:name w:val="List"/>
    <w:basedOn w:val="1"/>
    <w:qFormat/>
    <w:uiPriority w:val="0"/>
    <w:pPr>
      <w:ind w:left="420" w:hanging="420"/>
    </w:pPr>
  </w:style>
  <w:style w:type="paragraph" w:styleId="34">
    <w:name w:val="footnote text"/>
    <w:basedOn w:val="1"/>
    <w:qFormat/>
    <w:uiPriority w:val="0"/>
    <w:rPr>
      <w:sz w:val="20"/>
      <w:szCs w:val="20"/>
    </w:rPr>
  </w:style>
  <w:style w:type="paragraph" w:styleId="35">
    <w:name w:val="toc 6"/>
    <w:basedOn w:val="1"/>
    <w:next w:val="1"/>
    <w:qFormat/>
    <w:uiPriority w:val="39"/>
    <w:pPr>
      <w:ind w:left="1050"/>
      <w:jc w:val="left"/>
    </w:pPr>
    <w:rPr>
      <w:sz w:val="18"/>
      <w:szCs w:val="18"/>
    </w:rPr>
  </w:style>
  <w:style w:type="paragraph" w:styleId="36">
    <w:name w:val="Body Text Indent 3"/>
    <w:basedOn w:val="1"/>
    <w:qFormat/>
    <w:uiPriority w:val="0"/>
    <w:pPr>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39"/>
    <w:pPr>
      <w:ind w:left="210"/>
      <w:jc w:val="left"/>
    </w:pPr>
    <w:rPr>
      <w:smallCaps/>
      <w:sz w:val="20"/>
      <w:szCs w:val="20"/>
    </w:rPr>
  </w:style>
  <w:style w:type="paragraph" w:styleId="39">
    <w:name w:val="toc 9"/>
    <w:basedOn w:val="1"/>
    <w:next w:val="1"/>
    <w:qFormat/>
    <w:uiPriority w:val="39"/>
    <w:pPr>
      <w:ind w:left="1680"/>
      <w:jc w:val="left"/>
    </w:pPr>
    <w:rPr>
      <w:sz w:val="18"/>
      <w:szCs w:val="18"/>
    </w:rPr>
  </w:style>
  <w:style w:type="paragraph" w:styleId="40">
    <w:name w:val="Body Text 2"/>
    <w:basedOn w:val="1"/>
    <w:qFormat/>
    <w:uiPriority w:val="0"/>
    <w:pPr>
      <w:spacing w:line="440" w:lineRule="exact"/>
    </w:pPr>
    <w:rPr>
      <w:sz w:val="28"/>
    </w:rPr>
  </w:style>
  <w:style w:type="paragraph" w:styleId="41">
    <w:name w:val="HTML Preformatted"/>
    <w:basedOn w:val="1"/>
    <w:link w:val="11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2">
    <w:name w:val="Normal (Web)"/>
    <w:basedOn w:val="1"/>
    <w:next w:val="43"/>
    <w:qFormat/>
    <w:uiPriority w:val="99"/>
    <w:pPr>
      <w:widowControl/>
      <w:spacing w:beforeAutospacing="1" w:afterAutospacing="1"/>
      <w:jc w:val="left"/>
    </w:pPr>
    <w:rPr>
      <w:rFonts w:ascii="宋体" w:hAnsi="宋体" w:cs="宋体"/>
      <w:kern w:val="0"/>
      <w:sz w:val="24"/>
    </w:rPr>
  </w:style>
  <w:style w:type="paragraph" w:customStyle="1" w:styleId="43">
    <w:name w:val="正文文字 8"/>
    <w:basedOn w:val="1"/>
    <w:next w:val="1"/>
    <w:qFormat/>
    <w:uiPriority w:val="0"/>
    <w:pPr>
      <w:ind w:left="240"/>
    </w:pPr>
    <w:rPr>
      <w:sz w:val="16"/>
    </w:rPr>
  </w:style>
  <w:style w:type="paragraph" w:styleId="44">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paragraph" w:styleId="45">
    <w:name w:val="annotation subject"/>
    <w:basedOn w:val="18"/>
    <w:next w:val="18"/>
    <w:qFormat/>
    <w:uiPriority w:val="0"/>
    <w:rPr>
      <w:b/>
      <w:bCs/>
    </w:rPr>
  </w:style>
  <w:style w:type="paragraph" w:styleId="46">
    <w:name w:val="Body Text First Indent"/>
    <w:basedOn w:val="20"/>
    <w:qFormat/>
    <w:uiPriority w:val="0"/>
    <w:pPr>
      <w:ind w:firstLine="420" w:firstLineChars="100"/>
    </w:p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qFormat/>
    <w:uiPriority w:val="0"/>
    <w:rPr>
      <w:b/>
      <w:bCs/>
    </w:rPr>
  </w:style>
  <w:style w:type="character" w:styleId="51">
    <w:name w:val="page number"/>
    <w:basedOn w:val="49"/>
    <w:qFormat/>
    <w:uiPriority w:val="0"/>
  </w:style>
  <w:style w:type="character" w:styleId="52">
    <w:name w:val="FollowedHyperlink"/>
    <w:qFormat/>
    <w:uiPriority w:val="0"/>
    <w:rPr>
      <w:color w:val="333333"/>
      <w:u w:val="none"/>
    </w:rPr>
  </w:style>
  <w:style w:type="character" w:styleId="53">
    <w:name w:val="Emphasis"/>
    <w:qFormat/>
    <w:uiPriority w:val="0"/>
    <w:rPr>
      <w:color w:val="CC0033"/>
    </w:rPr>
  </w:style>
  <w:style w:type="character" w:styleId="54">
    <w:name w:val="HTML Definition"/>
    <w:qFormat/>
    <w:uiPriority w:val="0"/>
  </w:style>
  <w:style w:type="character" w:styleId="55">
    <w:name w:val="HTML Typewriter"/>
    <w:qFormat/>
    <w:uiPriority w:val="0"/>
    <w:rPr>
      <w:rFonts w:hint="default" w:ascii="monospace" w:hAnsi="monospace" w:eastAsia="monospace" w:cs="monospace"/>
      <w:sz w:val="20"/>
    </w:rPr>
  </w:style>
  <w:style w:type="character" w:styleId="56">
    <w:name w:val="HTML Acronym"/>
    <w:basedOn w:val="49"/>
    <w:qFormat/>
    <w:uiPriority w:val="0"/>
    <w:rPr>
      <w:bdr w:val="single" w:color="BDBEC1" w:sz="2" w:space="0"/>
      <w:shd w:val="clear" w:fill="F2F4F9"/>
    </w:rPr>
  </w:style>
  <w:style w:type="character" w:styleId="57">
    <w:name w:val="HTML Variable"/>
    <w:qFormat/>
    <w:uiPriority w:val="0"/>
  </w:style>
  <w:style w:type="character" w:styleId="58">
    <w:name w:val="Hyperlink"/>
    <w:basedOn w:val="49"/>
    <w:qFormat/>
    <w:uiPriority w:val="99"/>
    <w:rPr>
      <w:color w:val="333333"/>
      <w:u w:val="none"/>
    </w:rPr>
  </w:style>
  <w:style w:type="character" w:styleId="59">
    <w:name w:val="HTML Code"/>
    <w:qFormat/>
    <w:uiPriority w:val="0"/>
    <w:rPr>
      <w:rFonts w:hint="default" w:ascii="monospace" w:hAnsi="monospace" w:eastAsia="monospace" w:cs="monospace"/>
      <w:sz w:val="20"/>
    </w:rPr>
  </w:style>
  <w:style w:type="character" w:styleId="60">
    <w:name w:val="annotation reference"/>
    <w:qFormat/>
    <w:uiPriority w:val="0"/>
    <w:rPr>
      <w:sz w:val="21"/>
      <w:szCs w:val="21"/>
    </w:rPr>
  </w:style>
  <w:style w:type="character" w:styleId="61">
    <w:name w:val="HTML Cite"/>
    <w:qFormat/>
    <w:uiPriority w:val="0"/>
  </w:style>
  <w:style w:type="character" w:styleId="62">
    <w:name w:val="footnote reference"/>
    <w:qFormat/>
    <w:uiPriority w:val="0"/>
    <w:rPr>
      <w:vertAlign w:val="superscript"/>
    </w:rPr>
  </w:style>
  <w:style w:type="character" w:styleId="63">
    <w:name w:val="HTML Keyboard"/>
    <w:qFormat/>
    <w:uiPriority w:val="0"/>
    <w:rPr>
      <w:rFonts w:ascii="monospace" w:hAnsi="monospace" w:eastAsia="monospace" w:cs="monospace"/>
      <w:sz w:val="20"/>
    </w:rPr>
  </w:style>
  <w:style w:type="character" w:styleId="64">
    <w:name w:val="HTML Sample"/>
    <w:qFormat/>
    <w:uiPriority w:val="0"/>
    <w:rPr>
      <w:rFonts w:hint="default" w:ascii="monospace" w:hAnsi="monospace" w:eastAsia="monospace" w:cs="monospace"/>
    </w:rPr>
  </w:style>
  <w:style w:type="paragraph" w:styleId="65">
    <w:name w:val="List Paragraph"/>
    <w:basedOn w:val="1"/>
    <w:qFormat/>
    <w:uiPriority w:val="34"/>
    <w:pPr>
      <w:ind w:firstLine="420" w:firstLineChars="200"/>
    </w:pPr>
  </w:style>
  <w:style w:type="paragraph" w:customStyle="1" w:styleId="66">
    <w:name w:val="_Style 62"/>
    <w:basedOn w:val="1"/>
    <w:next w:val="1"/>
    <w:qFormat/>
    <w:uiPriority w:val="0"/>
    <w:pPr>
      <w:pBdr>
        <w:top w:val="single" w:color="auto" w:sz="6" w:space="1"/>
      </w:pBdr>
      <w:jc w:val="center"/>
    </w:pPr>
    <w:rPr>
      <w:rFonts w:ascii="Arial"/>
      <w:vanish/>
      <w:sz w:val="16"/>
    </w:rPr>
  </w:style>
  <w:style w:type="paragraph" w:customStyle="1" w:styleId="67">
    <w:name w:val="Blockquote"/>
    <w:basedOn w:val="1"/>
    <w:qFormat/>
    <w:uiPriority w:val="0"/>
    <w:pPr>
      <w:autoSpaceDE w:val="0"/>
      <w:autoSpaceDN w:val="0"/>
      <w:adjustRightInd w:val="0"/>
      <w:ind w:left="360" w:right="360"/>
      <w:jc w:val="left"/>
    </w:pPr>
    <w:rPr>
      <w:kern w:val="0"/>
      <w:sz w:val="24"/>
      <w:szCs w:val="20"/>
    </w:rPr>
  </w:style>
  <w:style w:type="paragraph" w:customStyle="1" w:styleId="68">
    <w:name w:val="表格"/>
    <w:basedOn w:val="1"/>
    <w:qFormat/>
    <w:uiPriority w:val="0"/>
    <w:pPr>
      <w:jc w:val="center"/>
      <w:textAlignment w:val="center"/>
    </w:pPr>
    <w:rPr>
      <w:rFonts w:ascii="华文细黑" w:hAnsi="华文细黑"/>
      <w:kern w:val="0"/>
      <w:szCs w:val="20"/>
    </w:rPr>
  </w:style>
  <w:style w:type="paragraph" w:customStyle="1" w:styleId="69">
    <w:name w:val="表格文字"/>
    <w:basedOn w:val="1"/>
    <w:qFormat/>
    <w:uiPriority w:val="0"/>
    <w:pPr>
      <w:adjustRightInd w:val="0"/>
      <w:spacing w:line="420" w:lineRule="atLeast"/>
      <w:jc w:val="left"/>
      <w:textAlignment w:val="baseline"/>
    </w:pPr>
    <w:rPr>
      <w:kern w:val="0"/>
      <w:szCs w:val="20"/>
    </w:rPr>
  </w:style>
  <w:style w:type="paragraph" w:customStyle="1" w:styleId="70">
    <w:name w:val="Char"/>
    <w:basedOn w:val="1"/>
    <w:next w:val="1"/>
    <w:qFormat/>
    <w:uiPriority w:val="0"/>
    <w:pPr>
      <w:widowControl/>
      <w:spacing w:line="360" w:lineRule="auto"/>
      <w:jc w:val="left"/>
    </w:pPr>
    <w:rPr>
      <w:kern w:val="0"/>
      <w:szCs w:val="20"/>
      <w:lang w:eastAsia="en-US"/>
    </w:rPr>
  </w:style>
  <w:style w:type="paragraph" w:customStyle="1" w:styleId="7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2">
    <w:name w:val="样式2"/>
    <w:basedOn w:val="4"/>
    <w:qFormat/>
    <w:uiPriority w:val="0"/>
  </w:style>
  <w:style w:type="paragraph" w:customStyle="1" w:styleId="73">
    <w:name w:val="Default Paragraph Char Char Char Char"/>
    <w:basedOn w:val="1"/>
    <w:next w:val="1"/>
    <w:qFormat/>
    <w:uiPriority w:val="0"/>
    <w:pPr>
      <w:spacing w:line="360" w:lineRule="auto"/>
    </w:pPr>
    <w:rPr>
      <w:szCs w:val="20"/>
    </w:rPr>
  </w:style>
  <w:style w:type="paragraph" w:customStyle="1" w:styleId="74">
    <w:name w:val="节标题"/>
    <w:basedOn w:val="1"/>
    <w:next w:val="1"/>
    <w:qFormat/>
    <w:uiPriority w:val="0"/>
    <w:pPr>
      <w:widowControl/>
      <w:spacing w:line="289" w:lineRule="atLeast"/>
      <w:jc w:val="center"/>
      <w:textAlignment w:val="baseline"/>
    </w:pPr>
    <w:rPr>
      <w:color w:val="000000"/>
      <w:kern w:val="0"/>
      <w:sz w:val="28"/>
      <w:szCs w:val="20"/>
      <w:u w:color="000000"/>
    </w:rPr>
  </w:style>
  <w:style w:type="paragraph" w:customStyle="1" w:styleId="75">
    <w:name w:val="默认段落字体 Para Char Char Char Char"/>
    <w:basedOn w:val="1"/>
    <w:qFormat/>
    <w:uiPriority w:val="0"/>
  </w:style>
  <w:style w:type="paragraph" w:customStyle="1" w:styleId="76">
    <w:name w:val="样式 标题 1 + 黑体 五号"/>
    <w:basedOn w:val="2"/>
    <w:qFormat/>
    <w:uiPriority w:val="0"/>
    <w:pPr>
      <w:jc w:val="left"/>
    </w:pPr>
    <w:rPr>
      <w:rFonts w:ascii="黑体" w:hAnsi="黑体" w:eastAsia="黑体"/>
      <w:sz w:val="21"/>
    </w:rPr>
  </w:style>
  <w:style w:type="paragraph" w:customStyle="1" w:styleId="77">
    <w:name w:val="样式4"/>
    <w:basedOn w:val="4"/>
    <w:qFormat/>
    <w:uiPriority w:val="0"/>
    <w:rPr>
      <w:rFonts w:eastAsia="Arial"/>
    </w:rPr>
  </w:style>
  <w:style w:type="paragraph" w:customStyle="1" w:styleId="78">
    <w:name w:val="正文1"/>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79">
    <w:name w:val="列出段落1"/>
    <w:basedOn w:val="1"/>
    <w:qFormat/>
    <w:uiPriority w:val="0"/>
    <w:pPr>
      <w:ind w:firstLine="200" w:firstLineChars="200"/>
    </w:pPr>
  </w:style>
  <w:style w:type="paragraph" w:customStyle="1" w:styleId="80">
    <w:name w:val="p0 New"/>
    <w:basedOn w:val="1"/>
    <w:qFormat/>
    <w:uiPriority w:val="0"/>
    <w:pPr>
      <w:widowControl/>
      <w:jc w:val="left"/>
    </w:pPr>
    <w:rPr>
      <w:rFonts w:ascii="宋体" w:hAnsi="宋体" w:cs="宋体"/>
      <w:kern w:val="0"/>
      <w:sz w:val="18"/>
      <w:szCs w:val="18"/>
    </w:rPr>
  </w:style>
  <w:style w:type="paragraph" w:customStyle="1" w:styleId="81">
    <w:name w:val="样式 标题 1 + 黑体 三号 非加粗 居中 段前: 6 磅 段后: 6 磅 行距: 固定值 20 磅"/>
    <w:basedOn w:val="2"/>
    <w:qFormat/>
    <w:uiPriority w:val="0"/>
    <w:pPr>
      <w:spacing w:line="400" w:lineRule="exact"/>
    </w:pPr>
    <w:rPr>
      <w:rFonts w:ascii="黑体" w:hAnsi="黑体" w:eastAsia="黑体" w:cs="宋体"/>
      <w:b w:val="0"/>
      <w:bCs w:val="0"/>
      <w:sz w:val="32"/>
      <w:szCs w:val="20"/>
    </w:rPr>
  </w:style>
  <w:style w:type="paragraph" w:customStyle="1" w:styleId="82">
    <w:name w:val="_Style 78"/>
    <w:basedOn w:val="2"/>
    <w:next w:val="1"/>
    <w:qFormat/>
    <w:uiPriority w:val="39"/>
    <w:pPr>
      <w:widowControl/>
      <w:spacing w:before="480" w:line="276" w:lineRule="auto"/>
      <w:jc w:val="left"/>
      <w:outlineLvl w:val="9"/>
    </w:pPr>
    <w:rPr>
      <w:rFonts w:ascii="Cambria" w:hAnsi="Cambria"/>
      <w:color w:val="365F91"/>
      <w:kern w:val="0"/>
      <w:sz w:val="28"/>
      <w:szCs w:val="28"/>
    </w:rPr>
  </w:style>
  <w:style w:type="paragraph" w:customStyle="1" w:styleId="83">
    <w:name w:val="Char1"/>
    <w:basedOn w:val="1"/>
    <w:qFormat/>
    <w:uiPriority w:val="0"/>
    <w:pPr>
      <w:tabs>
        <w:tab w:val="left" w:pos="360"/>
      </w:tabs>
    </w:pPr>
    <w:rPr>
      <w:sz w:val="24"/>
    </w:rPr>
  </w:style>
  <w:style w:type="paragraph" w:customStyle="1" w:styleId="84">
    <w:name w:val="样式1"/>
    <w:basedOn w:val="4"/>
    <w:qFormat/>
    <w:uiPriority w:val="0"/>
    <w:rPr>
      <w:rFonts w:eastAsia="Arial"/>
    </w:rPr>
  </w:style>
  <w:style w:type="paragraph" w:customStyle="1" w:styleId="85">
    <w:name w:val="Char Char Char Char Char Char Char Char Char Char Char Char Char"/>
    <w:basedOn w:val="1"/>
    <w:qFormat/>
    <w:uiPriority w:val="0"/>
  </w:style>
  <w:style w:type="paragraph" w:customStyle="1" w:styleId="86">
    <w:name w:val="p"/>
    <w:basedOn w:val="1"/>
    <w:qFormat/>
    <w:uiPriority w:val="0"/>
    <w:rPr>
      <w:rFonts w:ascii="宋体"/>
      <w:sz w:val="24"/>
    </w:rPr>
  </w:style>
  <w:style w:type="paragraph" w:customStyle="1" w:styleId="87">
    <w:name w:val="Char Char Char Char"/>
    <w:basedOn w:val="1"/>
    <w:qFormat/>
    <w:uiPriority w:val="0"/>
  </w:style>
  <w:style w:type="paragraph" w:customStyle="1" w:styleId="88">
    <w:name w:val="_Style 84"/>
    <w:basedOn w:val="1"/>
    <w:next w:val="1"/>
    <w:qFormat/>
    <w:uiPriority w:val="0"/>
    <w:pPr>
      <w:pBdr>
        <w:bottom w:val="single" w:color="auto" w:sz="6" w:space="1"/>
      </w:pBdr>
      <w:jc w:val="center"/>
    </w:pPr>
    <w:rPr>
      <w:rFonts w:ascii="Arial"/>
      <w:vanish/>
      <w:sz w:val="16"/>
    </w:rPr>
  </w:style>
  <w:style w:type="paragraph" w:customStyle="1" w:styleId="89">
    <w:name w:val="1"/>
    <w:basedOn w:val="1"/>
    <w:next w:val="1"/>
    <w:qFormat/>
    <w:uiPriority w:val="0"/>
  </w:style>
  <w:style w:type="paragraph" w:customStyle="1" w:styleId="90">
    <w:name w:val="p15"/>
    <w:qFormat/>
    <w:uiPriority w:val="0"/>
    <w:pPr>
      <w:jc w:val="both"/>
    </w:pPr>
    <w:rPr>
      <w:rFonts w:ascii="宋体" w:hAnsi="Times New Roman" w:eastAsia="宋体" w:cs="宋体"/>
      <w:sz w:val="21"/>
      <w:szCs w:val="21"/>
      <w:lang w:val="en-US" w:eastAsia="zh-CN" w:bidi="ar-SA"/>
    </w:rPr>
  </w:style>
  <w:style w:type="paragraph" w:customStyle="1" w:styleId="91">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92">
    <w:name w:val="Table Paragraph"/>
    <w:basedOn w:val="1"/>
    <w:qFormat/>
    <w:uiPriority w:val="0"/>
    <w:pPr>
      <w:autoSpaceDE w:val="0"/>
      <w:autoSpaceDN w:val="0"/>
      <w:jc w:val="left"/>
    </w:pPr>
    <w:rPr>
      <w:rFonts w:ascii="宋体" w:hAnsi="宋体" w:cs="宋体"/>
      <w:kern w:val="0"/>
      <w:sz w:val="22"/>
      <w:szCs w:val="22"/>
      <w:lang w:val="zh-CN"/>
    </w:rPr>
  </w:style>
  <w:style w:type="paragraph" w:customStyle="1" w:styleId="93">
    <w:name w:val="p0"/>
    <w:basedOn w:val="1"/>
    <w:qFormat/>
    <w:uiPriority w:val="99"/>
    <w:pPr>
      <w:widowControl/>
    </w:pPr>
    <w:rPr>
      <w:kern w:val="0"/>
      <w:szCs w:val="21"/>
    </w:rPr>
  </w:style>
  <w:style w:type="paragraph" w:customStyle="1" w:styleId="94">
    <w:name w:val="样式3"/>
    <w:basedOn w:val="4"/>
    <w:qFormat/>
    <w:uiPriority w:val="0"/>
    <w:rPr>
      <w:rFonts w:eastAsia="Arial"/>
    </w:rPr>
  </w:style>
  <w:style w:type="paragraph" w:customStyle="1" w:styleId="95">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96">
    <w:name w:val="Char Char Char Char Char Char Char Char Char Char Char Char Char1"/>
    <w:basedOn w:val="1"/>
    <w:qFormat/>
    <w:uiPriority w:val="0"/>
  </w:style>
  <w:style w:type="paragraph" w:customStyle="1" w:styleId="97">
    <w:name w:val="Char4"/>
    <w:basedOn w:val="1"/>
    <w:qFormat/>
    <w:uiPriority w:val="0"/>
    <w:pPr>
      <w:widowControl/>
      <w:spacing w:line="360" w:lineRule="auto"/>
      <w:ind w:firstLine="200" w:firstLineChars="200"/>
      <w:textAlignment w:val="baseline"/>
    </w:pPr>
    <w:rPr>
      <w:color w:val="000000"/>
      <w:kern w:val="0"/>
      <w:szCs w:val="20"/>
      <w:u w:color="000000"/>
    </w:rPr>
  </w:style>
  <w:style w:type="paragraph" w:customStyle="1" w:styleId="98">
    <w:name w:val="正文2"/>
    <w:qFormat/>
    <w:uiPriority w:val="0"/>
    <w:pPr>
      <w:widowControl w:val="0"/>
      <w:jc w:val="both"/>
    </w:pPr>
    <w:rPr>
      <w:rFonts w:ascii="Times New Roman" w:hAnsi="Times New Roman" w:eastAsia="宋体" w:cs="Times New Roman"/>
      <w:lang w:val="en-US" w:eastAsia="zh-CN" w:bidi="ar-SA"/>
    </w:rPr>
  </w:style>
  <w:style w:type="character" w:customStyle="1" w:styleId="99">
    <w:name w:val="first-child"/>
    <w:basedOn w:val="49"/>
    <w:qFormat/>
    <w:uiPriority w:val="0"/>
  </w:style>
  <w:style w:type="character" w:customStyle="1" w:styleId="100">
    <w:name w:val="Char Char Char Char Char Char"/>
    <w:qFormat/>
    <w:uiPriority w:val="0"/>
    <w:rPr>
      <w:rFonts w:ascii="Arial" w:hAnsi="Arial" w:eastAsia="黑体"/>
      <w:b/>
      <w:bCs/>
      <w:kern w:val="2"/>
      <w:sz w:val="32"/>
      <w:szCs w:val="32"/>
      <w:lang w:val="en-US" w:eastAsia="zh-CN" w:bidi="ar-SA"/>
    </w:rPr>
  </w:style>
  <w:style w:type="character" w:customStyle="1" w:styleId="101">
    <w:name w:val="l11"/>
    <w:qFormat/>
    <w:uiPriority w:val="0"/>
    <w:rPr>
      <w:color w:val="999999"/>
    </w:rPr>
  </w:style>
  <w:style w:type="character" w:customStyle="1" w:styleId="102">
    <w:name w:val="Char Char"/>
    <w:qFormat/>
    <w:uiPriority w:val="0"/>
    <w:rPr>
      <w:rFonts w:ascii="Arial" w:hAnsi="Arial" w:eastAsia="黑体"/>
      <w:b/>
      <w:bCs/>
      <w:kern w:val="2"/>
      <w:sz w:val="32"/>
      <w:szCs w:val="32"/>
      <w:lang w:val="en-US" w:eastAsia="zh-CN" w:bidi="ar-SA"/>
    </w:rPr>
  </w:style>
  <w:style w:type="character" w:customStyle="1" w:styleId="103">
    <w:name w:val="Char Char5"/>
    <w:qFormat/>
    <w:uiPriority w:val="0"/>
    <w:rPr>
      <w:rFonts w:ascii="Arial" w:hAnsi="Arial" w:eastAsia="黑体"/>
      <w:b/>
      <w:bCs/>
      <w:kern w:val="2"/>
      <w:sz w:val="32"/>
      <w:szCs w:val="32"/>
    </w:rPr>
  </w:style>
  <w:style w:type="character" w:customStyle="1" w:styleId="104">
    <w:name w:val="msg-box28"/>
    <w:basedOn w:val="49"/>
    <w:qFormat/>
    <w:uiPriority w:val="0"/>
  </w:style>
  <w:style w:type="character" w:customStyle="1" w:styleId="105">
    <w:name w:val="img_title6"/>
    <w:qFormat/>
    <w:uiPriority w:val="0"/>
    <w:rPr>
      <w:vanish/>
    </w:rPr>
  </w:style>
  <w:style w:type="character" w:customStyle="1" w:styleId="106">
    <w:name w:val="tit12"/>
    <w:qFormat/>
    <w:uiPriority w:val="0"/>
    <w:rPr>
      <w:color w:val="04A06C"/>
    </w:rPr>
  </w:style>
  <w:style w:type="character" w:customStyle="1" w:styleId="107">
    <w:name w:val="Char Char2"/>
    <w:qFormat/>
    <w:uiPriority w:val="0"/>
    <w:rPr>
      <w:rFonts w:eastAsia="宋体"/>
      <w:kern w:val="2"/>
      <w:sz w:val="21"/>
      <w:szCs w:val="24"/>
      <w:lang w:val="en-US" w:eastAsia="zh-CN" w:bidi="ar-SA"/>
    </w:rPr>
  </w:style>
  <w:style w:type="character" w:customStyle="1" w:styleId="108">
    <w:name w:val="nostart"/>
    <w:qFormat/>
    <w:uiPriority w:val="0"/>
    <w:rPr>
      <w:color w:val="FF0000"/>
    </w:rPr>
  </w:style>
  <w:style w:type="character" w:customStyle="1" w:styleId="109">
    <w:name w:val="nostart3"/>
    <w:basedOn w:val="49"/>
    <w:qFormat/>
    <w:uiPriority w:val="0"/>
  </w:style>
  <w:style w:type="character" w:customStyle="1" w:styleId="110">
    <w:name w:val="img4"/>
    <w:basedOn w:val="49"/>
    <w:qFormat/>
    <w:uiPriority w:val="0"/>
  </w:style>
  <w:style w:type="character" w:customStyle="1" w:styleId="111">
    <w:name w:val="tit11"/>
    <w:qFormat/>
    <w:uiPriority w:val="0"/>
    <w:rPr>
      <w:color w:val="B60000"/>
    </w:rPr>
  </w:style>
  <w:style w:type="character" w:customStyle="1" w:styleId="112">
    <w:name w:val="批注文字 Char"/>
    <w:link w:val="18"/>
    <w:qFormat/>
    <w:uiPriority w:val="0"/>
    <w:rPr>
      <w:rFonts w:eastAsia="宋体"/>
      <w:kern w:val="2"/>
      <w:sz w:val="21"/>
      <w:szCs w:val="24"/>
      <w:lang w:val="en-US" w:eastAsia="zh-CN" w:bidi="ar-SA"/>
    </w:rPr>
  </w:style>
  <w:style w:type="character" w:customStyle="1" w:styleId="113">
    <w:name w:val="over"/>
    <w:qFormat/>
    <w:uiPriority w:val="0"/>
    <w:rPr>
      <w:color w:val="B60000"/>
    </w:rPr>
  </w:style>
  <w:style w:type="character" w:customStyle="1" w:styleId="114">
    <w:name w:val="HTML 预设格式 Char"/>
    <w:link w:val="41"/>
    <w:qFormat/>
    <w:uiPriority w:val="0"/>
    <w:rPr>
      <w:rFonts w:ascii="宋体" w:hAnsi="宋体" w:cs="宋体"/>
      <w:sz w:val="24"/>
      <w:szCs w:val="24"/>
    </w:rPr>
  </w:style>
  <w:style w:type="character" w:customStyle="1" w:styleId="115">
    <w:name w:val="l6"/>
    <w:qFormat/>
    <w:uiPriority w:val="0"/>
    <w:rPr>
      <w:color w:val="999999"/>
    </w:rPr>
  </w:style>
  <w:style w:type="character" w:customStyle="1" w:styleId="116">
    <w:name w:val="datetime"/>
    <w:qFormat/>
    <w:uiPriority w:val="0"/>
    <w:rPr>
      <w:rFonts w:hint="default" w:ascii="Arial" w:hAnsi="Arial" w:cs="Arial"/>
      <w:color w:val="999999"/>
      <w:sz w:val="21"/>
      <w:szCs w:val="21"/>
    </w:rPr>
  </w:style>
  <w:style w:type="character" w:customStyle="1" w:styleId="117">
    <w:name w:val="txt1"/>
    <w:basedOn w:val="49"/>
    <w:qFormat/>
    <w:uiPriority w:val="0"/>
  </w:style>
  <w:style w:type="character" w:customStyle="1" w:styleId="118">
    <w:name w:val="starting1"/>
    <w:qFormat/>
    <w:uiPriority w:val="0"/>
    <w:rPr>
      <w:color w:val="339900"/>
    </w:rPr>
  </w:style>
  <w:style w:type="character" w:customStyle="1" w:styleId="119">
    <w:name w:val="starting2"/>
    <w:qFormat/>
    <w:uiPriority w:val="0"/>
    <w:rPr>
      <w:color w:val="B60000"/>
    </w:rPr>
  </w:style>
  <w:style w:type="character" w:customStyle="1" w:styleId="120">
    <w:name w:val="标题 1 Char"/>
    <w:link w:val="2"/>
    <w:qFormat/>
    <w:uiPriority w:val="0"/>
    <w:rPr>
      <w:rFonts w:eastAsia="宋体"/>
      <w:b/>
      <w:bCs/>
      <w:kern w:val="44"/>
      <w:sz w:val="44"/>
      <w:szCs w:val="44"/>
      <w:lang w:val="en-US" w:eastAsia="zh-CN" w:bidi="ar-SA"/>
    </w:rPr>
  </w:style>
  <w:style w:type="character" w:customStyle="1" w:styleId="121">
    <w:name w:val="red"/>
    <w:qFormat/>
    <w:uiPriority w:val="0"/>
    <w:rPr>
      <w:rFonts w:hint="default" w:ascii="Arial" w:hAnsi="Arial" w:cs="Arial"/>
      <w:color w:val="E50000"/>
    </w:rPr>
  </w:style>
  <w:style w:type="character" w:customStyle="1" w:styleId="122">
    <w:name w:val="Char Char4"/>
    <w:qFormat/>
    <w:uiPriority w:val="0"/>
    <w:rPr>
      <w:rFonts w:eastAsia="宋体"/>
      <w:b/>
      <w:bCs/>
      <w:kern w:val="44"/>
      <w:sz w:val="44"/>
      <w:szCs w:val="44"/>
      <w:lang w:val="en-US" w:eastAsia="zh-CN" w:bidi="ar-SA"/>
    </w:rPr>
  </w:style>
  <w:style w:type="character" w:customStyle="1" w:styleId="123">
    <w:name w:val="font161"/>
    <w:qFormat/>
    <w:uiPriority w:val="0"/>
    <w:rPr>
      <w:b/>
      <w:bCs/>
      <w:sz w:val="32"/>
      <w:szCs w:val="32"/>
    </w:rPr>
  </w:style>
  <w:style w:type="character" w:customStyle="1" w:styleId="124">
    <w:name w:val="Char Char8"/>
    <w:qFormat/>
    <w:uiPriority w:val="0"/>
    <w:rPr>
      <w:rFonts w:ascii="Arial" w:hAnsi="Arial" w:eastAsia="黑体"/>
      <w:b/>
      <w:bCs/>
      <w:kern w:val="2"/>
      <w:sz w:val="32"/>
      <w:szCs w:val="32"/>
      <w:lang w:val="en-US" w:eastAsia="zh-CN" w:bidi="ar-SA"/>
    </w:rPr>
  </w:style>
  <w:style w:type="character" w:customStyle="1" w:styleId="125">
    <w:name w:val="msg-box29"/>
    <w:basedOn w:val="49"/>
    <w:qFormat/>
    <w:uiPriority w:val="0"/>
  </w:style>
  <w:style w:type="character" w:customStyle="1" w:styleId="126">
    <w:name w:val="over2"/>
    <w:qFormat/>
    <w:uiPriority w:val="0"/>
    <w:rPr>
      <w:color w:val="999999"/>
    </w:rPr>
  </w:style>
  <w:style w:type="character" w:customStyle="1" w:styleId="127">
    <w:name w:val="img_title7"/>
    <w:qFormat/>
    <w:uiPriority w:val="0"/>
    <w:rPr>
      <w:vanish/>
    </w:rPr>
  </w:style>
  <w:style w:type="character" w:customStyle="1" w:styleId="128">
    <w:name w:val="l7"/>
    <w:qFormat/>
    <w:uiPriority w:val="0"/>
    <w:rPr>
      <w:color w:val="999999"/>
    </w:rPr>
  </w:style>
  <w:style w:type="character" w:customStyle="1" w:styleId="129">
    <w:name w:val="标题 5 Char"/>
    <w:link w:val="6"/>
    <w:qFormat/>
    <w:uiPriority w:val="0"/>
    <w:rPr>
      <w:b/>
      <w:bCs/>
      <w:kern w:val="2"/>
      <w:sz w:val="28"/>
      <w:szCs w:val="28"/>
    </w:rPr>
  </w:style>
  <w:style w:type="character" w:customStyle="1" w:styleId="130">
    <w:name w:val="l51"/>
    <w:qFormat/>
    <w:uiPriority w:val="0"/>
    <w:rPr>
      <w:color w:val="999999"/>
    </w:rPr>
  </w:style>
  <w:style w:type="character" w:customStyle="1" w:styleId="131">
    <w:name w:val="num81"/>
    <w:basedOn w:val="49"/>
    <w:qFormat/>
    <w:uiPriority w:val="0"/>
  </w:style>
  <w:style w:type="character" w:customStyle="1" w:styleId="132">
    <w:name w:val="Char Char1"/>
    <w:qFormat/>
    <w:uiPriority w:val="0"/>
    <w:rPr>
      <w:rFonts w:eastAsia="宋体"/>
      <w:kern w:val="2"/>
      <w:sz w:val="21"/>
      <w:szCs w:val="24"/>
      <w:lang w:val="en-US" w:eastAsia="zh-CN" w:bidi="ar-SA"/>
    </w:rPr>
  </w:style>
  <w:style w:type="character" w:customStyle="1" w:styleId="133">
    <w:name w:val="zs"/>
    <w:qFormat/>
    <w:uiPriority w:val="0"/>
    <w:rPr>
      <w:color w:val="8D744B"/>
      <w:sz w:val="18"/>
      <w:szCs w:val="18"/>
    </w:rPr>
  </w:style>
  <w:style w:type="character" w:customStyle="1" w:styleId="134">
    <w:name w:val="bigfont"/>
    <w:basedOn w:val="49"/>
    <w:qFormat/>
    <w:uiPriority w:val="0"/>
  </w:style>
  <w:style w:type="character" w:customStyle="1" w:styleId="135">
    <w:name w:val="txt"/>
    <w:qFormat/>
    <w:uiPriority w:val="0"/>
    <w:rPr>
      <w:color w:val="C0C0C0"/>
    </w:rPr>
  </w:style>
  <w:style w:type="character" w:customStyle="1" w:styleId="136">
    <w:name w:val="纯文本 Char2"/>
    <w:link w:val="24"/>
    <w:qFormat/>
    <w:uiPriority w:val="0"/>
    <w:rPr>
      <w:rFonts w:ascii="Courier New" w:hAnsi="Courier New" w:eastAsia="宋体"/>
      <w:kern w:val="2"/>
      <w:sz w:val="21"/>
      <w:lang w:val="en-US" w:eastAsia="zh-CN" w:bidi="ar-SA"/>
    </w:rPr>
  </w:style>
  <w:style w:type="character" w:customStyle="1" w:styleId="137">
    <w:name w:val="jg"/>
    <w:basedOn w:val="49"/>
    <w:qFormat/>
    <w:uiPriority w:val="0"/>
  </w:style>
  <w:style w:type="character" w:customStyle="1" w:styleId="138">
    <w:name w:val="17"/>
    <w:qFormat/>
    <w:uiPriority w:val="0"/>
    <w:rPr>
      <w:rFonts w:ascii="仿宋_GB2312" w:eastAsia="仿宋_GB2312"/>
      <w:color w:val="auto"/>
      <w:sz w:val="28"/>
      <w:szCs w:val="28"/>
      <w:u w:val="single"/>
    </w:rPr>
  </w:style>
  <w:style w:type="character" w:customStyle="1" w:styleId="139">
    <w:name w:val="job"/>
    <w:basedOn w:val="49"/>
    <w:qFormat/>
    <w:uiPriority w:val="0"/>
  </w:style>
  <w:style w:type="character" w:customStyle="1" w:styleId="140">
    <w:name w:val="job1"/>
    <w:basedOn w:val="49"/>
    <w:qFormat/>
    <w:uiPriority w:val="0"/>
  </w:style>
  <w:style w:type="character" w:customStyle="1" w:styleId="141">
    <w:name w:val="标题 2 Char"/>
    <w:qFormat/>
    <w:uiPriority w:val="0"/>
    <w:rPr>
      <w:rFonts w:ascii="Arial" w:hAnsi="Arial" w:eastAsia="黑体"/>
      <w:b/>
      <w:bCs/>
      <w:kern w:val="2"/>
      <w:sz w:val="21"/>
      <w:szCs w:val="32"/>
      <w:lang w:val="en-US" w:eastAsia="zh-CN" w:bidi="ar-SA"/>
    </w:rPr>
  </w:style>
  <w:style w:type="character" w:customStyle="1" w:styleId="142">
    <w:name w:val="正文文本 Char"/>
    <w:link w:val="20"/>
    <w:qFormat/>
    <w:uiPriority w:val="0"/>
    <w:rPr>
      <w:rFonts w:eastAsia="宋体"/>
      <w:kern w:val="2"/>
      <w:sz w:val="21"/>
      <w:szCs w:val="24"/>
      <w:lang w:val="en-US" w:eastAsia="zh-CN" w:bidi="ar-SA"/>
    </w:rPr>
  </w:style>
  <w:style w:type="character" w:customStyle="1" w:styleId="143">
    <w:name w:val="p05"/>
    <w:basedOn w:val="49"/>
    <w:qFormat/>
    <w:uiPriority w:val="0"/>
  </w:style>
  <w:style w:type="character" w:customStyle="1" w:styleId="144">
    <w:name w:val="Char Char7"/>
    <w:qFormat/>
    <w:uiPriority w:val="0"/>
    <w:rPr>
      <w:rFonts w:ascii="Arial" w:hAnsi="Arial" w:eastAsia="黑体"/>
      <w:b/>
      <w:bCs/>
      <w:kern w:val="2"/>
      <w:sz w:val="32"/>
      <w:szCs w:val="32"/>
      <w:lang w:val="en-US" w:eastAsia="zh-CN" w:bidi="ar-SA"/>
    </w:rPr>
  </w:style>
  <w:style w:type="character" w:customStyle="1" w:styleId="145">
    <w:name w:val="over3"/>
    <w:basedOn w:val="49"/>
    <w:qFormat/>
    <w:uiPriority w:val="0"/>
  </w:style>
  <w:style w:type="character" w:customStyle="1" w:styleId="146">
    <w:name w:val="Char Char3"/>
    <w:qFormat/>
    <w:uiPriority w:val="0"/>
    <w:rPr>
      <w:rFonts w:ascii="Arial" w:hAnsi="Arial" w:eastAsia="黑体"/>
      <w:b/>
      <w:bCs/>
      <w:kern w:val="2"/>
      <w:sz w:val="32"/>
      <w:szCs w:val="32"/>
      <w:lang w:val="en-US" w:eastAsia="zh-CN" w:bidi="ar-SA"/>
    </w:rPr>
  </w:style>
  <w:style w:type="character" w:customStyle="1" w:styleId="147">
    <w:name w:val="Char Char71"/>
    <w:qFormat/>
    <w:uiPriority w:val="0"/>
    <w:rPr>
      <w:rFonts w:ascii="Arial" w:hAnsi="Arial" w:eastAsia="黑体"/>
      <w:b/>
      <w:bCs/>
      <w:kern w:val="2"/>
      <w:sz w:val="32"/>
      <w:szCs w:val="32"/>
      <w:lang w:val="en-US" w:eastAsia="zh-CN" w:bidi="ar-SA"/>
    </w:rPr>
  </w:style>
  <w:style w:type="character" w:customStyle="1" w:styleId="148">
    <w:name w:val="num51"/>
    <w:basedOn w:val="49"/>
    <w:qFormat/>
    <w:uiPriority w:val="0"/>
  </w:style>
  <w:style w:type="character" w:customStyle="1" w:styleId="149">
    <w:name w:val="Char Char Char"/>
    <w:qFormat/>
    <w:uiPriority w:val="0"/>
    <w:rPr>
      <w:rFonts w:eastAsia="宋体"/>
      <w:b/>
      <w:bCs/>
      <w:kern w:val="44"/>
      <w:sz w:val="44"/>
      <w:szCs w:val="44"/>
      <w:lang w:val="en-US" w:eastAsia="zh-CN" w:bidi="ar-SA"/>
    </w:rPr>
  </w:style>
  <w:style w:type="character" w:customStyle="1" w:styleId="150">
    <w:name w:val="msg-box31"/>
    <w:basedOn w:val="49"/>
    <w:qFormat/>
    <w:uiPriority w:val="0"/>
  </w:style>
  <w:style w:type="character" w:customStyle="1" w:styleId="151">
    <w:name w:val="msg-box30"/>
    <w:basedOn w:val="49"/>
    <w:qFormat/>
    <w:uiPriority w:val="0"/>
  </w:style>
  <w:style w:type="character" w:customStyle="1" w:styleId="152">
    <w:name w:val="标题 1 Char Char"/>
    <w:qFormat/>
    <w:uiPriority w:val="0"/>
    <w:rPr>
      <w:rFonts w:eastAsia="宋体"/>
      <w:b/>
      <w:bCs/>
      <w:kern w:val="44"/>
      <w:sz w:val="44"/>
      <w:szCs w:val="44"/>
      <w:lang w:val="en-US" w:eastAsia="zh-CN" w:bidi="ar-SA"/>
    </w:rPr>
  </w:style>
  <w:style w:type="character" w:customStyle="1" w:styleId="153">
    <w:name w:val="标题 3 Char"/>
    <w:link w:val="4"/>
    <w:qFormat/>
    <w:uiPriority w:val="0"/>
    <w:rPr>
      <w:b/>
      <w:bCs/>
      <w:sz w:val="32"/>
      <w:szCs w:val="32"/>
    </w:rPr>
  </w:style>
  <w:style w:type="character" w:customStyle="1" w:styleId="154">
    <w:name w:val="c1"/>
    <w:basedOn w:val="49"/>
    <w:qFormat/>
    <w:uiPriority w:val="0"/>
  </w:style>
  <w:style w:type="character" w:customStyle="1" w:styleId="155">
    <w:name w:val="纯文本 Char1"/>
    <w:qFormat/>
    <w:uiPriority w:val="0"/>
    <w:rPr>
      <w:rFonts w:ascii="Courier New" w:hAnsi="Courier New" w:eastAsia="宋体"/>
      <w:kern w:val="2"/>
      <w:sz w:val="21"/>
      <w:lang w:val="en-US" w:eastAsia="zh-CN" w:bidi="ar-SA"/>
    </w:rPr>
  </w:style>
  <w:style w:type="character" w:customStyle="1" w:styleId="156">
    <w:name w:val="Char Char Char1"/>
    <w:qFormat/>
    <w:uiPriority w:val="0"/>
    <w:rPr>
      <w:rFonts w:ascii="Arial" w:hAnsi="Arial" w:eastAsia="黑体"/>
      <w:b/>
      <w:bCs/>
      <w:kern w:val="2"/>
      <w:sz w:val="32"/>
      <w:szCs w:val="32"/>
      <w:lang w:val="en-US" w:eastAsia="zh-CN" w:bidi="ar-SA"/>
    </w:rPr>
  </w:style>
  <w:style w:type="character" w:customStyle="1" w:styleId="157">
    <w:name w:val="l3"/>
    <w:qFormat/>
    <w:uiPriority w:val="0"/>
    <w:rPr>
      <w:color w:val="999999"/>
    </w:rPr>
  </w:style>
  <w:style w:type="character" w:customStyle="1" w:styleId="158">
    <w:name w:val="tit14"/>
    <w:qFormat/>
    <w:uiPriority w:val="0"/>
    <w:rPr>
      <w:color w:val="B60000"/>
    </w:rPr>
  </w:style>
  <w:style w:type="character" w:customStyle="1" w:styleId="159">
    <w:name w:val="tit10"/>
    <w:qFormat/>
    <w:uiPriority w:val="0"/>
    <w:rPr>
      <w:color w:val="B60000"/>
    </w:rPr>
  </w:style>
  <w:style w:type="character" w:customStyle="1" w:styleId="160">
    <w:name w:val="l21"/>
    <w:qFormat/>
    <w:uiPriority w:val="0"/>
    <w:rPr>
      <w:color w:val="999999"/>
    </w:rPr>
  </w:style>
  <w:style w:type="character" w:customStyle="1" w:styleId="161">
    <w:name w:val="num71"/>
    <w:basedOn w:val="49"/>
    <w:qFormat/>
    <w:uiPriority w:val="0"/>
  </w:style>
  <w:style w:type="character" w:customStyle="1" w:styleId="162">
    <w:name w:val="标题 2 Char Char"/>
    <w:qFormat/>
    <w:uiPriority w:val="0"/>
    <w:rPr>
      <w:rFonts w:ascii="Arial" w:hAnsi="Arial" w:eastAsia="黑体"/>
      <w:b/>
      <w:bCs/>
      <w:kern w:val="2"/>
      <w:sz w:val="32"/>
      <w:szCs w:val="32"/>
      <w:lang w:val="en-US" w:eastAsia="zh-CN" w:bidi="ar-SA"/>
    </w:rPr>
  </w:style>
  <w:style w:type="character" w:customStyle="1" w:styleId="163">
    <w:name w:val="buvis"/>
    <w:qFormat/>
    <w:uiPriority w:val="0"/>
    <w:rPr>
      <w:color w:val="999999"/>
    </w:rPr>
  </w:style>
  <w:style w:type="character" w:customStyle="1" w:styleId="164">
    <w:name w:val="name"/>
    <w:qFormat/>
    <w:uiPriority w:val="0"/>
    <w:rPr>
      <w:color w:val="444444"/>
      <w:sz w:val="21"/>
      <w:szCs w:val="21"/>
    </w:rPr>
  </w:style>
  <w:style w:type="character" w:customStyle="1" w:styleId="165">
    <w:name w:val="layui-this"/>
    <w:qFormat/>
    <w:uiPriority w:val="0"/>
    <w:rPr>
      <w:bdr w:val="single" w:color="EEEEEE" w:sz="6" w:space="0"/>
      <w:shd w:val="clear" w:color="auto" w:fill="FFFFFF"/>
    </w:rPr>
  </w:style>
  <w:style w:type="character" w:customStyle="1" w:styleId="166">
    <w:name w:val="标题 2 Char1"/>
    <w:qFormat/>
    <w:uiPriority w:val="0"/>
    <w:rPr>
      <w:rFonts w:ascii="Arial" w:hAnsi="Arial" w:eastAsia="黑体"/>
      <w:b/>
      <w:bCs/>
      <w:kern w:val="2"/>
      <w:sz w:val="32"/>
      <w:szCs w:val="32"/>
      <w:lang w:val="en-US" w:eastAsia="zh-CN" w:bidi="ar-SA"/>
    </w:rPr>
  </w:style>
  <w:style w:type="character" w:customStyle="1" w:styleId="167">
    <w:name w:val="zw"/>
    <w:qFormat/>
    <w:uiPriority w:val="0"/>
    <w:rPr>
      <w:color w:val="BD1E22"/>
      <w:sz w:val="22"/>
      <w:szCs w:val="22"/>
    </w:rPr>
  </w:style>
  <w:style w:type="character" w:customStyle="1" w:styleId="168">
    <w:name w:val="name1"/>
    <w:qFormat/>
    <w:uiPriority w:val="0"/>
    <w:rPr>
      <w:color w:val="695435"/>
      <w:sz w:val="24"/>
      <w:szCs w:val="24"/>
    </w:rPr>
  </w:style>
  <w:style w:type="character" w:customStyle="1" w:styleId="169">
    <w:name w:val="num61"/>
    <w:basedOn w:val="49"/>
    <w:qFormat/>
    <w:uiPriority w:val="0"/>
  </w:style>
  <w:style w:type="character" w:customStyle="1" w:styleId="170">
    <w:name w:val="mesg-myd"/>
    <w:qFormat/>
    <w:uiPriority w:val="0"/>
    <w:rPr>
      <w:color w:val="EE0000"/>
    </w:rPr>
  </w:style>
  <w:style w:type="character" w:customStyle="1" w:styleId="171">
    <w:name w:val="c2"/>
    <w:basedOn w:val="49"/>
    <w:qFormat/>
    <w:uiPriority w:val="0"/>
  </w:style>
  <w:style w:type="character" w:customStyle="1" w:styleId="172">
    <w:name w:val="c3"/>
    <w:basedOn w:val="49"/>
    <w:qFormat/>
    <w:uiPriority w:val="0"/>
  </w:style>
  <w:style w:type="character" w:customStyle="1" w:styleId="173">
    <w:name w:val="over1"/>
    <w:qFormat/>
    <w:uiPriority w:val="0"/>
    <w:rPr>
      <w:color w:val="B60000"/>
    </w:rPr>
  </w:style>
  <w:style w:type="character" w:customStyle="1" w:styleId="174">
    <w:name w:val="tit13"/>
    <w:qFormat/>
    <w:uiPriority w:val="0"/>
    <w:rPr>
      <w:color w:val="FFFFFF"/>
    </w:rPr>
  </w:style>
  <w:style w:type="character" w:customStyle="1" w:styleId="175">
    <w:name w:val="Char Char21"/>
    <w:qFormat/>
    <w:uiPriority w:val="0"/>
    <w:rPr>
      <w:rFonts w:eastAsia="宋体"/>
      <w:kern w:val="2"/>
      <w:sz w:val="21"/>
      <w:szCs w:val="24"/>
      <w:lang w:val="en-US" w:eastAsia="zh-CN" w:bidi="ar-SA"/>
    </w:rPr>
  </w:style>
  <w:style w:type="character" w:customStyle="1" w:styleId="176">
    <w:name w:val="l41"/>
    <w:qFormat/>
    <w:uiPriority w:val="0"/>
    <w:rPr>
      <w:color w:val="999999"/>
    </w:rPr>
  </w:style>
  <w:style w:type="character" w:customStyle="1" w:styleId="177">
    <w:name w:val="16"/>
    <w:qFormat/>
    <w:uiPriority w:val="0"/>
    <w:rPr>
      <w:rFonts w:ascii="仿宋_GB2312" w:eastAsia="仿宋_GB2312"/>
      <w:color w:val="auto"/>
      <w:sz w:val="28"/>
      <w:szCs w:val="28"/>
    </w:rPr>
  </w:style>
  <w:style w:type="character" w:customStyle="1" w:styleId="178">
    <w:name w:val="num31"/>
    <w:basedOn w:val="49"/>
    <w:qFormat/>
    <w:uiPriority w:val="0"/>
  </w:style>
  <w:style w:type="character" w:customStyle="1" w:styleId="179">
    <w:name w:val="starting4"/>
    <w:basedOn w:val="49"/>
    <w:qFormat/>
    <w:uiPriority w:val="0"/>
  </w:style>
  <w:style w:type="character" w:customStyle="1" w:styleId="180">
    <w:name w:val="bsharetext"/>
    <w:basedOn w:val="49"/>
    <w:qFormat/>
    <w:uiPriority w:val="0"/>
  </w:style>
  <w:style w:type="character" w:customStyle="1" w:styleId="181">
    <w:name w:val="unit"/>
    <w:qFormat/>
    <w:uiPriority w:val="0"/>
    <w:rPr>
      <w:color w:val="999999"/>
    </w:rPr>
  </w:style>
  <w:style w:type="character" w:customStyle="1" w:styleId="182">
    <w:name w:val="nostart2"/>
    <w:qFormat/>
    <w:uiPriority w:val="0"/>
    <w:rPr>
      <w:color w:val="B60000"/>
    </w:rPr>
  </w:style>
  <w:style w:type="character" w:customStyle="1" w:styleId="183">
    <w:name w:val="纯文本 Char"/>
    <w:qFormat/>
    <w:uiPriority w:val="99"/>
    <w:rPr>
      <w:rFonts w:ascii="Courier New" w:hAnsi="Courier New" w:eastAsia="宋体"/>
      <w:kern w:val="2"/>
      <w:sz w:val="21"/>
      <w:lang w:val="en-US" w:eastAsia="zh-CN" w:bidi="ar-SA"/>
    </w:rPr>
  </w:style>
  <w:style w:type="character" w:customStyle="1" w:styleId="184">
    <w:name w:val="Char Char81"/>
    <w:qFormat/>
    <w:uiPriority w:val="0"/>
    <w:rPr>
      <w:rFonts w:ascii="Arial" w:hAnsi="Arial" w:eastAsia="黑体"/>
      <w:b/>
      <w:bCs/>
      <w:kern w:val="2"/>
      <w:sz w:val="32"/>
      <w:szCs w:val="32"/>
      <w:lang w:val="en-US" w:eastAsia="zh-CN" w:bidi="ar-SA"/>
    </w:rPr>
  </w:style>
  <w:style w:type="character" w:customStyle="1" w:styleId="185">
    <w:name w:val="starting"/>
    <w:qFormat/>
    <w:uiPriority w:val="0"/>
    <w:rPr>
      <w:color w:val="339900"/>
    </w:rPr>
  </w:style>
  <w:style w:type="character" w:customStyle="1" w:styleId="186">
    <w:name w:val="nostart1"/>
    <w:qFormat/>
    <w:uiPriority w:val="0"/>
    <w:rPr>
      <w:color w:val="FF0000"/>
    </w:rPr>
  </w:style>
  <w:style w:type="character" w:customStyle="1" w:styleId="187">
    <w:name w:val="num210"/>
    <w:basedOn w:val="49"/>
    <w:qFormat/>
    <w:uiPriority w:val="0"/>
  </w:style>
  <w:style w:type="character" w:customStyle="1" w:styleId="188">
    <w:name w:val="buvis1"/>
    <w:qFormat/>
    <w:uiPriority w:val="0"/>
    <w:rPr>
      <w:color w:val="CC0000"/>
    </w:rPr>
  </w:style>
  <w:style w:type="character" w:customStyle="1" w:styleId="189">
    <w:name w:val="starting3"/>
    <w:basedOn w:val="49"/>
    <w:qFormat/>
    <w:uiPriority w:val="0"/>
  </w:style>
  <w:style w:type="character" w:customStyle="1" w:styleId="190">
    <w:name w:val="textcontents"/>
    <w:basedOn w:val="49"/>
    <w:qFormat/>
    <w:uiPriority w:val="0"/>
  </w:style>
  <w:style w:type="character" w:customStyle="1" w:styleId="191">
    <w:name w:val="num41"/>
    <w:basedOn w:val="49"/>
    <w:qFormat/>
    <w:uiPriority w:val="0"/>
  </w:style>
  <w:style w:type="character" w:customStyle="1" w:styleId="192">
    <w:name w:val="tit9"/>
    <w:qFormat/>
    <w:uiPriority w:val="0"/>
    <w:rPr>
      <w:color w:val="B60000"/>
      <w:sz w:val="27"/>
      <w:szCs w:val="27"/>
      <w:bdr w:val="single" w:color="DFCEB8" w:sz="6" w:space="0"/>
      <w:shd w:val="clear" w:color="auto" w:fill="FFFFFF"/>
    </w:rPr>
  </w:style>
  <w:style w:type="character" w:customStyle="1" w:styleId="193">
    <w:name w:val="name2"/>
    <w:qFormat/>
    <w:uiPriority w:val="0"/>
    <w:rPr>
      <w:color w:val="000000"/>
      <w:sz w:val="39"/>
      <w:szCs w:val="39"/>
    </w:rPr>
  </w:style>
  <w:style w:type="character" w:customStyle="1" w:styleId="194">
    <w:name w:val="img_title8"/>
    <w:qFormat/>
    <w:uiPriority w:val="0"/>
    <w:rPr>
      <w:vanish/>
    </w:rPr>
  </w:style>
  <w:style w:type="character" w:customStyle="1" w:styleId="195">
    <w:name w:val="tit15"/>
    <w:qFormat/>
    <w:uiPriority w:val="0"/>
    <w:rPr>
      <w:b/>
      <w:color w:val="B60000"/>
    </w:rPr>
  </w:style>
  <w:style w:type="character" w:customStyle="1" w:styleId="196">
    <w:name w:val="img_title9"/>
    <w:qFormat/>
    <w:uiPriority w:val="0"/>
    <w:rPr>
      <w:vanish/>
    </w:rPr>
  </w:style>
  <w:style w:type="character" w:customStyle="1" w:styleId="197">
    <w:name w:val="标题 2 Char2"/>
    <w:link w:val="3"/>
    <w:qFormat/>
    <w:uiPriority w:val="0"/>
    <w:rPr>
      <w:rFonts w:ascii="Arial" w:hAnsi="Arial" w:eastAsia="黑体"/>
      <w:b/>
      <w:bCs/>
      <w:kern w:val="2"/>
      <w:sz w:val="21"/>
      <w:szCs w:val="32"/>
      <w:lang w:val="en-US" w:eastAsia="zh-CN" w:bidi="ar-SA"/>
    </w:rPr>
  </w:style>
  <w:style w:type="paragraph" w:customStyle="1" w:styleId="198">
    <w:name w:val="正文 New"/>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199">
    <w:name w:val="font12"/>
    <w:basedOn w:val="49"/>
    <w:qFormat/>
    <w:uiPriority w:val="0"/>
    <w:rPr>
      <w:rFonts w:hint="eastAsia" w:ascii="仿宋" w:hAnsi="仿宋" w:eastAsia="仿宋" w:cs="仿宋"/>
      <w:b/>
      <w:color w:val="000000"/>
      <w:sz w:val="32"/>
      <w:szCs w:val="32"/>
      <w:u w:val="none"/>
    </w:rPr>
  </w:style>
  <w:style w:type="character" w:customStyle="1" w:styleId="200">
    <w:name w:val="font101"/>
    <w:basedOn w:val="49"/>
    <w:qFormat/>
    <w:uiPriority w:val="0"/>
    <w:rPr>
      <w:rFonts w:hint="default" w:ascii="Times New Roman" w:hAnsi="Times New Roman" w:cs="Times New Roman"/>
      <w:color w:val="000000"/>
      <w:sz w:val="24"/>
      <w:szCs w:val="24"/>
      <w:u w:val="none"/>
    </w:rPr>
  </w:style>
  <w:style w:type="character" w:customStyle="1" w:styleId="201">
    <w:name w:val="font111"/>
    <w:basedOn w:val="49"/>
    <w:qFormat/>
    <w:uiPriority w:val="0"/>
    <w:rPr>
      <w:rFonts w:ascii="仿宋_GB2312" w:eastAsia="仿宋_GB2312" w:cs="仿宋_GB2312"/>
      <w:color w:val="000000"/>
      <w:sz w:val="24"/>
      <w:szCs w:val="24"/>
      <w:u w:val="none"/>
    </w:rPr>
  </w:style>
  <w:style w:type="character" w:customStyle="1" w:styleId="202">
    <w:name w:val="font91"/>
    <w:basedOn w:val="49"/>
    <w:qFormat/>
    <w:uiPriority w:val="0"/>
    <w:rPr>
      <w:rFonts w:hint="eastAsia" w:ascii="仿宋" w:hAnsi="仿宋" w:eastAsia="仿宋" w:cs="仿宋"/>
      <w:color w:val="000000"/>
      <w:sz w:val="24"/>
      <w:szCs w:val="24"/>
      <w:u w:val="single"/>
    </w:rPr>
  </w:style>
  <w:style w:type="character" w:customStyle="1" w:styleId="203">
    <w:name w:val="font81"/>
    <w:basedOn w:val="49"/>
    <w:qFormat/>
    <w:uiPriority w:val="0"/>
    <w:rPr>
      <w:rFonts w:hint="default" w:ascii="Times New Roman" w:hAnsi="Times New Roman" w:cs="Times New Roman"/>
      <w:color w:val="000000"/>
      <w:sz w:val="24"/>
      <w:szCs w:val="24"/>
      <w:u w:val="none"/>
    </w:rPr>
  </w:style>
  <w:style w:type="character" w:customStyle="1" w:styleId="204">
    <w:name w:val="font61"/>
    <w:basedOn w:val="49"/>
    <w:qFormat/>
    <w:uiPriority w:val="0"/>
    <w:rPr>
      <w:rFonts w:hint="eastAsia" w:ascii="仿宋_GB2312" w:eastAsia="仿宋_GB2312" w:cs="仿宋_GB2312"/>
      <w:color w:val="000000"/>
      <w:sz w:val="24"/>
      <w:szCs w:val="24"/>
      <w:u w:val="none"/>
    </w:rPr>
  </w:style>
  <w:style w:type="character" w:customStyle="1" w:styleId="205">
    <w:name w:val="font21"/>
    <w:basedOn w:val="49"/>
    <w:qFormat/>
    <w:uiPriority w:val="0"/>
    <w:rPr>
      <w:rFonts w:hint="default" w:ascii="Times New Roman" w:hAnsi="Times New Roman" w:cs="Times New Roman"/>
      <w:color w:val="000000"/>
      <w:sz w:val="24"/>
      <w:szCs w:val="24"/>
      <w:u w:val="none"/>
    </w:rPr>
  </w:style>
  <w:style w:type="character" w:customStyle="1" w:styleId="206">
    <w:name w:val="NormalCharacter"/>
    <w:semiHidden/>
    <w:qFormat/>
    <w:uiPriority w:val="0"/>
    <w:rPr>
      <w:snapToGrid w:val="0"/>
      <w:kern w:val="0"/>
      <w:sz w:val="32"/>
      <w:szCs w:val="32"/>
      <w:lang w:val="en-US" w:eastAsia="zh-CN" w:bidi="ar-SA"/>
    </w:rPr>
  </w:style>
  <w:style w:type="character" w:customStyle="1" w:styleId="207">
    <w:name w:val="first-child1"/>
    <w:basedOn w:val="49"/>
    <w:qFormat/>
    <w:uiPriority w:val="0"/>
  </w:style>
  <w:style w:type="character" w:customStyle="1" w:styleId="208">
    <w:name w:val="hover1"/>
    <w:basedOn w:val="49"/>
    <w:qFormat/>
    <w:uiPriority w:val="0"/>
    <w:rPr>
      <w:color w:val="2590EB"/>
    </w:rPr>
  </w:style>
  <w:style w:type="character" w:customStyle="1" w:styleId="209">
    <w:name w:val="hover2"/>
    <w:basedOn w:val="49"/>
    <w:qFormat/>
    <w:uiPriority w:val="0"/>
  </w:style>
  <w:style w:type="character" w:customStyle="1" w:styleId="210">
    <w:name w:val="hover3"/>
    <w:basedOn w:val="49"/>
    <w:qFormat/>
    <w:uiPriority w:val="0"/>
    <w:rPr>
      <w:color w:val="2590EB"/>
    </w:rPr>
  </w:style>
  <w:style w:type="character" w:customStyle="1" w:styleId="211">
    <w:name w:val="hover4"/>
    <w:basedOn w:val="49"/>
    <w:qFormat/>
    <w:uiPriority w:val="0"/>
    <w:rPr>
      <w:color w:val="2590EB"/>
      <w:shd w:val="clear" w:fill="E9F4FD"/>
    </w:rPr>
  </w:style>
  <w:style w:type="character" w:customStyle="1" w:styleId="212">
    <w:name w:val="mini-outputtext1"/>
    <w:basedOn w:val="49"/>
    <w:qFormat/>
    <w:uiPriority w:val="0"/>
  </w:style>
  <w:style w:type="character" w:customStyle="1" w:styleId="213">
    <w:name w:val="hover"/>
    <w:basedOn w:val="49"/>
    <w:qFormat/>
    <w:uiPriority w:val="0"/>
    <w:rPr>
      <w:color w:val="2590EB"/>
    </w:rPr>
  </w:style>
  <w:style w:type="paragraph" w:customStyle="1" w:styleId="214">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character" w:customStyle="1" w:styleId="215">
    <w:name w:val="time"/>
    <w:basedOn w:val="49"/>
    <w:qFormat/>
    <w:uiPriority w:val="0"/>
  </w:style>
  <w:style w:type="character" w:customStyle="1" w:styleId="216">
    <w:name w:val="status"/>
    <w:basedOn w:val="49"/>
    <w:qFormat/>
    <w:uiPriority w:val="0"/>
    <w:rPr>
      <w:color w:val="0776DD"/>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102</Pages>
  <Words>16881</Words>
  <Characters>18371</Characters>
  <Lines>411</Lines>
  <Paragraphs>115</Paragraphs>
  <TotalTime>98</TotalTime>
  <ScaleCrop>false</ScaleCrop>
  <LinksUpToDate>false</LinksUpToDate>
  <CharactersWithSpaces>18666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傻傻一辈子</cp:lastModifiedBy>
  <cp:lastPrinted>2023-06-08T00:43:00Z</cp:lastPrinted>
  <dcterms:modified xsi:type="dcterms:W3CDTF">2026-03-05T10:55:59Z</dcterms:modified>
  <dc:title>标准交易文件</dc:title>
  <cp:revision>328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3E82E486C4C14DFBA52D555BBF93F148_13</vt:lpwstr>
  </property>
  <property fmtid="{D5CDD505-2E9C-101B-9397-08002B2CF9AE}" pid="4" name="KSOTemplateDocerSaveRecord">
    <vt:lpwstr>eyJoZGlkIjoiMTljMDcwYWJmYjExZWQzNTVmZDAzZTYwM2JlMzJmZDYiLCJ1c2VySWQiOiIzODU2Mzk2OTQifQ==</vt:lpwstr>
  </property>
</Properties>
</file>